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745" w:rsidRPr="004D141F" w:rsidRDefault="00903745" w:rsidP="00903745">
      <w:pPr>
        <w:pStyle w:val="af3"/>
      </w:pPr>
      <w:bookmarkStart w:id="0" w:name="_Toc525070834"/>
      <w:bookmarkStart w:id="1" w:name="_Toc525938374"/>
      <w:bookmarkStart w:id="2" w:name="_Toc525939222"/>
      <w:bookmarkStart w:id="3" w:name="_Toc525939727"/>
      <w:bookmarkStart w:id="4" w:name="_Toc525066144"/>
      <w:bookmarkStart w:id="5" w:name="_Toc524892372"/>
      <w:r w:rsidRPr="004D141F">
        <w:rPr>
          <w:rFonts w:hint="eastAsia"/>
        </w:rPr>
        <w:t>調查報告</w:t>
      </w:r>
    </w:p>
    <w:p w:rsidR="003D0DA7" w:rsidRDefault="00903745" w:rsidP="003D0DA7">
      <w:pPr>
        <w:pStyle w:val="1"/>
      </w:pPr>
      <w:bookmarkStart w:id="6" w:name="_Toc524892368"/>
      <w:bookmarkStart w:id="7" w:name="_Toc524895638"/>
      <w:bookmarkStart w:id="8" w:name="_Toc524896184"/>
      <w:bookmarkStart w:id="9" w:name="_Toc524896214"/>
      <w:bookmarkStart w:id="10" w:name="_Toc524902720"/>
      <w:bookmarkStart w:id="11" w:name="_Toc525066139"/>
      <w:bookmarkStart w:id="12" w:name="_Toc525070829"/>
      <w:bookmarkStart w:id="13" w:name="_Toc525938369"/>
      <w:bookmarkStart w:id="14" w:name="_Toc525939217"/>
      <w:bookmarkStart w:id="15" w:name="_Toc525939722"/>
      <w:bookmarkStart w:id="16" w:name="_Toc421794865"/>
      <w:bookmarkStart w:id="17" w:name="_Toc422834150"/>
      <w:bookmarkStart w:id="18" w:name="_Toc529218256"/>
      <w:bookmarkStart w:id="19" w:name="_Toc529222679"/>
      <w:bookmarkStart w:id="20" w:name="_Toc529223101"/>
      <w:bookmarkStart w:id="21" w:name="_Toc529223852"/>
      <w:bookmarkStart w:id="22" w:name="_Toc529228248"/>
      <w:bookmarkStart w:id="23" w:name="_Toc2400384"/>
      <w:bookmarkStart w:id="24" w:name="_Toc4316179"/>
      <w:bookmarkStart w:id="25" w:name="_Toc4473320"/>
      <w:bookmarkStart w:id="26" w:name="_Toc69556887"/>
      <w:bookmarkStart w:id="27" w:name="_Toc69556936"/>
      <w:bookmarkStart w:id="28" w:name="_Toc69609810"/>
      <w:bookmarkStart w:id="29" w:name="_Toc70241806"/>
      <w:bookmarkStart w:id="30" w:name="_Toc70242195"/>
      <w:bookmarkStart w:id="31" w:name="_Toc535915313"/>
      <w:r>
        <w:rPr>
          <w:rFonts w:hint="eastAsia"/>
        </w:rPr>
        <w:t>案　　由：</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roofErr w:type="gramStart"/>
      <w:r w:rsidRPr="002267D0">
        <w:rPr>
          <w:rFonts w:hint="eastAsia"/>
        </w:rPr>
        <w:t>據訴</w:t>
      </w:r>
      <w:proofErr w:type="gramEnd"/>
      <w:r w:rsidRPr="002267D0">
        <w:rPr>
          <w:rFonts w:hint="eastAsia"/>
        </w:rPr>
        <w:t>，</w:t>
      </w:r>
      <w:r w:rsidR="00F90E35" w:rsidRPr="002267D0">
        <w:rPr>
          <w:rFonts w:hint="eastAsia"/>
        </w:rPr>
        <w:t>桃園市政府警察局在104年8月25日，將</w:t>
      </w:r>
      <w:r w:rsidR="000633F5">
        <w:rPr>
          <w:rFonts w:hint="eastAsia"/>
        </w:rPr>
        <w:t>A少年</w:t>
      </w:r>
      <w:r w:rsidR="00F90E35">
        <w:rPr>
          <w:rFonts w:hint="eastAsia"/>
        </w:rPr>
        <w:t>所犯</w:t>
      </w:r>
      <w:r w:rsidR="00F90E35" w:rsidRPr="002267D0">
        <w:rPr>
          <w:rFonts w:hint="eastAsia"/>
        </w:rPr>
        <w:t>舊案其中一部分，另以新案移送，侵害</w:t>
      </w:r>
      <w:r w:rsidR="00F90E35">
        <w:rPr>
          <w:rFonts w:hint="eastAsia"/>
        </w:rPr>
        <w:t>該少年</w:t>
      </w:r>
      <w:r w:rsidR="00F90E35" w:rsidRPr="002267D0">
        <w:rPr>
          <w:rFonts w:hint="eastAsia"/>
        </w:rPr>
        <w:t>人權</w:t>
      </w:r>
      <w:r w:rsidR="00F90E35">
        <w:rPr>
          <w:rFonts w:hint="eastAsia"/>
        </w:rPr>
        <w:t>。又</w:t>
      </w:r>
      <w:r w:rsidRPr="002267D0">
        <w:rPr>
          <w:rFonts w:hint="eastAsia"/>
        </w:rPr>
        <w:t>依少年保護事件審理細則之規定，少年法庭（院）於裁定保護管束、安置輔導、感化教育時，</w:t>
      </w:r>
      <w:proofErr w:type="gramStart"/>
      <w:r w:rsidRPr="002267D0">
        <w:rPr>
          <w:rFonts w:hint="eastAsia"/>
        </w:rPr>
        <w:t>均需少年</w:t>
      </w:r>
      <w:proofErr w:type="gramEnd"/>
      <w:r w:rsidRPr="002267D0">
        <w:rPr>
          <w:rFonts w:hint="eastAsia"/>
        </w:rPr>
        <w:t>及法定代理人到場始得為之，但法院實務上常以少年調查官充任少年法定代理人，使法定代理人之聽審權被剝奪。另審理及裁判皆不需公開，得僅由書記官將主文記載於宣示筆錄，法官不須另作裁定書，亦使法定代理人無從據以抗告</w:t>
      </w:r>
      <w:r w:rsidR="00F90E35">
        <w:rPr>
          <w:rFonts w:hint="eastAsia"/>
        </w:rPr>
        <w:t>等，</w:t>
      </w:r>
      <w:r w:rsidRPr="002267D0">
        <w:rPr>
          <w:rFonts w:hint="eastAsia"/>
        </w:rPr>
        <w:t>認有深入調查之必要案。</w:t>
      </w:r>
      <w:bookmarkStart w:id="32" w:name="_Toc524895646"/>
      <w:bookmarkStart w:id="33" w:name="_Toc524896192"/>
      <w:bookmarkStart w:id="34" w:name="_Toc524896222"/>
      <w:bookmarkStart w:id="35" w:name="_Toc524902729"/>
      <w:bookmarkStart w:id="36" w:name="_Toc525066145"/>
      <w:bookmarkStart w:id="37" w:name="_Toc525070836"/>
      <w:bookmarkStart w:id="38" w:name="_Toc525938376"/>
      <w:bookmarkStart w:id="39" w:name="_Toc525939224"/>
      <w:bookmarkStart w:id="40" w:name="_Toc525939729"/>
      <w:bookmarkStart w:id="41" w:name="_Toc529218269"/>
      <w:bookmarkStart w:id="42" w:name="_Toc529222686"/>
      <w:bookmarkStart w:id="43" w:name="_Toc529223108"/>
      <w:bookmarkStart w:id="44" w:name="_Toc529223859"/>
      <w:bookmarkStart w:id="45" w:name="_Toc529228262"/>
      <w:bookmarkStart w:id="46" w:name="_Toc2400392"/>
      <w:bookmarkStart w:id="47" w:name="_Toc4316186"/>
      <w:bookmarkStart w:id="48" w:name="_Toc4473327"/>
      <w:bookmarkStart w:id="49" w:name="_Toc69556894"/>
      <w:bookmarkStart w:id="50" w:name="_Toc69556943"/>
      <w:bookmarkStart w:id="51" w:name="_Toc69609817"/>
      <w:bookmarkStart w:id="52" w:name="_Toc70241813"/>
      <w:bookmarkStart w:id="53" w:name="_Toc70242202"/>
      <w:bookmarkStart w:id="54" w:name="_Toc535915332"/>
      <w:bookmarkEnd w:id="0"/>
      <w:bookmarkEnd w:id="1"/>
      <w:bookmarkEnd w:id="2"/>
      <w:bookmarkEnd w:id="3"/>
      <w:bookmarkEnd w:id="4"/>
      <w:bookmarkEnd w:id="5"/>
      <w:bookmarkEnd w:id="31"/>
    </w:p>
    <w:p w:rsidR="00F775A5" w:rsidRDefault="00F775A5" w:rsidP="003D0DA7">
      <w:pPr>
        <w:pStyle w:val="1"/>
      </w:pPr>
      <w:r>
        <w:rPr>
          <w:rFonts w:hint="eastAsia"/>
        </w:rPr>
        <w:t>調查意見：</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5145E3" w:rsidRDefault="00F775A5" w:rsidP="00281CB8">
      <w:pPr>
        <w:pStyle w:val="10"/>
        <w:ind w:left="680" w:firstLine="680"/>
      </w:pPr>
      <w:bookmarkStart w:id="55" w:name="_Toc524902730"/>
      <w:r w:rsidRPr="00F92F95">
        <w:rPr>
          <w:rFonts w:hint="eastAsia"/>
          <w:bCs/>
        </w:rPr>
        <w:t>聯合國兒童權利公約</w:t>
      </w:r>
      <w:r w:rsidRPr="00F02648">
        <w:rPr>
          <w:rFonts w:hint="eastAsia"/>
          <w:bCs/>
        </w:rPr>
        <w:t>第40條第3項要求締約國應特別設置</w:t>
      </w:r>
      <w:proofErr w:type="gramStart"/>
      <w:r w:rsidRPr="00F02648">
        <w:rPr>
          <w:rFonts w:hint="eastAsia"/>
          <w:bCs/>
        </w:rPr>
        <w:t>適用於觸法</w:t>
      </w:r>
      <w:proofErr w:type="gramEnd"/>
      <w:r w:rsidRPr="00F02648">
        <w:rPr>
          <w:rFonts w:hint="eastAsia"/>
          <w:bCs/>
        </w:rPr>
        <w:t>兒童之法律、程序及機關（構），並於適當及必要時，制定不對觸法兒童訴諸司法程序之措施，</w:t>
      </w:r>
      <w:r>
        <w:rPr>
          <w:rFonts w:hint="eastAsia"/>
          <w:bCs/>
        </w:rPr>
        <w:t>惟</w:t>
      </w:r>
      <w:r w:rsidR="00D94955">
        <w:rPr>
          <w:rFonts w:hint="eastAsia"/>
          <w:bCs/>
        </w:rPr>
        <w:t>亦</w:t>
      </w:r>
      <w:r w:rsidRPr="00F02648">
        <w:rPr>
          <w:rFonts w:hint="eastAsia"/>
          <w:bCs/>
        </w:rPr>
        <w:t>不得忽略一般司法程序中人權及法律保障的基本價值</w:t>
      </w:r>
      <w:r>
        <w:rPr>
          <w:rFonts w:hint="eastAsia"/>
          <w:bCs/>
        </w:rPr>
        <w:t>。</w:t>
      </w:r>
      <w:r w:rsidR="002B3070">
        <w:rPr>
          <w:rFonts w:hint="eastAsia"/>
          <w:bCs/>
        </w:rPr>
        <w:t>該</w:t>
      </w:r>
      <w:r w:rsidR="000B6D92" w:rsidRPr="00F02648">
        <w:rPr>
          <w:rFonts w:hint="eastAsia"/>
          <w:bCs/>
        </w:rPr>
        <w:t>公約</w:t>
      </w:r>
      <w:r w:rsidR="000B6D92">
        <w:rPr>
          <w:rFonts w:hint="eastAsia"/>
          <w:bCs/>
        </w:rPr>
        <w:t>第12條、37條、</w:t>
      </w:r>
      <w:r w:rsidR="000B6D92" w:rsidRPr="00F02648">
        <w:rPr>
          <w:rFonts w:hint="eastAsia"/>
          <w:bCs/>
        </w:rPr>
        <w:t>第40條</w:t>
      </w:r>
      <w:r w:rsidR="000B6D92">
        <w:rPr>
          <w:rFonts w:hint="eastAsia"/>
          <w:bCs/>
        </w:rPr>
        <w:t>第1項</w:t>
      </w:r>
      <w:r w:rsidR="002B3070">
        <w:rPr>
          <w:rFonts w:hint="eastAsia"/>
          <w:bCs/>
        </w:rPr>
        <w:t>前段</w:t>
      </w:r>
      <w:r w:rsidR="000B6D92">
        <w:rPr>
          <w:rFonts w:hint="eastAsia"/>
          <w:bCs/>
        </w:rPr>
        <w:t>、同條</w:t>
      </w:r>
      <w:r w:rsidR="000B6D92" w:rsidRPr="00F02648">
        <w:rPr>
          <w:rFonts w:hint="eastAsia"/>
          <w:bCs/>
        </w:rPr>
        <w:t>第2項b段</w:t>
      </w:r>
      <w:r w:rsidR="00362BEF">
        <w:rPr>
          <w:rFonts w:hint="eastAsia"/>
          <w:bCs/>
        </w:rPr>
        <w:t>復</w:t>
      </w:r>
      <w:r w:rsidR="000B6D92">
        <w:rPr>
          <w:rFonts w:hint="eastAsia"/>
          <w:bCs/>
        </w:rPr>
        <w:t>明</w:t>
      </w:r>
      <w:r w:rsidR="000B6D92" w:rsidRPr="00F02648">
        <w:rPr>
          <w:rFonts w:hint="eastAsia"/>
          <w:bCs/>
        </w:rPr>
        <w:t>定</w:t>
      </w:r>
      <w:r w:rsidR="000B6D92">
        <w:rPr>
          <w:rFonts w:hint="eastAsia"/>
          <w:bCs/>
        </w:rPr>
        <w:t>程序保障及人權基本價值的</w:t>
      </w:r>
      <w:r w:rsidR="00797F8A">
        <w:rPr>
          <w:rFonts w:hint="eastAsia"/>
          <w:bCs/>
        </w:rPr>
        <w:t>內涵</w:t>
      </w:r>
      <w:r w:rsidR="000B6D92">
        <w:rPr>
          <w:rFonts w:hint="eastAsia"/>
          <w:bCs/>
        </w:rPr>
        <w:t>包括</w:t>
      </w:r>
      <w:r w:rsidR="00797F8A">
        <w:rPr>
          <w:rFonts w:hint="eastAsia"/>
          <w:bCs/>
        </w:rPr>
        <w:t>：</w:t>
      </w:r>
      <w:r w:rsidR="004B0F22">
        <w:rPr>
          <w:rFonts w:hint="eastAsia"/>
          <w:bCs/>
        </w:rPr>
        <w:t>應</w:t>
      </w:r>
      <w:r w:rsidRPr="00F02648">
        <w:rPr>
          <w:rFonts w:hint="eastAsia"/>
          <w:bCs/>
        </w:rPr>
        <w:t>保障</w:t>
      </w:r>
      <w:r>
        <w:rPr>
          <w:rFonts w:hint="eastAsia"/>
          <w:bCs/>
        </w:rPr>
        <w:t>兒童得以</w:t>
      </w:r>
      <w:r w:rsidRPr="005A7896">
        <w:rPr>
          <w:rFonts w:hint="eastAsia"/>
          <w:bCs/>
        </w:rPr>
        <w:t>透過代表表達意見之機會</w:t>
      </w:r>
      <w:r>
        <w:rPr>
          <w:rFonts w:hint="eastAsia"/>
          <w:bCs/>
        </w:rPr>
        <w:t>；應確保對兒童之拘留、監禁應為最短時間，且僅能作為最後手段</w:t>
      </w:r>
      <w:r w:rsidR="004B0F22">
        <w:rPr>
          <w:rFonts w:hint="eastAsia"/>
          <w:bCs/>
        </w:rPr>
        <w:t>；少年司法應</w:t>
      </w:r>
      <w:r w:rsidR="004B0F22" w:rsidRPr="005A7896">
        <w:rPr>
          <w:rFonts w:hint="eastAsia"/>
          <w:bCs/>
        </w:rPr>
        <w:t>確認依兒童之年齡與對其重返社會，並在社會承擔建設性角色之期待下，促進兒童之尊嚴及價值感</w:t>
      </w:r>
      <w:r w:rsidRPr="00F02648">
        <w:rPr>
          <w:rFonts w:hint="eastAsia"/>
          <w:bCs/>
        </w:rPr>
        <w:t>。</w:t>
      </w:r>
      <w:r w:rsidRPr="005A7896">
        <w:rPr>
          <w:rFonts w:hint="eastAsia"/>
          <w:bCs/>
        </w:rPr>
        <w:t>我國少年事件處理法</w:t>
      </w:r>
      <w:r w:rsidR="002B3070" w:rsidRPr="005A7896">
        <w:rPr>
          <w:rFonts w:hint="eastAsia"/>
          <w:bCs/>
        </w:rPr>
        <w:t>（下稱少事法）基於上開理念，</w:t>
      </w:r>
      <w:r w:rsidRPr="005A7896">
        <w:rPr>
          <w:rFonts w:hint="eastAsia"/>
          <w:bCs/>
        </w:rPr>
        <w:t>採取司法福利化之保護優先原則，</w:t>
      </w:r>
      <w:proofErr w:type="gramStart"/>
      <w:r w:rsidRPr="005A7896">
        <w:rPr>
          <w:rFonts w:hint="eastAsia"/>
          <w:bCs/>
        </w:rPr>
        <w:t>司法院</w:t>
      </w:r>
      <w:r w:rsidR="002B3070" w:rsidRPr="005A7896">
        <w:rPr>
          <w:rFonts w:hint="eastAsia"/>
          <w:bCs/>
        </w:rPr>
        <w:t>復</w:t>
      </w:r>
      <w:r w:rsidRPr="005A7896">
        <w:rPr>
          <w:rFonts w:hint="eastAsia"/>
          <w:bCs/>
        </w:rPr>
        <w:t>於</w:t>
      </w:r>
      <w:proofErr w:type="gramEnd"/>
      <w:r w:rsidR="005145E3" w:rsidRPr="005A7896">
        <w:rPr>
          <w:rFonts w:hint="eastAsia"/>
          <w:bCs/>
        </w:rPr>
        <w:t>少年保護事件</w:t>
      </w:r>
      <w:r w:rsidRPr="005A7896">
        <w:rPr>
          <w:rFonts w:hint="eastAsia"/>
          <w:bCs/>
        </w:rPr>
        <w:t>審理細則明定協商式審理，建立由法官與少年、少年調查官、法定代理人或現在保護少年之人及相關人，經由教育啟發及溝通協議方式，共同探求少年之最佳利益，達成個案處遇之目標。</w:t>
      </w:r>
      <w:r w:rsidR="005A7896" w:rsidRPr="005A7896">
        <w:rPr>
          <w:rFonts w:hint="eastAsia"/>
          <w:bCs/>
        </w:rPr>
        <w:t>少事法第24條並</w:t>
      </w:r>
      <w:proofErr w:type="gramStart"/>
      <w:r w:rsidR="005A7896" w:rsidRPr="005A7896">
        <w:rPr>
          <w:rFonts w:hint="eastAsia"/>
          <w:bCs/>
        </w:rPr>
        <w:t>準</w:t>
      </w:r>
      <w:proofErr w:type="gramEnd"/>
      <w:r w:rsidR="005A7896" w:rsidRPr="005A7896">
        <w:rPr>
          <w:rFonts w:hint="eastAsia"/>
          <w:bCs/>
        </w:rPr>
        <w:t>用刑事訴訟法</w:t>
      </w:r>
      <w:r w:rsidR="00530E4A">
        <w:rPr>
          <w:rFonts w:hint="eastAsia"/>
          <w:bCs/>
        </w:rPr>
        <w:lastRenderedPageBreak/>
        <w:t>之</w:t>
      </w:r>
      <w:r w:rsidR="005A7896">
        <w:rPr>
          <w:rFonts w:hint="eastAsia"/>
          <w:bCs/>
        </w:rPr>
        <w:t>相</w:t>
      </w:r>
      <w:r w:rsidR="005A7896" w:rsidRPr="005A7896">
        <w:rPr>
          <w:rFonts w:hint="eastAsia"/>
          <w:bCs/>
        </w:rPr>
        <w:t>關規定</w:t>
      </w:r>
      <w:r w:rsidR="005A7896">
        <w:rPr>
          <w:rStyle w:val="aff"/>
          <w:bCs/>
        </w:rPr>
        <w:footnoteReference w:id="1"/>
      </w:r>
      <w:r w:rsidR="005A7896">
        <w:rPr>
          <w:rFonts w:hint="eastAsia"/>
        </w:rPr>
        <w:t>。</w:t>
      </w:r>
      <w:r w:rsidR="005145E3">
        <w:rPr>
          <w:rFonts w:hint="eastAsia"/>
        </w:rPr>
        <w:t>就法制層面而言，</w:t>
      </w:r>
      <w:r w:rsidR="005145E3">
        <w:rPr>
          <w:rFonts w:hint="eastAsia"/>
          <w:bCs/>
        </w:rPr>
        <w:t>我國少年司法</w:t>
      </w:r>
      <w:r w:rsidR="005145E3">
        <w:rPr>
          <w:rFonts w:hint="eastAsia"/>
        </w:rPr>
        <w:t>契合國際人權規範之要求，然實務運作</w:t>
      </w:r>
      <w:r w:rsidR="00362BEF">
        <w:rPr>
          <w:rFonts w:hint="eastAsia"/>
        </w:rPr>
        <w:t>屢有忽略少年的程序保障，致</w:t>
      </w:r>
      <w:r w:rsidR="00797F8A">
        <w:rPr>
          <w:rFonts w:hint="eastAsia"/>
        </w:rPr>
        <w:t>未落實兒童權利公約</w:t>
      </w:r>
      <w:r w:rsidR="002B3070">
        <w:rPr>
          <w:rFonts w:hint="eastAsia"/>
        </w:rPr>
        <w:t>所</w:t>
      </w:r>
      <w:r w:rsidR="00797F8A">
        <w:rPr>
          <w:rFonts w:hint="eastAsia"/>
        </w:rPr>
        <w:t>揭示的基本人權價值，致少年司法的</w:t>
      </w:r>
      <w:r w:rsidR="005145E3">
        <w:rPr>
          <w:rFonts w:hint="eastAsia"/>
        </w:rPr>
        <w:t>實然面與理想</w:t>
      </w:r>
      <w:r w:rsidR="00D94955">
        <w:rPr>
          <w:rFonts w:hint="eastAsia"/>
        </w:rPr>
        <w:t>面</w:t>
      </w:r>
      <w:r w:rsidR="005145E3">
        <w:rPr>
          <w:rFonts w:hint="eastAsia"/>
        </w:rPr>
        <w:t>差距頗大</w:t>
      </w:r>
      <w:r w:rsidR="005145E3">
        <w:rPr>
          <w:rFonts w:hint="eastAsia"/>
          <w:bCs/>
        </w:rPr>
        <w:t>，有</w:t>
      </w:r>
      <w:r w:rsidR="005D1FA4">
        <w:rPr>
          <w:rFonts w:hint="eastAsia"/>
          <w:bCs/>
        </w:rPr>
        <w:t>澈</w:t>
      </w:r>
      <w:r w:rsidR="005145E3">
        <w:rPr>
          <w:rFonts w:hint="eastAsia"/>
          <w:bCs/>
        </w:rPr>
        <w:t>底檢討之必要。</w:t>
      </w:r>
    </w:p>
    <w:p w:rsidR="00F775A5" w:rsidRDefault="007A0121" w:rsidP="00F775A5">
      <w:pPr>
        <w:pStyle w:val="10"/>
        <w:ind w:left="680" w:firstLine="680"/>
        <w:rPr>
          <w:bCs/>
        </w:rPr>
      </w:pPr>
      <w:r>
        <w:rPr>
          <w:rFonts w:hint="eastAsia"/>
        </w:rPr>
        <w:t>本案緣陳訴人指訴：少年謝○傑在（下稱A少年）於民國（下同）102年因2次詐欺行為，在臺灣桃園地方法院</w:t>
      </w:r>
      <w:r>
        <w:rPr>
          <w:rFonts w:hint="eastAsia"/>
          <w:bCs/>
        </w:rPr>
        <w:t>（下稱桃園地院）</w:t>
      </w:r>
      <w:r>
        <w:rPr>
          <w:rFonts w:hint="eastAsia"/>
        </w:rPr>
        <w:t>審理時，未被少年法庭一併審理，致其中1次行為在102年審理，另1次在</w:t>
      </w:r>
      <w:proofErr w:type="gramStart"/>
      <w:r>
        <w:rPr>
          <w:rFonts w:hint="eastAsia"/>
        </w:rPr>
        <w:t>104年始另案</w:t>
      </w:r>
      <w:proofErr w:type="gramEnd"/>
      <w:r>
        <w:rPr>
          <w:rFonts w:hint="eastAsia"/>
        </w:rPr>
        <w:t>審理，2次行為被執行2次感化教育，重複審理對少年基本人權有重大侵害等語。經本院</w:t>
      </w:r>
      <w:proofErr w:type="gramStart"/>
      <w:r>
        <w:rPr>
          <w:rFonts w:hint="eastAsia"/>
        </w:rPr>
        <w:t>調閱全案</w:t>
      </w:r>
      <w:proofErr w:type="gramEnd"/>
      <w:r>
        <w:rPr>
          <w:rFonts w:hint="eastAsia"/>
        </w:rPr>
        <w:t>卷宗，</w:t>
      </w:r>
      <w:r>
        <w:rPr>
          <w:rFonts w:hint="eastAsia"/>
          <w:bCs/>
        </w:rPr>
        <w:t>函請司法院、內政部警政署、桃園地院、桃園市政府警察局（下稱桃園市警局）等機關提供相關卷證資料，約請司法院少年及家事廳（下稱司法院少家廳）謝靜慧廳長、內政部警政署刑事警察局副局長林炎田、桃園市警局鑑識中心李經緯主任等機關代表到院說明，並詢問桃園地院少年法庭李秋梅法官、張淑芬法官、承辦本案之楊秀卿少年調查官、輪值到庭之方曉晴少年保護官及桃園市警局蘆竹分局員警，已調查完畢。</w:t>
      </w:r>
      <w:r w:rsidRPr="00F02648">
        <w:rPr>
          <w:rFonts w:hint="eastAsia"/>
          <w:bCs/>
        </w:rPr>
        <w:t>本案調查</w:t>
      </w:r>
      <w:proofErr w:type="gramStart"/>
      <w:r w:rsidRPr="00F02648">
        <w:rPr>
          <w:rFonts w:hint="eastAsia"/>
          <w:bCs/>
        </w:rPr>
        <w:t>期間，</w:t>
      </w:r>
      <w:proofErr w:type="gramEnd"/>
      <w:r>
        <w:rPr>
          <w:rFonts w:hint="eastAsia"/>
          <w:bCs/>
        </w:rPr>
        <w:t>針對缺失</w:t>
      </w:r>
      <w:r w:rsidRPr="00F02648">
        <w:rPr>
          <w:rFonts w:hint="eastAsia"/>
          <w:bCs/>
        </w:rPr>
        <w:t>司法院</w:t>
      </w:r>
      <w:r>
        <w:rPr>
          <w:rFonts w:hint="eastAsia"/>
          <w:bCs/>
        </w:rPr>
        <w:t>雖</w:t>
      </w:r>
      <w:r w:rsidRPr="00F02648">
        <w:rPr>
          <w:rFonts w:hint="eastAsia"/>
          <w:bCs/>
        </w:rPr>
        <w:t>已虛心</w:t>
      </w:r>
      <w:r>
        <w:rPr>
          <w:rFonts w:hint="eastAsia"/>
          <w:bCs/>
        </w:rPr>
        <w:t>並積極</w:t>
      </w:r>
      <w:r w:rsidRPr="00F02648">
        <w:rPr>
          <w:rFonts w:hint="eastAsia"/>
          <w:bCs/>
        </w:rPr>
        <w:t>進行檢討</w:t>
      </w:r>
      <w:r>
        <w:rPr>
          <w:rFonts w:hint="eastAsia"/>
          <w:bCs/>
        </w:rPr>
        <w:t>，但能否持續修正後之作為及未來如何達到兒童權利公約揭</w:t>
      </w:r>
      <w:proofErr w:type="gramStart"/>
      <w:r>
        <w:rPr>
          <w:rFonts w:hint="eastAsia"/>
          <w:bCs/>
        </w:rPr>
        <w:t>櫫</w:t>
      </w:r>
      <w:proofErr w:type="gramEnd"/>
      <w:r>
        <w:rPr>
          <w:rFonts w:hint="eastAsia"/>
          <w:bCs/>
        </w:rPr>
        <w:t>的國際標準，仍有賴相關人員本於權責，共同遵守法令規章，致力於協助非行少年回歸正途</w:t>
      </w:r>
      <w:r w:rsidRPr="00F02648">
        <w:rPr>
          <w:rFonts w:hint="eastAsia"/>
          <w:bCs/>
        </w:rPr>
        <w:t>。</w:t>
      </w:r>
      <w:r>
        <w:rPr>
          <w:rFonts w:hint="eastAsia"/>
          <w:bCs/>
        </w:rPr>
        <w:t>茲</w:t>
      </w:r>
      <w:proofErr w:type="gramStart"/>
      <w:r>
        <w:rPr>
          <w:rFonts w:hint="eastAsia"/>
          <w:bCs/>
        </w:rPr>
        <w:t>臚</w:t>
      </w:r>
      <w:proofErr w:type="gramEnd"/>
      <w:r>
        <w:rPr>
          <w:rFonts w:hint="eastAsia"/>
          <w:bCs/>
        </w:rPr>
        <w:t>列調查意見如下：</w:t>
      </w:r>
    </w:p>
    <w:p w:rsidR="007233A3" w:rsidRPr="001C4D56" w:rsidRDefault="0094652E" w:rsidP="009F7E5A">
      <w:pPr>
        <w:pStyle w:val="2"/>
      </w:pPr>
      <w:bookmarkStart w:id="56" w:name="_Toc535915333"/>
      <w:r w:rsidRPr="009F7E5A">
        <w:rPr>
          <w:rFonts w:hint="eastAsia"/>
          <w:b/>
        </w:rPr>
        <w:t>A少年加入詐騙集團擔任取款車手，分別於102年9月17日及30日向不同被害人取款，共行騙2次。其第2次在苗栗縣頭份鎮行騙時被警方以現行犯逮捕，桃園地院以</w:t>
      </w:r>
      <w:proofErr w:type="gramStart"/>
      <w:r w:rsidRPr="009F7E5A">
        <w:rPr>
          <w:rFonts w:hint="eastAsia"/>
          <w:b/>
        </w:rPr>
        <w:t>102</w:t>
      </w:r>
      <w:proofErr w:type="gramEnd"/>
      <w:r w:rsidRPr="009F7E5A">
        <w:rPr>
          <w:rFonts w:hint="eastAsia"/>
          <w:b/>
        </w:rPr>
        <w:t>年度</w:t>
      </w:r>
      <w:proofErr w:type="gramStart"/>
      <w:r w:rsidRPr="009F7E5A">
        <w:rPr>
          <w:rFonts w:hint="eastAsia"/>
          <w:b/>
        </w:rPr>
        <w:t>少護字</w:t>
      </w:r>
      <w:proofErr w:type="gramEnd"/>
      <w:r w:rsidRPr="009F7E5A">
        <w:rPr>
          <w:rFonts w:hint="eastAsia"/>
          <w:b/>
        </w:rPr>
        <w:t>第904號保護事件（下稱前事件）調查審理。A少年於警</w:t>
      </w:r>
      <w:proofErr w:type="gramStart"/>
      <w:r w:rsidRPr="009F7E5A">
        <w:rPr>
          <w:rFonts w:hint="eastAsia"/>
          <w:b/>
        </w:rPr>
        <w:t>詢</w:t>
      </w:r>
      <w:proofErr w:type="gramEnd"/>
      <w:r w:rsidRPr="009F7E5A">
        <w:rPr>
          <w:rFonts w:hint="eastAsia"/>
          <w:b/>
        </w:rPr>
        <w:t>及法院審理時，自陳另於桃園</w:t>
      </w:r>
      <w:r w:rsidRPr="009F7E5A">
        <w:rPr>
          <w:rFonts w:hint="eastAsia"/>
          <w:b/>
        </w:rPr>
        <w:lastRenderedPageBreak/>
        <w:t>市蘆竹區以同一手法向不同被害人取款，然少年法庭未立案</w:t>
      </w:r>
      <w:proofErr w:type="gramStart"/>
      <w:r w:rsidRPr="009F7E5A">
        <w:rPr>
          <w:rFonts w:hint="eastAsia"/>
          <w:b/>
        </w:rPr>
        <w:t>併</w:t>
      </w:r>
      <w:proofErr w:type="gramEnd"/>
      <w:r w:rsidRPr="009F7E5A">
        <w:rPr>
          <w:rFonts w:hint="eastAsia"/>
          <w:b/>
        </w:rPr>
        <w:t>辦，亦未令司法警察續行調查，即裁處A少年第1次感化教育，並以宣示筆錄代替裁判書，筆錄內僅記載裁定主文，有欠妥適；</w:t>
      </w:r>
      <w:proofErr w:type="gramStart"/>
      <w:r w:rsidRPr="009F7E5A">
        <w:rPr>
          <w:rFonts w:hint="eastAsia"/>
          <w:b/>
        </w:rPr>
        <w:t>嗣</w:t>
      </w:r>
      <w:proofErr w:type="gramEnd"/>
      <w:r w:rsidRPr="009F7E5A">
        <w:rPr>
          <w:rFonts w:hint="eastAsia"/>
          <w:b/>
        </w:rPr>
        <w:t>警方因舊案指紋比對，發現A少年確在蘆竹涉及詐騙行為，於104年8月將之移送少年法庭。桃園地院以</w:t>
      </w:r>
      <w:proofErr w:type="gramStart"/>
      <w:r w:rsidRPr="009F7E5A">
        <w:rPr>
          <w:rFonts w:hint="eastAsia"/>
          <w:b/>
        </w:rPr>
        <w:t>105</w:t>
      </w:r>
      <w:proofErr w:type="gramEnd"/>
      <w:r w:rsidRPr="009F7E5A">
        <w:rPr>
          <w:rFonts w:hint="eastAsia"/>
          <w:b/>
        </w:rPr>
        <w:t>年度</w:t>
      </w:r>
      <w:proofErr w:type="gramStart"/>
      <w:r w:rsidRPr="009F7E5A">
        <w:rPr>
          <w:rFonts w:hint="eastAsia"/>
          <w:b/>
        </w:rPr>
        <w:t>少護字</w:t>
      </w:r>
      <w:proofErr w:type="gramEnd"/>
      <w:r w:rsidRPr="009F7E5A">
        <w:rPr>
          <w:rFonts w:hint="eastAsia"/>
          <w:b/>
        </w:rPr>
        <w:t>第30號少年保護事件（後事件）調查審理，少年法庭為引導少年回歸正途，於105年5月4日裁定交付觀察，惟少年在觀察期間未遵守規定，且另涉詐欺案件遭羈押禁見，故於106年1月16日裁處A少年第2次感化教育處分，依法並非無據，且屬法官審酌少年「需保護性」之審判核心事項，自應予尊重。又桃園地院</w:t>
      </w:r>
      <w:proofErr w:type="gramStart"/>
      <w:r w:rsidRPr="009F7E5A">
        <w:rPr>
          <w:rFonts w:hint="eastAsia"/>
          <w:b/>
        </w:rPr>
        <w:t>105</w:t>
      </w:r>
      <w:proofErr w:type="gramEnd"/>
      <w:r w:rsidRPr="009F7E5A">
        <w:rPr>
          <w:rFonts w:hint="eastAsia"/>
          <w:b/>
        </w:rPr>
        <w:t>年度</w:t>
      </w:r>
      <w:proofErr w:type="gramStart"/>
      <w:r w:rsidRPr="009F7E5A">
        <w:rPr>
          <w:rFonts w:hint="eastAsia"/>
          <w:b/>
        </w:rPr>
        <w:t>聲免字</w:t>
      </w:r>
      <w:proofErr w:type="gramEnd"/>
      <w:r w:rsidRPr="009F7E5A">
        <w:rPr>
          <w:rFonts w:hint="eastAsia"/>
          <w:b/>
        </w:rPr>
        <w:t>第105號裁定與該院</w:t>
      </w:r>
      <w:proofErr w:type="gramStart"/>
      <w:r w:rsidRPr="009F7E5A">
        <w:rPr>
          <w:rFonts w:hint="eastAsia"/>
          <w:b/>
        </w:rPr>
        <w:t>105</w:t>
      </w:r>
      <w:proofErr w:type="gramEnd"/>
      <w:r w:rsidRPr="009F7E5A">
        <w:rPr>
          <w:rFonts w:hint="eastAsia"/>
          <w:b/>
        </w:rPr>
        <w:t>年度</w:t>
      </w:r>
      <w:proofErr w:type="gramStart"/>
      <w:r w:rsidRPr="009F7E5A">
        <w:rPr>
          <w:rFonts w:hint="eastAsia"/>
          <w:b/>
        </w:rPr>
        <w:t>少護字</w:t>
      </w:r>
      <w:proofErr w:type="gramEnd"/>
      <w:r w:rsidRPr="009F7E5A">
        <w:rPr>
          <w:rFonts w:hint="eastAsia"/>
          <w:b/>
        </w:rPr>
        <w:t>第30號裁定，對A少年有無再受感化教育之必要</w:t>
      </w:r>
      <w:r w:rsidR="00556220" w:rsidRPr="009F7E5A">
        <w:rPr>
          <w:rFonts w:hint="eastAsia"/>
          <w:b/>
        </w:rPr>
        <w:t>，</w:t>
      </w:r>
      <w:r w:rsidRPr="009F7E5A">
        <w:rPr>
          <w:rFonts w:hint="eastAsia"/>
          <w:b/>
        </w:rPr>
        <w:t>認定雖有</w:t>
      </w:r>
      <w:r w:rsidR="00144714" w:rsidRPr="009F7E5A">
        <w:rPr>
          <w:rFonts w:hint="eastAsia"/>
          <w:b/>
        </w:rPr>
        <w:t>歧異</w:t>
      </w:r>
      <w:r w:rsidRPr="009F7E5A">
        <w:rPr>
          <w:rFonts w:hint="eastAsia"/>
          <w:b/>
        </w:rPr>
        <w:t>，但後</w:t>
      </w:r>
      <w:proofErr w:type="gramStart"/>
      <w:r w:rsidRPr="009F7E5A">
        <w:rPr>
          <w:rFonts w:hint="eastAsia"/>
          <w:b/>
        </w:rPr>
        <w:t>事件除審酌</w:t>
      </w:r>
      <w:proofErr w:type="gramEnd"/>
      <w:r w:rsidRPr="009F7E5A">
        <w:rPr>
          <w:rFonts w:hint="eastAsia"/>
          <w:b/>
        </w:rPr>
        <w:t>立案事實外，另以少年免除感化教育後仍有行為</w:t>
      </w:r>
      <w:proofErr w:type="gramStart"/>
      <w:r w:rsidRPr="009F7E5A">
        <w:rPr>
          <w:rFonts w:hint="eastAsia"/>
          <w:b/>
        </w:rPr>
        <w:t>不</w:t>
      </w:r>
      <w:proofErr w:type="gramEnd"/>
      <w:r w:rsidRPr="009F7E5A">
        <w:rPr>
          <w:rFonts w:hint="eastAsia"/>
          <w:b/>
        </w:rPr>
        <w:t>檢及遭羈押等事由作為審酌依據，尚無矛盾之處。</w:t>
      </w:r>
      <w:bookmarkEnd w:id="56"/>
      <w:r w:rsidR="009F7E5A">
        <w:rPr>
          <w:rFonts w:hint="eastAsia"/>
          <w:b/>
        </w:rPr>
        <w:t>惟</w:t>
      </w:r>
      <w:r w:rsidR="009F7E5A" w:rsidRPr="009F7E5A">
        <w:rPr>
          <w:rFonts w:hint="eastAsia"/>
          <w:b/>
        </w:rPr>
        <w:t>本件</w:t>
      </w:r>
      <w:proofErr w:type="gramStart"/>
      <w:r w:rsidR="009F7E5A" w:rsidRPr="009F7E5A">
        <w:rPr>
          <w:rFonts w:hint="eastAsia"/>
          <w:b/>
        </w:rPr>
        <w:t>凸</w:t>
      </w:r>
      <w:proofErr w:type="gramEnd"/>
      <w:r w:rsidR="009F7E5A" w:rsidRPr="009F7E5A">
        <w:rPr>
          <w:rFonts w:hint="eastAsia"/>
          <w:b/>
        </w:rPr>
        <w:t>顯少事法及審理細則對於少年「需保護性」的內涵定義不足，且少事法的修法進度過於</w:t>
      </w:r>
      <w:proofErr w:type="gramStart"/>
      <w:r w:rsidR="009F7E5A" w:rsidRPr="009F7E5A">
        <w:rPr>
          <w:rFonts w:hint="eastAsia"/>
          <w:b/>
        </w:rPr>
        <w:t>遲滯，</w:t>
      </w:r>
      <w:proofErr w:type="gramEnd"/>
      <w:r w:rsidR="009F7E5A" w:rsidRPr="009F7E5A">
        <w:rPr>
          <w:rFonts w:hint="eastAsia"/>
          <w:b/>
        </w:rPr>
        <w:t>為落實正當法律程序及人權保障的基本要求，司法</w:t>
      </w:r>
      <w:proofErr w:type="gramStart"/>
      <w:r w:rsidR="009F7E5A" w:rsidRPr="009F7E5A">
        <w:rPr>
          <w:rFonts w:hint="eastAsia"/>
          <w:b/>
        </w:rPr>
        <w:t>院宜深入研</w:t>
      </w:r>
      <w:proofErr w:type="gramEnd"/>
      <w:r w:rsidR="009F7E5A" w:rsidRPr="009F7E5A">
        <w:rPr>
          <w:rFonts w:hint="eastAsia"/>
          <w:b/>
        </w:rPr>
        <w:t>議並儘速推動修法。</w:t>
      </w:r>
    </w:p>
    <w:p w:rsidR="00F775A5" w:rsidRPr="00230D77" w:rsidRDefault="00F775A5" w:rsidP="00F775A5">
      <w:pPr>
        <w:pStyle w:val="3"/>
        <w:numPr>
          <w:ilvl w:val="2"/>
          <w:numId w:val="1"/>
        </w:numPr>
        <w:kinsoku w:val="0"/>
        <w:overflowPunct/>
        <w:autoSpaceDE/>
        <w:autoSpaceDN/>
        <w:ind w:left="1360" w:hanging="680"/>
        <w:rPr>
          <w:b/>
        </w:rPr>
      </w:pPr>
      <w:r w:rsidRPr="00230D77">
        <w:rPr>
          <w:rFonts w:hint="eastAsia"/>
          <w:b/>
        </w:rPr>
        <w:t>本件案例事實：</w:t>
      </w:r>
    </w:p>
    <w:p w:rsidR="00F775A5" w:rsidRDefault="005D1FA4" w:rsidP="00903D41">
      <w:pPr>
        <w:pStyle w:val="4"/>
      </w:pPr>
      <w:r>
        <w:rPr>
          <w:rFonts w:hint="eastAsia"/>
        </w:rPr>
        <w:t>A少年</w:t>
      </w:r>
      <w:r w:rsidR="00F775A5">
        <w:rPr>
          <w:rFonts w:hint="eastAsia"/>
        </w:rPr>
        <w:t>係</w:t>
      </w:r>
      <w:r w:rsidR="00F775A5" w:rsidRPr="00C52FF1">
        <w:rPr>
          <w:rFonts w:hint="eastAsia"/>
        </w:rPr>
        <w:t>87</w:t>
      </w:r>
      <w:r w:rsidR="00F775A5">
        <w:rPr>
          <w:rFonts w:hint="eastAsia"/>
        </w:rPr>
        <w:t>年</w:t>
      </w:r>
      <w:r w:rsidR="00DA6CCA">
        <w:rPr>
          <w:rFonts w:hint="eastAsia"/>
        </w:rPr>
        <w:t>5月3日</w:t>
      </w:r>
      <w:r w:rsidR="00F775A5" w:rsidRPr="00C52FF1">
        <w:rPr>
          <w:rFonts w:hint="eastAsia"/>
        </w:rPr>
        <w:t>生</w:t>
      </w:r>
      <w:r w:rsidR="00F775A5">
        <w:rPr>
          <w:rFonts w:hint="eastAsia"/>
        </w:rPr>
        <w:t>，曾因涉嫌竊盜及吸食迷幻藥物，經</w:t>
      </w:r>
      <w:r w:rsidR="00F775A5" w:rsidRPr="004D6578">
        <w:rPr>
          <w:rFonts w:hint="eastAsia"/>
        </w:rPr>
        <w:t>桃園地院</w:t>
      </w:r>
      <w:r w:rsidR="00F775A5">
        <w:rPr>
          <w:rFonts w:hint="eastAsia"/>
        </w:rPr>
        <w:t>少年法庭裁定交付保護管束及感化教育。其</w:t>
      </w:r>
      <w:r w:rsidR="00F775A5" w:rsidRPr="004D6578">
        <w:rPr>
          <w:rFonts w:hint="eastAsia"/>
        </w:rPr>
        <w:t>於102年8月感化教育結束返家後，旋遭詐騙集團吸收</w:t>
      </w:r>
      <w:r w:rsidR="00281CB8">
        <w:rPr>
          <w:rFonts w:hint="eastAsia"/>
        </w:rPr>
        <w:t>，受</w:t>
      </w:r>
      <w:r w:rsidR="00FF3F3B">
        <w:rPr>
          <w:rFonts w:hint="eastAsia"/>
        </w:rPr>
        <w:t>溫○○</w:t>
      </w:r>
      <w:r w:rsidR="00281CB8">
        <w:rPr>
          <w:rFonts w:hint="eastAsia"/>
        </w:rPr>
        <w:t>等成年共犯之指揮，</w:t>
      </w:r>
      <w:r w:rsidR="001747A8">
        <w:rPr>
          <w:rFonts w:hint="eastAsia"/>
        </w:rPr>
        <w:t>在該集團派員</w:t>
      </w:r>
      <w:r w:rsidR="00281CB8">
        <w:rPr>
          <w:rFonts w:hint="eastAsia"/>
        </w:rPr>
        <w:t>取款時</w:t>
      </w:r>
      <w:r w:rsidR="001747A8">
        <w:rPr>
          <w:rFonts w:hint="eastAsia"/>
        </w:rPr>
        <w:t>，</w:t>
      </w:r>
      <w:r w:rsidR="00281CB8">
        <w:rPr>
          <w:rFonts w:hint="eastAsia"/>
        </w:rPr>
        <w:t>分擔把風工作</w:t>
      </w:r>
      <w:r w:rsidR="00F775A5">
        <w:rPr>
          <w:rStyle w:val="aff"/>
        </w:rPr>
        <w:footnoteReference w:id="2"/>
      </w:r>
      <w:r w:rsidR="00281CB8">
        <w:rPr>
          <w:rFonts w:hint="eastAsia"/>
        </w:rPr>
        <w:t>。</w:t>
      </w:r>
      <w:r w:rsidR="00F775A5">
        <w:rPr>
          <w:rFonts w:hint="eastAsia"/>
        </w:rPr>
        <w:t>於</w:t>
      </w:r>
      <w:r w:rsidR="00F775A5">
        <w:rPr>
          <w:rFonts w:hint="eastAsia"/>
        </w:rPr>
        <w:lastRenderedPageBreak/>
        <w:t>102年9月17日</w:t>
      </w:r>
      <w:r w:rsidR="00281CB8" w:rsidRPr="003A70F1">
        <w:rPr>
          <w:rFonts w:hint="eastAsia"/>
        </w:rPr>
        <w:t>夥同</w:t>
      </w:r>
      <w:r w:rsidR="00281CB8">
        <w:rPr>
          <w:rFonts w:hint="eastAsia"/>
        </w:rPr>
        <w:t>成年</w:t>
      </w:r>
      <w:r w:rsidR="00281CB8" w:rsidRPr="003A70F1">
        <w:rPr>
          <w:rFonts w:hint="eastAsia"/>
        </w:rPr>
        <w:t>共犯</w:t>
      </w:r>
      <w:proofErr w:type="gramStart"/>
      <w:r w:rsidR="00FF3F3B">
        <w:rPr>
          <w:rFonts w:hint="eastAsia"/>
        </w:rPr>
        <w:t>鍾</w:t>
      </w:r>
      <w:proofErr w:type="gramEnd"/>
      <w:r w:rsidR="00FF3F3B">
        <w:rPr>
          <w:rFonts w:hint="eastAsia"/>
        </w:rPr>
        <w:t>○○</w:t>
      </w:r>
      <w:r w:rsidR="00F775A5" w:rsidRPr="003A70F1">
        <w:rPr>
          <w:rFonts w:hint="eastAsia"/>
        </w:rPr>
        <w:t>在桃園市</w:t>
      </w:r>
      <w:r w:rsidR="00D311C5">
        <w:rPr>
          <w:rFonts w:hint="eastAsia"/>
        </w:rPr>
        <w:t>蘆</w:t>
      </w:r>
      <w:r w:rsidR="00F775A5" w:rsidRPr="003A70F1">
        <w:rPr>
          <w:rFonts w:hint="eastAsia"/>
        </w:rPr>
        <w:t>竹</w:t>
      </w:r>
      <w:proofErr w:type="gramStart"/>
      <w:r w:rsidR="00F775A5" w:rsidRPr="003A70F1">
        <w:rPr>
          <w:rFonts w:hint="eastAsia"/>
        </w:rPr>
        <w:t>區南順</w:t>
      </w:r>
      <w:proofErr w:type="gramEnd"/>
      <w:r w:rsidR="00F775A5" w:rsidRPr="003A70F1">
        <w:rPr>
          <w:rFonts w:hint="eastAsia"/>
        </w:rPr>
        <w:t>二公園向被害人</w:t>
      </w:r>
      <w:r w:rsidR="00FF3F3B">
        <w:rPr>
          <w:rFonts w:hint="eastAsia"/>
        </w:rPr>
        <w:t>唐○○</w:t>
      </w:r>
      <w:r w:rsidR="00F775A5" w:rsidRPr="003A70F1">
        <w:rPr>
          <w:rFonts w:hint="eastAsia"/>
        </w:rPr>
        <w:t>取款</w:t>
      </w:r>
      <w:r w:rsidR="00F775A5">
        <w:rPr>
          <w:rFonts w:hint="eastAsia"/>
        </w:rPr>
        <w:t>48萬元；同年9月30日</w:t>
      </w:r>
      <w:r>
        <w:rPr>
          <w:rFonts w:hint="eastAsia"/>
        </w:rPr>
        <w:t>A少年</w:t>
      </w:r>
      <w:r w:rsidR="00F775A5">
        <w:rPr>
          <w:rFonts w:hint="eastAsia"/>
        </w:rPr>
        <w:t>及</w:t>
      </w:r>
      <w:proofErr w:type="gramStart"/>
      <w:r w:rsidR="00F775A5">
        <w:rPr>
          <w:rFonts w:hint="eastAsia"/>
        </w:rPr>
        <w:t>鍾</w:t>
      </w:r>
      <w:proofErr w:type="gramEnd"/>
      <w:r w:rsidR="00F775A5">
        <w:rPr>
          <w:rFonts w:hint="eastAsia"/>
        </w:rPr>
        <w:t>姓共犯再以同一手法，</w:t>
      </w:r>
      <w:r w:rsidR="00F775A5" w:rsidRPr="003A70F1">
        <w:rPr>
          <w:rFonts w:hint="eastAsia"/>
        </w:rPr>
        <w:t>在苗栗縣頭份鎮向被害人</w:t>
      </w:r>
      <w:proofErr w:type="gramStart"/>
      <w:r w:rsidR="00F775A5" w:rsidRPr="003A70F1">
        <w:rPr>
          <w:rFonts w:hint="eastAsia"/>
        </w:rPr>
        <w:t>鍾</w:t>
      </w:r>
      <w:proofErr w:type="gramEnd"/>
      <w:r w:rsidR="00FF3F3B">
        <w:rPr>
          <w:rFonts w:hint="eastAsia"/>
        </w:rPr>
        <w:t>張○○</w:t>
      </w:r>
      <w:r w:rsidR="00F775A5" w:rsidRPr="003A70F1">
        <w:rPr>
          <w:rFonts w:hint="eastAsia"/>
        </w:rPr>
        <w:t>取款</w:t>
      </w:r>
      <w:r w:rsidR="00F775A5">
        <w:rPr>
          <w:rFonts w:hint="eastAsia"/>
        </w:rPr>
        <w:t>得手後</w:t>
      </w:r>
      <w:r w:rsidR="00F775A5" w:rsidRPr="003A70F1">
        <w:rPr>
          <w:rFonts w:hint="eastAsia"/>
        </w:rPr>
        <w:t>，被警方當場查獲。</w:t>
      </w:r>
    </w:p>
    <w:p w:rsidR="00F775A5" w:rsidRDefault="005D1FA4" w:rsidP="00903D41">
      <w:pPr>
        <w:pStyle w:val="4"/>
      </w:pPr>
      <w:r>
        <w:rPr>
          <w:rFonts w:hint="eastAsia"/>
        </w:rPr>
        <w:t>A少年</w:t>
      </w:r>
      <w:r w:rsidR="00F775A5" w:rsidRPr="004D6578">
        <w:rPr>
          <w:rFonts w:hint="eastAsia"/>
        </w:rPr>
        <w:t>在警方詢問</w:t>
      </w:r>
      <w:r w:rsidR="00F775A5">
        <w:rPr>
          <w:rFonts w:hint="eastAsia"/>
        </w:rPr>
        <w:t>時</w:t>
      </w:r>
      <w:r w:rsidR="00F775A5" w:rsidRPr="004D6578">
        <w:rPr>
          <w:rFonts w:hint="eastAsia"/>
        </w:rPr>
        <w:t>，自</w:t>
      </w:r>
      <w:r w:rsidR="0078338C">
        <w:rPr>
          <w:rFonts w:hint="eastAsia"/>
        </w:rPr>
        <w:t>陳</w:t>
      </w:r>
      <w:r w:rsidR="00F20552">
        <w:rPr>
          <w:rFonts w:hint="eastAsia"/>
        </w:rPr>
        <w:t>受該詐</w:t>
      </w:r>
      <w:r w:rsidR="00D85DEB">
        <w:rPr>
          <w:rFonts w:hint="eastAsia"/>
        </w:rPr>
        <w:t>騙集團指揮，</w:t>
      </w:r>
      <w:r w:rsidR="00F775A5" w:rsidRPr="004D6578">
        <w:rPr>
          <w:rFonts w:hint="eastAsia"/>
        </w:rPr>
        <w:t>在桃園市蘆竹區</w:t>
      </w:r>
      <w:r w:rsidR="00F775A5">
        <w:rPr>
          <w:rFonts w:hint="eastAsia"/>
        </w:rPr>
        <w:t>另</w:t>
      </w:r>
      <w:r w:rsidR="00F775A5" w:rsidRPr="004D6578">
        <w:rPr>
          <w:rFonts w:hint="eastAsia"/>
        </w:rPr>
        <w:t>行騙1次，</w:t>
      </w:r>
      <w:r w:rsidR="00F775A5">
        <w:rPr>
          <w:rFonts w:hint="eastAsia"/>
        </w:rPr>
        <w:t>然警方偵辦時因被害人</w:t>
      </w:r>
      <w:r w:rsidR="00CA7D42">
        <w:rPr>
          <w:rFonts w:hint="eastAsia"/>
        </w:rPr>
        <w:t>尚未報案</w:t>
      </w:r>
      <w:r w:rsidR="00F775A5">
        <w:rPr>
          <w:rFonts w:hint="eastAsia"/>
        </w:rPr>
        <w:t>，亦乏其他事證可資證明，故</w:t>
      </w:r>
      <w:r w:rsidR="005145E3">
        <w:rPr>
          <w:rFonts w:hint="eastAsia"/>
        </w:rPr>
        <w:t>於102年10月1日</w:t>
      </w:r>
      <w:r w:rsidR="00F775A5">
        <w:rPr>
          <w:rFonts w:hint="eastAsia"/>
        </w:rPr>
        <w:t>將</w:t>
      </w:r>
      <w:r>
        <w:rPr>
          <w:rFonts w:hint="eastAsia"/>
        </w:rPr>
        <w:t>A少年</w:t>
      </w:r>
      <w:r w:rsidR="00F775A5">
        <w:rPr>
          <w:rFonts w:hint="eastAsia"/>
        </w:rPr>
        <w:t>詐騙</w:t>
      </w:r>
      <w:proofErr w:type="gramStart"/>
      <w:r w:rsidR="00F775A5">
        <w:rPr>
          <w:rFonts w:hint="eastAsia"/>
        </w:rPr>
        <w:t>鍾</w:t>
      </w:r>
      <w:proofErr w:type="gramEnd"/>
      <w:r w:rsidR="00FF3F3B">
        <w:rPr>
          <w:rFonts w:hint="eastAsia"/>
        </w:rPr>
        <w:t>張○○</w:t>
      </w:r>
      <w:r w:rsidR="00F775A5">
        <w:rPr>
          <w:rFonts w:hint="eastAsia"/>
        </w:rPr>
        <w:t>部分</w:t>
      </w:r>
      <w:r w:rsidR="00F775A5" w:rsidRPr="004D6578">
        <w:rPr>
          <w:rFonts w:hint="eastAsia"/>
        </w:rPr>
        <w:t>移送</w:t>
      </w:r>
      <w:r w:rsidR="00F775A5">
        <w:rPr>
          <w:rFonts w:hint="eastAsia"/>
        </w:rPr>
        <w:t>桃園地院</w:t>
      </w:r>
      <w:r w:rsidR="00F775A5" w:rsidRPr="004D6578">
        <w:rPr>
          <w:rFonts w:hint="eastAsia"/>
        </w:rPr>
        <w:t>少年法庭</w:t>
      </w:r>
      <w:r w:rsidR="00F775A5">
        <w:rPr>
          <w:rFonts w:hint="eastAsia"/>
        </w:rPr>
        <w:t>調查</w:t>
      </w:r>
      <w:r w:rsidR="00F775A5" w:rsidRPr="004D6578">
        <w:rPr>
          <w:rFonts w:hint="eastAsia"/>
        </w:rPr>
        <w:t>審理</w:t>
      </w:r>
      <w:r w:rsidR="00F775A5">
        <w:rPr>
          <w:rFonts w:hint="eastAsia"/>
        </w:rPr>
        <w:t>，經該院分</w:t>
      </w:r>
      <w:proofErr w:type="gramStart"/>
      <w:r w:rsidR="00F775A5" w:rsidRPr="0060611E">
        <w:rPr>
          <w:rFonts w:hint="eastAsia"/>
        </w:rPr>
        <w:t>102</w:t>
      </w:r>
      <w:proofErr w:type="gramEnd"/>
      <w:r w:rsidR="00F775A5" w:rsidRPr="0060611E">
        <w:rPr>
          <w:rFonts w:hint="eastAsia"/>
        </w:rPr>
        <w:t>年度</w:t>
      </w:r>
      <w:proofErr w:type="gramStart"/>
      <w:r w:rsidR="00F775A5" w:rsidRPr="0060611E">
        <w:rPr>
          <w:rFonts w:hint="eastAsia"/>
        </w:rPr>
        <w:t>少護字</w:t>
      </w:r>
      <w:proofErr w:type="gramEnd"/>
      <w:r w:rsidR="00F775A5" w:rsidRPr="0060611E">
        <w:rPr>
          <w:rFonts w:hint="eastAsia"/>
        </w:rPr>
        <w:t>第904號</w:t>
      </w:r>
      <w:r w:rsidR="00F775A5">
        <w:rPr>
          <w:rFonts w:hint="eastAsia"/>
        </w:rPr>
        <w:t>少年保護事件調查審理，</w:t>
      </w:r>
      <w:r>
        <w:rPr>
          <w:rFonts w:hint="eastAsia"/>
        </w:rPr>
        <w:t>A少年</w:t>
      </w:r>
      <w:r w:rsidR="00F775A5">
        <w:rPr>
          <w:rFonts w:hint="eastAsia"/>
        </w:rPr>
        <w:t>於法官審理時雖亦為相同之自白，然少年調查官未</w:t>
      </w:r>
      <w:r w:rsidR="005145E3">
        <w:rPr>
          <w:rFonts w:hint="eastAsia"/>
        </w:rPr>
        <w:t>向法院報告，據以</w:t>
      </w:r>
      <w:r w:rsidR="00F775A5">
        <w:rPr>
          <w:rFonts w:hint="eastAsia"/>
        </w:rPr>
        <w:t>另行立案調查，法官</w:t>
      </w:r>
      <w:r w:rsidR="00281CB8">
        <w:rPr>
          <w:rFonts w:hint="eastAsia"/>
        </w:rPr>
        <w:t>亦未針對蘆竹部分調查審理，</w:t>
      </w:r>
      <w:r w:rsidR="005145E3">
        <w:rPr>
          <w:rFonts w:hint="eastAsia"/>
        </w:rPr>
        <w:t>即</w:t>
      </w:r>
      <w:r w:rsidR="00F775A5">
        <w:rPr>
          <w:rFonts w:hint="eastAsia"/>
        </w:rPr>
        <w:t>以宣示筆錄代替製作裁定書，裁定</w:t>
      </w:r>
      <w:proofErr w:type="spellStart"/>
      <w:r>
        <w:rPr>
          <w:rFonts w:hint="eastAsia"/>
        </w:rPr>
        <w:t>A</w:t>
      </w:r>
      <w:proofErr w:type="spellEnd"/>
      <w:r>
        <w:rPr>
          <w:rFonts w:hint="eastAsia"/>
        </w:rPr>
        <w:t>少年</w:t>
      </w:r>
      <w:r w:rsidR="00F775A5">
        <w:rPr>
          <w:rFonts w:hint="eastAsia"/>
        </w:rPr>
        <w:t>交付第2次感化教育處分</w:t>
      </w:r>
      <w:r w:rsidR="00F775A5" w:rsidRPr="004D6578">
        <w:rPr>
          <w:rFonts w:hint="eastAsia"/>
        </w:rPr>
        <w:t>。</w:t>
      </w:r>
    </w:p>
    <w:p w:rsidR="00F775A5" w:rsidRDefault="00D85DEB" w:rsidP="00911327">
      <w:pPr>
        <w:pStyle w:val="4"/>
      </w:pPr>
      <w:r>
        <w:rPr>
          <w:rFonts w:hint="eastAsia"/>
        </w:rPr>
        <w:t>102年10月2日新北市政府警察局</w:t>
      </w:r>
      <w:r w:rsidRPr="00D85DEB">
        <w:rPr>
          <w:rFonts w:hint="eastAsia"/>
        </w:rPr>
        <w:t>三重警分局循線</w:t>
      </w:r>
      <w:r w:rsidR="00911327">
        <w:rPr>
          <w:rFonts w:hint="eastAsia"/>
        </w:rPr>
        <w:t>緝獲</w:t>
      </w:r>
      <w:r w:rsidR="00911327" w:rsidRPr="00D85DEB">
        <w:rPr>
          <w:rFonts w:hint="eastAsia"/>
        </w:rPr>
        <w:t>同一詐騙</w:t>
      </w:r>
      <w:r w:rsidRPr="00D85DEB">
        <w:rPr>
          <w:rFonts w:hint="eastAsia"/>
        </w:rPr>
        <w:t>集團</w:t>
      </w:r>
      <w:r w:rsidR="00911327">
        <w:rPr>
          <w:rFonts w:hint="eastAsia"/>
        </w:rPr>
        <w:t>之</w:t>
      </w:r>
      <w:r w:rsidRPr="00D85DEB">
        <w:rPr>
          <w:rFonts w:hint="eastAsia"/>
        </w:rPr>
        <w:t>重要成員</w:t>
      </w:r>
      <w:r w:rsidR="00FF3F3B">
        <w:rPr>
          <w:rFonts w:hint="eastAsia"/>
        </w:rPr>
        <w:t>溫○○</w:t>
      </w:r>
      <w:r w:rsidR="00911327">
        <w:rPr>
          <w:rFonts w:hint="eastAsia"/>
        </w:rPr>
        <w:t>等人，103年1月20日檢察官將</w:t>
      </w:r>
      <w:r w:rsidR="00FF3F3B">
        <w:rPr>
          <w:rFonts w:hint="eastAsia"/>
        </w:rPr>
        <w:t>溫○○</w:t>
      </w:r>
      <w:r w:rsidR="00911327" w:rsidRPr="00911327">
        <w:rPr>
          <w:rFonts w:hint="eastAsia"/>
        </w:rPr>
        <w:t>等</w:t>
      </w:r>
      <w:r w:rsidR="00911327">
        <w:rPr>
          <w:rFonts w:hint="eastAsia"/>
        </w:rPr>
        <w:t>成年共犯以</w:t>
      </w:r>
      <w:r w:rsidR="00911327" w:rsidRPr="00911327">
        <w:rPr>
          <w:rFonts w:hint="eastAsia"/>
        </w:rPr>
        <w:t>詐欺罪</w:t>
      </w:r>
      <w:r w:rsidR="00911327">
        <w:rPr>
          <w:rFonts w:hint="eastAsia"/>
        </w:rPr>
        <w:t>嫌</w:t>
      </w:r>
      <w:r w:rsidR="00911327" w:rsidRPr="00911327">
        <w:rPr>
          <w:rFonts w:hint="eastAsia"/>
        </w:rPr>
        <w:t>提起公訴，</w:t>
      </w:r>
      <w:r w:rsidR="00911327">
        <w:rPr>
          <w:rFonts w:hint="eastAsia"/>
        </w:rPr>
        <w:t>103年9月1日</w:t>
      </w:r>
      <w:r w:rsidR="00F775A5">
        <w:rPr>
          <w:rFonts w:hint="eastAsia"/>
        </w:rPr>
        <w:t>桃園地院刑事庭</w:t>
      </w:r>
      <w:r w:rsidR="00911327">
        <w:rPr>
          <w:rFonts w:hint="eastAsia"/>
        </w:rPr>
        <w:t>分別判處成年共犯</w:t>
      </w:r>
      <w:r w:rsidR="00FF3F3B">
        <w:rPr>
          <w:rFonts w:hint="eastAsia"/>
        </w:rPr>
        <w:t>溫○○</w:t>
      </w:r>
      <w:r w:rsidR="00911327">
        <w:rPr>
          <w:rFonts w:hint="eastAsia"/>
        </w:rPr>
        <w:t>、</w:t>
      </w:r>
      <w:proofErr w:type="gramStart"/>
      <w:r w:rsidR="00FF3F3B">
        <w:rPr>
          <w:rFonts w:hint="eastAsia"/>
        </w:rPr>
        <w:t>鍾</w:t>
      </w:r>
      <w:proofErr w:type="gramEnd"/>
      <w:r w:rsidR="00FF3F3B">
        <w:rPr>
          <w:rFonts w:hint="eastAsia"/>
        </w:rPr>
        <w:t>○○</w:t>
      </w:r>
      <w:r w:rsidR="00911327" w:rsidRPr="00911327">
        <w:rPr>
          <w:rFonts w:hint="eastAsia"/>
        </w:rPr>
        <w:t>有期徒刑4年6月</w:t>
      </w:r>
      <w:r w:rsidR="00F775A5">
        <w:rPr>
          <w:rFonts w:hint="eastAsia"/>
        </w:rPr>
        <w:t>及</w:t>
      </w:r>
      <w:r w:rsidR="00911327">
        <w:rPr>
          <w:rFonts w:hint="eastAsia"/>
        </w:rPr>
        <w:t>3年</w:t>
      </w:r>
      <w:r w:rsidR="00F775A5">
        <w:rPr>
          <w:rFonts w:hint="eastAsia"/>
        </w:rPr>
        <w:t>。</w:t>
      </w:r>
    </w:p>
    <w:p w:rsidR="00F775A5" w:rsidRDefault="00F775A5" w:rsidP="00903D41">
      <w:pPr>
        <w:pStyle w:val="4"/>
      </w:pPr>
      <w:r>
        <w:rPr>
          <w:rFonts w:hint="eastAsia"/>
        </w:rPr>
        <w:t>104年7月警政署進行舊案指紋比對，發現被害人</w:t>
      </w:r>
      <w:r w:rsidR="00FF3F3B">
        <w:rPr>
          <w:rFonts w:hint="eastAsia"/>
        </w:rPr>
        <w:t>唐○○</w:t>
      </w:r>
      <w:r>
        <w:rPr>
          <w:rFonts w:hint="eastAsia"/>
        </w:rPr>
        <w:t>提供之「台北地檢署監管科收據」採獲之指紋與</w:t>
      </w:r>
      <w:r w:rsidR="005D1FA4">
        <w:rPr>
          <w:rFonts w:hint="eastAsia"/>
        </w:rPr>
        <w:t>A少年</w:t>
      </w:r>
      <w:r>
        <w:rPr>
          <w:rFonts w:hint="eastAsia"/>
        </w:rPr>
        <w:t>留存之指紋相符</w:t>
      </w:r>
      <w:r w:rsidR="00281CB8">
        <w:rPr>
          <w:rFonts w:hint="eastAsia"/>
        </w:rPr>
        <w:t>，且該案尚未經移送</w:t>
      </w:r>
      <w:r>
        <w:rPr>
          <w:rFonts w:hint="eastAsia"/>
        </w:rPr>
        <w:t>，</w:t>
      </w:r>
      <w:r w:rsidR="00281CB8">
        <w:rPr>
          <w:rFonts w:hint="eastAsia"/>
        </w:rPr>
        <w:t>故</w:t>
      </w:r>
      <w:r>
        <w:rPr>
          <w:rFonts w:hint="eastAsia"/>
        </w:rPr>
        <w:t>警方偵辦後於104年8月25日將</w:t>
      </w:r>
      <w:r w:rsidR="005D1FA4">
        <w:rPr>
          <w:rFonts w:hint="eastAsia"/>
        </w:rPr>
        <w:t>A少年</w:t>
      </w:r>
      <w:r>
        <w:rPr>
          <w:rFonts w:hint="eastAsia"/>
        </w:rPr>
        <w:t>移送</w:t>
      </w:r>
      <w:r>
        <w:rPr>
          <w:rFonts w:hint="eastAsia"/>
        </w:rPr>
        <w:lastRenderedPageBreak/>
        <w:t>桃園地院少年法庭（</w:t>
      </w:r>
      <w:proofErr w:type="gramStart"/>
      <w:r w:rsidR="002E15DF">
        <w:rPr>
          <w:rFonts w:hint="eastAsia"/>
        </w:rPr>
        <w:t>嗣</w:t>
      </w:r>
      <w:proofErr w:type="gramEnd"/>
      <w:r>
        <w:rPr>
          <w:rFonts w:hint="eastAsia"/>
        </w:rPr>
        <w:t>該院</w:t>
      </w:r>
      <w:r w:rsidR="002E15DF">
        <w:rPr>
          <w:rFonts w:hint="eastAsia"/>
        </w:rPr>
        <w:t>分</w:t>
      </w:r>
      <w:proofErr w:type="gramStart"/>
      <w:r w:rsidRPr="0060611E">
        <w:rPr>
          <w:rFonts w:hint="eastAsia"/>
        </w:rPr>
        <w:t>105</w:t>
      </w:r>
      <w:proofErr w:type="gramEnd"/>
      <w:r w:rsidRPr="0060611E">
        <w:rPr>
          <w:rFonts w:hint="eastAsia"/>
        </w:rPr>
        <w:t>年度少護字第30號</w:t>
      </w:r>
      <w:r>
        <w:rPr>
          <w:rFonts w:hint="eastAsia"/>
        </w:rPr>
        <w:t>少年保護事件</w:t>
      </w:r>
      <w:r w:rsidR="002E15DF">
        <w:rPr>
          <w:rFonts w:hint="eastAsia"/>
        </w:rPr>
        <w:t>進行調查審理</w:t>
      </w:r>
      <w:r>
        <w:rPr>
          <w:rFonts w:hint="eastAsia"/>
        </w:rPr>
        <w:t>）</w:t>
      </w:r>
      <w:r w:rsidR="005145E3">
        <w:rPr>
          <w:rFonts w:hint="eastAsia"/>
        </w:rPr>
        <w:t>，</w:t>
      </w:r>
      <w:r w:rsidR="002E15DF">
        <w:rPr>
          <w:rFonts w:hint="eastAsia"/>
        </w:rPr>
        <w:t>雖</w:t>
      </w:r>
      <w:r w:rsidR="005D1FA4">
        <w:rPr>
          <w:rFonts w:hint="eastAsia"/>
        </w:rPr>
        <w:t>A少年</w:t>
      </w:r>
      <w:r w:rsidR="002E15DF">
        <w:rPr>
          <w:rFonts w:hint="eastAsia"/>
        </w:rPr>
        <w:t>已於105年5月3日年滿18歲，且</w:t>
      </w:r>
      <w:proofErr w:type="gramStart"/>
      <w:r>
        <w:rPr>
          <w:rFonts w:hint="eastAsia"/>
        </w:rPr>
        <w:t>仍在誠正</w:t>
      </w:r>
      <w:proofErr w:type="gramEnd"/>
      <w:r>
        <w:rPr>
          <w:rFonts w:hint="eastAsia"/>
        </w:rPr>
        <w:t>中學施以感化教育，</w:t>
      </w:r>
      <w:r w:rsidR="002E15DF">
        <w:rPr>
          <w:rFonts w:hint="eastAsia"/>
        </w:rPr>
        <w:t>但</w:t>
      </w:r>
      <w:r>
        <w:rPr>
          <w:rFonts w:hint="eastAsia"/>
        </w:rPr>
        <w:t>法官</w:t>
      </w:r>
      <w:r w:rsidR="002E15DF">
        <w:rPr>
          <w:rFonts w:hint="eastAsia"/>
        </w:rPr>
        <w:t>仍</w:t>
      </w:r>
      <w:r>
        <w:rPr>
          <w:rFonts w:hint="eastAsia"/>
        </w:rPr>
        <w:t>於105年5月</w:t>
      </w:r>
      <w:r w:rsidR="002E15DF">
        <w:rPr>
          <w:rFonts w:hint="eastAsia"/>
        </w:rPr>
        <w:t>4日</w:t>
      </w:r>
      <w:r>
        <w:rPr>
          <w:rFonts w:hint="eastAsia"/>
        </w:rPr>
        <w:t>裁定</w:t>
      </w:r>
      <w:r w:rsidR="005D1FA4">
        <w:rPr>
          <w:rFonts w:hint="eastAsia"/>
        </w:rPr>
        <w:t>A少年</w:t>
      </w:r>
      <w:r>
        <w:rPr>
          <w:rFonts w:hint="eastAsia"/>
        </w:rPr>
        <w:t>交付觀察6個月。</w:t>
      </w:r>
    </w:p>
    <w:p w:rsidR="00F775A5" w:rsidRDefault="00F775A5" w:rsidP="00903D41">
      <w:pPr>
        <w:pStyle w:val="4"/>
      </w:pPr>
      <w:r>
        <w:rPr>
          <w:rFonts w:hint="eastAsia"/>
        </w:rPr>
        <w:t>105年8月22日</w:t>
      </w:r>
      <w:r w:rsidR="005D1FA4">
        <w:rPr>
          <w:rFonts w:hint="eastAsia"/>
        </w:rPr>
        <w:t>A少年</w:t>
      </w:r>
      <w:r>
        <w:rPr>
          <w:rFonts w:hint="eastAsia"/>
        </w:rPr>
        <w:t>免除感化教育返家，同年11月30日復因另案涉嫌詐欺，經檢察官聲請羈押獲准，106年1月17日少年法庭</w:t>
      </w:r>
      <w:r w:rsidR="002E15DF">
        <w:rPr>
          <w:rFonts w:hint="eastAsia"/>
        </w:rPr>
        <w:t>即</w:t>
      </w:r>
      <w:r>
        <w:rPr>
          <w:rFonts w:hint="eastAsia"/>
        </w:rPr>
        <w:t>以</w:t>
      </w:r>
      <w:r w:rsidR="005D1FA4">
        <w:rPr>
          <w:rFonts w:hint="eastAsia"/>
        </w:rPr>
        <w:t>A少年</w:t>
      </w:r>
      <w:r>
        <w:rPr>
          <w:rFonts w:hint="eastAsia"/>
        </w:rPr>
        <w:t>曾於102年9月17日詐騙被害人</w:t>
      </w:r>
      <w:r w:rsidR="00FF3F3B">
        <w:rPr>
          <w:rFonts w:hint="eastAsia"/>
        </w:rPr>
        <w:t>唐○○</w:t>
      </w:r>
      <w:r w:rsidR="002E15DF">
        <w:rPr>
          <w:rFonts w:hint="eastAsia"/>
        </w:rPr>
        <w:t>，且交付觀察期間行為</w:t>
      </w:r>
      <w:proofErr w:type="gramStart"/>
      <w:r w:rsidR="002E15DF">
        <w:rPr>
          <w:rFonts w:hint="eastAsia"/>
        </w:rPr>
        <w:t>不</w:t>
      </w:r>
      <w:proofErr w:type="gramEnd"/>
      <w:r w:rsidR="002E15DF">
        <w:rPr>
          <w:rFonts w:hint="eastAsia"/>
        </w:rPr>
        <w:t>檢，</w:t>
      </w:r>
      <w:r w:rsidR="00306A7B">
        <w:rPr>
          <w:rFonts w:hint="eastAsia"/>
        </w:rPr>
        <w:t>另涉詐欺案件遭羈押禁見為由</w:t>
      </w:r>
      <w:r>
        <w:rPr>
          <w:rFonts w:hint="eastAsia"/>
        </w:rPr>
        <w:t>，裁定第3次感化教育。</w:t>
      </w:r>
    </w:p>
    <w:p w:rsidR="00F775A5" w:rsidRDefault="005D1FA4" w:rsidP="00903D41">
      <w:pPr>
        <w:pStyle w:val="4"/>
      </w:pPr>
      <w:r>
        <w:rPr>
          <w:rFonts w:hint="eastAsia"/>
        </w:rPr>
        <w:t>A少年</w:t>
      </w:r>
      <w:r w:rsidR="00F775A5">
        <w:rPr>
          <w:rFonts w:hint="eastAsia"/>
        </w:rPr>
        <w:t>於106年4月入少年輔育院執行。其法定代理人不服，提出抗告及重新審理，並向司法院陳情，</w:t>
      </w:r>
      <w:proofErr w:type="gramStart"/>
      <w:r w:rsidR="00F775A5">
        <w:rPr>
          <w:rFonts w:hint="eastAsia"/>
        </w:rPr>
        <w:t>均被駁回</w:t>
      </w:r>
      <w:proofErr w:type="gramEnd"/>
      <w:r w:rsidR="00F775A5">
        <w:rPr>
          <w:rFonts w:hint="eastAsia"/>
        </w:rPr>
        <w:t>。桃園地院少年法庭於107年2月13日裁定免除</w:t>
      </w:r>
      <w:r>
        <w:rPr>
          <w:rFonts w:hint="eastAsia"/>
        </w:rPr>
        <w:t>A少年</w:t>
      </w:r>
      <w:r w:rsidR="00F775A5">
        <w:rPr>
          <w:rFonts w:hint="eastAsia"/>
        </w:rPr>
        <w:t>感化教育之執行。</w:t>
      </w:r>
    </w:p>
    <w:p w:rsidR="00D42F36" w:rsidRPr="003310D1" w:rsidRDefault="0094652E" w:rsidP="0094652E">
      <w:pPr>
        <w:pStyle w:val="3"/>
        <w:rPr>
          <w:b/>
        </w:rPr>
      </w:pPr>
      <w:r w:rsidRPr="0094652E">
        <w:rPr>
          <w:rFonts w:hint="eastAsia"/>
          <w:b/>
        </w:rPr>
        <w:t>桃園地院少年法庭調查審理</w:t>
      </w:r>
      <w:proofErr w:type="gramStart"/>
      <w:r w:rsidRPr="0094652E">
        <w:rPr>
          <w:rFonts w:hint="eastAsia"/>
          <w:b/>
        </w:rPr>
        <w:t>102</w:t>
      </w:r>
      <w:proofErr w:type="gramEnd"/>
      <w:r w:rsidRPr="0094652E">
        <w:rPr>
          <w:rFonts w:hint="eastAsia"/>
          <w:b/>
        </w:rPr>
        <w:t>年度</w:t>
      </w:r>
      <w:proofErr w:type="gramStart"/>
      <w:r w:rsidRPr="0094652E">
        <w:rPr>
          <w:rFonts w:hint="eastAsia"/>
          <w:b/>
        </w:rPr>
        <w:t>少護字</w:t>
      </w:r>
      <w:proofErr w:type="gramEnd"/>
      <w:r w:rsidRPr="0094652E">
        <w:rPr>
          <w:rFonts w:hint="eastAsia"/>
          <w:b/>
        </w:rPr>
        <w:t>第904號少年保護事件（前事件），未就A少年自陳之觸法事實另行立案</w:t>
      </w:r>
      <w:proofErr w:type="gramStart"/>
      <w:r w:rsidRPr="0094652E">
        <w:rPr>
          <w:rFonts w:hint="eastAsia"/>
          <w:b/>
        </w:rPr>
        <w:t>併</w:t>
      </w:r>
      <w:proofErr w:type="gramEnd"/>
      <w:r w:rsidRPr="0094652E">
        <w:rPr>
          <w:rFonts w:hint="eastAsia"/>
          <w:b/>
        </w:rPr>
        <w:t>辦，難以正確評估</w:t>
      </w:r>
      <w:r w:rsidR="005D1FA4">
        <w:rPr>
          <w:rFonts w:hint="eastAsia"/>
          <w:b/>
        </w:rPr>
        <w:t>A少年</w:t>
      </w:r>
      <w:r w:rsidRPr="0094652E">
        <w:rPr>
          <w:rFonts w:hint="eastAsia"/>
          <w:b/>
        </w:rPr>
        <w:t>之需保護性，有欠妥適</w:t>
      </w:r>
      <w:r w:rsidR="00D42F36" w:rsidRPr="003310D1">
        <w:rPr>
          <w:rFonts w:hint="eastAsia"/>
          <w:b/>
        </w:rPr>
        <w:t>：</w:t>
      </w:r>
    </w:p>
    <w:p w:rsidR="00D42F36" w:rsidRDefault="00D42F36" w:rsidP="00D42F36">
      <w:pPr>
        <w:pStyle w:val="4"/>
      </w:pPr>
      <w:r>
        <w:rPr>
          <w:rFonts w:hint="eastAsia"/>
        </w:rPr>
        <w:t>陳訴人指稱：</w:t>
      </w:r>
      <w:r w:rsidRPr="00786625">
        <w:rPr>
          <w:rFonts w:hint="eastAsia"/>
        </w:rPr>
        <w:t>承審法官在審理期日</w:t>
      </w:r>
      <w:proofErr w:type="gramStart"/>
      <w:r>
        <w:rPr>
          <w:rFonts w:hint="eastAsia"/>
        </w:rPr>
        <w:t>已</w:t>
      </w:r>
      <w:r w:rsidRPr="00786625">
        <w:rPr>
          <w:rFonts w:hint="eastAsia"/>
        </w:rPr>
        <w:t>對</w:t>
      </w:r>
      <w:r>
        <w:rPr>
          <w:rFonts w:hint="eastAsia"/>
        </w:rPr>
        <w:t>蘆竹</w:t>
      </w:r>
      <w:proofErr w:type="gramEnd"/>
      <w:r>
        <w:rPr>
          <w:rFonts w:hint="eastAsia"/>
        </w:rPr>
        <w:t>區乙</w:t>
      </w:r>
      <w:r w:rsidRPr="00786625">
        <w:rPr>
          <w:rFonts w:hint="eastAsia"/>
        </w:rPr>
        <w:t>案進行調查，有審理筆錄可證</w:t>
      </w:r>
      <w:r>
        <w:rPr>
          <w:rFonts w:hint="eastAsia"/>
        </w:rPr>
        <w:t>。</w:t>
      </w:r>
      <w:r w:rsidRPr="00786625">
        <w:rPr>
          <w:rFonts w:hint="eastAsia"/>
        </w:rPr>
        <w:t>雖當時</w:t>
      </w:r>
      <w:r>
        <w:rPr>
          <w:rFonts w:hint="eastAsia"/>
        </w:rPr>
        <w:t>不知</w:t>
      </w:r>
      <w:r w:rsidR="005D1FA4">
        <w:rPr>
          <w:rFonts w:hint="eastAsia"/>
        </w:rPr>
        <w:t>A少年</w:t>
      </w:r>
      <w:r w:rsidRPr="00786625">
        <w:rPr>
          <w:rFonts w:hint="eastAsia"/>
        </w:rPr>
        <w:t>在蘆竹地區</w:t>
      </w:r>
      <w:r>
        <w:rPr>
          <w:rFonts w:hint="eastAsia"/>
        </w:rPr>
        <w:t>行騙之</w:t>
      </w:r>
      <w:r w:rsidRPr="00786625">
        <w:rPr>
          <w:rFonts w:hint="eastAsia"/>
        </w:rPr>
        <w:t>被害人姓名，但裁量上勢</w:t>
      </w:r>
      <w:r>
        <w:rPr>
          <w:rFonts w:hint="eastAsia"/>
        </w:rPr>
        <w:t>就</w:t>
      </w:r>
      <w:r w:rsidR="005D1FA4">
        <w:rPr>
          <w:rFonts w:hint="eastAsia"/>
        </w:rPr>
        <w:t>A少年</w:t>
      </w:r>
      <w:r>
        <w:rPr>
          <w:rFonts w:hint="eastAsia"/>
        </w:rPr>
        <w:t>之需保護性為</w:t>
      </w:r>
      <w:r w:rsidRPr="00786625">
        <w:rPr>
          <w:rFonts w:hint="eastAsia"/>
        </w:rPr>
        <w:t>通盤</w:t>
      </w:r>
      <w:r>
        <w:rPr>
          <w:rFonts w:hint="eastAsia"/>
        </w:rPr>
        <w:t>之</w:t>
      </w:r>
      <w:r w:rsidRPr="00786625">
        <w:rPr>
          <w:rFonts w:hint="eastAsia"/>
        </w:rPr>
        <w:t>考量</w:t>
      </w:r>
      <w:r>
        <w:rPr>
          <w:rFonts w:hint="eastAsia"/>
        </w:rPr>
        <w:t>。</w:t>
      </w:r>
      <w:r w:rsidRPr="00786625">
        <w:rPr>
          <w:rFonts w:hint="eastAsia"/>
        </w:rPr>
        <w:t>且</w:t>
      </w:r>
      <w:r w:rsidR="005D1FA4">
        <w:rPr>
          <w:rFonts w:hint="eastAsia"/>
        </w:rPr>
        <w:t>A少年</w:t>
      </w:r>
      <w:r w:rsidRPr="00786625">
        <w:rPr>
          <w:rFonts w:hint="eastAsia"/>
        </w:rPr>
        <w:t>法定代理人在審理結束後，曾詢問</w:t>
      </w:r>
      <w:r>
        <w:rPr>
          <w:rFonts w:hint="eastAsia"/>
        </w:rPr>
        <w:t>承審</w:t>
      </w:r>
      <w:r w:rsidRPr="00786625">
        <w:rPr>
          <w:rFonts w:hint="eastAsia"/>
        </w:rPr>
        <w:t>法官若</w:t>
      </w:r>
      <w:r>
        <w:rPr>
          <w:rFonts w:hint="eastAsia"/>
        </w:rPr>
        <w:t>警方嗣後</w:t>
      </w:r>
      <w:proofErr w:type="gramStart"/>
      <w:r>
        <w:rPr>
          <w:rFonts w:hint="eastAsia"/>
        </w:rPr>
        <w:t>將蘆竹案</w:t>
      </w:r>
      <w:proofErr w:type="gramEnd"/>
      <w:r w:rsidRPr="00786625">
        <w:rPr>
          <w:rFonts w:hint="eastAsia"/>
        </w:rPr>
        <w:t>移送法院將如何處理？</w:t>
      </w:r>
      <w:r>
        <w:rPr>
          <w:rFonts w:hint="eastAsia"/>
        </w:rPr>
        <w:t>據</w:t>
      </w:r>
      <w:r w:rsidRPr="00786625">
        <w:rPr>
          <w:rFonts w:hint="eastAsia"/>
        </w:rPr>
        <w:t>法官</w:t>
      </w:r>
      <w:r>
        <w:rPr>
          <w:rFonts w:hint="eastAsia"/>
        </w:rPr>
        <w:t>告</w:t>
      </w:r>
      <w:r w:rsidRPr="00786625">
        <w:rPr>
          <w:rFonts w:hint="eastAsia"/>
        </w:rPr>
        <w:t>稱將不付審理。但該院少年法庭</w:t>
      </w:r>
      <w:r>
        <w:rPr>
          <w:rFonts w:hint="eastAsia"/>
        </w:rPr>
        <w:t>事後卻於</w:t>
      </w:r>
      <w:r w:rsidRPr="00786625">
        <w:rPr>
          <w:rFonts w:hint="eastAsia"/>
        </w:rPr>
        <w:t>10</w:t>
      </w:r>
      <w:r>
        <w:rPr>
          <w:rFonts w:hint="eastAsia"/>
        </w:rPr>
        <w:t>4</w:t>
      </w:r>
      <w:r w:rsidRPr="00786625">
        <w:rPr>
          <w:rFonts w:hint="eastAsia"/>
        </w:rPr>
        <w:t>年重複</w:t>
      </w:r>
      <w:r>
        <w:rPr>
          <w:rFonts w:hint="eastAsia"/>
        </w:rPr>
        <w:t>受理</w:t>
      </w:r>
      <w:proofErr w:type="gramStart"/>
      <w:r>
        <w:rPr>
          <w:rFonts w:hint="eastAsia"/>
        </w:rPr>
        <w:t>蘆竹警分局</w:t>
      </w:r>
      <w:proofErr w:type="gramEnd"/>
      <w:r>
        <w:rPr>
          <w:rFonts w:hint="eastAsia"/>
        </w:rPr>
        <w:t>移送之事件，</w:t>
      </w:r>
      <w:r w:rsidRPr="00786625">
        <w:rPr>
          <w:rFonts w:hint="eastAsia"/>
        </w:rPr>
        <w:t>進而再</w:t>
      </w:r>
      <w:r>
        <w:rPr>
          <w:rFonts w:hint="eastAsia"/>
        </w:rPr>
        <w:t>次</w:t>
      </w:r>
      <w:r w:rsidRPr="00786625">
        <w:rPr>
          <w:rFonts w:hint="eastAsia"/>
        </w:rPr>
        <w:t>裁定</w:t>
      </w:r>
      <w:r w:rsidR="005D1FA4">
        <w:rPr>
          <w:rFonts w:hint="eastAsia"/>
        </w:rPr>
        <w:t>A少年</w:t>
      </w:r>
      <w:r w:rsidRPr="00786625">
        <w:rPr>
          <w:rFonts w:hint="eastAsia"/>
        </w:rPr>
        <w:t>感化教育</w:t>
      </w:r>
      <w:r>
        <w:rPr>
          <w:rFonts w:hint="eastAsia"/>
        </w:rPr>
        <w:t>，致</w:t>
      </w:r>
      <w:r w:rsidR="005D1FA4">
        <w:rPr>
          <w:rFonts w:hint="eastAsia"/>
        </w:rPr>
        <w:t>A少年</w:t>
      </w:r>
      <w:r>
        <w:rPr>
          <w:rFonts w:hint="eastAsia"/>
        </w:rPr>
        <w:t>受二次感化教育處分之執行等語</w:t>
      </w:r>
      <w:r w:rsidRPr="00786625">
        <w:rPr>
          <w:rFonts w:hint="eastAsia"/>
        </w:rPr>
        <w:t>。</w:t>
      </w:r>
    </w:p>
    <w:p w:rsidR="003310D1" w:rsidRDefault="003310D1" w:rsidP="00D42F36">
      <w:pPr>
        <w:pStyle w:val="4"/>
      </w:pPr>
      <w:r>
        <w:rPr>
          <w:rFonts w:hint="eastAsia"/>
        </w:rPr>
        <w:t>經查：</w:t>
      </w:r>
    </w:p>
    <w:p w:rsidR="008B08DC" w:rsidRDefault="00D42F36" w:rsidP="008B08DC">
      <w:pPr>
        <w:pStyle w:val="5"/>
      </w:pPr>
      <w:r>
        <w:rPr>
          <w:rFonts w:hint="eastAsia"/>
        </w:rPr>
        <w:lastRenderedPageBreak/>
        <w:t>卷查</w:t>
      </w:r>
      <w:r w:rsidR="001747A8">
        <w:rPr>
          <w:rFonts w:hint="eastAsia"/>
        </w:rPr>
        <w:t>102年</w:t>
      </w:r>
      <w:r>
        <w:rPr>
          <w:rFonts w:hint="eastAsia"/>
        </w:rPr>
        <w:t>10月1日</w:t>
      </w:r>
      <w:r w:rsidR="003310D1">
        <w:rPr>
          <w:rFonts w:hint="eastAsia"/>
        </w:rPr>
        <w:t>警方</w:t>
      </w:r>
      <w:r w:rsidR="001747A8">
        <w:rPr>
          <w:rFonts w:hint="eastAsia"/>
        </w:rPr>
        <w:t>移送</w:t>
      </w:r>
      <w:r w:rsidR="008B08DC">
        <w:rPr>
          <w:rFonts w:hint="eastAsia"/>
        </w:rPr>
        <w:t>A</w:t>
      </w:r>
      <w:r w:rsidR="001747A8">
        <w:rPr>
          <w:rFonts w:hint="eastAsia"/>
        </w:rPr>
        <w:t>少年</w:t>
      </w:r>
      <w:r w:rsidR="008B08DC">
        <w:rPr>
          <w:rFonts w:hint="eastAsia"/>
        </w:rPr>
        <w:t>之</w:t>
      </w:r>
      <w:r w:rsidR="001747A8">
        <w:rPr>
          <w:rFonts w:hint="eastAsia"/>
        </w:rPr>
        <w:t>觸法事實</w:t>
      </w:r>
      <w:r w:rsidR="00F775A5">
        <w:rPr>
          <w:rFonts w:hint="eastAsia"/>
        </w:rPr>
        <w:t>，</w:t>
      </w:r>
      <w:r w:rsidR="008B08DC">
        <w:rPr>
          <w:rFonts w:hint="eastAsia"/>
        </w:rPr>
        <w:t>僅</w:t>
      </w:r>
      <w:r w:rsidR="003310D1">
        <w:rPr>
          <w:rFonts w:hint="eastAsia"/>
        </w:rPr>
        <w:t>有</w:t>
      </w:r>
      <w:r w:rsidR="005D1FA4">
        <w:rPr>
          <w:rFonts w:hint="eastAsia"/>
        </w:rPr>
        <w:t>A少年</w:t>
      </w:r>
      <w:r w:rsidR="00F775A5" w:rsidRPr="00F54053">
        <w:rPr>
          <w:rFonts w:hint="eastAsia"/>
        </w:rPr>
        <w:t>涉嫌於苗栗縣頭份鎮詐欺被害人</w:t>
      </w:r>
      <w:proofErr w:type="gramStart"/>
      <w:r w:rsidR="00F775A5" w:rsidRPr="00F54053">
        <w:rPr>
          <w:rFonts w:hint="eastAsia"/>
        </w:rPr>
        <w:t>鍾</w:t>
      </w:r>
      <w:proofErr w:type="gramEnd"/>
      <w:r w:rsidR="00FF3F3B">
        <w:rPr>
          <w:rFonts w:hint="eastAsia"/>
        </w:rPr>
        <w:t>張○○</w:t>
      </w:r>
      <w:r w:rsidR="002B107E">
        <w:rPr>
          <w:rFonts w:hint="eastAsia"/>
        </w:rPr>
        <w:t>部分，該移送書所附</w:t>
      </w:r>
      <w:r w:rsidR="00357AFC" w:rsidRPr="00B20E3A">
        <w:rPr>
          <w:rFonts w:hint="eastAsia"/>
          <w:bCs w:val="0"/>
        </w:rPr>
        <w:t>大溪分局</w:t>
      </w:r>
      <w:r w:rsidR="00357AFC">
        <w:rPr>
          <w:rFonts w:hint="eastAsia"/>
          <w:bCs w:val="0"/>
        </w:rPr>
        <w:t>偵查隊於102年10月1日9時制作之第2次</w:t>
      </w:r>
      <w:r w:rsidR="008B08DC">
        <w:rPr>
          <w:rFonts w:hint="eastAsia"/>
        </w:rPr>
        <w:t>警</w:t>
      </w:r>
      <w:proofErr w:type="gramStart"/>
      <w:r w:rsidR="008B08DC">
        <w:rPr>
          <w:rFonts w:hint="eastAsia"/>
        </w:rPr>
        <w:t>詢</w:t>
      </w:r>
      <w:proofErr w:type="gramEnd"/>
      <w:r w:rsidR="002B107E">
        <w:rPr>
          <w:rFonts w:hint="eastAsia"/>
        </w:rPr>
        <w:t>筆錄</w:t>
      </w:r>
      <w:r w:rsidR="00357AFC">
        <w:rPr>
          <w:rFonts w:hint="eastAsia"/>
        </w:rPr>
        <w:t>中</w:t>
      </w:r>
      <w:r w:rsidR="008B08DC">
        <w:rPr>
          <w:rFonts w:hint="eastAsia"/>
        </w:rPr>
        <w:t>，</w:t>
      </w:r>
      <w:r w:rsidR="002B107E">
        <w:rPr>
          <w:rFonts w:hint="eastAsia"/>
        </w:rPr>
        <w:t>記載</w:t>
      </w:r>
      <w:r w:rsidR="005D1FA4">
        <w:rPr>
          <w:rFonts w:hint="eastAsia"/>
        </w:rPr>
        <w:t>A少年</w:t>
      </w:r>
      <w:r w:rsidR="002B107E">
        <w:rPr>
          <w:rFonts w:hint="eastAsia"/>
        </w:rPr>
        <w:t>自陳</w:t>
      </w:r>
      <w:proofErr w:type="gramStart"/>
      <w:r w:rsidR="008B08DC" w:rsidRPr="00B20E3A">
        <w:rPr>
          <w:rFonts w:hint="eastAsia"/>
        </w:rPr>
        <w:t>另於蘆</w:t>
      </w:r>
      <w:r w:rsidR="00357AFC">
        <w:rPr>
          <w:rFonts w:hint="eastAsia"/>
        </w:rPr>
        <w:t>竹</w:t>
      </w:r>
      <w:proofErr w:type="gramEnd"/>
      <w:r w:rsidR="00357AFC">
        <w:rPr>
          <w:rFonts w:hint="eastAsia"/>
        </w:rPr>
        <w:t>涉及另起詐騙行為，</w:t>
      </w:r>
      <w:proofErr w:type="gramStart"/>
      <w:r w:rsidR="00357AFC">
        <w:rPr>
          <w:rFonts w:hint="eastAsia"/>
        </w:rPr>
        <w:t>詢</w:t>
      </w:r>
      <w:proofErr w:type="gramEnd"/>
      <w:r w:rsidR="00357AFC">
        <w:rPr>
          <w:rFonts w:hint="eastAsia"/>
        </w:rPr>
        <w:t>答內容節錄如下：</w:t>
      </w:r>
      <w:r w:rsidR="008B08DC">
        <w:rPr>
          <w:rFonts w:hint="eastAsia"/>
        </w:rPr>
        <w:t>「問：你是否還有相似之手法詐騙其他被害人？答：我還有去詐騙其他被害人一次。於102年8月底8時許，…</w:t>
      </w:r>
      <w:proofErr w:type="gramStart"/>
      <w:r w:rsidR="008B08DC">
        <w:rPr>
          <w:rFonts w:hint="eastAsia"/>
        </w:rPr>
        <w:t>…</w:t>
      </w:r>
      <w:proofErr w:type="gramEnd"/>
      <w:r w:rsidR="008B08DC">
        <w:rPr>
          <w:rFonts w:hint="eastAsia"/>
        </w:rPr>
        <w:t>，我與</w:t>
      </w:r>
      <w:proofErr w:type="gramStart"/>
      <w:r w:rsidR="00FF3F3B">
        <w:rPr>
          <w:rFonts w:hint="eastAsia"/>
        </w:rPr>
        <w:t>鍾</w:t>
      </w:r>
      <w:proofErr w:type="gramEnd"/>
      <w:r w:rsidR="00FF3F3B">
        <w:rPr>
          <w:rFonts w:hint="eastAsia"/>
        </w:rPr>
        <w:t>○○</w:t>
      </w:r>
      <w:r w:rsidR="008B08DC">
        <w:rPr>
          <w:rFonts w:hint="eastAsia"/>
        </w:rPr>
        <w:t>就去樓下坐計程車去桃園縣蘆竹鄉被害人家附近的7-11便利商店，在便利商店等電話，等</w:t>
      </w:r>
      <w:proofErr w:type="gramStart"/>
      <w:r w:rsidR="00FF3F3B">
        <w:rPr>
          <w:rFonts w:hint="eastAsia"/>
        </w:rPr>
        <w:t>鍾</w:t>
      </w:r>
      <w:proofErr w:type="gramEnd"/>
      <w:r w:rsidR="00FF3F3B">
        <w:rPr>
          <w:rFonts w:hint="eastAsia"/>
        </w:rPr>
        <w:t>○○</w:t>
      </w:r>
      <w:r w:rsidR="008B08DC">
        <w:rPr>
          <w:rFonts w:hint="eastAsia"/>
        </w:rPr>
        <w:t>接完電話後，我就去收傳真紙1張，我就將傳真紙交給</w:t>
      </w:r>
      <w:proofErr w:type="gramStart"/>
      <w:r w:rsidR="00FF3F3B">
        <w:rPr>
          <w:rFonts w:hint="eastAsia"/>
        </w:rPr>
        <w:t>鍾</w:t>
      </w:r>
      <w:proofErr w:type="gramEnd"/>
      <w:r w:rsidR="00FF3F3B">
        <w:rPr>
          <w:rFonts w:hint="eastAsia"/>
        </w:rPr>
        <w:t>○○</w:t>
      </w:r>
      <w:r w:rsidR="008B08DC">
        <w:rPr>
          <w:rFonts w:hint="eastAsia"/>
        </w:rPr>
        <w:t>，</w:t>
      </w:r>
      <w:proofErr w:type="gramStart"/>
      <w:r w:rsidR="00FF3F3B">
        <w:rPr>
          <w:rFonts w:hint="eastAsia"/>
        </w:rPr>
        <w:t>鍾</w:t>
      </w:r>
      <w:proofErr w:type="gramEnd"/>
      <w:r w:rsidR="00FF3F3B">
        <w:rPr>
          <w:rFonts w:hint="eastAsia"/>
        </w:rPr>
        <w:t>○○</w:t>
      </w:r>
      <w:r w:rsidR="008B08DC">
        <w:rPr>
          <w:rFonts w:hint="eastAsia"/>
        </w:rPr>
        <w:t>就去被害人家附近的公園將傳真蓋上印章，並換上綽號『豆花』給的衣服（藍色襯衫），我就在附近把風，…</w:t>
      </w:r>
      <w:proofErr w:type="gramStart"/>
      <w:r w:rsidR="008B08DC">
        <w:rPr>
          <w:rFonts w:hint="eastAsia"/>
        </w:rPr>
        <w:t>…</w:t>
      </w:r>
      <w:proofErr w:type="gramEnd"/>
      <w:r w:rsidR="008B08DC">
        <w:rPr>
          <w:rFonts w:hint="eastAsia"/>
        </w:rPr>
        <w:t>，看見被害人後就去取款，…</w:t>
      </w:r>
      <w:proofErr w:type="gramStart"/>
      <w:r w:rsidR="008B08DC">
        <w:rPr>
          <w:rFonts w:hint="eastAsia"/>
        </w:rPr>
        <w:t>…</w:t>
      </w:r>
      <w:proofErr w:type="gramEnd"/>
      <w:r w:rsidR="008B08DC">
        <w:rPr>
          <w:rFonts w:hint="eastAsia"/>
        </w:rPr>
        <w:t>。綽號『豆花』的男子給我1000元。」</w:t>
      </w:r>
      <w:r w:rsidR="003310D1">
        <w:rPr>
          <w:rFonts w:hint="eastAsia"/>
        </w:rPr>
        <w:t>此有</w:t>
      </w:r>
      <w:r w:rsidR="003310D1" w:rsidRPr="00B20E3A">
        <w:rPr>
          <w:rFonts w:hint="eastAsia"/>
        </w:rPr>
        <w:t>桃園市警局大溪分局102年10月1日</w:t>
      </w:r>
      <w:proofErr w:type="gramStart"/>
      <w:r w:rsidR="002B107E">
        <w:rPr>
          <w:rFonts w:hint="eastAsia"/>
        </w:rPr>
        <w:t>溪警分刑字</w:t>
      </w:r>
      <w:proofErr w:type="gramEnd"/>
      <w:r w:rsidR="002B107E">
        <w:rPr>
          <w:rFonts w:hint="eastAsia"/>
        </w:rPr>
        <w:t>第1022005407號少年事件</w:t>
      </w:r>
      <w:r w:rsidR="003310D1" w:rsidRPr="00B20E3A">
        <w:rPr>
          <w:rFonts w:hint="eastAsia"/>
        </w:rPr>
        <w:t>移送書</w:t>
      </w:r>
      <w:r w:rsidR="003310D1">
        <w:rPr>
          <w:rFonts w:hint="eastAsia"/>
        </w:rPr>
        <w:t>及附件可</w:t>
      </w:r>
      <w:proofErr w:type="gramStart"/>
      <w:r w:rsidR="003310D1">
        <w:rPr>
          <w:rFonts w:hint="eastAsia"/>
        </w:rPr>
        <w:t>稽</w:t>
      </w:r>
      <w:proofErr w:type="gramEnd"/>
      <w:r w:rsidR="003310D1">
        <w:rPr>
          <w:rFonts w:hint="eastAsia"/>
        </w:rPr>
        <w:t>。</w:t>
      </w:r>
    </w:p>
    <w:p w:rsidR="00B20E3A" w:rsidRDefault="008B08DC" w:rsidP="008B08DC">
      <w:pPr>
        <w:pStyle w:val="5"/>
      </w:pPr>
      <w:r>
        <w:rPr>
          <w:rFonts w:hint="eastAsia"/>
        </w:rPr>
        <w:t>桃園地院少年法庭於102年10月1日收案後，</w:t>
      </w:r>
      <w:r w:rsidRPr="008B08DC">
        <w:rPr>
          <w:rFonts w:hint="eastAsia"/>
        </w:rPr>
        <w:t>法官以</w:t>
      </w:r>
      <w:r w:rsidR="005D1FA4">
        <w:rPr>
          <w:rFonts w:hint="eastAsia"/>
        </w:rPr>
        <w:t>A少年</w:t>
      </w:r>
      <w:r w:rsidRPr="008B08DC">
        <w:rPr>
          <w:rFonts w:hint="eastAsia"/>
        </w:rPr>
        <w:t>前因感化教育執行完畢，</w:t>
      </w:r>
      <w:proofErr w:type="gramStart"/>
      <w:r w:rsidRPr="008B08DC">
        <w:rPr>
          <w:rFonts w:hint="eastAsia"/>
        </w:rPr>
        <w:t>未即一月</w:t>
      </w:r>
      <w:proofErr w:type="gramEnd"/>
      <w:r w:rsidRPr="008B08DC">
        <w:rPr>
          <w:rFonts w:hint="eastAsia"/>
        </w:rPr>
        <w:t>再犯案，且</w:t>
      </w:r>
      <w:r w:rsidR="005D1FA4">
        <w:rPr>
          <w:rFonts w:hint="eastAsia"/>
        </w:rPr>
        <w:t>A少年</w:t>
      </w:r>
      <w:r w:rsidRPr="008B08DC">
        <w:rPr>
          <w:rFonts w:hint="eastAsia"/>
        </w:rPr>
        <w:t>家庭僅有曾祖母一人得照顧</w:t>
      </w:r>
      <w:r w:rsidR="005D1FA4">
        <w:rPr>
          <w:rFonts w:hint="eastAsia"/>
        </w:rPr>
        <w:t>A少年</w:t>
      </w:r>
      <w:r w:rsidRPr="008B08DC">
        <w:rPr>
          <w:rFonts w:hint="eastAsia"/>
        </w:rPr>
        <w:t>，其</w:t>
      </w:r>
      <w:proofErr w:type="gramStart"/>
      <w:r w:rsidRPr="008B08DC">
        <w:rPr>
          <w:rFonts w:hint="eastAsia"/>
        </w:rPr>
        <w:t>責付顯不</w:t>
      </w:r>
      <w:proofErr w:type="gramEnd"/>
      <w:r w:rsidRPr="008B08DC">
        <w:rPr>
          <w:rFonts w:hint="eastAsia"/>
        </w:rPr>
        <w:t>適當，裁定收容於桃園少年觀護所</w:t>
      </w:r>
      <w:r>
        <w:rPr>
          <w:rFonts w:hint="eastAsia"/>
        </w:rPr>
        <w:t>。同年11月29日少年法庭開庭調查，法官詢問A少年：</w:t>
      </w:r>
      <w:r w:rsidRPr="008B08DC">
        <w:rPr>
          <w:rFonts w:hint="eastAsia"/>
        </w:rPr>
        <w:t>「根據警</w:t>
      </w:r>
      <w:proofErr w:type="gramStart"/>
      <w:r w:rsidRPr="008B08DC">
        <w:rPr>
          <w:rFonts w:hint="eastAsia"/>
        </w:rPr>
        <w:t>詢</w:t>
      </w:r>
      <w:proofErr w:type="gramEnd"/>
      <w:r w:rsidRPr="008B08DC">
        <w:rPr>
          <w:rFonts w:hint="eastAsia"/>
        </w:rPr>
        <w:t>筆錄陳述，你於102年8月底</w:t>
      </w:r>
      <w:proofErr w:type="gramStart"/>
      <w:r w:rsidRPr="008B08DC">
        <w:rPr>
          <w:rFonts w:hint="eastAsia"/>
        </w:rPr>
        <w:t>奉綽號</w:t>
      </w:r>
      <w:proofErr w:type="gramEnd"/>
      <w:r w:rsidRPr="008B08DC">
        <w:rPr>
          <w:rFonts w:hint="eastAsia"/>
        </w:rPr>
        <w:t>豆花指示去桃園蘆竹收取一個款項，警察有無查到被害人？」</w:t>
      </w:r>
      <w:r w:rsidR="005D1FA4">
        <w:rPr>
          <w:rFonts w:hint="eastAsia"/>
        </w:rPr>
        <w:t>A少年</w:t>
      </w:r>
      <w:r w:rsidRPr="008B08DC">
        <w:rPr>
          <w:rFonts w:hint="eastAsia"/>
        </w:rPr>
        <w:t>答稱不知</w:t>
      </w:r>
      <w:r>
        <w:rPr>
          <w:rFonts w:hint="eastAsia"/>
        </w:rPr>
        <w:t>，</w:t>
      </w:r>
      <w:r w:rsidRPr="008B08DC">
        <w:rPr>
          <w:rFonts w:hint="eastAsia"/>
        </w:rPr>
        <w:t>法官裁定開始審理。</w:t>
      </w:r>
      <w:r w:rsidR="003310D1">
        <w:rPr>
          <w:rFonts w:hint="eastAsia"/>
        </w:rPr>
        <w:t>審理時</w:t>
      </w:r>
      <w:r w:rsidR="005D1FA4">
        <w:rPr>
          <w:rFonts w:hint="eastAsia"/>
        </w:rPr>
        <w:t>A少年</w:t>
      </w:r>
      <w:r>
        <w:rPr>
          <w:rFonts w:hint="eastAsia"/>
        </w:rPr>
        <w:t>及</w:t>
      </w:r>
      <w:r w:rsidR="00972F99" w:rsidRPr="00385825">
        <w:rPr>
          <w:rFonts w:hint="eastAsia"/>
        </w:rPr>
        <w:t>法定代理人</w:t>
      </w:r>
      <w:r>
        <w:rPr>
          <w:rFonts w:hint="eastAsia"/>
        </w:rPr>
        <w:t>均</w:t>
      </w:r>
      <w:r w:rsidR="00972F99" w:rsidRPr="00385825">
        <w:rPr>
          <w:rFonts w:hint="eastAsia"/>
        </w:rPr>
        <w:t>同意少年調查官建議施以感化教育處分</w:t>
      </w:r>
      <w:r w:rsidR="003310D1">
        <w:rPr>
          <w:rFonts w:hint="eastAsia"/>
        </w:rPr>
        <w:t>，並</w:t>
      </w:r>
      <w:r w:rsidR="00972F99" w:rsidRPr="00385825">
        <w:rPr>
          <w:rFonts w:hint="eastAsia"/>
        </w:rPr>
        <w:t>當庭捨棄抗告</w:t>
      </w:r>
      <w:r w:rsidR="003310D1">
        <w:rPr>
          <w:rFonts w:hint="eastAsia"/>
        </w:rPr>
        <w:t>，</w:t>
      </w:r>
      <w:r w:rsidR="00972F99" w:rsidRPr="00385825">
        <w:rPr>
          <w:rFonts w:hint="eastAsia"/>
        </w:rPr>
        <w:t>少年法庭以宣示筆錄代裁定</w:t>
      </w:r>
      <w:r w:rsidR="00357AFC">
        <w:rPr>
          <w:rFonts w:hint="eastAsia"/>
        </w:rPr>
        <w:t>，令入感化教育處所施以感化教育</w:t>
      </w:r>
      <w:r w:rsidR="00972F99" w:rsidRPr="00385825">
        <w:rPr>
          <w:rFonts w:hint="eastAsia"/>
        </w:rPr>
        <w:t>。</w:t>
      </w:r>
      <w:r w:rsidR="00972F99" w:rsidRPr="00B20E3A">
        <w:rPr>
          <w:rFonts w:hint="eastAsia"/>
        </w:rPr>
        <w:t>此有</w:t>
      </w:r>
      <w:r w:rsidR="00972F99">
        <w:rPr>
          <w:rFonts w:hint="eastAsia"/>
        </w:rPr>
        <w:t>桃園地</w:t>
      </w:r>
      <w:r w:rsidR="00972F99">
        <w:rPr>
          <w:rFonts w:hint="eastAsia"/>
        </w:rPr>
        <w:lastRenderedPageBreak/>
        <w:t>院</w:t>
      </w:r>
      <w:proofErr w:type="gramStart"/>
      <w:r w:rsidR="00972F99" w:rsidRPr="00947543">
        <w:rPr>
          <w:rFonts w:hint="eastAsia"/>
        </w:rPr>
        <w:t>105</w:t>
      </w:r>
      <w:proofErr w:type="gramEnd"/>
      <w:r w:rsidR="00972F99" w:rsidRPr="00947543">
        <w:rPr>
          <w:rFonts w:hint="eastAsia"/>
        </w:rPr>
        <w:t>年</w:t>
      </w:r>
      <w:r w:rsidR="00972F99" w:rsidRPr="00B20E3A">
        <w:rPr>
          <w:rFonts w:hint="eastAsia"/>
        </w:rPr>
        <w:t>度</w:t>
      </w:r>
      <w:proofErr w:type="gramStart"/>
      <w:r w:rsidR="00972F99" w:rsidRPr="00B20E3A">
        <w:rPr>
          <w:rFonts w:hint="eastAsia"/>
        </w:rPr>
        <w:t>少護字</w:t>
      </w:r>
      <w:proofErr w:type="gramEnd"/>
      <w:r w:rsidR="00972F99" w:rsidRPr="00B20E3A">
        <w:rPr>
          <w:rFonts w:hint="eastAsia"/>
        </w:rPr>
        <w:t>第30號少年保護事件卷宗可</w:t>
      </w:r>
      <w:proofErr w:type="gramStart"/>
      <w:r w:rsidR="00972F99" w:rsidRPr="00B20E3A">
        <w:rPr>
          <w:rFonts w:hint="eastAsia"/>
        </w:rPr>
        <w:t>稽</w:t>
      </w:r>
      <w:proofErr w:type="gramEnd"/>
      <w:r w:rsidR="00972F99" w:rsidRPr="00B20E3A">
        <w:rPr>
          <w:rFonts w:hint="eastAsia"/>
        </w:rPr>
        <w:t>。</w:t>
      </w:r>
    </w:p>
    <w:p w:rsidR="00B20E3A" w:rsidRPr="00F92F95" w:rsidRDefault="00972F99" w:rsidP="00E27903">
      <w:pPr>
        <w:pStyle w:val="4"/>
      </w:pPr>
      <w:r w:rsidRPr="00F92F95">
        <w:rPr>
          <w:rFonts w:hint="eastAsia"/>
        </w:rPr>
        <w:t>本院審酌認為：</w:t>
      </w:r>
    </w:p>
    <w:p w:rsidR="002B107E" w:rsidRDefault="002B107E" w:rsidP="002B107E">
      <w:pPr>
        <w:pStyle w:val="5"/>
      </w:pPr>
      <w:r w:rsidRPr="002B107E">
        <w:rPr>
          <w:rFonts w:hint="eastAsia"/>
        </w:rPr>
        <w:t>桃園地院少年法庭調查審理</w:t>
      </w:r>
      <w:proofErr w:type="gramStart"/>
      <w:r w:rsidRPr="002B107E">
        <w:rPr>
          <w:rFonts w:hint="eastAsia"/>
        </w:rPr>
        <w:t>102</w:t>
      </w:r>
      <w:proofErr w:type="gramEnd"/>
      <w:r w:rsidRPr="002B107E">
        <w:rPr>
          <w:rFonts w:hint="eastAsia"/>
        </w:rPr>
        <w:t>年度</w:t>
      </w:r>
      <w:proofErr w:type="gramStart"/>
      <w:r w:rsidRPr="002B107E">
        <w:rPr>
          <w:rFonts w:hint="eastAsia"/>
        </w:rPr>
        <w:t>少護字</w:t>
      </w:r>
      <w:proofErr w:type="gramEnd"/>
      <w:r w:rsidRPr="002B107E">
        <w:rPr>
          <w:rFonts w:hint="eastAsia"/>
        </w:rPr>
        <w:t>第904號少年保護事件（前事件）時，A少年在蘆竹區行騙之觸法行為，未經立案，亦未經法院實質調查審理，故難以認為法院審理對象及審判範圍</w:t>
      </w:r>
      <w:proofErr w:type="gramStart"/>
      <w:r w:rsidRPr="002B107E">
        <w:rPr>
          <w:rFonts w:hint="eastAsia"/>
        </w:rPr>
        <w:t>及於該觸法</w:t>
      </w:r>
      <w:proofErr w:type="gramEnd"/>
      <w:r w:rsidRPr="002B107E">
        <w:rPr>
          <w:rFonts w:hint="eastAsia"/>
        </w:rPr>
        <w:t>行為，從而桃園地院並無一事再理或一</w:t>
      </w:r>
      <w:proofErr w:type="gramStart"/>
      <w:r w:rsidRPr="002B107E">
        <w:rPr>
          <w:rFonts w:hint="eastAsia"/>
        </w:rPr>
        <w:t>案兩判之</w:t>
      </w:r>
      <w:proofErr w:type="gramEnd"/>
      <w:r w:rsidRPr="002B107E">
        <w:rPr>
          <w:rFonts w:hint="eastAsia"/>
        </w:rPr>
        <w:t>情形。</w:t>
      </w:r>
    </w:p>
    <w:p w:rsidR="00B20E3A" w:rsidRPr="00F92F95" w:rsidRDefault="0081588F" w:rsidP="00B20E3A">
      <w:pPr>
        <w:pStyle w:val="5"/>
      </w:pPr>
      <w:r>
        <w:rPr>
          <w:rFonts w:hint="eastAsia"/>
        </w:rPr>
        <w:t>惟</w:t>
      </w:r>
      <w:r w:rsidR="005D1FA4">
        <w:rPr>
          <w:rFonts w:hint="eastAsia"/>
        </w:rPr>
        <w:t>A少年</w:t>
      </w:r>
      <w:r w:rsidR="00B20E3A" w:rsidRPr="00F92F95">
        <w:rPr>
          <w:rFonts w:hint="eastAsia"/>
        </w:rPr>
        <w:t>觸法事實係判斷少年之需保護性及司法介入的程度的重要依據</w:t>
      </w:r>
      <w:r w:rsidR="00F92F95" w:rsidRPr="00F92F95">
        <w:rPr>
          <w:rFonts w:hint="eastAsia"/>
        </w:rPr>
        <w:t>。</w:t>
      </w:r>
      <w:r w:rsidR="00B20E3A" w:rsidRPr="00F92F95">
        <w:rPr>
          <w:rFonts w:hint="eastAsia"/>
        </w:rPr>
        <w:t>無論何人知有少年觸</w:t>
      </w:r>
      <w:proofErr w:type="gramStart"/>
      <w:r w:rsidR="00B20E3A" w:rsidRPr="00F92F95">
        <w:rPr>
          <w:rFonts w:hint="eastAsia"/>
        </w:rPr>
        <w:t>法或虞犯</w:t>
      </w:r>
      <w:proofErr w:type="gramEnd"/>
      <w:r w:rsidR="00B20E3A" w:rsidRPr="00F92F95">
        <w:rPr>
          <w:rFonts w:hint="eastAsia"/>
        </w:rPr>
        <w:t>行為時，</w:t>
      </w:r>
      <w:proofErr w:type="gramStart"/>
      <w:r w:rsidR="00B20E3A" w:rsidRPr="00F92F95">
        <w:rPr>
          <w:rFonts w:hint="eastAsia"/>
        </w:rPr>
        <w:t>均得向</w:t>
      </w:r>
      <w:proofErr w:type="gramEnd"/>
      <w:r w:rsidR="00B20E3A" w:rsidRPr="00F92F95">
        <w:rPr>
          <w:rFonts w:hint="eastAsia"/>
        </w:rPr>
        <w:t>法院報告</w:t>
      </w:r>
      <w:r w:rsidR="00F92F95" w:rsidRPr="00F92F95">
        <w:rPr>
          <w:rFonts w:hint="eastAsia"/>
        </w:rPr>
        <w:t>；</w:t>
      </w:r>
      <w:r w:rsidR="00B20E3A" w:rsidRPr="00F92F95">
        <w:rPr>
          <w:rFonts w:hint="eastAsia"/>
        </w:rPr>
        <w:t>法官對司法警察（官）移送或報告之少年事件，認為調查未完備者，得以書面敘明應調查或補足之部分，</w:t>
      </w:r>
      <w:proofErr w:type="gramStart"/>
      <w:r w:rsidR="00B20E3A" w:rsidRPr="00F92F95">
        <w:rPr>
          <w:rFonts w:hint="eastAsia"/>
        </w:rPr>
        <w:t>發回命其</w:t>
      </w:r>
      <w:proofErr w:type="gramEnd"/>
      <w:r w:rsidR="00B20E3A" w:rsidRPr="00F92F95">
        <w:rPr>
          <w:rFonts w:hint="eastAsia"/>
        </w:rPr>
        <w:t>補足或發交其他司法警察（官）調查</w:t>
      </w:r>
      <w:r w:rsidR="00F92F95" w:rsidRPr="00F92F95">
        <w:rPr>
          <w:rFonts w:hint="eastAsia"/>
        </w:rPr>
        <w:t>，</w:t>
      </w:r>
      <w:r w:rsidR="00B20E3A" w:rsidRPr="00F92F95">
        <w:rPr>
          <w:rFonts w:hint="eastAsia"/>
        </w:rPr>
        <w:t>少事法第17條、「少年法院（庭）與司法警察機關處理少年事件聯繫辦法」第7條定有明文。</w:t>
      </w:r>
    </w:p>
    <w:p w:rsidR="005D1FA4" w:rsidRDefault="003310D1" w:rsidP="00357AFC">
      <w:pPr>
        <w:pStyle w:val="5"/>
      </w:pPr>
      <w:r w:rsidRPr="00F92F95">
        <w:rPr>
          <w:rFonts w:hint="eastAsia"/>
        </w:rPr>
        <w:t>本件案例事實</w:t>
      </w:r>
      <w:r>
        <w:rPr>
          <w:rFonts w:hint="eastAsia"/>
        </w:rPr>
        <w:t>所涉之法律問題，</w:t>
      </w:r>
      <w:r w:rsidRPr="00F92F95">
        <w:rPr>
          <w:rFonts w:hint="eastAsia"/>
        </w:rPr>
        <w:t>據司法院表示：法院如於協商式審理過程，發現該少年有其他觸法事由，應由少年調查官向少年法院報告，</w:t>
      </w:r>
      <w:proofErr w:type="gramStart"/>
      <w:r w:rsidRPr="00F92F95">
        <w:rPr>
          <w:rFonts w:hint="eastAsia"/>
        </w:rPr>
        <w:t>踐行</w:t>
      </w:r>
      <w:proofErr w:type="gramEnd"/>
      <w:r w:rsidRPr="00F92F95">
        <w:rPr>
          <w:rFonts w:hint="eastAsia"/>
        </w:rPr>
        <w:t>立案</w:t>
      </w:r>
      <w:proofErr w:type="gramStart"/>
      <w:r w:rsidRPr="00F92F95">
        <w:rPr>
          <w:rFonts w:hint="eastAsia"/>
        </w:rPr>
        <w:t>併</w:t>
      </w:r>
      <w:proofErr w:type="gramEnd"/>
      <w:r w:rsidRPr="00F92F95">
        <w:rPr>
          <w:rFonts w:hint="eastAsia"/>
        </w:rPr>
        <w:t>辦之程序</w:t>
      </w:r>
      <w:r w:rsidR="00357AFC">
        <w:rPr>
          <w:rFonts w:hint="eastAsia"/>
        </w:rPr>
        <w:t>。並表示此一環節涉及少年保護事件法制面之探討，</w:t>
      </w:r>
      <w:r w:rsidR="00357AFC" w:rsidRPr="00357AFC">
        <w:rPr>
          <w:rFonts w:hint="eastAsia"/>
        </w:rPr>
        <w:t>借鏡日本學者</w:t>
      </w:r>
      <w:proofErr w:type="gramStart"/>
      <w:r w:rsidR="00357AFC" w:rsidRPr="00357AFC">
        <w:rPr>
          <w:rFonts w:hint="eastAsia"/>
        </w:rPr>
        <w:t>通說及實務</w:t>
      </w:r>
      <w:proofErr w:type="gramEnd"/>
      <w:r w:rsidR="00357AFC" w:rsidRPr="00357AFC">
        <w:rPr>
          <w:rFonts w:hint="eastAsia"/>
        </w:rPr>
        <w:t>發展之見解，少年保護事件之目的，係藉由對非行少年為性格之矯正及環境之調整，以維護少年健全成長之目的，故日本學界早期雖認為少年審判之對象係少年的「需保護性」，認為法官對於未經移送之少年非行，得不經立案程序</w:t>
      </w:r>
      <w:proofErr w:type="gramStart"/>
      <w:r w:rsidR="00357AFC" w:rsidRPr="00357AFC">
        <w:rPr>
          <w:rFonts w:hint="eastAsia"/>
        </w:rPr>
        <w:t>逕</w:t>
      </w:r>
      <w:proofErr w:type="gramEnd"/>
      <w:r w:rsidR="00357AFC" w:rsidRPr="00357AFC">
        <w:rPr>
          <w:rFonts w:hint="eastAsia"/>
        </w:rPr>
        <w:t>予調查審理。但晚近注重正當法律程序之保障，審理對象應依「少年」與「非</w:t>
      </w:r>
      <w:r w:rsidR="00357AFC" w:rsidRPr="00357AFC">
        <w:rPr>
          <w:rFonts w:hint="eastAsia"/>
        </w:rPr>
        <w:lastRenderedPageBreak/>
        <w:t>行事實」而特定。如未</w:t>
      </w:r>
      <w:proofErr w:type="gramStart"/>
      <w:r w:rsidR="00357AFC" w:rsidRPr="00357AFC">
        <w:rPr>
          <w:rFonts w:hint="eastAsia"/>
        </w:rPr>
        <w:t>踐行</w:t>
      </w:r>
      <w:proofErr w:type="gramEnd"/>
      <w:r w:rsidR="00357AFC" w:rsidRPr="00357AFC">
        <w:rPr>
          <w:rFonts w:hint="eastAsia"/>
        </w:rPr>
        <w:t>立案、告知變更事實認定及聽取辯解等少年權利保障之程序，不利於少年的防禦，即屬違反正當法律程序保障</w:t>
      </w:r>
      <w:r w:rsidRPr="00F92F95">
        <w:rPr>
          <w:rFonts w:hint="eastAsia"/>
        </w:rPr>
        <w:t>等語。</w:t>
      </w:r>
    </w:p>
    <w:p w:rsidR="00F92F95" w:rsidRPr="00F92F95" w:rsidRDefault="005D1FA4" w:rsidP="00357AFC">
      <w:pPr>
        <w:pStyle w:val="5"/>
      </w:pPr>
      <w:r>
        <w:rPr>
          <w:rFonts w:hint="eastAsia"/>
        </w:rPr>
        <w:t>本院認為</w:t>
      </w:r>
      <w:r w:rsidR="00357AFC" w:rsidRPr="00F92F95">
        <w:rPr>
          <w:rFonts w:hint="eastAsia"/>
        </w:rPr>
        <w:t>，少年法院之審理對象為少年的需保護性，對於卷內之觸法事實，</w:t>
      </w:r>
      <w:r w:rsidR="00357AFC">
        <w:rPr>
          <w:rFonts w:hint="eastAsia"/>
        </w:rPr>
        <w:t>少年法院團隊仍應</w:t>
      </w:r>
      <w:proofErr w:type="gramStart"/>
      <w:r w:rsidR="00357AFC">
        <w:rPr>
          <w:rFonts w:hint="eastAsia"/>
        </w:rPr>
        <w:t>踐行</w:t>
      </w:r>
      <w:proofErr w:type="gramEnd"/>
      <w:r w:rsidR="00357AFC" w:rsidRPr="00F92F95">
        <w:rPr>
          <w:rFonts w:hint="eastAsia"/>
        </w:rPr>
        <w:t>移送及立案程序，</w:t>
      </w:r>
      <w:r w:rsidR="00357AFC">
        <w:rPr>
          <w:rFonts w:hint="eastAsia"/>
        </w:rPr>
        <w:t>以</w:t>
      </w:r>
      <w:r w:rsidR="00357AFC" w:rsidRPr="00F92F95">
        <w:rPr>
          <w:rFonts w:hint="eastAsia"/>
        </w:rPr>
        <w:t>保障少年之辯護權</w:t>
      </w:r>
      <w:r w:rsidR="00357AFC">
        <w:rPr>
          <w:rFonts w:hint="eastAsia"/>
        </w:rPr>
        <w:t>，</w:t>
      </w:r>
      <w:r w:rsidR="00357AFC" w:rsidRPr="00F92F95">
        <w:rPr>
          <w:rFonts w:hint="eastAsia"/>
        </w:rPr>
        <w:t>不能置之不顧。</w:t>
      </w:r>
      <w:r w:rsidR="009F1EE3" w:rsidRPr="00E27473">
        <w:rPr>
          <w:rFonts w:hint="eastAsia"/>
        </w:rPr>
        <w:t>桃園地院</w:t>
      </w:r>
      <w:r w:rsidR="003310D1" w:rsidRPr="00E27473">
        <w:rPr>
          <w:rFonts w:hint="eastAsia"/>
        </w:rPr>
        <w:t>少年法庭於調查審理</w:t>
      </w:r>
      <w:proofErr w:type="gramStart"/>
      <w:r w:rsidR="009F1EE3" w:rsidRPr="00E27473">
        <w:rPr>
          <w:rFonts w:hint="eastAsia"/>
        </w:rPr>
        <w:t>102</w:t>
      </w:r>
      <w:proofErr w:type="gramEnd"/>
      <w:r w:rsidR="009F1EE3" w:rsidRPr="00E27473">
        <w:rPr>
          <w:rFonts w:hint="eastAsia"/>
        </w:rPr>
        <w:t>年度</w:t>
      </w:r>
      <w:proofErr w:type="gramStart"/>
      <w:r w:rsidR="009F1EE3" w:rsidRPr="00E27473">
        <w:rPr>
          <w:rFonts w:hint="eastAsia"/>
        </w:rPr>
        <w:t>少護字</w:t>
      </w:r>
      <w:proofErr w:type="gramEnd"/>
      <w:r w:rsidR="009F1EE3" w:rsidRPr="00E27473">
        <w:rPr>
          <w:rFonts w:hint="eastAsia"/>
        </w:rPr>
        <w:t>第904號</w:t>
      </w:r>
      <w:r w:rsidR="003310D1" w:rsidRPr="00E27473">
        <w:rPr>
          <w:rFonts w:hint="eastAsia"/>
        </w:rPr>
        <w:t>少年保護事件時，</w:t>
      </w:r>
      <w:r w:rsidR="009F1EE3" w:rsidRPr="00E27473">
        <w:rPr>
          <w:rFonts w:hint="eastAsia"/>
        </w:rPr>
        <w:t>少年調查官未向法院報告</w:t>
      </w:r>
      <w:r w:rsidR="003310D1" w:rsidRPr="00E27473">
        <w:rPr>
          <w:rFonts w:hint="eastAsia"/>
        </w:rPr>
        <w:t>A少年其他觸法行為</w:t>
      </w:r>
      <w:r w:rsidR="009F1EE3" w:rsidRPr="00E27473">
        <w:rPr>
          <w:rFonts w:hint="eastAsia"/>
        </w:rPr>
        <w:t>，據以另行立案</w:t>
      </w:r>
      <w:r w:rsidR="00357AFC" w:rsidRPr="00E27473">
        <w:rPr>
          <w:rFonts w:hint="eastAsia"/>
        </w:rPr>
        <w:t>，亦未</w:t>
      </w:r>
      <w:r w:rsidR="00E27903" w:rsidRPr="00E27473">
        <w:rPr>
          <w:rFonts w:hint="eastAsia"/>
        </w:rPr>
        <w:t>發交司法警察調查</w:t>
      </w:r>
      <w:r w:rsidR="003310D1" w:rsidRPr="00E27473">
        <w:rPr>
          <w:rFonts w:hint="eastAsia"/>
        </w:rPr>
        <w:t>後另案</w:t>
      </w:r>
      <w:r w:rsidR="00E27903" w:rsidRPr="00E27473">
        <w:rPr>
          <w:rFonts w:hint="eastAsia"/>
        </w:rPr>
        <w:t>移送</w:t>
      </w:r>
      <w:r w:rsidR="00357AFC" w:rsidRPr="00E27473">
        <w:rPr>
          <w:rFonts w:hint="eastAsia"/>
        </w:rPr>
        <w:t>，</w:t>
      </w:r>
      <w:proofErr w:type="gramStart"/>
      <w:r w:rsidR="00E27903" w:rsidRPr="00E27473">
        <w:rPr>
          <w:rFonts w:hint="eastAsia"/>
        </w:rPr>
        <w:t>怠</w:t>
      </w:r>
      <w:proofErr w:type="gramEnd"/>
      <w:r w:rsidR="00E27903" w:rsidRPr="00E27473">
        <w:rPr>
          <w:rFonts w:hint="eastAsia"/>
        </w:rPr>
        <w:t>於</w:t>
      </w:r>
      <w:proofErr w:type="gramStart"/>
      <w:r w:rsidR="00F775A5" w:rsidRPr="00E27473">
        <w:rPr>
          <w:rFonts w:hint="eastAsia"/>
        </w:rPr>
        <w:t>釐</w:t>
      </w:r>
      <w:proofErr w:type="gramEnd"/>
      <w:r w:rsidR="00F775A5" w:rsidRPr="00E27473">
        <w:rPr>
          <w:rFonts w:hint="eastAsia"/>
        </w:rPr>
        <w:t>清</w:t>
      </w:r>
      <w:r w:rsidRPr="00E27473">
        <w:rPr>
          <w:rFonts w:hint="eastAsia"/>
        </w:rPr>
        <w:t>A少年</w:t>
      </w:r>
      <w:r w:rsidR="009F1EE3" w:rsidRPr="00E27473">
        <w:rPr>
          <w:rFonts w:hint="eastAsia"/>
        </w:rPr>
        <w:t>觸法</w:t>
      </w:r>
      <w:r w:rsidR="00E27903" w:rsidRPr="00E27473">
        <w:rPr>
          <w:rFonts w:hint="eastAsia"/>
        </w:rPr>
        <w:t>行為</w:t>
      </w:r>
      <w:r w:rsidR="009F1EE3" w:rsidRPr="00E27473">
        <w:rPr>
          <w:rFonts w:hint="eastAsia"/>
        </w:rPr>
        <w:t>之</w:t>
      </w:r>
      <w:r w:rsidR="00E27903" w:rsidRPr="00E27473">
        <w:rPr>
          <w:rFonts w:hint="eastAsia"/>
        </w:rPr>
        <w:t>全貌</w:t>
      </w:r>
      <w:r w:rsidR="00F775A5" w:rsidRPr="00E27473">
        <w:rPr>
          <w:rFonts w:hint="eastAsia"/>
        </w:rPr>
        <w:t>，即以</w:t>
      </w:r>
      <w:r w:rsidRPr="00E27473">
        <w:rPr>
          <w:rFonts w:hint="eastAsia"/>
          <w:szCs w:val="32"/>
        </w:rPr>
        <w:t>A少年</w:t>
      </w:r>
      <w:r w:rsidR="00E27903" w:rsidRPr="00E27473">
        <w:rPr>
          <w:rFonts w:hint="eastAsia"/>
          <w:szCs w:val="32"/>
        </w:rPr>
        <w:t>、法定代理人</w:t>
      </w:r>
      <w:r w:rsidR="003310D1" w:rsidRPr="00E27473">
        <w:rPr>
          <w:rFonts w:hint="eastAsia"/>
          <w:szCs w:val="32"/>
        </w:rPr>
        <w:t>等</w:t>
      </w:r>
      <w:r w:rsidR="00E27903" w:rsidRPr="00E27473">
        <w:rPr>
          <w:rFonts w:hint="eastAsia"/>
          <w:szCs w:val="32"/>
        </w:rPr>
        <w:t>同意少年調查官建議為由</w:t>
      </w:r>
      <w:r w:rsidR="000236E7" w:rsidRPr="00E27473">
        <w:rPr>
          <w:rFonts w:hint="eastAsia"/>
          <w:szCs w:val="32"/>
        </w:rPr>
        <w:t>，施以感化教育處分。且法官</w:t>
      </w:r>
      <w:r w:rsidR="00E27903" w:rsidRPr="00E27473">
        <w:rPr>
          <w:rFonts w:hint="eastAsia"/>
          <w:szCs w:val="32"/>
        </w:rPr>
        <w:t>以</w:t>
      </w:r>
      <w:r w:rsidR="00F775A5" w:rsidRPr="00E27473">
        <w:rPr>
          <w:rFonts w:hint="eastAsia"/>
        </w:rPr>
        <w:t>宣示筆錄代替裁判書</w:t>
      </w:r>
      <w:r w:rsidR="00E27903" w:rsidRPr="00E27473">
        <w:rPr>
          <w:rFonts w:hint="eastAsia"/>
        </w:rPr>
        <w:t>，</w:t>
      </w:r>
      <w:r w:rsidR="00F775A5" w:rsidRPr="00E27473">
        <w:rPr>
          <w:rFonts w:hint="eastAsia"/>
        </w:rPr>
        <w:t>筆錄內僅記載裁定主文</w:t>
      </w:r>
      <w:r w:rsidR="009F1EE3" w:rsidRPr="00E27473">
        <w:rPr>
          <w:rFonts w:hint="eastAsia"/>
        </w:rPr>
        <w:t>，事實及</w:t>
      </w:r>
      <w:proofErr w:type="gramStart"/>
      <w:r w:rsidR="009F1EE3" w:rsidRPr="00E27473">
        <w:rPr>
          <w:rFonts w:hint="eastAsia"/>
        </w:rPr>
        <w:t>理由均付之</w:t>
      </w:r>
      <w:proofErr w:type="gramEnd"/>
      <w:r w:rsidR="009F1EE3" w:rsidRPr="00E27473">
        <w:rPr>
          <w:rFonts w:hint="eastAsia"/>
        </w:rPr>
        <w:t>闕如</w:t>
      </w:r>
      <w:r w:rsidR="00F775A5" w:rsidRPr="00E27473">
        <w:rPr>
          <w:rFonts w:hint="eastAsia"/>
        </w:rPr>
        <w:t>，難以確認其審理對象及審判範圍</w:t>
      </w:r>
      <w:r w:rsidR="00357AFC" w:rsidRPr="00E27473">
        <w:rPr>
          <w:rFonts w:hint="eastAsia"/>
        </w:rPr>
        <w:t>，不符正當法律程序</w:t>
      </w:r>
      <w:r w:rsidR="009F1EE3" w:rsidRPr="00E27473">
        <w:rPr>
          <w:rFonts w:hint="eastAsia"/>
        </w:rPr>
        <w:t>，</w:t>
      </w:r>
      <w:proofErr w:type="gramStart"/>
      <w:r w:rsidR="009F1EE3" w:rsidRPr="00E27473">
        <w:rPr>
          <w:rFonts w:hint="eastAsia"/>
        </w:rPr>
        <w:t>均有失當</w:t>
      </w:r>
      <w:proofErr w:type="gramEnd"/>
      <w:r w:rsidR="00F775A5" w:rsidRPr="00E27473">
        <w:rPr>
          <w:rFonts w:hint="eastAsia"/>
        </w:rPr>
        <w:t>。</w:t>
      </w:r>
    </w:p>
    <w:p w:rsidR="00F775A5" w:rsidRPr="003310D1" w:rsidRDefault="00F775A5" w:rsidP="00E27903">
      <w:pPr>
        <w:pStyle w:val="5"/>
        <w:rPr>
          <w:color w:val="FF0000"/>
        </w:rPr>
      </w:pPr>
      <w:r w:rsidRPr="00F92F95">
        <w:rPr>
          <w:rFonts w:hint="eastAsia"/>
        </w:rPr>
        <w:t>至於</w:t>
      </w:r>
      <w:r w:rsidR="005D1FA4">
        <w:rPr>
          <w:rFonts w:hint="eastAsia"/>
        </w:rPr>
        <w:t>A少年</w:t>
      </w:r>
      <w:r w:rsidRPr="00F92F95">
        <w:rPr>
          <w:rFonts w:hint="eastAsia"/>
        </w:rPr>
        <w:t>法定代理人指稱，該次審理結束後，曾詢問承審法官若警方嗣後</w:t>
      </w:r>
      <w:proofErr w:type="gramStart"/>
      <w:r w:rsidRPr="00F92F95">
        <w:rPr>
          <w:rFonts w:hint="eastAsia"/>
        </w:rPr>
        <w:t>將蘆竹案</w:t>
      </w:r>
      <w:proofErr w:type="gramEnd"/>
      <w:r w:rsidRPr="00F92F95">
        <w:rPr>
          <w:rFonts w:hint="eastAsia"/>
        </w:rPr>
        <w:t>移送法院將如何處理？法官告稱將不付審理等節，經</w:t>
      </w:r>
      <w:r w:rsidR="00E27903" w:rsidRPr="00F92F95">
        <w:rPr>
          <w:rFonts w:hint="eastAsia"/>
        </w:rPr>
        <w:t>本院</w:t>
      </w:r>
      <w:r w:rsidRPr="00F92F95">
        <w:rPr>
          <w:rFonts w:hint="eastAsia"/>
        </w:rPr>
        <w:t>調取該次審理錄音光碟勘驗，未發現有相關對話，</w:t>
      </w:r>
      <w:proofErr w:type="gramStart"/>
      <w:r w:rsidRPr="00F92F95">
        <w:rPr>
          <w:rFonts w:hint="eastAsia"/>
        </w:rPr>
        <w:t>並此敘</w:t>
      </w:r>
      <w:proofErr w:type="gramEnd"/>
      <w:r w:rsidRPr="00F92F95">
        <w:rPr>
          <w:rFonts w:hint="eastAsia"/>
        </w:rPr>
        <w:t>明。</w:t>
      </w:r>
    </w:p>
    <w:p w:rsidR="00676443" w:rsidRDefault="0094652E" w:rsidP="0094652E">
      <w:pPr>
        <w:pStyle w:val="3"/>
        <w:rPr>
          <w:b/>
        </w:rPr>
      </w:pPr>
      <w:r w:rsidRPr="0094652E">
        <w:rPr>
          <w:rFonts w:hint="eastAsia"/>
          <w:b/>
        </w:rPr>
        <w:t>桃園地院調查審理</w:t>
      </w:r>
      <w:proofErr w:type="gramStart"/>
      <w:r w:rsidRPr="0094652E">
        <w:rPr>
          <w:rFonts w:hint="eastAsia"/>
          <w:b/>
        </w:rPr>
        <w:t>105</w:t>
      </w:r>
      <w:proofErr w:type="gramEnd"/>
      <w:r w:rsidRPr="0094652E">
        <w:rPr>
          <w:rFonts w:hint="eastAsia"/>
          <w:b/>
        </w:rPr>
        <w:t>年度</w:t>
      </w:r>
      <w:proofErr w:type="gramStart"/>
      <w:r w:rsidRPr="0094652E">
        <w:rPr>
          <w:rFonts w:hint="eastAsia"/>
          <w:b/>
        </w:rPr>
        <w:t>少護字</w:t>
      </w:r>
      <w:proofErr w:type="gramEnd"/>
      <w:r w:rsidRPr="0094652E">
        <w:rPr>
          <w:rFonts w:hint="eastAsia"/>
          <w:b/>
        </w:rPr>
        <w:t>第30號少年保護事件（後事件），因</w:t>
      </w:r>
      <w:r w:rsidR="005D1FA4">
        <w:rPr>
          <w:rFonts w:hint="eastAsia"/>
          <w:b/>
        </w:rPr>
        <w:t>A</w:t>
      </w:r>
      <w:proofErr w:type="gramStart"/>
      <w:r w:rsidR="005D1FA4">
        <w:rPr>
          <w:rFonts w:hint="eastAsia"/>
          <w:b/>
        </w:rPr>
        <w:t>少年</w:t>
      </w:r>
      <w:r w:rsidRPr="0094652E">
        <w:rPr>
          <w:rFonts w:hint="eastAsia"/>
          <w:b/>
        </w:rPr>
        <w:t>在誠正</w:t>
      </w:r>
      <w:proofErr w:type="gramEnd"/>
      <w:r w:rsidRPr="0094652E">
        <w:rPr>
          <w:rFonts w:hint="eastAsia"/>
          <w:b/>
        </w:rPr>
        <w:t>中學之執行狀況尚不穩定，為持續觀察其改善情形，並欲藉由司法約束力引導</w:t>
      </w:r>
      <w:r w:rsidR="005D1FA4">
        <w:rPr>
          <w:rFonts w:hint="eastAsia"/>
          <w:b/>
        </w:rPr>
        <w:t>A少年</w:t>
      </w:r>
      <w:r w:rsidRPr="0094652E">
        <w:rPr>
          <w:rFonts w:hint="eastAsia"/>
          <w:b/>
        </w:rPr>
        <w:t>回歸正途，於105年5月4日裁定交付觀察6個月，惟</w:t>
      </w:r>
      <w:r w:rsidR="005D1FA4">
        <w:rPr>
          <w:rFonts w:hint="eastAsia"/>
          <w:b/>
        </w:rPr>
        <w:t>A少年</w:t>
      </w:r>
      <w:r w:rsidRPr="0094652E">
        <w:rPr>
          <w:rFonts w:hint="eastAsia"/>
          <w:b/>
        </w:rPr>
        <w:t>在</w:t>
      </w:r>
      <w:r w:rsidR="00144714">
        <w:rPr>
          <w:rFonts w:hint="eastAsia"/>
          <w:b/>
        </w:rPr>
        <w:t>結束感化教育之</w:t>
      </w:r>
      <w:r w:rsidRPr="0094652E">
        <w:rPr>
          <w:rFonts w:hint="eastAsia"/>
          <w:b/>
        </w:rPr>
        <w:t>觀察期間未遵守規定，且另涉詐欺案件遭羈押禁見，故於106年1月16日裁處A少年第2次感化教育處分，</w:t>
      </w:r>
      <w:r w:rsidR="00144714">
        <w:rPr>
          <w:rFonts w:hint="eastAsia"/>
          <w:b/>
        </w:rPr>
        <w:t>依</w:t>
      </w:r>
      <w:r w:rsidRPr="0094652E">
        <w:rPr>
          <w:rFonts w:hint="eastAsia"/>
          <w:b/>
        </w:rPr>
        <w:t>法並非無據，且屬法官審酌少年「需保護性」之審判核心</w:t>
      </w:r>
      <w:r w:rsidRPr="0094652E">
        <w:rPr>
          <w:rFonts w:hint="eastAsia"/>
          <w:b/>
        </w:rPr>
        <w:lastRenderedPageBreak/>
        <w:t>事項，自應予尊重。</w:t>
      </w:r>
    </w:p>
    <w:p w:rsidR="00FA2694" w:rsidRDefault="00FA2694" w:rsidP="00FA2694">
      <w:pPr>
        <w:pStyle w:val="4"/>
      </w:pPr>
      <w:proofErr w:type="gramStart"/>
      <w:r>
        <w:rPr>
          <w:rFonts w:hint="eastAsia"/>
        </w:rPr>
        <w:t>詢</w:t>
      </w:r>
      <w:proofErr w:type="gramEnd"/>
      <w:r>
        <w:rPr>
          <w:rFonts w:hint="eastAsia"/>
        </w:rPr>
        <w:t>據承審後事件之</w:t>
      </w:r>
      <w:r w:rsidR="004C16C8">
        <w:rPr>
          <w:rFonts w:hint="eastAsia"/>
        </w:rPr>
        <w:t>李秋梅</w:t>
      </w:r>
      <w:r>
        <w:rPr>
          <w:rFonts w:hint="eastAsia"/>
        </w:rPr>
        <w:t>法官表示略</w:t>
      </w:r>
      <w:proofErr w:type="gramStart"/>
      <w:r>
        <w:rPr>
          <w:rFonts w:hint="eastAsia"/>
        </w:rPr>
        <w:t>以</w:t>
      </w:r>
      <w:proofErr w:type="gramEnd"/>
      <w:r>
        <w:rPr>
          <w:rFonts w:hint="eastAsia"/>
        </w:rPr>
        <w:t>：</w:t>
      </w:r>
      <w:proofErr w:type="gramStart"/>
      <w:r w:rsidR="00AC5BB6">
        <w:rPr>
          <w:rFonts w:hint="eastAsia"/>
        </w:rPr>
        <w:t>其審酌</w:t>
      </w:r>
      <w:proofErr w:type="gramEnd"/>
      <w:r w:rsidR="005D1FA4">
        <w:rPr>
          <w:rFonts w:hint="eastAsia"/>
        </w:rPr>
        <w:t>A少年</w:t>
      </w:r>
      <w:r w:rsidR="00AC5BB6">
        <w:rPr>
          <w:rFonts w:hint="eastAsia"/>
        </w:rPr>
        <w:t>前事件感化教育的執行狀況不佳，參考少年調查官104年12月28日及105年3月29日之調查報告，認有交付觀察之必要，</w:t>
      </w:r>
      <w:r w:rsidR="005D1FA4">
        <w:rPr>
          <w:rFonts w:hint="eastAsia"/>
        </w:rPr>
        <w:t>A少年</w:t>
      </w:r>
      <w:r w:rsidR="00AC5BB6">
        <w:rPr>
          <w:rFonts w:hint="eastAsia"/>
        </w:rPr>
        <w:t>雖於105年8月22日經裁定免除前事件感化教育執行，但本件少年需保護性，</w:t>
      </w:r>
      <w:proofErr w:type="gramStart"/>
      <w:r w:rsidR="00AC5BB6">
        <w:rPr>
          <w:rFonts w:hint="eastAsia"/>
        </w:rPr>
        <w:t>係審酌</w:t>
      </w:r>
      <w:proofErr w:type="gramEnd"/>
      <w:r w:rsidR="005D1FA4">
        <w:rPr>
          <w:rFonts w:hint="eastAsia"/>
        </w:rPr>
        <w:t>A少年</w:t>
      </w:r>
      <w:r w:rsidR="00AC5BB6">
        <w:rPr>
          <w:rFonts w:hint="eastAsia"/>
        </w:rPr>
        <w:t>於105年8月22日自誠正中學結束感化教育返家，至106年1月16日為止，5個月又19日</w:t>
      </w:r>
      <w:r w:rsidR="005D1FA4">
        <w:rPr>
          <w:rFonts w:hint="eastAsia"/>
        </w:rPr>
        <w:t>A少年</w:t>
      </w:r>
      <w:r w:rsidR="00AC5BB6">
        <w:rPr>
          <w:rFonts w:hint="eastAsia"/>
        </w:rPr>
        <w:t>之性格、行為、生活狀態及環境等各項變動因素綜合考量。故</w:t>
      </w:r>
      <w:proofErr w:type="gramStart"/>
      <w:r w:rsidR="00AC5BB6">
        <w:rPr>
          <w:rFonts w:hint="eastAsia"/>
        </w:rPr>
        <w:t>105</w:t>
      </w:r>
      <w:proofErr w:type="gramEnd"/>
      <w:r w:rsidR="00AC5BB6">
        <w:rPr>
          <w:rFonts w:hint="eastAsia"/>
        </w:rPr>
        <w:t>年度</w:t>
      </w:r>
      <w:proofErr w:type="gramStart"/>
      <w:r w:rsidR="00AC5BB6">
        <w:rPr>
          <w:rFonts w:hint="eastAsia"/>
        </w:rPr>
        <w:t>聲免字</w:t>
      </w:r>
      <w:proofErr w:type="gramEnd"/>
      <w:r w:rsidR="00AC5BB6">
        <w:rPr>
          <w:rFonts w:hint="eastAsia"/>
        </w:rPr>
        <w:t>第105號所為之認定，對後事件需保護性認定，不具有拘束力。而</w:t>
      </w:r>
      <w:r w:rsidR="005D1FA4">
        <w:rPr>
          <w:rFonts w:hint="eastAsia"/>
        </w:rPr>
        <w:t>A少年</w:t>
      </w:r>
      <w:r w:rsidR="00AC5BB6">
        <w:rPr>
          <w:rFonts w:hint="eastAsia"/>
        </w:rPr>
        <w:t>行為時未滿18歲，在其年滿20歲(即107年5月3日)之前，裁定交付觀察及保護處分並無違法，且保護處分具有保護</w:t>
      </w:r>
      <w:r w:rsidR="005D1FA4">
        <w:rPr>
          <w:rFonts w:hint="eastAsia"/>
        </w:rPr>
        <w:t>A少年</w:t>
      </w:r>
      <w:r w:rsidR="00AC5BB6">
        <w:rPr>
          <w:rFonts w:hint="eastAsia"/>
        </w:rPr>
        <w:t>隔絕不良社會環境，在機構內教育調整偏差觀念行為，並輔導學習相關學業及就業技能等功能，與成年刑事犯罪之</w:t>
      </w:r>
      <w:proofErr w:type="gramStart"/>
      <w:r w:rsidR="00AC5BB6">
        <w:rPr>
          <w:rFonts w:hint="eastAsia"/>
        </w:rPr>
        <w:t>徒刑係重在</w:t>
      </w:r>
      <w:proofErr w:type="gramEnd"/>
      <w:r w:rsidR="00AC5BB6">
        <w:rPr>
          <w:rFonts w:hint="eastAsia"/>
        </w:rPr>
        <w:t>監禁應報之性質完全不同，所謂【</w:t>
      </w:r>
      <w:proofErr w:type="spellStart"/>
      <w:r w:rsidR="005D1FA4">
        <w:rPr>
          <w:rFonts w:hint="eastAsia"/>
        </w:rPr>
        <w:t>A</w:t>
      </w:r>
      <w:proofErr w:type="spellEnd"/>
      <w:r w:rsidR="005D1FA4">
        <w:rPr>
          <w:rFonts w:hint="eastAsia"/>
        </w:rPr>
        <w:t>少年</w:t>
      </w:r>
      <w:r w:rsidR="00AC5BB6">
        <w:rPr>
          <w:rFonts w:hint="eastAsia"/>
        </w:rPr>
        <w:t>有無因滿18歲後之行為，遭受刑事訴追及感化教育雙重追訴處罰之虞】之疑慮，係對該案裁定感化教育之依據及理由有所誤會等語。</w:t>
      </w:r>
    </w:p>
    <w:p w:rsidR="00FA2694" w:rsidRDefault="00FA2694" w:rsidP="00FA2694">
      <w:pPr>
        <w:pStyle w:val="4"/>
      </w:pPr>
      <w:r>
        <w:rPr>
          <w:rFonts w:hint="eastAsia"/>
        </w:rPr>
        <w:t>經查：</w:t>
      </w:r>
    </w:p>
    <w:p w:rsidR="00FA2694" w:rsidRDefault="00FA2694" w:rsidP="00FA2694">
      <w:pPr>
        <w:pStyle w:val="5"/>
      </w:pPr>
      <w:r w:rsidRPr="00043CF9">
        <w:rPr>
          <w:rFonts w:hint="eastAsia"/>
        </w:rPr>
        <w:t>桃園地院</w:t>
      </w:r>
      <w:proofErr w:type="gramStart"/>
      <w:r w:rsidRPr="00043CF9">
        <w:rPr>
          <w:rFonts w:hint="eastAsia"/>
        </w:rPr>
        <w:t>105</w:t>
      </w:r>
      <w:proofErr w:type="gramEnd"/>
      <w:r w:rsidRPr="00043CF9">
        <w:rPr>
          <w:rFonts w:hint="eastAsia"/>
        </w:rPr>
        <w:t>年度</w:t>
      </w:r>
      <w:proofErr w:type="gramStart"/>
      <w:r w:rsidRPr="00043CF9">
        <w:rPr>
          <w:rFonts w:hint="eastAsia"/>
        </w:rPr>
        <w:t>少護字</w:t>
      </w:r>
      <w:proofErr w:type="gramEnd"/>
      <w:r w:rsidRPr="00043CF9">
        <w:rPr>
          <w:rFonts w:hint="eastAsia"/>
        </w:rPr>
        <w:t>第30號少年保護事件</w:t>
      </w:r>
      <w:r>
        <w:rPr>
          <w:rFonts w:hint="eastAsia"/>
        </w:rPr>
        <w:t>（後事件）</w:t>
      </w:r>
      <w:proofErr w:type="gramStart"/>
      <w:r w:rsidRPr="00043CF9">
        <w:rPr>
          <w:rFonts w:hint="eastAsia"/>
        </w:rPr>
        <w:t>係蘆竹警</w:t>
      </w:r>
      <w:proofErr w:type="gramEnd"/>
      <w:r w:rsidRPr="00043CF9">
        <w:rPr>
          <w:rFonts w:hint="eastAsia"/>
        </w:rPr>
        <w:t>分局於104年8月25日移送少年</w:t>
      </w:r>
      <w:r>
        <w:rPr>
          <w:rFonts w:hint="eastAsia"/>
        </w:rPr>
        <w:t>法</w:t>
      </w:r>
      <w:r w:rsidRPr="00043CF9">
        <w:rPr>
          <w:rFonts w:hint="eastAsia"/>
        </w:rPr>
        <w:t>庭，所載之移送事實，業經</w:t>
      </w:r>
      <w:r w:rsidR="005D1FA4">
        <w:rPr>
          <w:rFonts w:hint="eastAsia"/>
        </w:rPr>
        <w:t>A少年</w:t>
      </w:r>
      <w:r w:rsidRPr="00043CF9">
        <w:rPr>
          <w:rFonts w:hint="eastAsia"/>
        </w:rPr>
        <w:t>於</w:t>
      </w:r>
      <w:proofErr w:type="gramStart"/>
      <w:r w:rsidRPr="00043CF9">
        <w:rPr>
          <w:rFonts w:hint="eastAsia"/>
        </w:rPr>
        <w:t>102</w:t>
      </w:r>
      <w:proofErr w:type="gramEnd"/>
      <w:r w:rsidRPr="00043CF9">
        <w:rPr>
          <w:rFonts w:hint="eastAsia"/>
        </w:rPr>
        <w:t>年度</w:t>
      </w:r>
      <w:proofErr w:type="gramStart"/>
      <w:r w:rsidRPr="00043CF9">
        <w:rPr>
          <w:rFonts w:hint="eastAsia"/>
        </w:rPr>
        <w:t>少護字</w:t>
      </w:r>
      <w:proofErr w:type="gramEnd"/>
      <w:r w:rsidRPr="00043CF9">
        <w:rPr>
          <w:rFonts w:hint="eastAsia"/>
        </w:rPr>
        <w:t>第904號警方調查及法院審理時自陳，有如前述。</w:t>
      </w:r>
      <w:r>
        <w:rPr>
          <w:rFonts w:hint="eastAsia"/>
        </w:rPr>
        <w:t>而警方移送後事件時，A少年尚在誠正中學接受感化教育，經法院借提進行調查，A少年對警方移送之後事件坦</w:t>
      </w:r>
      <w:r w:rsidR="00D311C5">
        <w:rPr>
          <w:rFonts w:hint="eastAsia"/>
        </w:rPr>
        <w:t>承</w:t>
      </w:r>
      <w:r>
        <w:rPr>
          <w:rFonts w:hint="eastAsia"/>
        </w:rPr>
        <w:t>不諱。少年法庭遂於105年5月4日裁定</w:t>
      </w:r>
      <w:r w:rsidRPr="00043CF9">
        <w:rPr>
          <w:rFonts w:hint="eastAsia"/>
        </w:rPr>
        <w:t>交付觀察6個月</w:t>
      </w:r>
      <w:r>
        <w:rPr>
          <w:rFonts w:hint="eastAsia"/>
        </w:rPr>
        <w:t>。</w:t>
      </w:r>
      <w:r w:rsidRPr="007248C5">
        <w:rPr>
          <w:rFonts w:hint="eastAsia"/>
        </w:rPr>
        <w:t>觀</w:t>
      </w:r>
      <w:r w:rsidRPr="007248C5">
        <w:rPr>
          <w:rFonts w:hint="eastAsia"/>
        </w:rPr>
        <w:lastRenderedPageBreak/>
        <w:t>察期間認為A少年已改過遷善，於105年8月免除前事件感化教育之執行</w:t>
      </w:r>
      <w:r>
        <w:rPr>
          <w:rFonts w:hint="eastAsia"/>
        </w:rPr>
        <w:t>。</w:t>
      </w:r>
    </w:p>
    <w:p w:rsidR="00FA2694" w:rsidRDefault="005D1FA4" w:rsidP="00FA2694">
      <w:pPr>
        <w:pStyle w:val="5"/>
      </w:pPr>
      <w:r>
        <w:rPr>
          <w:rFonts w:hint="eastAsia"/>
        </w:rPr>
        <w:t>A少年</w:t>
      </w:r>
      <w:r w:rsidR="00FA2694">
        <w:rPr>
          <w:rFonts w:hint="eastAsia"/>
        </w:rPr>
        <w:t>返家後，於105年12月1日又因涉嫌詐欺等案，經檢察官聲請羈押禁見獲准（</w:t>
      </w:r>
      <w:r w:rsidR="00FA2694" w:rsidRPr="0056465A">
        <w:rPr>
          <w:rFonts w:hint="eastAsia"/>
        </w:rPr>
        <w:t>新北地院105聲</w:t>
      </w:r>
      <w:proofErr w:type="gramStart"/>
      <w:r w:rsidR="00FA2694" w:rsidRPr="0056465A">
        <w:rPr>
          <w:rFonts w:hint="eastAsia"/>
        </w:rPr>
        <w:t>羈</w:t>
      </w:r>
      <w:proofErr w:type="gramEnd"/>
      <w:r w:rsidR="00FA2694" w:rsidRPr="0056465A">
        <w:rPr>
          <w:rFonts w:hint="eastAsia"/>
        </w:rPr>
        <w:t>字第556號</w:t>
      </w:r>
      <w:r w:rsidR="00FA2694">
        <w:rPr>
          <w:rFonts w:hint="eastAsia"/>
        </w:rPr>
        <w:t>）。少年調查官</w:t>
      </w:r>
      <w:r w:rsidR="004C16C8">
        <w:rPr>
          <w:rFonts w:hint="eastAsia"/>
        </w:rPr>
        <w:t>楊秀卿</w:t>
      </w:r>
      <w:r w:rsidR="00FA2694">
        <w:rPr>
          <w:rFonts w:hint="eastAsia"/>
        </w:rPr>
        <w:t>接見</w:t>
      </w:r>
      <w:r>
        <w:rPr>
          <w:rFonts w:hint="eastAsia"/>
        </w:rPr>
        <w:t>A少年</w:t>
      </w:r>
      <w:r w:rsidR="00FA2694">
        <w:rPr>
          <w:rFonts w:hint="eastAsia"/>
        </w:rPr>
        <w:t>後，提出少年調查報告略</w:t>
      </w:r>
      <w:proofErr w:type="gramStart"/>
      <w:r w:rsidR="00FA2694">
        <w:rPr>
          <w:rFonts w:hint="eastAsia"/>
        </w:rPr>
        <w:t>以</w:t>
      </w:r>
      <w:proofErr w:type="gramEnd"/>
      <w:r w:rsidR="00FA2694">
        <w:rPr>
          <w:rFonts w:hint="eastAsia"/>
        </w:rPr>
        <w:t>：「少年於105年8月22日因免除感化教育返家，8月25日由少祖父陪同前來報到，少年一來即臉色凝重，稱回家後</w:t>
      </w:r>
      <w:r>
        <w:rPr>
          <w:rFonts w:hint="eastAsia"/>
        </w:rPr>
        <w:t>還</w:t>
      </w:r>
      <w:r w:rsidR="00FA2694">
        <w:rPr>
          <w:rFonts w:hint="eastAsia"/>
        </w:rPr>
        <w:t>是沒有自由，與祖父時有衝突，可明顯感受到少年之適應不良。後少年於9月4日陪同少年來談，稱少年出校後仍繼續與</w:t>
      </w:r>
      <w:proofErr w:type="gramStart"/>
      <w:r w:rsidR="00FA2694">
        <w:rPr>
          <w:rFonts w:hint="eastAsia"/>
        </w:rPr>
        <w:t>昔日損</w:t>
      </w:r>
      <w:proofErr w:type="gramEnd"/>
      <w:r w:rsidR="00FA2694">
        <w:rPr>
          <w:rFonts w:hint="eastAsia"/>
        </w:rPr>
        <w:t>友聯繫，有晚歸情形，直至8月26日遭人毆打後，行為始有所收斂，少年對此則稱</w:t>
      </w:r>
      <w:proofErr w:type="gramStart"/>
      <w:r w:rsidR="00FA2694">
        <w:rPr>
          <w:rFonts w:hint="eastAsia"/>
        </w:rPr>
        <w:t>自已</w:t>
      </w:r>
      <w:proofErr w:type="gramEnd"/>
      <w:r w:rsidR="00FA2694">
        <w:rPr>
          <w:rFonts w:hint="eastAsia"/>
        </w:rPr>
        <w:t>乃因昔日詐欺贓款之問題遭毆打，可見其並未斷絕與昔日之</w:t>
      </w:r>
      <w:proofErr w:type="gramStart"/>
      <w:r w:rsidR="00FA2694">
        <w:rPr>
          <w:rFonts w:hint="eastAsia"/>
        </w:rPr>
        <w:t>不</w:t>
      </w:r>
      <w:proofErr w:type="gramEnd"/>
      <w:r w:rsidR="00FA2694">
        <w:rPr>
          <w:rFonts w:hint="eastAsia"/>
        </w:rPr>
        <w:t>良友伴來往。…</w:t>
      </w:r>
      <w:proofErr w:type="gramStart"/>
      <w:r w:rsidR="00FA2694">
        <w:rPr>
          <w:rFonts w:hint="eastAsia"/>
        </w:rPr>
        <w:t>…</w:t>
      </w:r>
      <w:proofErr w:type="gramEnd"/>
      <w:r w:rsidR="00FA2694">
        <w:rPr>
          <w:rFonts w:hint="eastAsia"/>
        </w:rPr>
        <w:t>少年返家後本擬半工半讀，起初稱難以找到可以配合就學之工作，休學後又幾乎皆處於無業狀態，不久後少年即因詐欺案遭收押禁見，可見其返家後多</w:t>
      </w:r>
      <w:proofErr w:type="gramStart"/>
      <w:r w:rsidR="00FA2694">
        <w:rPr>
          <w:rFonts w:hint="eastAsia"/>
        </w:rPr>
        <w:t>游</w:t>
      </w:r>
      <w:proofErr w:type="gramEnd"/>
      <w:r w:rsidR="00FA2694">
        <w:rPr>
          <w:rFonts w:hint="eastAsia"/>
        </w:rPr>
        <w:t>手好</w:t>
      </w:r>
      <w:proofErr w:type="gramStart"/>
      <w:r w:rsidR="00FA2694">
        <w:rPr>
          <w:rFonts w:hint="eastAsia"/>
        </w:rPr>
        <w:t>閒</w:t>
      </w:r>
      <w:proofErr w:type="gramEnd"/>
      <w:r w:rsidR="00FA2694">
        <w:rPr>
          <w:rFonts w:hint="eastAsia"/>
        </w:rPr>
        <w:t>，後其又加入詐騙集團，金錢及是非價值觀已嚴重偏差。少年交付觀察</w:t>
      </w:r>
      <w:proofErr w:type="gramStart"/>
      <w:r w:rsidR="00FA2694">
        <w:rPr>
          <w:rFonts w:hint="eastAsia"/>
        </w:rPr>
        <w:t>期間，</w:t>
      </w:r>
      <w:proofErr w:type="gramEnd"/>
      <w:r w:rsidR="00FA2694">
        <w:rPr>
          <w:rFonts w:hint="eastAsia"/>
        </w:rPr>
        <w:t>改變動機消極，滿口謊言，誠實度低落，</w:t>
      </w:r>
      <w:proofErr w:type="gramStart"/>
      <w:r w:rsidR="00FA2694">
        <w:rPr>
          <w:rFonts w:hint="eastAsia"/>
        </w:rPr>
        <w:t>受輔態度</w:t>
      </w:r>
      <w:proofErr w:type="gramEnd"/>
      <w:r w:rsidR="00FA2694">
        <w:rPr>
          <w:rFonts w:hint="eastAsia"/>
        </w:rPr>
        <w:t>陽奉</w:t>
      </w:r>
      <w:r>
        <w:rPr>
          <w:rFonts w:hint="eastAsia"/>
        </w:rPr>
        <w:t>陰</w:t>
      </w:r>
      <w:r w:rsidR="00FA2694">
        <w:rPr>
          <w:rFonts w:hint="eastAsia"/>
        </w:rPr>
        <w:t>違，非但未按先前之計畫完成學業，觀察期間又多處於無所事事之狀態，生活狀況難以掌握，更是難以服從家長及調查官之規定。…</w:t>
      </w:r>
      <w:proofErr w:type="gramStart"/>
      <w:r w:rsidR="00FA2694">
        <w:rPr>
          <w:rFonts w:hint="eastAsia"/>
        </w:rPr>
        <w:t>…</w:t>
      </w:r>
      <w:proofErr w:type="gramEnd"/>
      <w:r w:rsidR="00FA2694">
        <w:rPr>
          <w:rFonts w:hint="eastAsia"/>
        </w:rPr>
        <w:t>考量少年105年8月</w:t>
      </w:r>
      <w:proofErr w:type="gramStart"/>
      <w:r w:rsidR="006E1968">
        <w:rPr>
          <w:rFonts w:hint="eastAsia"/>
        </w:rPr>
        <w:t>甫</w:t>
      </w:r>
      <w:proofErr w:type="gramEnd"/>
      <w:r w:rsidR="00FA2694">
        <w:rPr>
          <w:rFonts w:hint="eastAsia"/>
        </w:rPr>
        <w:t>自感化教育處所出所，11月卻又加入詐欺集團，於遭收押禁見後又無法承認其錯誤，顯見其價值觀嚴重偏差，未來再犯可能性極高，已非單純社區</w:t>
      </w:r>
      <w:proofErr w:type="gramStart"/>
      <w:r w:rsidR="00FA2694">
        <w:rPr>
          <w:rFonts w:hint="eastAsia"/>
        </w:rPr>
        <w:t>處遇所能</w:t>
      </w:r>
      <w:proofErr w:type="gramEnd"/>
      <w:r w:rsidR="00FA2694">
        <w:rPr>
          <w:rFonts w:hint="eastAsia"/>
        </w:rPr>
        <w:t>收效，</w:t>
      </w:r>
      <w:proofErr w:type="gramStart"/>
      <w:r w:rsidR="00FA2694">
        <w:rPr>
          <w:rFonts w:hint="eastAsia"/>
        </w:rPr>
        <w:t>爰</w:t>
      </w:r>
      <w:proofErr w:type="gramEnd"/>
      <w:r w:rsidR="00FA2694">
        <w:rPr>
          <w:rFonts w:hint="eastAsia"/>
        </w:rPr>
        <w:t>建議感化教育處分，期能藉由再次之機構性處分，促使其確實沈</w:t>
      </w:r>
      <w:proofErr w:type="gramStart"/>
      <w:r w:rsidR="00FA2694">
        <w:rPr>
          <w:rFonts w:hint="eastAsia"/>
        </w:rPr>
        <w:t>澱</w:t>
      </w:r>
      <w:proofErr w:type="gramEnd"/>
      <w:r w:rsidR="00FA2694">
        <w:rPr>
          <w:rFonts w:hint="eastAsia"/>
        </w:rPr>
        <w:t>心性、知所反省，導正其偏差</w:t>
      </w:r>
      <w:r w:rsidR="00FA2694">
        <w:rPr>
          <w:rFonts w:hint="eastAsia"/>
        </w:rPr>
        <w:lastRenderedPageBreak/>
        <w:t>之價值觀，加強其守法意識，避免日後</w:t>
      </w:r>
      <w:proofErr w:type="gramStart"/>
      <w:r w:rsidR="00FA2694">
        <w:rPr>
          <w:rFonts w:hint="eastAsia"/>
        </w:rPr>
        <w:t>再犯非行</w:t>
      </w:r>
      <w:proofErr w:type="gramEnd"/>
      <w:r w:rsidR="00FA2694">
        <w:rPr>
          <w:rFonts w:hint="eastAsia"/>
        </w:rPr>
        <w:t>。」</w:t>
      </w:r>
    </w:p>
    <w:p w:rsidR="00FA2694" w:rsidRDefault="00FA2694" w:rsidP="00FA2694">
      <w:pPr>
        <w:pStyle w:val="5"/>
      </w:pPr>
      <w:r>
        <w:rPr>
          <w:rFonts w:hint="eastAsia"/>
        </w:rPr>
        <w:t>少年法庭於</w:t>
      </w:r>
      <w:r w:rsidRPr="00043CF9">
        <w:rPr>
          <w:rFonts w:hint="eastAsia"/>
        </w:rPr>
        <w:t>106年1月16日</w:t>
      </w:r>
      <w:r>
        <w:rPr>
          <w:rFonts w:hint="eastAsia"/>
        </w:rPr>
        <w:t>開庭審理，裁定</w:t>
      </w:r>
      <w:r w:rsidR="005D1FA4">
        <w:rPr>
          <w:rFonts w:hint="eastAsia"/>
        </w:rPr>
        <w:t>A少年</w:t>
      </w:r>
      <w:r>
        <w:rPr>
          <w:rFonts w:hint="eastAsia"/>
        </w:rPr>
        <w:t>第2次感化教育處分。到庭之少年調查官表示：「少年謝○○於觀察期間未能遵守規定，並再犯詐欺案件，故本案件請交付感化教育之處分。」桃園地院少年法庭</w:t>
      </w:r>
      <w:proofErr w:type="gramStart"/>
      <w:r>
        <w:rPr>
          <w:rFonts w:hint="eastAsia"/>
        </w:rPr>
        <w:t>105</w:t>
      </w:r>
      <w:proofErr w:type="gramEnd"/>
      <w:r>
        <w:rPr>
          <w:rFonts w:hint="eastAsia"/>
        </w:rPr>
        <w:t>年度</w:t>
      </w:r>
      <w:proofErr w:type="gramStart"/>
      <w:r>
        <w:rPr>
          <w:rFonts w:hint="eastAsia"/>
        </w:rPr>
        <w:t>少護字</w:t>
      </w:r>
      <w:proofErr w:type="gramEnd"/>
      <w:r>
        <w:rPr>
          <w:rFonts w:hint="eastAsia"/>
        </w:rPr>
        <w:t>第30號以A少年於102年9月17日在桃園市蘆竹區向被害人</w:t>
      </w:r>
      <w:r w:rsidR="00FF3F3B">
        <w:rPr>
          <w:rFonts w:hint="eastAsia"/>
        </w:rPr>
        <w:t>唐○○</w:t>
      </w:r>
      <w:r>
        <w:rPr>
          <w:rFonts w:hint="eastAsia"/>
        </w:rPr>
        <w:t>詐騙金錢，裁定令入感化教育處所施以感化教育。該裁定之理由欄除轉錄上開少年調查官之少年調查報告外，並附加：</w:t>
      </w:r>
      <w:r w:rsidRPr="00460391">
        <w:rPr>
          <w:rFonts w:hint="eastAsia"/>
        </w:rPr>
        <w:t>「</w:t>
      </w:r>
      <w:r>
        <w:rPr>
          <w:rFonts w:hint="eastAsia"/>
        </w:rPr>
        <w:t>本庭審酌少年前因詐欺案件接受感化教育處分，</w:t>
      </w:r>
      <w:proofErr w:type="gramStart"/>
      <w:r>
        <w:rPr>
          <w:rFonts w:hint="eastAsia"/>
        </w:rPr>
        <w:t>嗣</w:t>
      </w:r>
      <w:proofErr w:type="gramEnd"/>
      <w:r>
        <w:rPr>
          <w:rFonts w:hint="eastAsia"/>
        </w:rPr>
        <w:t>經免除感化教育後，</w:t>
      </w:r>
      <w:r w:rsidRPr="00460391">
        <w:rPr>
          <w:rFonts w:hint="eastAsia"/>
        </w:rPr>
        <w:t>在本案交付觀察</w:t>
      </w:r>
      <w:proofErr w:type="gramStart"/>
      <w:r w:rsidRPr="00460391">
        <w:rPr>
          <w:rFonts w:hint="eastAsia"/>
        </w:rPr>
        <w:t>期間，</w:t>
      </w:r>
      <w:proofErr w:type="gramEnd"/>
      <w:r w:rsidRPr="00460391">
        <w:rPr>
          <w:rFonts w:hint="eastAsia"/>
        </w:rPr>
        <w:t>不思自省自制，隨即又再另涉詐欺案件遭羈押禁見，顯見其漠視法紀，價值觀嚴重偏差，社區處遇已無從收矯治之效</w:t>
      </w:r>
      <w:r>
        <w:rPr>
          <w:rFonts w:hint="eastAsia"/>
        </w:rPr>
        <w:t>，並參酌少年調查官之意見，</w:t>
      </w:r>
      <w:proofErr w:type="gramStart"/>
      <w:r>
        <w:rPr>
          <w:rFonts w:hint="eastAsia"/>
        </w:rPr>
        <w:t>諭</w:t>
      </w:r>
      <w:proofErr w:type="gramEnd"/>
      <w:r>
        <w:rPr>
          <w:rFonts w:hint="eastAsia"/>
        </w:rPr>
        <w:t>知適當之處分如主文所示，以促少年改過向善</w:t>
      </w:r>
      <w:r w:rsidRPr="00460391">
        <w:rPr>
          <w:rFonts w:hint="eastAsia"/>
        </w:rPr>
        <w:t>」</w:t>
      </w:r>
      <w:r>
        <w:rPr>
          <w:rFonts w:hint="eastAsia"/>
        </w:rPr>
        <w:t>。</w:t>
      </w:r>
    </w:p>
    <w:p w:rsidR="00FA2694" w:rsidRDefault="00FA2694" w:rsidP="00FA2694">
      <w:pPr>
        <w:pStyle w:val="4"/>
      </w:pPr>
      <w:r>
        <w:rPr>
          <w:rFonts w:hint="eastAsia"/>
        </w:rPr>
        <w:t>本院審酌如下：</w:t>
      </w:r>
    </w:p>
    <w:p w:rsidR="00FA2694" w:rsidRPr="00EC3AA4" w:rsidRDefault="00FA2694" w:rsidP="00FA2694">
      <w:pPr>
        <w:pStyle w:val="5"/>
      </w:pPr>
      <w:r w:rsidRPr="00EC3AA4">
        <w:rPr>
          <w:rFonts w:hint="eastAsia"/>
        </w:rPr>
        <w:t>依司法院前述見解，少年保護事件之同一性應僅指單純</w:t>
      </w:r>
      <w:proofErr w:type="gramStart"/>
      <w:r w:rsidRPr="00EC3AA4">
        <w:rPr>
          <w:rFonts w:hint="eastAsia"/>
        </w:rPr>
        <w:t>一</w:t>
      </w:r>
      <w:proofErr w:type="gramEnd"/>
      <w:r w:rsidRPr="00EC3AA4">
        <w:rPr>
          <w:rFonts w:hint="eastAsia"/>
        </w:rPr>
        <w:t>罪不為二次處遇，而本案前後事件之原因事實分別為A少年於102年9月30日及同年9月17日之詐騙行為，故後事件仍可為保護處分之裁定，</w:t>
      </w:r>
      <w:proofErr w:type="gramStart"/>
      <w:r w:rsidRPr="00EC3AA4">
        <w:rPr>
          <w:rFonts w:hint="eastAsia"/>
        </w:rPr>
        <w:t>合先述</w:t>
      </w:r>
      <w:proofErr w:type="gramEnd"/>
      <w:r w:rsidRPr="00EC3AA4">
        <w:rPr>
          <w:rFonts w:hint="eastAsia"/>
        </w:rPr>
        <w:t>明。</w:t>
      </w:r>
    </w:p>
    <w:p w:rsidR="00FA2694" w:rsidRDefault="00FA2694" w:rsidP="00FA2694">
      <w:pPr>
        <w:pStyle w:val="5"/>
      </w:pPr>
      <w:proofErr w:type="gramStart"/>
      <w:r>
        <w:rPr>
          <w:rFonts w:hint="eastAsia"/>
        </w:rPr>
        <w:t>詢</w:t>
      </w:r>
      <w:proofErr w:type="gramEnd"/>
      <w:r>
        <w:rPr>
          <w:rFonts w:hint="eastAsia"/>
        </w:rPr>
        <w:t>據</w:t>
      </w:r>
      <w:r w:rsidR="004C16C8">
        <w:rPr>
          <w:rFonts w:hint="eastAsia"/>
        </w:rPr>
        <w:t>李秋梅</w:t>
      </w:r>
      <w:r>
        <w:rPr>
          <w:rFonts w:hint="eastAsia"/>
        </w:rPr>
        <w:t>法官稱：少事法雖規定</w:t>
      </w:r>
      <w:r w:rsidRPr="00755C21">
        <w:rPr>
          <w:rFonts w:hint="eastAsia"/>
        </w:rPr>
        <w:t>感化教育3年，但實際執行基本上是1年2月至1年6月，</w:t>
      </w:r>
      <w:r>
        <w:rPr>
          <w:rFonts w:hint="eastAsia"/>
        </w:rPr>
        <w:t>後事件審理</w:t>
      </w:r>
      <w:proofErr w:type="gramStart"/>
      <w:r>
        <w:rPr>
          <w:rFonts w:hint="eastAsia"/>
        </w:rPr>
        <w:t>期間，</w:t>
      </w:r>
      <w:proofErr w:type="gramEnd"/>
      <w:r w:rsidR="005D1FA4">
        <w:rPr>
          <w:rFonts w:hint="eastAsia"/>
        </w:rPr>
        <w:t>A</w:t>
      </w:r>
      <w:proofErr w:type="gramStart"/>
      <w:r w:rsidR="005D1FA4">
        <w:rPr>
          <w:rFonts w:hint="eastAsia"/>
        </w:rPr>
        <w:t>少年</w:t>
      </w:r>
      <w:r w:rsidRPr="00755C21">
        <w:rPr>
          <w:rFonts w:hint="eastAsia"/>
        </w:rPr>
        <w:t>在誠正</w:t>
      </w:r>
      <w:proofErr w:type="gramEnd"/>
      <w:r w:rsidRPr="00755C21">
        <w:rPr>
          <w:rFonts w:hint="eastAsia"/>
        </w:rPr>
        <w:t>中學的表現不佳，審前調查時，</w:t>
      </w:r>
      <w:r w:rsidR="00582846">
        <w:rPr>
          <w:rFonts w:hint="eastAsia"/>
        </w:rPr>
        <w:t>楊○○</w:t>
      </w:r>
      <w:r>
        <w:rPr>
          <w:rFonts w:hint="eastAsia"/>
        </w:rPr>
        <w:t>少年</w:t>
      </w:r>
      <w:r w:rsidRPr="00755C21">
        <w:rPr>
          <w:rFonts w:hint="eastAsia"/>
        </w:rPr>
        <w:t>調查官與</w:t>
      </w:r>
      <w:r>
        <w:rPr>
          <w:rFonts w:hint="eastAsia"/>
        </w:rPr>
        <w:t>其</w:t>
      </w:r>
      <w:r w:rsidRPr="00755C21">
        <w:rPr>
          <w:rFonts w:hint="eastAsia"/>
        </w:rPr>
        <w:t>討論，</w:t>
      </w:r>
      <w:r w:rsidR="005D1FA4">
        <w:rPr>
          <w:rFonts w:hint="eastAsia"/>
        </w:rPr>
        <w:t>A少年</w:t>
      </w:r>
      <w:r w:rsidRPr="00755C21">
        <w:rPr>
          <w:rFonts w:hint="eastAsia"/>
        </w:rPr>
        <w:t>的狀況不穩定，無法脫離過去的損友，認為該次感化教育仍不足以幫助他，</w:t>
      </w:r>
      <w:r>
        <w:rPr>
          <w:rFonts w:hint="eastAsia"/>
        </w:rPr>
        <w:t>建議</w:t>
      </w:r>
      <w:r w:rsidRPr="00755C21">
        <w:rPr>
          <w:rFonts w:hint="eastAsia"/>
        </w:rPr>
        <w:t>給予再一</w:t>
      </w:r>
      <w:r w:rsidRPr="00755C21">
        <w:rPr>
          <w:rFonts w:hint="eastAsia"/>
        </w:rPr>
        <w:lastRenderedPageBreak/>
        <w:t>次的感化，</w:t>
      </w:r>
      <w:r>
        <w:rPr>
          <w:rFonts w:hint="eastAsia"/>
        </w:rPr>
        <w:t>但其</w:t>
      </w:r>
      <w:r w:rsidRPr="00755C21">
        <w:rPr>
          <w:rFonts w:hint="eastAsia"/>
        </w:rPr>
        <w:t>考</w:t>
      </w:r>
      <w:r>
        <w:rPr>
          <w:rFonts w:hint="eastAsia"/>
        </w:rPr>
        <w:t>量如再次裁處</w:t>
      </w:r>
      <w:r w:rsidRPr="00755C21">
        <w:rPr>
          <w:rFonts w:hint="eastAsia"/>
        </w:rPr>
        <w:t>感</w:t>
      </w:r>
      <w:r>
        <w:rPr>
          <w:rFonts w:hint="eastAsia"/>
        </w:rPr>
        <w:t>化教育</w:t>
      </w:r>
      <w:r w:rsidRPr="00755C21">
        <w:rPr>
          <w:rFonts w:hint="eastAsia"/>
        </w:rPr>
        <w:t>，</w:t>
      </w:r>
      <w:r w:rsidR="005D1FA4">
        <w:rPr>
          <w:rFonts w:hint="eastAsia"/>
        </w:rPr>
        <w:t>A少年</w:t>
      </w:r>
      <w:r w:rsidRPr="00755C21">
        <w:rPr>
          <w:rFonts w:hint="eastAsia"/>
        </w:rPr>
        <w:t>可能會自暴自棄，所以給</w:t>
      </w:r>
      <w:r>
        <w:rPr>
          <w:rFonts w:hint="eastAsia"/>
        </w:rPr>
        <w:t>予</w:t>
      </w:r>
      <w:r w:rsidR="005D1FA4">
        <w:rPr>
          <w:rFonts w:hint="eastAsia"/>
        </w:rPr>
        <w:t>A少年</w:t>
      </w:r>
      <w:r w:rsidRPr="00755C21">
        <w:rPr>
          <w:rFonts w:hint="eastAsia"/>
        </w:rPr>
        <w:t>機會。看看</w:t>
      </w:r>
      <w:r w:rsidR="005D1FA4">
        <w:rPr>
          <w:rFonts w:hint="eastAsia"/>
        </w:rPr>
        <w:t>A</w:t>
      </w:r>
      <w:proofErr w:type="gramStart"/>
      <w:r w:rsidR="005D1FA4">
        <w:rPr>
          <w:rFonts w:hint="eastAsia"/>
        </w:rPr>
        <w:t>少年</w:t>
      </w:r>
      <w:r w:rsidRPr="00755C21">
        <w:rPr>
          <w:rFonts w:hint="eastAsia"/>
        </w:rPr>
        <w:t>在誠正</w:t>
      </w:r>
      <w:proofErr w:type="gramEnd"/>
      <w:r w:rsidRPr="00755C21">
        <w:rPr>
          <w:rFonts w:hint="eastAsia"/>
        </w:rPr>
        <w:t>中學的表現，最重要的是孩子出機構之後能否回歸正途</w:t>
      </w:r>
      <w:r>
        <w:rPr>
          <w:rFonts w:hint="eastAsia"/>
        </w:rPr>
        <w:t>等語。而</w:t>
      </w:r>
      <w:r w:rsidR="00582846">
        <w:rPr>
          <w:rFonts w:hint="eastAsia"/>
        </w:rPr>
        <w:t>楊○○</w:t>
      </w:r>
      <w:r>
        <w:rPr>
          <w:rFonts w:hint="eastAsia"/>
        </w:rPr>
        <w:t>少年調查官於105年1月12日提出少年事件調查報告，亦表示</w:t>
      </w:r>
      <w:r w:rsidR="005D1FA4">
        <w:rPr>
          <w:rFonts w:hint="eastAsia"/>
        </w:rPr>
        <w:t>A少年</w:t>
      </w:r>
      <w:r>
        <w:rPr>
          <w:rFonts w:hint="eastAsia"/>
        </w:rPr>
        <w:t>於誠正中學仍屢有違規情形，故其告知可能再裁處一個感化教育處分，促使A少年警惕，</w:t>
      </w:r>
      <w:proofErr w:type="gramStart"/>
      <w:r>
        <w:rPr>
          <w:rFonts w:hint="eastAsia"/>
        </w:rPr>
        <w:t>囑</w:t>
      </w:r>
      <w:proofErr w:type="gramEnd"/>
      <w:r>
        <w:rPr>
          <w:rFonts w:hint="eastAsia"/>
        </w:rPr>
        <w:t>其需珍惜交付觀察的機會等語</w:t>
      </w:r>
      <w:r w:rsidR="005D1FA4">
        <w:rPr>
          <w:rFonts w:hint="eastAsia"/>
        </w:rPr>
        <w:t>。綜上</w:t>
      </w:r>
      <w:r>
        <w:rPr>
          <w:rFonts w:hint="eastAsia"/>
        </w:rPr>
        <w:t>，李法官</w:t>
      </w:r>
      <w:r w:rsidR="00331E78">
        <w:rPr>
          <w:rFonts w:hint="eastAsia"/>
        </w:rPr>
        <w:t>與楊少年調查官分別</w:t>
      </w:r>
      <w:r>
        <w:rPr>
          <w:rFonts w:hint="eastAsia"/>
        </w:rPr>
        <w:t>所</w:t>
      </w:r>
      <w:proofErr w:type="gramStart"/>
      <w:r>
        <w:rPr>
          <w:rFonts w:hint="eastAsia"/>
        </w:rPr>
        <w:t>述互核</w:t>
      </w:r>
      <w:proofErr w:type="gramEnd"/>
      <w:r>
        <w:rPr>
          <w:rFonts w:hint="eastAsia"/>
        </w:rPr>
        <w:t>相符，自堪認定屬實。又楊少年調查官於該次及</w:t>
      </w:r>
      <w:r w:rsidRPr="00144714">
        <w:rPr>
          <w:rFonts w:hint="eastAsia"/>
        </w:rPr>
        <w:t>105年3月29日提出之少年事件調查報告及補充報告，處遇意見中均記載</w:t>
      </w:r>
      <w:r>
        <w:rPr>
          <w:rFonts w:hint="eastAsia"/>
        </w:rPr>
        <w:t>該案實為102年之往事，過長的</w:t>
      </w:r>
      <w:proofErr w:type="gramStart"/>
      <w:r>
        <w:rPr>
          <w:rFonts w:hint="eastAsia"/>
        </w:rPr>
        <w:t>機構性處遇</w:t>
      </w:r>
      <w:proofErr w:type="gramEnd"/>
      <w:r>
        <w:rPr>
          <w:rFonts w:hint="eastAsia"/>
        </w:rPr>
        <w:t>可能對其造成不良影響，建議法官裁以交付觀察6個月之處分，於</w:t>
      </w:r>
      <w:r w:rsidR="00331E78">
        <w:rPr>
          <w:rFonts w:hint="eastAsia"/>
        </w:rPr>
        <w:t>A少年</w:t>
      </w:r>
      <w:r>
        <w:rPr>
          <w:rFonts w:hint="eastAsia"/>
        </w:rPr>
        <w:t>停止或免除感化教育後再執行，期藉由司法約束力，監督</w:t>
      </w:r>
      <w:r w:rsidR="00331E78">
        <w:rPr>
          <w:rFonts w:hint="eastAsia"/>
        </w:rPr>
        <w:t>A少年</w:t>
      </w:r>
      <w:r>
        <w:rPr>
          <w:rFonts w:hint="eastAsia"/>
        </w:rPr>
        <w:t>出校後能確實隔離損友及毒品，協助其穩定生活，避免</w:t>
      </w:r>
      <w:proofErr w:type="gramStart"/>
      <w:r>
        <w:rPr>
          <w:rFonts w:hint="eastAsia"/>
        </w:rPr>
        <w:t>再犯非行</w:t>
      </w:r>
      <w:proofErr w:type="gramEnd"/>
      <w:r>
        <w:rPr>
          <w:rFonts w:hint="eastAsia"/>
        </w:rPr>
        <w:t>等語。亦足見</w:t>
      </w:r>
      <w:r w:rsidR="00331E78">
        <w:rPr>
          <w:rFonts w:hint="eastAsia"/>
        </w:rPr>
        <w:t>少年</w:t>
      </w:r>
      <w:r>
        <w:rPr>
          <w:rFonts w:hint="eastAsia"/>
        </w:rPr>
        <w:t>法庭團隊原冀望藉由交付觀察期間的司法</w:t>
      </w:r>
      <w:proofErr w:type="gramStart"/>
      <w:r>
        <w:rPr>
          <w:rFonts w:hint="eastAsia"/>
        </w:rPr>
        <w:t>規</w:t>
      </w:r>
      <w:proofErr w:type="gramEnd"/>
      <w:r>
        <w:rPr>
          <w:rFonts w:hint="eastAsia"/>
        </w:rPr>
        <w:t>制力量，給予</w:t>
      </w:r>
      <w:r w:rsidR="00331E78">
        <w:rPr>
          <w:rFonts w:hint="eastAsia"/>
        </w:rPr>
        <w:t>A少年</w:t>
      </w:r>
      <w:r>
        <w:rPr>
          <w:rFonts w:hint="eastAsia"/>
        </w:rPr>
        <w:t>警惕，導正其回歸正途，亦可見少年法庭對A少年之用心良苦，亦無不當。</w:t>
      </w:r>
    </w:p>
    <w:p w:rsidR="00676443" w:rsidRDefault="0094652E" w:rsidP="0094652E">
      <w:pPr>
        <w:pStyle w:val="3"/>
        <w:rPr>
          <w:b/>
        </w:rPr>
      </w:pPr>
      <w:r w:rsidRPr="0094652E">
        <w:rPr>
          <w:rFonts w:hint="eastAsia"/>
          <w:b/>
        </w:rPr>
        <w:t>桃園地院</w:t>
      </w:r>
      <w:proofErr w:type="gramStart"/>
      <w:r w:rsidRPr="0094652E">
        <w:rPr>
          <w:rFonts w:hint="eastAsia"/>
          <w:b/>
        </w:rPr>
        <w:t>105</w:t>
      </w:r>
      <w:proofErr w:type="gramEnd"/>
      <w:r w:rsidRPr="0094652E">
        <w:rPr>
          <w:rFonts w:hint="eastAsia"/>
          <w:b/>
        </w:rPr>
        <w:t>年度</w:t>
      </w:r>
      <w:proofErr w:type="gramStart"/>
      <w:r w:rsidRPr="0094652E">
        <w:rPr>
          <w:rFonts w:hint="eastAsia"/>
          <w:b/>
        </w:rPr>
        <w:t>聲免字</w:t>
      </w:r>
      <w:proofErr w:type="gramEnd"/>
      <w:r w:rsidRPr="0094652E">
        <w:rPr>
          <w:rFonts w:hint="eastAsia"/>
          <w:b/>
        </w:rPr>
        <w:t>第105號裁定與該院</w:t>
      </w:r>
      <w:proofErr w:type="gramStart"/>
      <w:r w:rsidRPr="0094652E">
        <w:rPr>
          <w:rFonts w:hint="eastAsia"/>
          <w:b/>
        </w:rPr>
        <w:t>105</w:t>
      </w:r>
      <w:proofErr w:type="gramEnd"/>
      <w:r w:rsidRPr="0094652E">
        <w:rPr>
          <w:rFonts w:hint="eastAsia"/>
          <w:b/>
        </w:rPr>
        <w:t>年度</w:t>
      </w:r>
      <w:proofErr w:type="gramStart"/>
      <w:r w:rsidRPr="0094652E">
        <w:rPr>
          <w:rFonts w:hint="eastAsia"/>
          <w:b/>
        </w:rPr>
        <w:t>少護字</w:t>
      </w:r>
      <w:proofErr w:type="gramEnd"/>
      <w:r w:rsidRPr="0094652E">
        <w:rPr>
          <w:rFonts w:hint="eastAsia"/>
          <w:b/>
        </w:rPr>
        <w:t>第30號事件裁定，二者就少年「需保護性」之判斷雖有歧異，但後</w:t>
      </w:r>
      <w:proofErr w:type="gramStart"/>
      <w:r w:rsidRPr="0094652E">
        <w:rPr>
          <w:rFonts w:hint="eastAsia"/>
          <w:b/>
        </w:rPr>
        <w:t>事件除審酌</w:t>
      </w:r>
      <w:proofErr w:type="gramEnd"/>
      <w:r w:rsidRPr="0094652E">
        <w:rPr>
          <w:rFonts w:hint="eastAsia"/>
          <w:b/>
        </w:rPr>
        <w:t>立案事實外，另以少年免除感化教育後仍有行為</w:t>
      </w:r>
      <w:proofErr w:type="gramStart"/>
      <w:r w:rsidRPr="0094652E">
        <w:rPr>
          <w:rFonts w:hint="eastAsia"/>
          <w:b/>
        </w:rPr>
        <w:t>不</w:t>
      </w:r>
      <w:proofErr w:type="gramEnd"/>
      <w:r w:rsidRPr="0094652E">
        <w:rPr>
          <w:rFonts w:hint="eastAsia"/>
          <w:b/>
        </w:rPr>
        <w:t>檢及遭羈押等事由作為「需保護性」之審酌依據，</w:t>
      </w:r>
      <w:r>
        <w:rPr>
          <w:rFonts w:hint="eastAsia"/>
          <w:b/>
        </w:rPr>
        <w:t>尚</w:t>
      </w:r>
      <w:r w:rsidRPr="0094652E">
        <w:rPr>
          <w:rFonts w:hint="eastAsia"/>
          <w:b/>
        </w:rPr>
        <w:t>無矛盾。</w:t>
      </w:r>
    </w:p>
    <w:p w:rsidR="00DE62EF" w:rsidRDefault="00433F5D" w:rsidP="00DE62EF">
      <w:pPr>
        <w:pStyle w:val="4"/>
      </w:pPr>
      <w:proofErr w:type="gramStart"/>
      <w:r>
        <w:rPr>
          <w:rFonts w:hint="eastAsia"/>
        </w:rPr>
        <w:t>依</w:t>
      </w:r>
      <w:r w:rsidRPr="00EC3AA4">
        <w:rPr>
          <w:rFonts w:hint="eastAsia"/>
        </w:rPr>
        <w:t>少事</w:t>
      </w:r>
      <w:proofErr w:type="gramEnd"/>
      <w:r w:rsidRPr="00EC3AA4">
        <w:rPr>
          <w:rFonts w:hint="eastAsia"/>
        </w:rPr>
        <w:t>法第56條規定，「執行感化教育逾6月，認無繼續執行之必要者，得由少年保護官或執行機關檢具事證，聲請少年法院裁定免除或停止其執行。」</w:t>
      </w:r>
      <w:r>
        <w:rPr>
          <w:rFonts w:hint="eastAsia"/>
        </w:rPr>
        <w:t>桃園地院</w:t>
      </w:r>
      <w:r w:rsidRPr="00A306F0">
        <w:rPr>
          <w:rFonts w:hint="eastAsia"/>
        </w:rPr>
        <w:t>於105年8月</w:t>
      </w:r>
      <w:r w:rsidRPr="00C00AEE">
        <w:rPr>
          <w:rFonts w:hint="eastAsia"/>
        </w:rPr>
        <w:t>22日</w:t>
      </w:r>
      <w:r>
        <w:rPr>
          <w:rFonts w:hint="eastAsia"/>
        </w:rPr>
        <w:t>以</w:t>
      </w:r>
      <w:proofErr w:type="gramStart"/>
      <w:r>
        <w:rPr>
          <w:rFonts w:hint="eastAsia"/>
        </w:rPr>
        <w:t>105</w:t>
      </w:r>
      <w:proofErr w:type="gramEnd"/>
      <w:r>
        <w:rPr>
          <w:rFonts w:hint="eastAsia"/>
        </w:rPr>
        <w:t>年度</w:t>
      </w:r>
      <w:proofErr w:type="gramStart"/>
      <w:r>
        <w:rPr>
          <w:rFonts w:hint="eastAsia"/>
        </w:rPr>
        <w:t>聲免字</w:t>
      </w:r>
      <w:proofErr w:type="gramEnd"/>
      <w:r>
        <w:rPr>
          <w:rFonts w:hint="eastAsia"/>
        </w:rPr>
        <w:t>第105號裁定</w:t>
      </w:r>
      <w:r w:rsidRPr="00A306F0">
        <w:rPr>
          <w:rFonts w:hint="eastAsia"/>
        </w:rPr>
        <w:t>免除</w:t>
      </w:r>
      <w:r>
        <w:rPr>
          <w:rFonts w:hint="eastAsia"/>
        </w:rPr>
        <w:t>A少年</w:t>
      </w:r>
      <w:r w:rsidRPr="00A306F0">
        <w:rPr>
          <w:rFonts w:hint="eastAsia"/>
        </w:rPr>
        <w:t>感化教育之執行</w:t>
      </w:r>
      <w:r>
        <w:rPr>
          <w:rFonts w:hint="eastAsia"/>
        </w:rPr>
        <w:t>，已認定</w:t>
      </w:r>
      <w:r>
        <w:rPr>
          <w:rFonts w:hint="eastAsia"/>
        </w:rPr>
        <w:lastRenderedPageBreak/>
        <w:t>A少年</w:t>
      </w:r>
      <w:proofErr w:type="gramStart"/>
      <w:r>
        <w:rPr>
          <w:rFonts w:hint="eastAsia"/>
        </w:rPr>
        <w:t>迄</w:t>
      </w:r>
      <w:proofErr w:type="gramEnd"/>
      <w:r>
        <w:rPr>
          <w:rFonts w:hint="eastAsia"/>
        </w:rPr>
        <w:t>105年8月22日止，無繼續執行感化教育的必要。然而桃園地院少年法庭</w:t>
      </w:r>
      <w:proofErr w:type="gramStart"/>
      <w:r>
        <w:rPr>
          <w:rFonts w:hint="eastAsia"/>
        </w:rPr>
        <w:t>105</w:t>
      </w:r>
      <w:proofErr w:type="gramEnd"/>
      <w:r>
        <w:rPr>
          <w:rFonts w:hint="eastAsia"/>
        </w:rPr>
        <w:t>年度</w:t>
      </w:r>
      <w:proofErr w:type="gramStart"/>
      <w:r>
        <w:rPr>
          <w:rFonts w:hint="eastAsia"/>
        </w:rPr>
        <w:t>少護字</w:t>
      </w:r>
      <w:proofErr w:type="gramEnd"/>
      <w:r>
        <w:rPr>
          <w:rFonts w:hint="eastAsia"/>
        </w:rPr>
        <w:t>第30號裁定</w:t>
      </w:r>
      <w:r w:rsidR="00DE62EF">
        <w:rPr>
          <w:rFonts w:hint="eastAsia"/>
        </w:rPr>
        <w:t>嗣後</w:t>
      </w:r>
      <w:r>
        <w:rPr>
          <w:rFonts w:hint="eastAsia"/>
        </w:rPr>
        <w:t>卻又認定A少年有受感化教育的必要，前後裁定就A少年的「需保護性」互有歧異。</w:t>
      </w:r>
    </w:p>
    <w:p w:rsidR="00433F5D" w:rsidRDefault="00433F5D" w:rsidP="00DE62EF">
      <w:pPr>
        <w:pStyle w:val="4"/>
      </w:pPr>
      <w:proofErr w:type="gramStart"/>
      <w:r>
        <w:rPr>
          <w:rFonts w:hint="eastAsia"/>
        </w:rPr>
        <w:t>惟卷查</w:t>
      </w:r>
      <w:proofErr w:type="gramEnd"/>
      <w:r w:rsidRPr="00241A2E">
        <w:rPr>
          <w:rFonts w:hint="eastAsia"/>
        </w:rPr>
        <w:t>A</w:t>
      </w:r>
      <w:proofErr w:type="gramStart"/>
      <w:r w:rsidRPr="00241A2E">
        <w:rPr>
          <w:rFonts w:hint="eastAsia"/>
        </w:rPr>
        <w:t>少年在誠正</w:t>
      </w:r>
      <w:proofErr w:type="gramEnd"/>
      <w:r w:rsidRPr="00241A2E">
        <w:rPr>
          <w:rFonts w:hint="eastAsia"/>
        </w:rPr>
        <w:t>中學接受感化教育</w:t>
      </w:r>
      <w:proofErr w:type="gramStart"/>
      <w:r w:rsidRPr="00241A2E">
        <w:rPr>
          <w:rFonts w:hint="eastAsia"/>
        </w:rPr>
        <w:t>期間，</w:t>
      </w:r>
      <w:proofErr w:type="gramEnd"/>
      <w:r w:rsidR="00582846">
        <w:rPr>
          <w:rFonts w:hint="eastAsia"/>
        </w:rPr>
        <w:t>楊○○</w:t>
      </w:r>
      <w:r w:rsidRPr="00241A2E">
        <w:rPr>
          <w:rFonts w:hint="eastAsia"/>
        </w:rPr>
        <w:t>少年調查官</w:t>
      </w:r>
      <w:r>
        <w:rPr>
          <w:rFonts w:hint="eastAsia"/>
        </w:rPr>
        <w:t>於</w:t>
      </w:r>
      <w:r w:rsidRPr="00241A2E">
        <w:rPr>
          <w:rFonts w:hint="eastAsia"/>
        </w:rPr>
        <w:t>105年3月29日提出之少年事件調查報告及補充報告，處遇意見中均記載A少年坦承非行，尚具悔意，並表示其</w:t>
      </w:r>
      <w:proofErr w:type="gramStart"/>
      <w:r w:rsidRPr="00241A2E">
        <w:rPr>
          <w:rFonts w:hint="eastAsia"/>
        </w:rPr>
        <w:t>半年來的</w:t>
      </w:r>
      <w:proofErr w:type="gramEnd"/>
      <w:r w:rsidRPr="00241A2E">
        <w:rPr>
          <w:rFonts w:hint="eastAsia"/>
        </w:rPr>
        <w:t>表現已較為穩定，</w:t>
      </w:r>
      <w:r>
        <w:rPr>
          <w:rFonts w:hint="eastAsia"/>
        </w:rPr>
        <w:t>足可認定A少年於誠正中學接受感化教育</w:t>
      </w:r>
      <w:proofErr w:type="gramStart"/>
      <w:r>
        <w:rPr>
          <w:rFonts w:hint="eastAsia"/>
        </w:rPr>
        <w:t>期間，</w:t>
      </w:r>
      <w:proofErr w:type="gramEnd"/>
      <w:r>
        <w:rPr>
          <w:rFonts w:hint="eastAsia"/>
        </w:rPr>
        <w:t>有反省悔過實據，從而桃園地院少年法院於105年</w:t>
      </w:r>
      <w:r w:rsidRPr="00146F1C">
        <w:rPr>
          <w:rFonts w:hint="eastAsia"/>
        </w:rPr>
        <w:t>8月22日以</w:t>
      </w:r>
      <w:proofErr w:type="gramStart"/>
      <w:r w:rsidRPr="00146F1C">
        <w:rPr>
          <w:rFonts w:hint="eastAsia"/>
        </w:rPr>
        <w:t>105</w:t>
      </w:r>
      <w:proofErr w:type="gramEnd"/>
      <w:r w:rsidRPr="00146F1C">
        <w:rPr>
          <w:rFonts w:hint="eastAsia"/>
        </w:rPr>
        <w:t>年度</w:t>
      </w:r>
      <w:proofErr w:type="gramStart"/>
      <w:r w:rsidRPr="00146F1C">
        <w:rPr>
          <w:rFonts w:hint="eastAsia"/>
        </w:rPr>
        <w:t>聲免字</w:t>
      </w:r>
      <w:proofErr w:type="gramEnd"/>
      <w:r w:rsidRPr="00146F1C">
        <w:rPr>
          <w:rFonts w:hint="eastAsia"/>
        </w:rPr>
        <w:t>第105號裁定免除A少年感化教育之執行</w:t>
      </w:r>
      <w:r>
        <w:rPr>
          <w:rFonts w:hint="eastAsia"/>
        </w:rPr>
        <w:t>，並無失當。</w:t>
      </w:r>
      <w:r w:rsidR="00DE62EF">
        <w:rPr>
          <w:rFonts w:hint="eastAsia"/>
        </w:rPr>
        <w:t>而</w:t>
      </w:r>
      <w:r w:rsidR="00DE62EF" w:rsidRPr="00DE62EF">
        <w:rPr>
          <w:rFonts w:hint="eastAsia"/>
        </w:rPr>
        <w:t>後</w:t>
      </w:r>
      <w:proofErr w:type="gramStart"/>
      <w:r w:rsidR="00DE62EF" w:rsidRPr="00DE62EF">
        <w:rPr>
          <w:rFonts w:hint="eastAsia"/>
        </w:rPr>
        <w:t>事件除審酌</w:t>
      </w:r>
      <w:proofErr w:type="gramEnd"/>
      <w:r w:rsidR="00DE62EF" w:rsidRPr="00DE62EF">
        <w:rPr>
          <w:rFonts w:hint="eastAsia"/>
        </w:rPr>
        <w:t>立案事實外，另以</w:t>
      </w:r>
      <w:r w:rsidR="00331E78">
        <w:rPr>
          <w:rFonts w:hint="eastAsia"/>
        </w:rPr>
        <w:t>A少年</w:t>
      </w:r>
      <w:r w:rsidR="00DE62EF" w:rsidRPr="00DE62EF">
        <w:rPr>
          <w:rFonts w:hint="eastAsia"/>
        </w:rPr>
        <w:t>免除感化教育後仍有行為</w:t>
      </w:r>
      <w:proofErr w:type="gramStart"/>
      <w:r w:rsidR="00DE62EF" w:rsidRPr="00DE62EF">
        <w:rPr>
          <w:rFonts w:hint="eastAsia"/>
        </w:rPr>
        <w:t>不</w:t>
      </w:r>
      <w:proofErr w:type="gramEnd"/>
      <w:r w:rsidR="00DE62EF" w:rsidRPr="00DE62EF">
        <w:rPr>
          <w:rFonts w:hint="eastAsia"/>
        </w:rPr>
        <w:t>檢及遭羈押等事由作為「需保護性」之審酌依據，尚無矛盾。</w:t>
      </w:r>
    </w:p>
    <w:p w:rsidR="00CC25F8" w:rsidRDefault="00CC25F8" w:rsidP="00F470E9">
      <w:pPr>
        <w:pStyle w:val="3"/>
      </w:pPr>
      <w:r>
        <w:rPr>
          <w:rFonts w:hint="eastAsia"/>
        </w:rPr>
        <w:t>小結</w:t>
      </w:r>
    </w:p>
    <w:p w:rsidR="00CC25F8" w:rsidRPr="00CC25F8" w:rsidRDefault="00657F7C" w:rsidP="00E76D5B">
      <w:pPr>
        <w:pStyle w:val="4"/>
      </w:pPr>
      <w:r>
        <w:rPr>
          <w:rFonts w:hint="eastAsia"/>
        </w:rPr>
        <w:t>綜上，兒童權利公約第40條第3項要求締約國應特別設置</w:t>
      </w:r>
      <w:proofErr w:type="gramStart"/>
      <w:r>
        <w:rPr>
          <w:rFonts w:hint="eastAsia"/>
        </w:rPr>
        <w:t>適用於觸法</w:t>
      </w:r>
      <w:proofErr w:type="gramEnd"/>
      <w:r>
        <w:rPr>
          <w:rFonts w:hint="eastAsia"/>
        </w:rPr>
        <w:t>兒童之法律、程序及機關（構），但不得忽略「一般司法程序中人權及法律保障的基本價值」。</w:t>
      </w:r>
      <w:r w:rsidR="00370A39">
        <w:rPr>
          <w:rFonts w:hint="eastAsia"/>
        </w:rPr>
        <w:t>對此，司法</w:t>
      </w:r>
      <w:proofErr w:type="gramStart"/>
      <w:r w:rsidR="00370A39">
        <w:rPr>
          <w:rFonts w:hint="eastAsia"/>
        </w:rPr>
        <w:t>院少家廳</w:t>
      </w:r>
      <w:proofErr w:type="gramEnd"/>
      <w:r w:rsidR="00370A39">
        <w:rPr>
          <w:rFonts w:hint="eastAsia"/>
        </w:rPr>
        <w:t>謝廳長表示：</w:t>
      </w:r>
      <w:proofErr w:type="gramStart"/>
      <w:r w:rsidR="00370A39">
        <w:rPr>
          <w:rFonts w:hint="eastAsia"/>
        </w:rPr>
        <w:t>鑑</w:t>
      </w:r>
      <w:proofErr w:type="gramEnd"/>
      <w:r w:rsidR="00370A39">
        <w:rPr>
          <w:rFonts w:hint="eastAsia"/>
        </w:rPr>
        <w:t>於</w:t>
      </w:r>
      <w:r w:rsidR="00370A39" w:rsidRPr="00F64EF0">
        <w:rPr>
          <w:rFonts w:hint="eastAsia"/>
        </w:rPr>
        <w:t>少年</w:t>
      </w:r>
      <w:r w:rsidR="00370A39">
        <w:rPr>
          <w:rFonts w:hint="eastAsia"/>
        </w:rPr>
        <w:t>在調查審理期間</w:t>
      </w:r>
      <w:r w:rsidR="00370A39" w:rsidRPr="00F64EF0">
        <w:rPr>
          <w:rFonts w:hint="eastAsia"/>
        </w:rPr>
        <w:t>的現狀是會改變的，究竟能否依職權將現況納入範圍，確</w:t>
      </w:r>
      <w:r w:rsidR="00370A39">
        <w:rPr>
          <w:rFonts w:hint="eastAsia"/>
        </w:rPr>
        <w:t>值得</w:t>
      </w:r>
      <w:proofErr w:type="gramStart"/>
      <w:r w:rsidR="00370A39">
        <w:rPr>
          <w:rFonts w:hint="eastAsia"/>
        </w:rPr>
        <w:t>研</w:t>
      </w:r>
      <w:proofErr w:type="gramEnd"/>
      <w:r w:rsidR="00370A39">
        <w:rPr>
          <w:rFonts w:hint="eastAsia"/>
        </w:rPr>
        <w:t>議修法</w:t>
      </w:r>
      <w:r w:rsidR="00370A39" w:rsidRPr="00F64EF0">
        <w:rPr>
          <w:rFonts w:hint="eastAsia"/>
        </w:rPr>
        <w:t>。</w:t>
      </w:r>
      <w:r w:rsidR="00370A39">
        <w:rPr>
          <w:rFonts w:hint="eastAsia"/>
        </w:rPr>
        <w:t>在修法前，有關需保護性及一事不再理等法理之</w:t>
      </w:r>
      <w:proofErr w:type="gramStart"/>
      <w:r w:rsidR="00370A39">
        <w:rPr>
          <w:rFonts w:hint="eastAsia"/>
        </w:rPr>
        <w:t>釐</w:t>
      </w:r>
      <w:proofErr w:type="gramEnd"/>
      <w:r w:rsidR="00370A39">
        <w:rPr>
          <w:rFonts w:hint="eastAsia"/>
        </w:rPr>
        <w:t>清，司法院將</w:t>
      </w:r>
      <w:r w:rsidR="00370A39" w:rsidRPr="00F64EF0">
        <w:rPr>
          <w:rFonts w:hint="eastAsia"/>
        </w:rPr>
        <w:t>辦理法官研討會</w:t>
      </w:r>
      <w:r w:rsidR="00370A39">
        <w:rPr>
          <w:rFonts w:hint="eastAsia"/>
        </w:rPr>
        <w:t>中</w:t>
      </w:r>
      <w:r w:rsidR="00370A39" w:rsidRPr="00F64EF0">
        <w:rPr>
          <w:rFonts w:hint="eastAsia"/>
        </w:rPr>
        <w:t>納入法官在職訓練及研討</w:t>
      </w:r>
      <w:r w:rsidR="00370A39">
        <w:rPr>
          <w:rFonts w:hint="eastAsia"/>
        </w:rPr>
        <w:t>等語</w:t>
      </w:r>
      <w:r w:rsidR="00370A39" w:rsidRPr="00F64EF0">
        <w:rPr>
          <w:rFonts w:hint="eastAsia"/>
        </w:rPr>
        <w:t>。</w:t>
      </w:r>
      <w:r w:rsidR="00E76D5B">
        <w:rPr>
          <w:rFonts w:hint="eastAsia"/>
        </w:rPr>
        <w:t>又司法院</w:t>
      </w:r>
      <w:r w:rsidR="00E76D5B" w:rsidRPr="00E76D5B">
        <w:rPr>
          <w:rFonts w:hint="eastAsia"/>
        </w:rPr>
        <w:t>於107年11月5日至9日之少年法院(庭)庭長、法官實務研討會開辦「少年事件程序保障原則之探討」、「司法最後手段性與實質到庭」等課程</w:t>
      </w:r>
      <w:r w:rsidR="00E76D5B">
        <w:rPr>
          <w:rFonts w:hint="eastAsia"/>
        </w:rPr>
        <w:t>。</w:t>
      </w:r>
      <w:r w:rsidR="00370A39" w:rsidRPr="00370A39">
        <w:rPr>
          <w:rFonts w:hint="eastAsia"/>
          <w:szCs w:val="32"/>
        </w:rPr>
        <w:t>可見</w:t>
      </w:r>
      <w:r w:rsidR="00370A39" w:rsidRPr="00370A39">
        <w:rPr>
          <w:rFonts w:ascii="Times New Roman" w:hint="eastAsia"/>
          <w:kern w:val="28"/>
          <w:szCs w:val="32"/>
        </w:rPr>
        <w:t>本案例事實涉及</w:t>
      </w:r>
      <w:r w:rsidR="00370A39" w:rsidRPr="00370A39">
        <w:rPr>
          <w:rFonts w:ascii="Times New Roman"/>
          <w:kern w:val="28"/>
          <w:szCs w:val="32"/>
        </w:rPr>
        <w:t>如何妥適評估少年</w:t>
      </w:r>
      <w:r w:rsidR="00370A39" w:rsidRPr="00370A39">
        <w:rPr>
          <w:rFonts w:ascii="Times New Roman" w:hint="eastAsia"/>
          <w:kern w:val="28"/>
          <w:szCs w:val="32"/>
        </w:rPr>
        <w:t>之</w:t>
      </w:r>
      <w:r w:rsidR="00370A39" w:rsidRPr="00370A39">
        <w:rPr>
          <w:rFonts w:ascii="Times New Roman"/>
          <w:kern w:val="28"/>
          <w:szCs w:val="32"/>
        </w:rPr>
        <w:t>需保護性，並</w:t>
      </w:r>
      <w:r w:rsidR="00370A39" w:rsidRPr="00370A39">
        <w:rPr>
          <w:rFonts w:ascii="Times New Roman" w:hint="eastAsia"/>
          <w:kern w:val="28"/>
          <w:szCs w:val="32"/>
        </w:rPr>
        <w:t>衡平</w:t>
      </w:r>
      <w:r w:rsidR="00370A39" w:rsidRPr="00370A39">
        <w:rPr>
          <w:rFonts w:ascii="Times New Roman"/>
          <w:kern w:val="28"/>
          <w:szCs w:val="32"/>
        </w:rPr>
        <w:t>兼顧少年正當程序權利保障</w:t>
      </w:r>
      <w:r w:rsidR="00370A39" w:rsidRPr="00370A39">
        <w:rPr>
          <w:rFonts w:ascii="Times New Roman" w:hint="eastAsia"/>
          <w:kern w:val="28"/>
          <w:szCs w:val="32"/>
        </w:rPr>
        <w:t>之制度性問題</w:t>
      </w:r>
      <w:r w:rsidR="00370A39" w:rsidRPr="00370A39">
        <w:rPr>
          <w:rFonts w:ascii="Times New Roman"/>
          <w:kern w:val="28"/>
          <w:szCs w:val="32"/>
        </w:rPr>
        <w:t>，</w:t>
      </w:r>
      <w:r w:rsidR="00370A39" w:rsidRPr="00370A39">
        <w:rPr>
          <w:rFonts w:ascii="Times New Roman" w:hint="eastAsia"/>
          <w:kern w:val="28"/>
          <w:szCs w:val="32"/>
        </w:rPr>
        <w:t>司法院</w:t>
      </w:r>
      <w:r w:rsidR="00370A39" w:rsidRPr="00370A39">
        <w:rPr>
          <w:rFonts w:ascii="Times New Roman" w:hint="eastAsia"/>
          <w:kern w:val="28"/>
          <w:szCs w:val="32"/>
        </w:rPr>
        <w:lastRenderedPageBreak/>
        <w:t>業已</w:t>
      </w:r>
      <w:proofErr w:type="gramStart"/>
      <w:r w:rsidR="00370A39" w:rsidRPr="00370A39">
        <w:rPr>
          <w:rFonts w:ascii="Times New Roman" w:hint="eastAsia"/>
          <w:kern w:val="28"/>
          <w:szCs w:val="32"/>
        </w:rPr>
        <w:t>研</w:t>
      </w:r>
      <w:proofErr w:type="gramEnd"/>
      <w:r w:rsidR="00370A39" w:rsidRPr="00370A39">
        <w:rPr>
          <w:rFonts w:ascii="Times New Roman" w:hint="eastAsia"/>
          <w:kern w:val="28"/>
          <w:szCs w:val="32"/>
        </w:rPr>
        <w:t>議修正</w:t>
      </w:r>
      <w:r w:rsidR="00370A39" w:rsidRPr="00370A39">
        <w:rPr>
          <w:rFonts w:ascii="Times New Roman"/>
          <w:kern w:val="28"/>
          <w:szCs w:val="32"/>
        </w:rPr>
        <w:t>少</w:t>
      </w:r>
      <w:r w:rsidR="00D311C5">
        <w:rPr>
          <w:rFonts w:ascii="Times New Roman" w:hint="eastAsia"/>
          <w:kern w:val="28"/>
          <w:szCs w:val="32"/>
        </w:rPr>
        <w:t>事</w:t>
      </w:r>
      <w:r w:rsidR="00370A39" w:rsidRPr="00370A39">
        <w:rPr>
          <w:rFonts w:ascii="Times New Roman"/>
          <w:kern w:val="28"/>
          <w:szCs w:val="32"/>
        </w:rPr>
        <w:t>法</w:t>
      </w:r>
      <w:r w:rsidR="00370A39" w:rsidRPr="00370A39">
        <w:rPr>
          <w:rFonts w:ascii="Times New Roman" w:hint="eastAsia"/>
          <w:kern w:val="28"/>
          <w:szCs w:val="32"/>
        </w:rPr>
        <w:t>，並納入法官在職訓練及研討的課題，應</w:t>
      </w:r>
      <w:r w:rsidR="00297AD3">
        <w:rPr>
          <w:rFonts w:ascii="Times New Roman" w:hint="eastAsia"/>
          <w:kern w:val="28"/>
          <w:szCs w:val="32"/>
        </w:rPr>
        <w:t>值得</w:t>
      </w:r>
      <w:r w:rsidR="00370A39" w:rsidRPr="00370A39">
        <w:rPr>
          <w:rFonts w:ascii="Times New Roman" w:hint="eastAsia"/>
          <w:kern w:val="28"/>
          <w:szCs w:val="32"/>
        </w:rPr>
        <w:t>肯定。</w:t>
      </w:r>
    </w:p>
    <w:p w:rsidR="00657F7C" w:rsidRDefault="00370A39" w:rsidP="003D3D3D">
      <w:pPr>
        <w:pStyle w:val="4"/>
      </w:pPr>
      <w:r w:rsidRPr="00370A39">
        <w:rPr>
          <w:rFonts w:ascii="Times New Roman" w:hint="eastAsia"/>
          <w:kern w:val="28"/>
          <w:szCs w:val="32"/>
        </w:rPr>
        <w:t>本院認為，</w:t>
      </w:r>
      <w:r w:rsidR="00EE3151">
        <w:rPr>
          <w:rFonts w:hint="eastAsia"/>
        </w:rPr>
        <w:t>少年涉及觸法行為，應給予何種處遇，應以法官審理終結當時少年的情況為整體的考量</w:t>
      </w:r>
      <w:r w:rsidR="00D90048">
        <w:rPr>
          <w:rFonts w:hint="eastAsia"/>
        </w:rPr>
        <w:t>。</w:t>
      </w:r>
      <w:r w:rsidR="003D3D3D">
        <w:rPr>
          <w:rFonts w:hint="eastAsia"/>
        </w:rPr>
        <w:t>又</w:t>
      </w:r>
      <w:r w:rsidR="003D3D3D">
        <w:rPr>
          <w:rFonts w:ascii="Times New Roman" w:hint="eastAsia"/>
          <w:kern w:val="28"/>
          <w:szCs w:val="32"/>
        </w:rPr>
        <w:t>少年</w:t>
      </w:r>
      <w:r w:rsidR="003D3D3D">
        <w:rPr>
          <w:rFonts w:hint="eastAsia"/>
        </w:rPr>
        <w:t>感化教育與刑罰在學理定義及功能目的上雖有不同，但在現行少年輔育院仍由矯正人員管理及採取高度戒護措施的現況下，如何具體反應其差異性，本屬難題。</w:t>
      </w:r>
      <w:r w:rsidR="00D90048">
        <w:rPr>
          <w:rFonts w:hint="eastAsia"/>
        </w:rPr>
        <w:t>少事法及相關審理</w:t>
      </w:r>
      <w:proofErr w:type="gramStart"/>
      <w:r w:rsidR="00D90048">
        <w:rPr>
          <w:rFonts w:hint="eastAsia"/>
        </w:rPr>
        <w:t>細則未例示</w:t>
      </w:r>
      <w:proofErr w:type="gramEnd"/>
      <w:r w:rsidR="003D3D3D">
        <w:rPr>
          <w:rFonts w:hint="eastAsia"/>
        </w:rPr>
        <w:t>各種保護處分</w:t>
      </w:r>
      <w:r w:rsidR="00EE3151">
        <w:rPr>
          <w:rFonts w:hint="eastAsia"/>
        </w:rPr>
        <w:t>「需保護性」</w:t>
      </w:r>
      <w:r w:rsidR="003D3D3D">
        <w:rPr>
          <w:rFonts w:hint="eastAsia"/>
        </w:rPr>
        <w:t>的</w:t>
      </w:r>
      <w:r w:rsidR="00EE3151">
        <w:rPr>
          <w:rFonts w:hint="eastAsia"/>
        </w:rPr>
        <w:t>應審酌內涵。</w:t>
      </w:r>
      <w:r w:rsidR="00E77898">
        <w:rPr>
          <w:rFonts w:hint="eastAsia"/>
        </w:rPr>
        <w:t>誠如張淑芬法官所述：「</w:t>
      </w:r>
      <w:r w:rsidR="00E77898" w:rsidRPr="00E77898">
        <w:rPr>
          <w:rFonts w:hint="eastAsia"/>
        </w:rPr>
        <w:t>少事法就訓誡</w:t>
      </w:r>
      <w:proofErr w:type="gramStart"/>
      <w:r w:rsidR="00E77898" w:rsidRPr="00E77898">
        <w:rPr>
          <w:rFonts w:hint="eastAsia"/>
        </w:rPr>
        <w:t>假輔、</w:t>
      </w:r>
      <w:proofErr w:type="gramEnd"/>
      <w:r w:rsidR="00E77898" w:rsidRPr="00E77898">
        <w:rPr>
          <w:rFonts w:hint="eastAsia"/>
        </w:rPr>
        <w:t>保護管束、安置輔導、感化教育四個處分只有最適當性而沒有階段性，</w:t>
      </w:r>
      <w:r w:rsidR="00E77898">
        <w:rPr>
          <w:rFonts w:hint="eastAsia"/>
        </w:rPr>
        <w:t>…</w:t>
      </w:r>
      <w:proofErr w:type="gramStart"/>
      <w:r w:rsidR="00E77898">
        <w:rPr>
          <w:rFonts w:hint="eastAsia"/>
        </w:rPr>
        <w:t>…</w:t>
      </w:r>
      <w:proofErr w:type="gramEnd"/>
      <w:r w:rsidR="00E77898" w:rsidRPr="00E77898">
        <w:rPr>
          <w:rFonts w:hint="eastAsia"/>
        </w:rPr>
        <w:t>因為就少事法的立法精神而言，以上的保護處分都是改變孩子行為的保護性處分。但</w:t>
      </w:r>
      <w:r w:rsidR="00E77898" w:rsidRPr="00331E78">
        <w:rPr>
          <w:rFonts w:hint="eastAsia"/>
          <w:u w:val="single"/>
        </w:rPr>
        <w:t>我國感化教育在實質執行上總被認為與在監獄限制人身自由沒有太大差異</w:t>
      </w:r>
      <w:r w:rsidR="00E77898" w:rsidRPr="00E77898">
        <w:rPr>
          <w:rFonts w:hint="eastAsia"/>
        </w:rPr>
        <w:t>。而依照審理細則規定，已另案裁定感化教育的少年，如無其他保護處分必要，應不付審理。而感化教育或不付審理差異很大，法條僅有</w:t>
      </w:r>
      <w:r w:rsidR="00E77898">
        <w:rPr>
          <w:rFonts w:hint="eastAsia"/>
        </w:rPr>
        <w:t>『</w:t>
      </w:r>
      <w:r w:rsidR="00E77898" w:rsidRPr="00E77898">
        <w:rPr>
          <w:rFonts w:hint="eastAsia"/>
        </w:rPr>
        <w:t>如無其他保護處分必要</w:t>
      </w:r>
      <w:r w:rsidR="00E77898">
        <w:rPr>
          <w:rFonts w:hint="eastAsia"/>
        </w:rPr>
        <w:t>』</w:t>
      </w:r>
      <w:r w:rsidR="00E77898" w:rsidRPr="00E77898">
        <w:rPr>
          <w:rFonts w:hint="eastAsia"/>
        </w:rPr>
        <w:t>此一要件，建議修法應該考量，何種情況屬於</w:t>
      </w:r>
      <w:r w:rsidR="00E77898">
        <w:rPr>
          <w:rFonts w:hint="eastAsia"/>
        </w:rPr>
        <w:t>『</w:t>
      </w:r>
      <w:r w:rsidR="00E77898" w:rsidRPr="00E77898">
        <w:rPr>
          <w:rFonts w:hint="eastAsia"/>
        </w:rPr>
        <w:t>無其他保護處分必要</w:t>
      </w:r>
      <w:r w:rsidR="00E77898">
        <w:rPr>
          <w:rFonts w:hint="eastAsia"/>
        </w:rPr>
        <w:t>』</w:t>
      </w:r>
      <w:r w:rsidR="00E77898" w:rsidRPr="00E77898">
        <w:rPr>
          <w:rFonts w:hint="eastAsia"/>
        </w:rPr>
        <w:t>，但少事法的修法推動太慢，到目前為止，連664號解釋所提虞犯尚未修法。</w:t>
      </w:r>
      <w:r w:rsidR="003D3D3D">
        <w:rPr>
          <w:rFonts w:hint="eastAsia"/>
        </w:rPr>
        <w:t>…</w:t>
      </w:r>
      <w:proofErr w:type="gramStart"/>
      <w:r w:rsidR="003D3D3D">
        <w:rPr>
          <w:rFonts w:hint="eastAsia"/>
        </w:rPr>
        <w:t>…</w:t>
      </w:r>
      <w:proofErr w:type="gramEnd"/>
      <w:r w:rsidR="003D3D3D" w:rsidRPr="00331E78">
        <w:rPr>
          <w:rFonts w:hint="eastAsia"/>
          <w:u w:val="single"/>
        </w:rPr>
        <w:t>應如何決定少年的需保護性，目前法律沒有明文，建議可以有例示的規定給法官參考，保護性目前有一些學說加以定義，</w:t>
      </w:r>
      <w:r w:rsidR="00331E78">
        <w:rPr>
          <w:rFonts w:hint="eastAsia"/>
          <w:u w:val="single"/>
        </w:rPr>
        <w:t>但</w:t>
      </w:r>
      <w:r w:rsidR="003D3D3D" w:rsidRPr="00331E78">
        <w:rPr>
          <w:rFonts w:hint="eastAsia"/>
          <w:u w:val="single"/>
        </w:rPr>
        <w:t>最好還是在法律上明定，讓法官有一致性的標準。</w:t>
      </w:r>
      <w:r w:rsidR="003D3D3D" w:rsidRPr="003D3D3D">
        <w:rPr>
          <w:rFonts w:hint="eastAsia"/>
        </w:rPr>
        <w:t>我認為封閉性機構處遇或社區處遇的需保護性，要考量的標準也可能不同</w:t>
      </w:r>
      <w:r w:rsidR="00E77898">
        <w:rPr>
          <w:rFonts w:hint="eastAsia"/>
        </w:rPr>
        <w:t>」</w:t>
      </w:r>
      <w:r w:rsidR="00331E78">
        <w:rPr>
          <w:rFonts w:hint="eastAsia"/>
        </w:rPr>
        <w:t>等語。本院認為</w:t>
      </w:r>
      <w:r w:rsidR="003D3D3D">
        <w:rPr>
          <w:rFonts w:hint="eastAsia"/>
        </w:rPr>
        <w:t>張法官上開建議值得贊同，</w:t>
      </w:r>
      <w:r w:rsidR="00E72A0B">
        <w:rPr>
          <w:rFonts w:hint="eastAsia"/>
        </w:rPr>
        <w:t>本件</w:t>
      </w:r>
      <w:proofErr w:type="gramStart"/>
      <w:r w:rsidR="00E72A0B">
        <w:rPr>
          <w:rFonts w:hint="eastAsia"/>
        </w:rPr>
        <w:t>凸</w:t>
      </w:r>
      <w:proofErr w:type="gramEnd"/>
      <w:r w:rsidR="00E72A0B">
        <w:rPr>
          <w:rFonts w:hint="eastAsia"/>
        </w:rPr>
        <w:t>顯少事法及審理細則對於少年「需保護性」的內涵</w:t>
      </w:r>
      <w:r w:rsidR="009F7E5A">
        <w:rPr>
          <w:rFonts w:hint="eastAsia"/>
        </w:rPr>
        <w:t>定義不足</w:t>
      </w:r>
      <w:r w:rsidR="00E72A0B">
        <w:rPr>
          <w:rFonts w:hint="eastAsia"/>
        </w:rPr>
        <w:t>，</w:t>
      </w:r>
      <w:r w:rsidR="009F7E5A">
        <w:rPr>
          <w:rFonts w:hint="eastAsia"/>
        </w:rPr>
        <w:t>且少事法的</w:t>
      </w:r>
      <w:r w:rsidR="00E72A0B">
        <w:rPr>
          <w:rFonts w:hint="eastAsia"/>
        </w:rPr>
        <w:t>修法進度過於</w:t>
      </w:r>
      <w:proofErr w:type="gramStart"/>
      <w:r w:rsidR="00E72A0B">
        <w:rPr>
          <w:rFonts w:hint="eastAsia"/>
        </w:rPr>
        <w:t>遲滯，</w:t>
      </w:r>
      <w:proofErr w:type="gramEnd"/>
      <w:r w:rsidR="003D3D3D">
        <w:rPr>
          <w:rFonts w:hint="eastAsia"/>
        </w:rPr>
        <w:t>為落實</w:t>
      </w:r>
      <w:r w:rsidR="003D3D3D" w:rsidRPr="00F775A5">
        <w:rPr>
          <w:rFonts w:hint="eastAsia"/>
        </w:rPr>
        <w:t>正當法律程序</w:t>
      </w:r>
      <w:r w:rsidR="003D3D3D" w:rsidRPr="00F775A5">
        <w:rPr>
          <w:rFonts w:hint="eastAsia"/>
        </w:rPr>
        <w:lastRenderedPageBreak/>
        <w:t>及人權保障的基本要求，</w:t>
      </w:r>
      <w:r w:rsidR="003D3D3D">
        <w:rPr>
          <w:rFonts w:hint="eastAsia"/>
        </w:rPr>
        <w:t>並達成保護少年之目標，</w:t>
      </w:r>
      <w:r w:rsidR="00CE0FEB">
        <w:rPr>
          <w:rFonts w:hint="eastAsia"/>
        </w:rPr>
        <w:t>司法</w:t>
      </w:r>
      <w:proofErr w:type="gramStart"/>
      <w:r w:rsidR="00CE0FEB">
        <w:rPr>
          <w:rFonts w:hint="eastAsia"/>
        </w:rPr>
        <w:t>院</w:t>
      </w:r>
      <w:r w:rsidR="003D3D3D">
        <w:rPr>
          <w:rFonts w:hint="eastAsia"/>
        </w:rPr>
        <w:t>宜深入研</w:t>
      </w:r>
      <w:proofErr w:type="gramEnd"/>
      <w:r w:rsidR="003D3D3D">
        <w:rPr>
          <w:rFonts w:hint="eastAsia"/>
        </w:rPr>
        <w:t>議並儘速推動修法</w:t>
      </w:r>
      <w:r w:rsidR="00657F7C">
        <w:rPr>
          <w:rFonts w:hint="eastAsia"/>
        </w:rPr>
        <w:t>。</w:t>
      </w:r>
    </w:p>
    <w:p w:rsidR="00ED6720" w:rsidRPr="003640E9" w:rsidRDefault="00ED6720" w:rsidP="003640E9">
      <w:pPr>
        <w:pStyle w:val="2"/>
        <w:rPr>
          <w:b/>
        </w:rPr>
      </w:pPr>
      <w:bookmarkStart w:id="57" w:name="_Toc535915334"/>
      <w:r w:rsidRPr="003640E9">
        <w:rPr>
          <w:rFonts w:hint="eastAsia"/>
          <w:b/>
        </w:rPr>
        <w:t>桃園地院</w:t>
      </w:r>
      <w:r w:rsidR="00666F45" w:rsidRPr="003640E9">
        <w:rPr>
          <w:rFonts w:hint="eastAsia"/>
          <w:b/>
        </w:rPr>
        <w:t>少年法庭審理前後事件時，承辦之少年調查官均未到庭，輪值到庭之少年調查官陳述意見時僅照本宣科；</w:t>
      </w:r>
      <w:r w:rsidRPr="003640E9">
        <w:rPr>
          <w:rFonts w:hint="eastAsia"/>
          <w:b/>
        </w:rPr>
        <w:t>審理</w:t>
      </w:r>
      <w:r w:rsidR="00666F45" w:rsidRPr="003640E9">
        <w:rPr>
          <w:rFonts w:hint="eastAsia"/>
          <w:b/>
        </w:rPr>
        <w:t>後事件</w:t>
      </w:r>
      <w:r w:rsidRPr="003640E9">
        <w:rPr>
          <w:rFonts w:hint="eastAsia"/>
          <w:b/>
        </w:rPr>
        <w:t>時</w:t>
      </w:r>
      <w:r w:rsidR="003D3D3D">
        <w:rPr>
          <w:rFonts w:hint="eastAsia"/>
          <w:b/>
        </w:rPr>
        <w:t>，</w:t>
      </w:r>
      <w:r w:rsidR="00DE18D1">
        <w:rPr>
          <w:rFonts w:hint="eastAsia"/>
          <w:b/>
        </w:rPr>
        <w:t>法官</w:t>
      </w:r>
      <w:r w:rsidR="00E554FD" w:rsidRPr="003640E9">
        <w:rPr>
          <w:rFonts w:hint="eastAsia"/>
          <w:b/>
        </w:rPr>
        <w:t>兩度</w:t>
      </w:r>
      <w:r w:rsidRPr="003640E9">
        <w:rPr>
          <w:rFonts w:hint="eastAsia"/>
          <w:b/>
        </w:rPr>
        <w:t>指示少年調查官充任現在保護少年之人，代替家長同意接受</w:t>
      </w:r>
      <w:r w:rsidR="00666F45" w:rsidRPr="003640E9">
        <w:rPr>
          <w:rFonts w:hint="eastAsia"/>
          <w:b/>
        </w:rPr>
        <w:t>交付觀察及</w:t>
      </w:r>
      <w:r w:rsidRPr="003640E9">
        <w:rPr>
          <w:rFonts w:hint="eastAsia"/>
          <w:b/>
        </w:rPr>
        <w:t>感化教育處分</w:t>
      </w:r>
      <w:r w:rsidR="00DE18D1">
        <w:rPr>
          <w:rFonts w:hint="eastAsia"/>
          <w:b/>
        </w:rPr>
        <w:t>。</w:t>
      </w:r>
      <w:r w:rsidR="003D3D3D">
        <w:rPr>
          <w:rFonts w:hint="eastAsia"/>
          <w:b/>
        </w:rPr>
        <w:t>雖係少年家長屢經合法通知未到場，法官</w:t>
      </w:r>
      <w:r w:rsidR="00DE18D1">
        <w:rPr>
          <w:rFonts w:hint="eastAsia"/>
          <w:b/>
        </w:rPr>
        <w:t>基於</w:t>
      </w:r>
      <w:r w:rsidR="003D3D3D">
        <w:rPr>
          <w:rFonts w:hint="eastAsia"/>
          <w:b/>
        </w:rPr>
        <w:t>保護少年，避免延滯程序所為，但</w:t>
      </w:r>
      <w:r w:rsidR="00DE18D1">
        <w:rPr>
          <w:rFonts w:hint="eastAsia"/>
          <w:b/>
        </w:rPr>
        <w:t>少年</w:t>
      </w:r>
      <w:proofErr w:type="gramStart"/>
      <w:r w:rsidR="00DE18D1">
        <w:rPr>
          <w:rFonts w:hint="eastAsia"/>
          <w:b/>
        </w:rPr>
        <w:t>調查官本不宜</w:t>
      </w:r>
      <w:proofErr w:type="gramEnd"/>
      <w:r w:rsidR="00DE18D1">
        <w:rPr>
          <w:rFonts w:hint="eastAsia"/>
          <w:b/>
        </w:rPr>
        <w:t>充任「現在保護少年之人」</w:t>
      </w:r>
      <w:r w:rsidR="001019F8" w:rsidRPr="003640E9">
        <w:rPr>
          <w:rFonts w:hint="eastAsia"/>
          <w:b/>
        </w:rPr>
        <w:t>；</w:t>
      </w:r>
      <w:r w:rsidR="00A664B7" w:rsidRPr="003640E9">
        <w:rPr>
          <w:rFonts w:hint="eastAsia"/>
          <w:b/>
        </w:rPr>
        <w:t>且因桃園地院</w:t>
      </w:r>
      <w:r w:rsidR="00076BB7">
        <w:rPr>
          <w:rFonts w:hint="eastAsia"/>
          <w:b/>
        </w:rPr>
        <w:t>少年法庭於審理時，少年調查官</w:t>
      </w:r>
      <w:proofErr w:type="gramStart"/>
      <w:r w:rsidR="00A664B7" w:rsidRPr="003640E9">
        <w:rPr>
          <w:rFonts w:hint="eastAsia"/>
          <w:b/>
        </w:rPr>
        <w:t>採</w:t>
      </w:r>
      <w:proofErr w:type="gramEnd"/>
      <w:r w:rsidR="00A664B7" w:rsidRPr="003640E9">
        <w:rPr>
          <w:rFonts w:hint="eastAsia"/>
          <w:b/>
        </w:rPr>
        <w:t>輪值到庭</w:t>
      </w:r>
      <w:r w:rsidR="00076BB7">
        <w:rPr>
          <w:rFonts w:hint="eastAsia"/>
          <w:b/>
        </w:rPr>
        <w:t>之方式</w:t>
      </w:r>
      <w:r w:rsidR="00A664B7" w:rsidRPr="003640E9">
        <w:rPr>
          <w:rFonts w:hint="eastAsia"/>
          <w:b/>
        </w:rPr>
        <w:t>，法官</w:t>
      </w:r>
      <w:r w:rsidR="004019DC" w:rsidRPr="003640E9">
        <w:rPr>
          <w:rFonts w:hint="eastAsia"/>
          <w:b/>
        </w:rPr>
        <w:t>未經審理程序，於開庭前與</w:t>
      </w:r>
      <w:r w:rsidR="00A664B7" w:rsidRPr="003640E9">
        <w:rPr>
          <w:rFonts w:hint="eastAsia"/>
          <w:b/>
        </w:rPr>
        <w:t>承辦之</w:t>
      </w:r>
      <w:r w:rsidR="00CC016B" w:rsidRPr="003640E9">
        <w:rPr>
          <w:rFonts w:hint="eastAsia"/>
          <w:b/>
        </w:rPr>
        <w:t>少年調查官</w:t>
      </w:r>
      <w:r w:rsidR="004019DC" w:rsidRPr="003640E9">
        <w:rPr>
          <w:rFonts w:hint="eastAsia"/>
          <w:b/>
        </w:rPr>
        <w:t>「討論」</w:t>
      </w:r>
      <w:r w:rsidR="00666F45" w:rsidRPr="003640E9">
        <w:rPr>
          <w:rFonts w:hint="eastAsia"/>
          <w:b/>
        </w:rPr>
        <w:t>更改</w:t>
      </w:r>
      <w:r w:rsidR="00CC016B" w:rsidRPr="003640E9">
        <w:rPr>
          <w:rFonts w:hint="eastAsia"/>
          <w:b/>
        </w:rPr>
        <w:t>處遇建議，</w:t>
      </w:r>
      <w:r w:rsidR="00A664B7" w:rsidRPr="003640E9">
        <w:rPr>
          <w:rFonts w:hint="eastAsia"/>
          <w:b/>
        </w:rPr>
        <w:t>不無架空</w:t>
      </w:r>
      <w:r w:rsidRPr="003640E9">
        <w:rPr>
          <w:rFonts w:hint="eastAsia"/>
          <w:b/>
        </w:rPr>
        <w:t>協商式審理</w:t>
      </w:r>
      <w:r w:rsidR="000D292A" w:rsidRPr="003640E9">
        <w:rPr>
          <w:rFonts w:hint="eastAsia"/>
          <w:b/>
        </w:rPr>
        <w:t>之虞</w:t>
      </w:r>
      <w:r w:rsidR="00A664B7" w:rsidRPr="003640E9">
        <w:rPr>
          <w:rFonts w:hint="eastAsia"/>
          <w:b/>
        </w:rPr>
        <w:t>，亦不符少事法第39條第2項規定</w:t>
      </w:r>
      <w:r w:rsidR="0000657F" w:rsidRPr="003640E9">
        <w:rPr>
          <w:rFonts w:hint="eastAsia"/>
          <w:b/>
        </w:rPr>
        <w:t>；又少年調查官製作之調查報告，為認定</w:t>
      </w:r>
      <w:r w:rsidR="00DF7AFF" w:rsidRPr="003640E9">
        <w:rPr>
          <w:rFonts w:hint="eastAsia"/>
          <w:b/>
        </w:rPr>
        <w:t>少年「需</w:t>
      </w:r>
      <w:r w:rsidR="0000657F" w:rsidRPr="003640E9">
        <w:rPr>
          <w:rFonts w:hint="eastAsia"/>
          <w:b/>
        </w:rPr>
        <w:t>保護性</w:t>
      </w:r>
      <w:r w:rsidR="00DF7AFF" w:rsidRPr="003640E9">
        <w:rPr>
          <w:rFonts w:hint="eastAsia"/>
          <w:b/>
        </w:rPr>
        <w:t>」</w:t>
      </w:r>
      <w:r w:rsidR="0000657F" w:rsidRPr="003640E9">
        <w:rPr>
          <w:rFonts w:hint="eastAsia"/>
          <w:b/>
        </w:rPr>
        <w:t>的重要依據，屬少年保護事件之法定證據。本案楊</w:t>
      </w:r>
      <w:r w:rsidR="003640E9" w:rsidRPr="003640E9">
        <w:rPr>
          <w:rFonts w:hint="eastAsia"/>
          <w:b/>
        </w:rPr>
        <w:t>少年調查官</w:t>
      </w:r>
      <w:r w:rsidR="0000657F" w:rsidRPr="003640E9">
        <w:rPr>
          <w:rFonts w:hint="eastAsia"/>
          <w:b/>
        </w:rPr>
        <w:t>同意</w:t>
      </w:r>
      <w:r w:rsidR="00AC1E16">
        <w:rPr>
          <w:rFonts w:hint="eastAsia"/>
          <w:b/>
        </w:rPr>
        <w:t>李法官</w:t>
      </w:r>
      <w:r w:rsidR="0000657F" w:rsidRPr="003640E9">
        <w:rPr>
          <w:rFonts w:hint="eastAsia"/>
          <w:b/>
        </w:rPr>
        <w:t>更改</w:t>
      </w:r>
      <w:r w:rsidR="00AC1E16">
        <w:rPr>
          <w:rFonts w:hint="eastAsia"/>
          <w:b/>
        </w:rPr>
        <w:t>處遇意見後</w:t>
      </w:r>
      <w:r w:rsidR="0000657F" w:rsidRPr="003640E9">
        <w:rPr>
          <w:rFonts w:hint="eastAsia"/>
          <w:b/>
        </w:rPr>
        <w:t>，未製作補充報告</w:t>
      </w:r>
      <w:proofErr w:type="gramStart"/>
      <w:r w:rsidR="0000657F" w:rsidRPr="003640E9">
        <w:rPr>
          <w:rFonts w:hint="eastAsia"/>
          <w:b/>
        </w:rPr>
        <w:t>併同原</w:t>
      </w:r>
      <w:proofErr w:type="gramEnd"/>
      <w:r w:rsidR="0000657F" w:rsidRPr="003640E9">
        <w:rPr>
          <w:rFonts w:hint="eastAsia"/>
          <w:b/>
        </w:rPr>
        <w:t>已送陳少年法庭之報告附卷，李法官又指示書記官勿將調查報告附卷，</w:t>
      </w:r>
      <w:proofErr w:type="gramStart"/>
      <w:r w:rsidR="0000657F" w:rsidRPr="003640E9">
        <w:rPr>
          <w:rFonts w:hint="eastAsia"/>
          <w:b/>
        </w:rPr>
        <w:t>致卷內</w:t>
      </w:r>
      <w:proofErr w:type="gramEnd"/>
      <w:r w:rsidR="0000657F" w:rsidRPr="003640E9">
        <w:rPr>
          <w:rFonts w:hint="eastAsia"/>
          <w:b/>
        </w:rPr>
        <w:t>調查報告之處遇建議與裁定所載內容不符；</w:t>
      </w:r>
      <w:proofErr w:type="gramStart"/>
      <w:r w:rsidR="00DF7AFF" w:rsidRPr="003640E9">
        <w:rPr>
          <w:rFonts w:hint="eastAsia"/>
          <w:b/>
        </w:rPr>
        <w:t>此外，</w:t>
      </w:r>
      <w:proofErr w:type="gramEnd"/>
      <w:r w:rsidR="0000657F" w:rsidRPr="003640E9">
        <w:rPr>
          <w:rFonts w:hint="eastAsia"/>
          <w:b/>
        </w:rPr>
        <w:t>少年調查報告</w:t>
      </w:r>
      <w:r w:rsidR="00DF7AFF" w:rsidRPr="003640E9">
        <w:rPr>
          <w:rFonts w:hint="eastAsia"/>
          <w:b/>
        </w:rPr>
        <w:t>內</w:t>
      </w:r>
      <w:r w:rsidR="0000657F" w:rsidRPr="003640E9">
        <w:rPr>
          <w:rFonts w:hint="eastAsia"/>
          <w:b/>
        </w:rPr>
        <w:t>詳載少年犯罪紀錄及個人資料，桃園地院</w:t>
      </w:r>
      <w:r w:rsidR="003640E9">
        <w:rPr>
          <w:rFonts w:hint="eastAsia"/>
          <w:b/>
        </w:rPr>
        <w:t>於</w:t>
      </w:r>
      <w:r w:rsidR="00DF7AFF" w:rsidRPr="003640E9">
        <w:rPr>
          <w:rFonts w:hint="eastAsia"/>
          <w:b/>
        </w:rPr>
        <w:t>附卷</w:t>
      </w:r>
      <w:r w:rsidR="003640E9">
        <w:rPr>
          <w:rFonts w:hint="eastAsia"/>
          <w:b/>
        </w:rPr>
        <w:t>時</w:t>
      </w:r>
      <w:r w:rsidR="003640E9" w:rsidRPr="003640E9">
        <w:rPr>
          <w:rFonts w:hint="eastAsia"/>
          <w:b/>
        </w:rPr>
        <w:t>僅</w:t>
      </w:r>
      <w:r w:rsidR="00DF7AFF" w:rsidRPr="003640E9">
        <w:rPr>
          <w:rFonts w:hint="eastAsia"/>
          <w:b/>
        </w:rPr>
        <w:t>折疊以訂書針裝訂，</w:t>
      </w:r>
      <w:r w:rsidR="0000657F" w:rsidRPr="003640E9">
        <w:rPr>
          <w:rFonts w:hint="eastAsia"/>
          <w:b/>
        </w:rPr>
        <w:t>未採取必要的檔案管制措施，甚或</w:t>
      </w:r>
      <w:r w:rsidR="00DF7AFF" w:rsidRPr="003640E9">
        <w:rPr>
          <w:rFonts w:hint="eastAsia"/>
          <w:b/>
        </w:rPr>
        <w:t>將之</w:t>
      </w:r>
      <w:r w:rsidR="0000657F" w:rsidRPr="003640E9">
        <w:rPr>
          <w:rFonts w:hint="eastAsia"/>
          <w:b/>
        </w:rPr>
        <w:t>散置於審理卷後，</w:t>
      </w:r>
      <w:proofErr w:type="gramStart"/>
      <w:r w:rsidR="0000657F" w:rsidRPr="003640E9">
        <w:rPr>
          <w:rFonts w:hint="eastAsia"/>
          <w:b/>
        </w:rPr>
        <w:t>均有欠妥</w:t>
      </w:r>
      <w:proofErr w:type="gramEnd"/>
      <w:r w:rsidR="0000657F" w:rsidRPr="003640E9">
        <w:rPr>
          <w:rFonts w:hint="eastAsia"/>
          <w:b/>
        </w:rPr>
        <w:t>適，</w:t>
      </w:r>
      <w:r w:rsidRPr="003640E9">
        <w:rPr>
          <w:rFonts w:hint="eastAsia"/>
          <w:b/>
        </w:rPr>
        <w:t>有檢討之必要。</w:t>
      </w:r>
      <w:bookmarkEnd w:id="57"/>
    </w:p>
    <w:p w:rsidR="0024088C" w:rsidRPr="00DE18D1" w:rsidRDefault="00030E87" w:rsidP="00DE18D1">
      <w:pPr>
        <w:pStyle w:val="3"/>
        <w:rPr>
          <w:b/>
        </w:rPr>
      </w:pPr>
      <w:r w:rsidRPr="00DE18D1">
        <w:rPr>
          <w:rFonts w:hint="eastAsia"/>
          <w:b/>
        </w:rPr>
        <w:t>桃園地院審理前後事件時，</w:t>
      </w:r>
      <w:r w:rsidR="0086760B" w:rsidRPr="00DE18D1">
        <w:rPr>
          <w:rFonts w:hint="eastAsia"/>
          <w:b/>
        </w:rPr>
        <w:t>承辦</w:t>
      </w:r>
      <w:r w:rsidRPr="00DE18D1">
        <w:rPr>
          <w:rFonts w:hint="eastAsia"/>
          <w:b/>
        </w:rPr>
        <w:t>之少年調查官均</w:t>
      </w:r>
      <w:r w:rsidR="00A13BD0" w:rsidRPr="00DE18D1">
        <w:rPr>
          <w:rFonts w:hint="eastAsia"/>
          <w:b/>
        </w:rPr>
        <w:t>未到庭，</w:t>
      </w:r>
      <w:r w:rsidRPr="00DE18D1">
        <w:rPr>
          <w:rFonts w:hint="eastAsia"/>
          <w:b/>
        </w:rPr>
        <w:t>輪值到庭</w:t>
      </w:r>
      <w:r w:rsidR="00A13BD0" w:rsidRPr="00DE18D1">
        <w:rPr>
          <w:rFonts w:hint="eastAsia"/>
          <w:b/>
        </w:rPr>
        <w:t>之少年調查官陳述意見時僅</w:t>
      </w:r>
      <w:r w:rsidRPr="00DE18D1">
        <w:rPr>
          <w:rFonts w:hint="eastAsia"/>
          <w:b/>
        </w:rPr>
        <w:t>照本宣科；且</w:t>
      </w:r>
      <w:r w:rsidR="00B749CA" w:rsidRPr="00DE18D1">
        <w:rPr>
          <w:rFonts w:hint="eastAsia"/>
          <w:b/>
        </w:rPr>
        <w:t>承審後事件之</w:t>
      </w:r>
      <w:r w:rsidR="004C16C8" w:rsidRPr="00DE18D1">
        <w:rPr>
          <w:rFonts w:hint="eastAsia"/>
          <w:b/>
        </w:rPr>
        <w:t>李秋梅</w:t>
      </w:r>
      <w:r w:rsidRPr="00DE18D1">
        <w:rPr>
          <w:rFonts w:hint="eastAsia"/>
          <w:b/>
        </w:rPr>
        <w:t>法官</w:t>
      </w:r>
      <w:r w:rsidR="00B749CA" w:rsidRPr="00DE18D1">
        <w:rPr>
          <w:rFonts w:hint="eastAsia"/>
          <w:b/>
        </w:rPr>
        <w:t>兩度</w:t>
      </w:r>
      <w:r w:rsidR="00E0533D" w:rsidRPr="00DE18D1">
        <w:rPr>
          <w:rFonts w:hint="eastAsia"/>
          <w:b/>
        </w:rPr>
        <w:t>指示</w:t>
      </w:r>
      <w:r w:rsidR="00F775A5" w:rsidRPr="00DE18D1">
        <w:rPr>
          <w:rFonts w:hint="eastAsia"/>
          <w:b/>
        </w:rPr>
        <w:t>少年調查官充任現在保護少年之人，代替家長同意</w:t>
      </w:r>
      <w:r w:rsidR="00D52C81" w:rsidRPr="00DE18D1">
        <w:rPr>
          <w:rFonts w:hint="eastAsia"/>
          <w:b/>
        </w:rPr>
        <w:t>法院之處分</w:t>
      </w:r>
      <w:r w:rsidR="00A13BD0" w:rsidRPr="00DE18D1">
        <w:rPr>
          <w:rFonts w:hint="eastAsia"/>
          <w:b/>
        </w:rPr>
        <w:t>，</w:t>
      </w:r>
      <w:r w:rsidR="00DE18D1" w:rsidRPr="00DE18D1">
        <w:rPr>
          <w:rFonts w:hint="eastAsia"/>
          <w:b/>
        </w:rPr>
        <w:t>雖係少年家長屢經合法通知未到場，法官基於保護少年，避免延滯程序所為，但少年調查官充任「現在保護少年之人」</w:t>
      </w:r>
      <w:r w:rsidR="00DE18D1">
        <w:rPr>
          <w:rFonts w:hint="eastAsia"/>
          <w:b/>
        </w:rPr>
        <w:t>，有違職務倫理界限，不符</w:t>
      </w:r>
      <w:r w:rsidR="00A13BD0" w:rsidRPr="00DE18D1">
        <w:rPr>
          <w:rFonts w:hint="eastAsia"/>
          <w:b/>
        </w:rPr>
        <w:t>正當法律程序</w:t>
      </w:r>
      <w:r w:rsidR="00DE18D1">
        <w:rPr>
          <w:rFonts w:hint="eastAsia"/>
          <w:b/>
        </w:rPr>
        <w:t>的要求</w:t>
      </w:r>
      <w:r w:rsidR="00A05349" w:rsidRPr="00DE18D1">
        <w:rPr>
          <w:rFonts w:hint="eastAsia"/>
          <w:b/>
        </w:rPr>
        <w:t>：</w:t>
      </w:r>
    </w:p>
    <w:p w:rsidR="00A13BD0" w:rsidRDefault="00D52C81" w:rsidP="00A13BD0">
      <w:pPr>
        <w:pStyle w:val="4"/>
      </w:pPr>
      <w:proofErr w:type="gramStart"/>
      <w:r>
        <w:rPr>
          <w:rFonts w:hint="eastAsia"/>
        </w:rPr>
        <w:lastRenderedPageBreak/>
        <w:t>按</w:t>
      </w:r>
      <w:r w:rsidRPr="00D52C81">
        <w:rPr>
          <w:rFonts w:hint="eastAsia"/>
        </w:rPr>
        <w:t>少事</w:t>
      </w:r>
      <w:proofErr w:type="gramEnd"/>
      <w:r w:rsidRPr="00D52C81">
        <w:rPr>
          <w:rFonts w:hint="eastAsia"/>
        </w:rPr>
        <w:t>法第32條第1項規定：「少年法院審理事件應定審理期日。審理期日應傳喚少年、少年之法定代理人或現在保護少年之人，並通知少年之輔佐人。」第36條規定：「審理期日訊問少年時，應予少年之法定代理人或現在保護少年之人及輔佐人陳述意見之機會。」</w:t>
      </w:r>
    </w:p>
    <w:p w:rsidR="002917FF" w:rsidRDefault="002917FF" w:rsidP="00A13BD0">
      <w:pPr>
        <w:pStyle w:val="4"/>
      </w:pPr>
      <w:proofErr w:type="gramStart"/>
      <w:r>
        <w:rPr>
          <w:rFonts w:hint="eastAsia"/>
        </w:rPr>
        <w:t>詢</w:t>
      </w:r>
      <w:proofErr w:type="gramEnd"/>
      <w:r>
        <w:rPr>
          <w:rFonts w:hint="eastAsia"/>
        </w:rPr>
        <w:t>據</w:t>
      </w:r>
      <w:r w:rsidR="004C16C8">
        <w:rPr>
          <w:rFonts w:hint="eastAsia"/>
        </w:rPr>
        <w:t>李秋梅</w:t>
      </w:r>
      <w:r>
        <w:rPr>
          <w:rFonts w:hint="eastAsia"/>
        </w:rPr>
        <w:t>法官</w:t>
      </w:r>
      <w:r w:rsidR="00D73444">
        <w:rPr>
          <w:rFonts w:hint="eastAsia"/>
        </w:rPr>
        <w:t>表示</w:t>
      </w:r>
      <w:r>
        <w:rPr>
          <w:rFonts w:hint="eastAsia"/>
        </w:rPr>
        <w:t>略</w:t>
      </w:r>
      <w:proofErr w:type="gramStart"/>
      <w:r>
        <w:rPr>
          <w:rFonts w:hint="eastAsia"/>
        </w:rPr>
        <w:t>以</w:t>
      </w:r>
      <w:proofErr w:type="gramEnd"/>
      <w:r>
        <w:rPr>
          <w:rFonts w:hint="eastAsia"/>
        </w:rPr>
        <w:t>：其確於105年3月29日、106年1月16日審理期日，指定輪值到庭的少年調查官</w:t>
      </w:r>
      <w:r w:rsidR="001A2A29">
        <w:rPr>
          <w:rFonts w:hint="eastAsia"/>
        </w:rPr>
        <w:t>謝佳蓉、方曉晴</w:t>
      </w:r>
      <w:r>
        <w:rPr>
          <w:rFonts w:hint="eastAsia"/>
        </w:rPr>
        <w:t>為現在保護少年之人。然少年之父親經合法通知仍無故未到庭，認仍有開庭審理之必要性，</w:t>
      </w:r>
      <w:proofErr w:type="gramStart"/>
      <w:r>
        <w:rPr>
          <w:rFonts w:hint="eastAsia"/>
        </w:rPr>
        <w:t>而蒞庭</w:t>
      </w:r>
      <w:proofErr w:type="gramEnd"/>
      <w:r>
        <w:rPr>
          <w:rFonts w:hint="eastAsia"/>
        </w:rPr>
        <w:t>之少年調查官雖未參與審前調查，</w:t>
      </w:r>
      <w:proofErr w:type="gramStart"/>
      <w:r>
        <w:rPr>
          <w:rFonts w:hint="eastAsia"/>
        </w:rPr>
        <w:t>但蒞庭</w:t>
      </w:r>
      <w:proofErr w:type="gramEnd"/>
      <w:r>
        <w:rPr>
          <w:rFonts w:hint="eastAsia"/>
        </w:rPr>
        <w:t>時可看見書面審前調查報告中關於少年之成長過程、學行及生活狀況等，亦可本於專業，依開庭所見之少年及家長情形表示意見，故由蒞庭之少年調查官以兼任現在保護少年之地位參與程序，並無違法不當等語。</w:t>
      </w:r>
    </w:p>
    <w:p w:rsidR="00A13BD0" w:rsidRDefault="001A2A29" w:rsidP="00A13BD0">
      <w:pPr>
        <w:pStyle w:val="4"/>
      </w:pPr>
      <w:r>
        <w:rPr>
          <w:rFonts w:hint="eastAsia"/>
        </w:rPr>
        <w:t>輪值到庭的少年調查官擔任「現在保護少年之人」除與其職務倫理衝突外，亦完全</w:t>
      </w:r>
      <w:proofErr w:type="gramStart"/>
      <w:r>
        <w:rPr>
          <w:rFonts w:hint="eastAsia"/>
        </w:rPr>
        <w:t>不</w:t>
      </w:r>
      <w:proofErr w:type="gramEnd"/>
      <w:r>
        <w:rPr>
          <w:rFonts w:hint="eastAsia"/>
        </w:rPr>
        <w:t>瞭解該少年生活狀況，無從為其行使辯解權，違反兒童權利公約第40條第2項b段，應無可爭辯。經查，本件桃園地院少年法庭承辦A少年調查及保護之少年調查官為楊秀卿。</w:t>
      </w:r>
      <w:proofErr w:type="gramStart"/>
      <w:r>
        <w:rPr>
          <w:rFonts w:hint="eastAsia"/>
        </w:rPr>
        <w:t>惟</w:t>
      </w:r>
      <w:proofErr w:type="gramEnd"/>
      <w:r>
        <w:rPr>
          <w:rFonts w:hint="eastAsia"/>
        </w:rPr>
        <w:t>前後兩事件審理期日楊秀卿均未到庭</w:t>
      </w:r>
      <w:r w:rsidRPr="00D33593">
        <w:rPr>
          <w:rFonts w:hint="eastAsia"/>
        </w:rPr>
        <w:t>，</w:t>
      </w:r>
      <w:r>
        <w:rPr>
          <w:rFonts w:hint="eastAsia"/>
        </w:rPr>
        <w:t>分別由輪值到庭之少年調查官</w:t>
      </w:r>
      <w:r w:rsidRPr="000D7DCC">
        <w:rPr>
          <w:rFonts w:hint="eastAsia"/>
        </w:rPr>
        <w:t>陳美鈴</w:t>
      </w:r>
      <w:r>
        <w:rPr>
          <w:rFonts w:hint="eastAsia"/>
        </w:rPr>
        <w:t>、謝佳蓉及方曉晴代理。惟3人在庭</w:t>
      </w:r>
      <w:proofErr w:type="gramStart"/>
      <w:r>
        <w:rPr>
          <w:rFonts w:hint="eastAsia"/>
        </w:rPr>
        <w:t>時均僅稱</w:t>
      </w:r>
      <w:proofErr w:type="gramEnd"/>
      <w:r w:rsidRPr="000D7DCC">
        <w:rPr>
          <w:rFonts w:hint="eastAsia"/>
        </w:rPr>
        <w:t>：「少年調查官陳述意見詳如少年調查報告書所載」</w:t>
      </w:r>
      <w:r>
        <w:rPr>
          <w:rFonts w:hint="eastAsia"/>
        </w:rPr>
        <w:t>，</w:t>
      </w:r>
      <w:proofErr w:type="gramStart"/>
      <w:r>
        <w:rPr>
          <w:rFonts w:hint="eastAsia"/>
        </w:rPr>
        <w:t>餘無其他</w:t>
      </w:r>
      <w:proofErr w:type="gramEnd"/>
      <w:r>
        <w:rPr>
          <w:rFonts w:hint="eastAsia"/>
        </w:rPr>
        <w:t>陳述。此有桃園地院少年法庭</w:t>
      </w:r>
      <w:proofErr w:type="gramStart"/>
      <w:r>
        <w:rPr>
          <w:rFonts w:hint="eastAsia"/>
        </w:rPr>
        <w:t>102</w:t>
      </w:r>
      <w:proofErr w:type="gramEnd"/>
      <w:r>
        <w:rPr>
          <w:rFonts w:hint="eastAsia"/>
        </w:rPr>
        <w:t>年度</w:t>
      </w:r>
      <w:proofErr w:type="gramStart"/>
      <w:r>
        <w:rPr>
          <w:rFonts w:hint="eastAsia"/>
        </w:rPr>
        <w:t>少護字</w:t>
      </w:r>
      <w:proofErr w:type="gramEnd"/>
      <w:r>
        <w:rPr>
          <w:rFonts w:hint="eastAsia"/>
        </w:rPr>
        <w:t>第904號少年保護事件102年11月29日審理筆錄、</w:t>
      </w:r>
      <w:proofErr w:type="gramStart"/>
      <w:r>
        <w:rPr>
          <w:rFonts w:hint="eastAsia"/>
        </w:rPr>
        <w:t>105</w:t>
      </w:r>
      <w:proofErr w:type="gramEnd"/>
      <w:r>
        <w:rPr>
          <w:rFonts w:hint="eastAsia"/>
        </w:rPr>
        <w:t>年度</w:t>
      </w:r>
      <w:proofErr w:type="gramStart"/>
      <w:r>
        <w:rPr>
          <w:rFonts w:hint="eastAsia"/>
        </w:rPr>
        <w:t>少護字</w:t>
      </w:r>
      <w:proofErr w:type="gramEnd"/>
      <w:r>
        <w:rPr>
          <w:rFonts w:hint="eastAsia"/>
        </w:rPr>
        <w:t>第30號少年保護事件105年3月29日、</w:t>
      </w:r>
      <w:r w:rsidRPr="000D7DCC">
        <w:rPr>
          <w:rFonts w:hint="eastAsia"/>
        </w:rPr>
        <w:t>106年1月16日</w:t>
      </w:r>
      <w:r>
        <w:rPr>
          <w:rFonts w:hint="eastAsia"/>
        </w:rPr>
        <w:t>審理筆錄在卷可</w:t>
      </w:r>
      <w:proofErr w:type="gramStart"/>
      <w:r>
        <w:rPr>
          <w:rFonts w:hint="eastAsia"/>
        </w:rPr>
        <w:t>稽</w:t>
      </w:r>
      <w:proofErr w:type="gramEnd"/>
      <w:r>
        <w:rPr>
          <w:rFonts w:hint="eastAsia"/>
        </w:rPr>
        <w:t>。對此，</w:t>
      </w:r>
      <w:proofErr w:type="gramStart"/>
      <w:r>
        <w:rPr>
          <w:rFonts w:hint="eastAsia"/>
        </w:rPr>
        <w:t>詢</w:t>
      </w:r>
      <w:proofErr w:type="gramEnd"/>
      <w:r>
        <w:rPr>
          <w:rFonts w:hint="eastAsia"/>
        </w:rPr>
        <w:t>據楊秀卿及方曉晴均表示，其等對</w:t>
      </w:r>
      <w:r>
        <w:rPr>
          <w:rFonts w:hint="eastAsia"/>
        </w:rPr>
        <w:lastRenderedPageBreak/>
        <w:t>於代理之案件，</w:t>
      </w:r>
      <w:r w:rsidRPr="00257069">
        <w:rPr>
          <w:rFonts w:hint="eastAsia"/>
        </w:rPr>
        <w:t>到</w:t>
      </w:r>
      <w:proofErr w:type="gramStart"/>
      <w:r w:rsidRPr="00257069">
        <w:rPr>
          <w:rFonts w:hint="eastAsia"/>
        </w:rPr>
        <w:t>庭前</w:t>
      </w:r>
      <w:r>
        <w:rPr>
          <w:rFonts w:hint="eastAsia"/>
        </w:rPr>
        <w:t>既</w:t>
      </w:r>
      <w:r w:rsidRPr="00257069">
        <w:rPr>
          <w:rFonts w:hint="eastAsia"/>
        </w:rPr>
        <w:t>未</w:t>
      </w:r>
      <w:proofErr w:type="gramEnd"/>
      <w:r>
        <w:rPr>
          <w:rFonts w:hint="eastAsia"/>
        </w:rPr>
        <w:t>調卷</w:t>
      </w:r>
      <w:proofErr w:type="gramStart"/>
      <w:r>
        <w:rPr>
          <w:rFonts w:hint="eastAsia"/>
        </w:rPr>
        <w:t>研</w:t>
      </w:r>
      <w:proofErr w:type="gramEnd"/>
      <w:r>
        <w:rPr>
          <w:rFonts w:hint="eastAsia"/>
        </w:rPr>
        <w:t>閱</w:t>
      </w:r>
      <w:r w:rsidRPr="00257069">
        <w:rPr>
          <w:rFonts w:hint="eastAsia"/>
        </w:rPr>
        <w:t>相關卷證，開庭後亦無任何交接機制</w:t>
      </w:r>
      <w:r>
        <w:rPr>
          <w:rFonts w:hint="eastAsia"/>
        </w:rPr>
        <w:t>等語。顯見少年保護事件</w:t>
      </w:r>
      <w:r w:rsidRPr="00D52C81">
        <w:rPr>
          <w:rFonts w:hint="eastAsia"/>
        </w:rPr>
        <w:t>所謂</w:t>
      </w:r>
      <w:r>
        <w:rPr>
          <w:rFonts w:hint="eastAsia"/>
        </w:rPr>
        <w:t>之</w:t>
      </w:r>
      <w:r w:rsidRPr="00D52C81">
        <w:rPr>
          <w:rFonts w:hint="eastAsia"/>
        </w:rPr>
        <w:t>協商式審理已完全流於形式</w:t>
      </w:r>
      <w:r w:rsidR="00810226">
        <w:rPr>
          <w:rFonts w:hint="eastAsia"/>
        </w:rPr>
        <w:t>。</w:t>
      </w:r>
    </w:p>
    <w:p w:rsidR="0024088C" w:rsidRDefault="008479A6" w:rsidP="00A13BD0">
      <w:pPr>
        <w:pStyle w:val="4"/>
      </w:pPr>
      <w:r>
        <w:rPr>
          <w:rFonts w:hint="eastAsia"/>
        </w:rPr>
        <w:t>又</w:t>
      </w:r>
      <w:r w:rsidR="0024088C">
        <w:rPr>
          <w:rFonts w:hint="eastAsia"/>
        </w:rPr>
        <w:t>桃園地院</w:t>
      </w:r>
      <w:r>
        <w:rPr>
          <w:rFonts w:hint="eastAsia"/>
        </w:rPr>
        <w:t>少年法庭於</w:t>
      </w:r>
      <w:r w:rsidR="00D33593">
        <w:rPr>
          <w:rFonts w:hint="eastAsia"/>
        </w:rPr>
        <w:t>105年3月29日</w:t>
      </w:r>
      <w:r w:rsidR="00641F97">
        <w:rPr>
          <w:rFonts w:hint="eastAsia"/>
        </w:rPr>
        <w:t>、106年1月16日</w:t>
      </w:r>
      <w:r>
        <w:rPr>
          <w:rFonts w:hint="eastAsia"/>
        </w:rPr>
        <w:t>審理期日，</w:t>
      </w:r>
      <w:r w:rsidR="00D33593">
        <w:rPr>
          <w:rFonts w:hint="eastAsia"/>
        </w:rPr>
        <w:t>因少年</w:t>
      </w:r>
      <w:r w:rsidR="00D33593" w:rsidRPr="00D33593">
        <w:rPr>
          <w:rFonts w:hint="eastAsia"/>
        </w:rPr>
        <w:t>之法定代理人未到庭</w:t>
      </w:r>
      <w:r w:rsidR="00D33593">
        <w:rPr>
          <w:rFonts w:hint="eastAsia"/>
        </w:rPr>
        <w:t>，</w:t>
      </w:r>
      <w:r w:rsidR="00D33593" w:rsidRPr="00D33593">
        <w:rPr>
          <w:rFonts w:hint="eastAsia"/>
        </w:rPr>
        <w:t>法官</w:t>
      </w:r>
      <w:r>
        <w:rPr>
          <w:rFonts w:hint="eastAsia"/>
        </w:rPr>
        <w:t>竟</w:t>
      </w:r>
      <w:r w:rsidR="00641F97">
        <w:rPr>
          <w:rFonts w:hint="eastAsia"/>
        </w:rPr>
        <w:t>分別</w:t>
      </w:r>
      <w:proofErr w:type="gramStart"/>
      <w:r w:rsidR="00D33593" w:rsidRPr="00D33593">
        <w:rPr>
          <w:rFonts w:hint="eastAsia"/>
        </w:rPr>
        <w:t>諭</w:t>
      </w:r>
      <w:proofErr w:type="gramEnd"/>
      <w:r w:rsidR="00D33593" w:rsidRPr="00D33593">
        <w:rPr>
          <w:rFonts w:hint="eastAsia"/>
        </w:rPr>
        <w:t>知</w:t>
      </w:r>
      <w:r w:rsidR="00D33593">
        <w:rPr>
          <w:rFonts w:hint="eastAsia"/>
        </w:rPr>
        <w:t>輪值到庭之</w:t>
      </w:r>
      <w:r w:rsidR="00D33593" w:rsidRPr="00D33593">
        <w:rPr>
          <w:rFonts w:hint="eastAsia"/>
        </w:rPr>
        <w:t>少年調查官</w:t>
      </w:r>
      <w:r w:rsidR="001A2A29" w:rsidRPr="00D33593">
        <w:rPr>
          <w:rFonts w:hint="eastAsia"/>
        </w:rPr>
        <w:t>謝佳蓉</w:t>
      </w:r>
      <w:r w:rsidR="001A2A29">
        <w:rPr>
          <w:rFonts w:hint="eastAsia"/>
        </w:rPr>
        <w:t>、</w:t>
      </w:r>
      <w:r w:rsidR="001A2A29" w:rsidRPr="00CE2C03">
        <w:rPr>
          <w:rFonts w:hint="eastAsia"/>
        </w:rPr>
        <w:t>方曉晴</w:t>
      </w:r>
      <w:r w:rsidR="00D33593" w:rsidRPr="00D33593">
        <w:rPr>
          <w:rFonts w:hint="eastAsia"/>
        </w:rPr>
        <w:t>擔任</w:t>
      </w:r>
      <w:r w:rsidR="00641F97">
        <w:rPr>
          <w:rFonts w:hint="eastAsia"/>
        </w:rPr>
        <w:t>「</w:t>
      </w:r>
      <w:r w:rsidR="00D33593" w:rsidRPr="00D33593">
        <w:rPr>
          <w:rFonts w:hint="eastAsia"/>
        </w:rPr>
        <w:t>現在保護少年之人</w:t>
      </w:r>
      <w:r w:rsidR="00641F97">
        <w:rPr>
          <w:rFonts w:hint="eastAsia"/>
        </w:rPr>
        <w:t>」</w:t>
      </w:r>
      <w:r>
        <w:rPr>
          <w:rFonts w:hint="eastAsia"/>
        </w:rPr>
        <w:t>，代替家長同意</w:t>
      </w:r>
      <w:r w:rsidR="00D33593">
        <w:rPr>
          <w:rFonts w:hint="eastAsia"/>
        </w:rPr>
        <w:t>將少年交付觀察</w:t>
      </w:r>
      <w:r w:rsidR="00641F97">
        <w:rPr>
          <w:rFonts w:hint="eastAsia"/>
        </w:rPr>
        <w:t>及接受感化教育。</w:t>
      </w:r>
      <w:proofErr w:type="gramStart"/>
      <w:r w:rsidR="0024088C">
        <w:rPr>
          <w:rFonts w:hint="eastAsia"/>
        </w:rPr>
        <w:t>然</w:t>
      </w:r>
      <w:r>
        <w:rPr>
          <w:rFonts w:hint="eastAsia"/>
        </w:rPr>
        <w:t>受指定</w:t>
      </w:r>
      <w:proofErr w:type="gramEnd"/>
      <w:r>
        <w:rPr>
          <w:rFonts w:hint="eastAsia"/>
        </w:rPr>
        <w:t>到庭之少年調查官，因未承辦A少年相關事件，故</w:t>
      </w:r>
      <w:r w:rsidR="00641F97">
        <w:rPr>
          <w:rFonts w:hint="eastAsia"/>
        </w:rPr>
        <w:t>皆</w:t>
      </w:r>
      <w:r w:rsidR="0024088C">
        <w:rPr>
          <w:rFonts w:hint="eastAsia"/>
        </w:rPr>
        <w:t>未以</w:t>
      </w:r>
      <w:r w:rsidR="00641F97">
        <w:rPr>
          <w:rFonts w:hint="eastAsia"/>
        </w:rPr>
        <w:t>「</w:t>
      </w:r>
      <w:r w:rsidR="0024088C">
        <w:rPr>
          <w:rFonts w:hint="eastAsia"/>
        </w:rPr>
        <w:t>現在保護少年之人</w:t>
      </w:r>
      <w:r w:rsidR="00641F97">
        <w:rPr>
          <w:rFonts w:hint="eastAsia"/>
        </w:rPr>
        <w:t>」</w:t>
      </w:r>
      <w:r w:rsidR="0024088C">
        <w:rPr>
          <w:rFonts w:hint="eastAsia"/>
        </w:rPr>
        <w:t>表示任何意見</w:t>
      </w:r>
      <w:r w:rsidR="00810226">
        <w:rPr>
          <w:rFonts w:hint="eastAsia"/>
        </w:rPr>
        <w:t>，顯然違背正當程序之要求</w:t>
      </w:r>
      <w:r w:rsidR="00D33593">
        <w:rPr>
          <w:rFonts w:hint="eastAsia"/>
        </w:rPr>
        <w:t>。</w:t>
      </w:r>
    </w:p>
    <w:p w:rsidR="00A05349" w:rsidRPr="003640E9" w:rsidRDefault="00FE3BD8" w:rsidP="003640E9">
      <w:pPr>
        <w:pStyle w:val="3"/>
        <w:rPr>
          <w:b/>
        </w:rPr>
      </w:pPr>
      <w:r w:rsidRPr="003640E9">
        <w:rPr>
          <w:rFonts w:hint="eastAsia"/>
          <w:b/>
        </w:rPr>
        <w:t>少年調查報告</w:t>
      </w:r>
      <w:r w:rsidR="002917FF" w:rsidRPr="003640E9">
        <w:rPr>
          <w:rFonts w:hint="eastAsia"/>
          <w:b/>
        </w:rPr>
        <w:t>係</w:t>
      </w:r>
      <w:r w:rsidRPr="003640E9">
        <w:rPr>
          <w:rFonts w:hint="eastAsia"/>
          <w:b/>
        </w:rPr>
        <w:t>認定少年</w:t>
      </w:r>
      <w:r w:rsidR="005C1C36">
        <w:rPr>
          <w:rFonts w:hint="eastAsia"/>
          <w:b/>
        </w:rPr>
        <w:t>需保護性</w:t>
      </w:r>
      <w:r w:rsidRPr="003640E9">
        <w:rPr>
          <w:rFonts w:hint="eastAsia"/>
          <w:b/>
        </w:rPr>
        <w:t>的</w:t>
      </w:r>
      <w:r w:rsidR="002917FF" w:rsidRPr="003640E9">
        <w:rPr>
          <w:rFonts w:hint="eastAsia"/>
          <w:b/>
        </w:rPr>
        <w:t>重要依據，</w:t>
      </w:r>
      <w:r w:rsidR="0000657F" w:rsidRPr="003640E9">
        <w:rPr>
          <w:rFonts w:hint="eastAsia"/>
          <w:b/>
        </w:rPr>
        <w:t>且詳載少年犯罪紀錄及個人資料，</w:t>
      </w:r>
      <w:r w:rsidR="002917FF" w:rsidRPr="003640E9">
        <w:rPr>
          <w:rFonts w:hint="eastAsia"/>
          <w:b/>
        </w:rPr>
        <w:t>其性質屬少年保護事件之</w:t>
      </w:r>
      <w:r w:rsidRPr="003640E9">
        <w:rPr>
          <w:rFonts w:hint="eastAsia"/>
          <w:b/>
        </w:rPr>
        <w:t>法定證據，本案</w:t>
      </w:r>
      <w:r w:rsidR="00582846">
        <w:rPr>
          <w:rFonts w:hint="eastAsia"/>
          <w:b/>
        </w:rPr>
        <w:t>楊○○</w:t>
      </w:r>
      <w:r w:rsidRPr="003640E9">
        <w:rPr>
          <w:rFonts w:hint="eastAsia"/>
          <w:b/>
        </w:rPr>
        <w:t>少年調查官提出之調查報告原建議「</w:t>
      </w:r>
      <w:proofErr w:type="gramStart"/>
      <w:r w:rsidRPr="003640E9">
        <w:rPr>
          <w:rFonts w:hint="eastAsia"/>
          <w:b/>
        </w:rPr>
        <w:t>移檢偵辦</w:t>
      </w:r>
      <w:proofErr w:type="gramEnd"/>
      <w:r w:rsidRPr="003640E9">
        <w:rPr>
          <w:rFonts w:hint="eastAsia"/>
          <w:b/>
        </w:rPr>
        <w:t>」，</w:t>
      </w:r>
      <w:r w:rsidR="003D7B15" w:rsidRPr="003640E9">
        <w:rPr>
          <w:rFonts w:hint="eastAsia"/>
          <w:b/>
        </w:rPr>
        <w:t>李秋梅</w:t>
      </w:r>
      <w:r w:rsidR="00A05349" w:rsidRPr="003640E9">
        <w:rPr>
          <w:rFonts w:hint="eastAsia"/>
          <w:b/>
        </w:rPr>
        <w:t>法官未經審理</w:t>
      </w:r>
      <w:r w:rsidR="00523FA0" w:rsidRPr="003640E9">
        <w:rPr>
          <w:rFonts w:hint="eastAsia"/>
          <w:b/>
        </w:rPr>
        <w:t>程</w:t>
      </w:r>
      <w:r w:rsidR="00A05349" w:rsidRPr="003640E9">
        <w:rPr>
          <w:rFonts w:hint="eastAsia"/>
          <w:b/>
        </w:rPr>
        <w:t>序，於開庭前</w:t>
      </w:r>
      <w:r w:rsidRPr="003640E9">
        <w:rPr>
          <w:rFonts w:hint="eastAsia"/>
          <w:b/>
        </w:rPr>
        <w:t>與</w:t>
      </w:r>
      <w:r w:rsidR="00582846">
        <w:rPr>
          <w:rFonts w:hint="eastAsia"/>
          <w:b/>
        </w:rPr>
        <w:t>楊○○</w:t>
      </w:r>
      <w:r w:rsidR="00A05349" w:rsidRPr="003640E9">
        <w:rPr>
          <w:rFonts w:hint="eastAsia"/>
          <w:b/>
        </w:rPr>
        <w:t>少年調查官</w:t>
      </w:r>
      <w:r w:rsidRPr="003640E9">
        <w:rPr>
          <w:rFonts w:hint="eastAsia"/>
          <w:b/>
        </w:rPr>
        <w:t>討論</w:t>
      </w:r>
      <w:r w:rsidR="002917FF" w:rsidRPr="003640E9">
        <w:rPr>
          <w:rFonts w:hint="eastAsia"/>
          <w:b/>
        </w:rPr>
        <w:t>後，</w:t>
      </w:r>
      <w:r w:rsidR="000D292A" w:rsidRPr="003640E9">
        <w:rPr>
          <w:rFonts w:hint="eastAsia"/>
          <w:b/>
        </w:rPr>
        <w:t>經少年調查官同意，</w:t>
      </w:r>
      <w:r w:rsidR="00A05349" w:rsidRPr="003640E9">
        <w:rPr>
          <w:rFonts w:hint="eastAsia"/>
          <w:b/>
        </w:rPr>
        <w:t>將處遇建議更改為感化教育</w:t>
      </w:r>
      <w:r w:rsidR="00523FA0" w:rsidRPr="003640E9">
        <w:rPr>
          <w:rFonts w:hint="eastAsia"/>
          <w:b/>
        </w:rPr>
        <w:t>，而</w:t>
      </w:r>
      <w:r w:rsidR="00582846">
        <w:rPr>
          <w:rFonts w:hint="eastAsia"/>
          <w:b/>
        </w:rPr>
        <w:t>楊○○</w:t>
      </w:r>
      <w:r w:rsidR="00523FA0" w:rsidRPr="003640E9">
        <w:rPr>
          <w:rFonts w:hint="eastAsia"/>
          <w:b/>
        </w:rPr>
        <w:t>雖同意更改，但未製作補充報告</w:t>
      </w:r>
      <w:r w:rsidR="00576C9B" w:rsidRPr="003640E9">
        <w:rPr>
          <w:rFonts w:hint="eastAsia"/>
          <w:b/>
        </w:rPr>
        <w:t>，</w:t>
      </w:r>
      <w:r w:rsidR="003D7B15" w:rsidRPr="003640E9">
        <w:rPr>
          <w:rFonts w:hint="eastAsia"/>
          <w:b/>
        </w:rPr>
        <w:t>李秋梅</w:t>
      </w:r>
      <w:r w:rsidR="00576C9B" w:rsidRPr="003640E9">
        <w:rPr>
          <w:rFonts w:hint="eastAsia"/>
          <w:b/>
        </w:rPr>
        <w:t>法官又指示書記官勿將少年調查報告附卷，</w:t>
      </w:r>
      <w:proofErr w:type="gramStart"/>
      <w:r w:rsidR="00576C9B" w:rsidRPr="003640E9">
        <w:rPr>
          <w:rFonts w:hint="eastAsia"/>
          <w:b/>
        </w:rPr>
        <w:t>致</w:t>
      </w:r>
      <w:r w:rsidR="00523FA0" w:rsidRPr="003640E9">
        <w:rPr>
          <w:rFonts w:hint="eastAsia"/>
          <w:b/>
        </w:rPr>
        <w:t>卷內</w:t>
      </w:r>
      <w:proofErr w:type="gramEnd"/>
      <w:r w:rsidR="00523FA0" w:rsidRPr="003640E9">
        <w:rPr>
          <w:rFonts w:hint="eastAsia"/>
          <w:b/>
        </w:rPr>
        <w:t>少年調查報告之處遇建議</w:t>
      </w:r>
      <w:r w:rsidR="00576C9B" w:rsidRPr="003640E9">
        <w:rPr>
          <w:rFonts w:hint="eastAsia"/>
          <w:b/>
        </w:rPr>
        <w:t>與裁定所載內容不符</w:t>
      </w:r>
      <w:r w:rsidR="0000657F" w:rsidRPr="003640E9">
        <w:rPr>
          <w:rFonts w:hint="eastAsia"/>
          <w:b/>
        </w:rPr>
        <w:t>；而桃園地院對於</w:t>
      </w:r>
      <w:r w:rsidR="00963504" w:rsidRPr="003640E9">
        <w:rPr>
          <w:rFonts w:hint="eastAsia"/>
          <w:b/>
        </w:rPr>
        <w:t>記載</w:t>
      </w:r>
      <w:r w:rsidR="0000657F" w:rsidRPr="003640E9">
        <w:rPr>
          <w:rFonts w:hint="eastAsia"/>
          <w:b/>
        </w:rPr>
        <w:t>少年</w:t>
      </w:r>
      <w:proofErr w:type="gramStart"/>
      <w:r w:rsidR="00963504" w:rsidRPr="003640E9">
        <w:rPr>
          <w:rFonts w:hint="eastAsia"/>
          <w:b/>
        </w:rPr>
        <w:t>個</w:t>
      </w:r>
      <w:proofErr w:type="gramEnd"/>
      <w:r w:rsidR="00963504" w:rsidRPr="003640E9">
        <w:rPr>
          <w:rFonts w:hint="eastAsia"/>
          <w:b/>
        </w:rPr>
        <w:t>資之</w:t>
      </w:r>
      <w:r w:rsidR="0000657F" w:rsidRPr="003640E9">
        <w:rPr>
          <w:rFonts w:hint="eastAsia"/>
          <w:b/>
        </w:rPr>
        <w:t>調查報告未採取必要的管制措施，僅折疊後以訂書針裝訂，甚或散</w:t>
      </w:r>
      <w:proofErr w:type="gramStart"/>
      <w:r w:rsidR="0000657F" w:rsidRPr="003640E9">
        <w:rPr>
          <w:rFonts w:hint="eastAsia"/>
          <w:b/>
        </w:rPr>
        <w:t>置於卷後</w:t>
      </w:r>
      <w:proofErr w:type="gramEnd"/>
      <w:r w:rsidR="00A05349" w:rsidRPr="003640E9">
        <w:rPr>
          <w:rFonts w:hint="eastAsia"/>
          <w:b/>
        </w:rPr>
        <w:t>，</w:t>
      </w:r>
      <w:proofErr w:type="gramStart"/>
      <w:r w:rsidR="00523FA0" w:rsidRPr="003640E9">
        <w:rPr>
          <w:rFonts w:hint="eastAsia"/>
          <w:b/>
        </w:rPr>
        <w:t>均有</w:t>
      </w:r>
      <w:r w:rsidR="003463AB" w:rsidRPr="003640E9">
        <w:rPr>
          <w:rFonts w:hint="eastAsia"/>
          <w:b/>
        </w:rPr>
        <w:t>欠妥</w:t>
      </w:r>
      <w:proofErr w:type="gramEnd"/>
      <w:r w:rsidR="003463AB" w:rsidRPr="003640E9">
        <w:rPr>
          <w:rFonts w:hint="eastAsia"/>
          <w:b/>
        </w:rPr>
        <w:t>適</w:t>
      </w:r>
      <w:r w:rsidR="00810226" w:rsidRPr="003640E9">
        <w:rPr>
          <w:rFonts w:hint="eastAsia"/>
          <w:b/>
        </w:rPr>
        <w:t>：</w:t>
      </w:r>
    </w:p>
    <w:p w:rsidR="00576C9B" w:rsidRDefault="00576C9B" w:rsidP="00576C9B">
      <w:pPr>
        <w:pStyle w:val="4"/>
      </w:pPr>
      <w:r>
        <w:rPr>
          <w:rFonts w:hint="eastAsia"/>
        </w:rPr>
        <w:t>本案</w:t>
      </w:r>
      <w:r w:rsidR="00F9037C">
        <w:rPr>
          <w:rFonts w:hint="eastAsia"/>
        </w:rPr>
        <w:t>後事件</w:t>
      </w:r>
      <w:r w:rsidR="009E5877">
        <w:rPr>
          <w:rFonts w:hint="eastAsia"/>
        </w:rPr>
        <w:t>桃園地院</w:t>
      </w:r>
      <w:proofErr w:type="gramStart"/>
      <w:r w:rsidR="009E5877">
        <w:rPr>
          <w:rFonts w:hint="eastAsia"/>
        </w:rPr>
        <w:t>105</w:t>
      </w:r>
      <w:proofErr w:type="gramEnd"/>
      <w:r w:rsidR="009E5877">
        <w:rPr>
          <w:rFonts w:hint="eastAsia"/>
        </w:rPr>
        <w:t>年</w:t>
      </w:r>
      <w:r w:rsidR="00D311C5">
        <w:rPr>
          <w:rFonts w:hint="eastAsia"/>
        </w:rPr>
        <w:t>度</w:t>
      </w:r>
      <w:proofErr w:type="gramStart"/>
      <w:r w:rsidR="009E5877">
        <w:rPr>
          <w:rFonts w:hint="eastAsia"/>
        </w:rPr>
        <w:t>少護字</w:t>
      </w:r>
      <w:proofErr w:type="gramEnd"/>
      <w:r w:rsidR="009E5877">
        <w:rPr>
          <w:rFonts w:hint="eastAsia"/>
        </w:rPr>
        <w:t>第30號裁定記載少年調查官之調查報告建議【感化教育處分】，</w:t>
      </w:r>
      <w:r w:rsidR="00F9037C">
        <w:rPr>
          <w:rFonts w:hint="eastAsia"/>
        </w:rPr>
        <w:t>與</w:t>
      </w:r>
      <w:r w:rsidR="00FE3BD8">
        <w:rPr>
          <w:rFonts w:hint="eastAsia"/>
        </w:rPr>
        <w:t>觀察</w:t>
      </w:r>
      <w:r w:rsidR="009E5877">
        <w:rPr>
          <w:rFonts w:hint="eastAsia"/>
        </w:rPr>
        <w:t>卷內</w:t>
      </w:r>
      <w:r w:rsidR="003466E3">
        <w:rPr>
          <w:rFonts w:hint="eastAsia"/>
        </w:rPr>
        <w:t>之</w:t>
      </w:r>
      <w:r w:rsidR="009E5877">
        <w:rPr>
          <w:rFonts w:hint="eastAsia"/>
        </w:rPr>
        <w:t>少年調查報告</w:t>
      </w:r>
      <w:r w:rsidR="003466E3">
        <w:rPr>
          <w:rFonts w:hint="eastAsia"/>
        </w:rPr>
        <w:t>之處遇</w:t>
      </w:r>
      <w:r w:rsidR="009E5877">
        <w:rPr>
          <w:rFonts w:hint="eastAsia"/>
        </w:rPr>
        <w:t>建議</w:t>
      </w:r>
      <w:r w:rsidR="003466E3">
        <w:rPr>
          <w:rFonts w:hint="eastAsia"/>
        </w:rPr>
        <w:t>係記載</w:t>
      </w:r>
      <w:r w:rsidR="009E5877">
        <w:rPr>
          <w:rFonts w:hint="eastAsia"/>
        </w:rPr>
        <w:t>【移檢偵辦】</w:t>
      </w:r>
      <w:r w:rsidR="00F9037C">
        <w:rPr>
          <w:rFonts w:hint="eastAsia"/>
        </w:rPr>
        <w:t>不同</w:t>
      </w:r>
      <w:r w:rsidR="009E5877">
        <w:rPr>
          <w:rFonts w:hint="eastAsia"/>
        </w:rPr>
        <w:t>。</w:t>
      </w:r>
      <w:r w:rsidR="00FE3BD8">
        <w:rPr>
          <w:rFonts w:hint="eastAsia"/>
        </w:rPr>
        <w:t>且調閱</w:t>
      </w:r>
      <w:r w:rsidR="00FE3BD8" w:rsidRPr="00AE002B">
        <w:rPr>
          <w:rFonts w:hint="eastAsia"/>
        </w:rPr>
        <w:t>桃園地院</w:t>
      </w:r>
      <w:proofErr w:type="gramStart"/>
      <w:r w:rsidR="00D311C5">
        <w:rPr>
          <w:rFonts w:hint="eastAsia"/>
        </w:rPr>
        <w:t>105</w:t>
      </w:r>
      <w:proofErr w:type="gramEnd"/>
      <w:r w:rsidR="00D311C5">
        <w:rPr>
          <w:rFonts w:hint="eastAsia"/>
        </w:rPr>
        <w:t>年度</w:t>
      </w:r>
      <w:proofErr w:type="gramStart"/>
      <w:r w:rsidR="00D311C5">
        <w:rPr>
          <w:rFonts w:hint="eastAsia"/>
        </w:rPr>
        <w:t>少護字</w:t>
      </w:r>
      <w:proofErr w:type="gramEnd"/>
      <w:r w:rsidR="00D311C5">
        <w:rPr>
          <w:rFonts w:hint="eastAsia"/>
        </w:rPr>
        <w:t>第30號</w:t>
      </w:r>
      <w:r w:rsidR="00FE3BD8">
        <w:rPr>
          <w:rFonts w:hint="eastAsia"/>
        </w:rPr>
        <w:t>之調查審理卷宗，卷內查無少年調查報告。</w:t>
      </w:r>
    </w:p>
    <w:p w:rsidR="00576C9B" w:rsidRDefault="003466E3" w:rsidP="00576C9B">
      <w:pPr>
        <w:pStyle w:val="4"/>
      </w:pPr>
      <w:r>
        <w:rPr>
          <w:rFonts w:hint="eastAsia"/>
        </w:rPr>
        <w:t>對此，</w:t>
      </w:r>
      <w:proofErr w:type="gramStart"/>
      <w:r w:rsidR="009E5877">
        <w:rPr>
          <w:rFonts w:hint="eastAsia"/>
        </w:rPr>
        <w:t>詢</w:t>
      </w:r>
      <w:proofErr w:type="gramEnd"/>
      <w:r w:rsidR="009E5877">
        <w:rPr>
          <w:rFonts w:hint="eastAsia"/>
        </w:rPr>
        <w:t>據少年調查官</w:t>
      </w:r>
      <w:r w:rsidR="009E26D0">
        <w:rPr>
          <w:rFonts w:hint="eastAsia"/>
        </w:rPr>
        <w:t>楊秀卿</w:t>
      </w:r>
      <w:r w:rsidR="00F9037C">
        <w:rPr>
          <w:rFonts w:hint="eastAsia"/>
        </w:rPr>
        <w:t>稱</w:t>
      </w:r>
      <w:r w:rsidR="009E5877">
        <w:rPr>
          <w:rFonts w:hint="eastAsia"/>
        </w:rPr>
        <w:t>：「</w:t>
      </w:r>
      <w:r w:rsidR="00523FA0">
        <w:rPr>
          <w:rFonts w:hint="eastAsia"/>
        </w:rPr>
        <w:t>因開庭前，法</w:t>
      </w:r>
      <w:r w:rsidR="00523FA0">
        <w:rPr>
          <w:rFonts w:hint="eastAsia"/>
        </w:rPr>
        <w:lastRenderedPageBreak/>
        <w:t>官</w:t>
      </w:r>
      <w:proofErr w:type="gramStart"/>
      <w:r w:rsidR="00523FA0">
        <w:rPr>
          <w:rFonts w:hint="eastAsia"/>
        </w:rPr>
        <w:t>認為移檢偵辦</w:t>
      </w:r>
      <w:proofErr w:type="gramEnd"/>
      <w:r w:rsidR="00523FA0">
        <w:rPr>
          <w:rFonts w:hint="eastAsia"/>
        </w:rPr>
        <w:t>的處遇有所不妥，故事先與本人討論更改處遇意見，本人亦同意更為感化教育，</w:t>
      </w:r>
      <w:proofErr w:type="gramStart"/>
      <w:r w:rsidR="00523FA0">
        <w:rPr>
          <w:rFonts w:hint="eastAsia"/>
        </w:rPr>
        <w:t>惟卷內</w:t>
      </w:r>
      <w:proofErr w:type="gramEnd"/>
      <w:r w:rsidR="00523FA0">
        <w:rPr>
          <w:rFonts w:hint="eastAsia"/>
        </w:rPr>
        <w:t>所附之報告忘記抽換成新的報告，</w:t>
      </w:r>
      <w:r w:rsidR="009E5877">
        <w:rPr>
          <w:rFonts w:hint="eastAsia"/>
        </w:rPr>
        <w:t>因桃園地院非實質到庭，故法官通常會在開庭前與調查官討論處遇意見，調查官亦通常會尊重法官意見</w:t>
      </w:r>
      <w:r w:rsidR="00523FA0">
        <w:rPr>
          <w:rFonts w:hint="eastAsia"/>
        </w:rPr>
        <w:t>。而觀察卷宗乃是於觀察結束後，與報告一併送給法官，故</w:t>
      </w:r>
      <w:r w:rsidR="009E5877">
        <w:rPr>
          <w:rFonts w:hint="eastAsia"/>
        </w:rPr>
        <w:t>更改意見重送報告</w:t>
      </w:r>
      <w:r w:rsidR="00523FA0">
        <w:rPr>
          <w:rFonts w:hint="eastAsia"/>
        </w:rPr>
        <w:t>時，卷宗已在法官手上，才會漏未抽換卷宗內之報告</w:t>
      </w:r>
      <w:r w:rsidR="009E5877">
        <w:rPr>
          <w:rFonts w:hint="eastAsia"/>
        </w:rPr>
        <w:t>」等語。</w:t>
      </w:r>
      <w:r w:rsidR="009E26D0">
        <w:rPr>
          <w:rFonts w:hint="eastAsia"/>
        </w:rPr>
        <w:t>李秋梅</w:t>
      </w:r>
      <w:r w:rsidR="00576C9B">
        <w:rPr>
          <w:rFonts w:hint="eastAsia"/>
        </w:rPr>
        <w:t>法官則表示：其確於106年1月16日開庭前與少年調查官討論想法，</w:t>
      </w:r>
      <w:proofErr w:type="gramStart"/>
      <w:r w:rsidR="00576C9B">
        <w:rPr>
          <w:rFonts w:hint="eastAsia"/>
        </w:rPr>
        <w:t>但依少事</w:t>
      </w:r>
      <w:proofErr w:type="gramEnd"/>
      <w:r w:rsidR="00576C9B">
        <w:rPr>
          <w:rFonts w:hint="eastAsia"/>
        </w:rPr>
        <w:t>法第39條第2項少年調查官所為之處遇意見建議，對少年法院無拘束力，故其毋須指示少年調查官更改處遇意見。本件</w:t>
      </w:r>
      <w:r w:rsidR="009E26D0">
        <w:rPr>
          <w:rFonts w:hint="eastAsia"/>
        </w:rPr>
        <w:t>楊秀卿</w:t>
      </w:r>
      <w:r w:rsidR="00576C9B">
        <w:rPr>
          <w:rFonts w:hint="eastAsia"/>
        </w:rPr>
        <w:t>調查官變更處遇建議，係依其專業判斷後認同其想法所為，非受其指示所為等語。至於何以審理卷宗內查無少年調查報告一節，表示：因曾經發現另案少年調查報告附卷，被律師在高院閱卷時抄錄，深覺不妥，故其承審之案件少年調查報告皆不附卷，而係</w:t>
      </w:r>
      <w:proofErr w:type="gramStart"/>
      <w:r w:rsidR="00576C9B">
        <w:rPr>
          <w:rFonts w:hint="eastAsia"/>
        </w:rPr>
        <w:t>散存於卷</w:t>
      </w:r>
      <w:proofErr w:type="gramEnd"/>
      <w:r w:rsidR="00576C9B">
        <w:rPr>
          <w:rFonts w:hint="eastAsia"/>
        </w:rPr>
        <w:t>後，目前已調整作法，另附不得閱覽卷等語。</w:t>
      </w:r>
    </w:p>
    <w:p w:rsidR="007E1FD9" w:rsidRDefault="00576C9B" w:rsidP="009E20A5">
      <w:pPr>
        <w:pStyle w:val="4"/>
      </w:pPr>
      <w:proofErr w:type="gramStart"/>
      <w:r w:rsidRPr="003944AD">
        <w:rPr>
          <w:rFonts w:hint="eastAsia"/>
        </w:rPr>
        <w:t>按少事</w:t>
      </w:r>
      <w:proofErr w:type="gramEnd"/>
      <w:r w:rsidRPr="003944AD">
        <w:rPr>
          <w:rFonts w:hint="eastAsia"/>
        </w:rPr>
        <w:t>法第39條</w:t>
      </w:r>
      <w:r w:rsidR="0090219F">
        <w:rPr>
          <w:rFonts w:hint="eastAsia"/>
        </w:rPr>
        <w:t>第2項</w:t>
      </w:r>
      <w:r>
        <w:rPr>
          <w:rFonts w:hint="eastAsia"/>
        </w:rPr>
        <w:t>規定，</w:t>
      </w:r>
      <w:r w:rsidRPr="003944AD">
        <w:rPr>
          <w:rFonts w:hint="eastAsia"/>
        </w:rPr>
        <w:t>少年調查官應於審理期日出庭陳述調查及處理之意見，少年法院不</w:t>
      </w:r>
      <w:proofErr w:type="gramStart"/>
      <w:r w:rsidRPr="003944AD">
        <w:rPr>
          <w:rFonts w:hint="eastAsia"/>
        </w:rPr>
        <w:t>採</w:t>
      </w:r>
      <w:proofErr w:type="gramEnd"/>
      <w:r w:rsidRPr="003944AD">
        <w:rPr>
          <w:rFonts w:hint="eastAsia"/>
        </w:rPr>
        <w:t>少年調查官陳述之意見者，應於裁定中記載不</w:t>
      </w:r>
      <w:proofErr w:type="gramStart"/>
      <w:r w:rsidRPr="003944AD">
        <w:rPr>
          <w:rFonts w:hint="eastAsia"/>
        </w:rPr>
        <w:t>採</w:t>
      </w:r>
      <w:proofErr w:type="gramEnd"/>
      <w:r w:rsidRPr="003944AD">
        <w:rPr>
          <w:rFonts w:hint="eastAsia"/>
        </w:rPr>
        <w:t>之理由。</w:t>
      </w:r>
      <w:r w:rsidR="009E26D0">
        <w:rPr>
          <w:rFonts w:hint="eastAsia"/>
        </w:rPr>
        <w:t>李秋梅</w:t>
      </w:r>
      <w:r>
        <w:rPr>
          <w:rFonts w:hint="eastAsia"/>
        </w:rPr>
        <w:t>法官認為少年調查官的處遇建議不妥，</w:t>
      </w:r>
      <w:r w:rsidR="003466E3" w:rsidRPr="00F9037C">
        <w:rPr>
          <w:rFonts w:hint="eastAsia"/>
        </w:rPr>
        <w:t>未</w:t>
      </w:r>
      <w:proofErr w:type="gramStart"/>
      <w:r>
        <w:rPr>
          <w:rFonts w:hint="eastAsia"/>
        </w:rPr>
        <w:t>踐行</w:t>
      </w:r>
      <w:proofErr w:type="gramEnd"/>
      <w:r>
        <w:rPr>
          <w:rFonts w:hint="eastAsia"/>
        </w:rPr>
        <w:t>上開</w:t>
      </w:r>
      <w:r w:rsidR="003466E3" w:rsidRPr="00F9037C">
        <w:rPr>
          <w:rFonts w:hint="eastAsia"/>
        </w:rPr>
        <w:t>程序，</w:t>
      </w:r>
      <w:proofErr w:type="gramStart"/>
      <w:r>
        <w:rPr>
          <w:rFonts w:hint="eastAsia"/>
        </w:rPr>
        <w:t>逕</w:t>
      </w:r>
      <w:proofErr w:type="gramEnd"/>
      <w:r w:rsidR="00DC54B7">
        <w:rPr>
          <w:rFonts w:hint="eastAsia"/>
        </w:rPr>
        <w:t>於開庭前</w:t>
      </w:r>
      <w:r>
        <w:rPr>
          <w:rFonts w:hint="eastAsia"/>
        </w:rPr>
        <w:t>與少年調查官討論更改處遇建議。又</w:t>
      </w:r>
      <w:r w:rsidR="009E26D0" w:rsidRPr="00576C9B">
        <w:rPr>
          <w:rFonts w:hint="eastAsia"/>
        </w:rPr>
        <w:t>楊秀卿</w:t>
      </w:r>
      <w:r w:rsidRPr="00576C9B">
        <w:rPr>
          <w:rFonts w:hint="eastAsia"/>
        </w:rPr>
        <w:t>少年調查官</w:t>
      </w:r>
      <w:r w:rsidR="0090219F">
        <w:rPr>
          <w:rFonts w:hint="eastAsia"/>
        </w:rPr>
        <w:t>雖同意更改處遇建議，但</w:t>
      </w:r>
      <w:r w:rsidR="000D292A">
        <w:rPr>
          <w:rFonts w:hint="eastAsia"/>
        </w:rPr>
        <w:t>調</w:t>
      </w:r>
      <w:r w:rsidR="0090219F">
        <w:rPr>
          <w:rFonts w:hint="eastAsia"/>
        </w:rPr>
        <w:t>查</w:t>
      </w:r>
      <w:proofErr w:type="gramStart"/>
      <w:r w:rsidR="000D292A">
        <w:rPr>
          <w:rFonts w:hint="eastAsia"/>
        </w:rPr>
        <w:t>報告</w:t>
      </w:r>
      <w:r w:rsidR="0090219F">
        <w:rPr>
          <w:rFonts w:hint="eastAsia"/>
        </w:rPr>
        <w:t>依少事</w:t>
      </w:r>
      <w:proofErr w:type="gramEnd"/>
      <w:r w:rsidR="0090219F">
        <w:rPr>
          <w:rFonts w:hint="eastAsia"/>
        </w:rPr>
        <w:t>法第19條規定</w:t>
      </w:r>
      <w:r w:rsidR="00A20BB2">
        <w:rPr>
          <w:rStyle w:val="aff"/>
        </w:rPr>
        <w:footnoteReference w:id="3"/>
      </w:r>
      <w:r w:rsidR="0090219F">
        <w:rPr>
          <w:rFonts w:hint="eastAsia"/>
        </w:rPr>
        <w:t>，屬於少年保護事件的法定證據方法之</w:t>
      </w:r>
      <w:proofErr w:type="gramStart"/>
      <w:r w:rsidR="0090219F">
        <w:rPr>
          <w:rFonts w:hint="eastAsia"/>
        </w:rPr>
        <w:t>一</w:t>
      </w:r>
      <w:proofErr w:type="gramEnd"/>
      <w:r w:rsidR="00A20BB2">
        <w:rPr>
          <w:rFonts w:hint="eastAsia"/>
        </w:rPr>
        <w:lastRenderedPageBreak/>
        <w:t>（</w:t>
      </w:r>
      <w:r w:rsidR="0090219F">
        <w:rPr>
          <w:rFonts w:hint="eastAsia"/>
        </w:rPr>
        <w:t>僅不得</w:t>
      </w:r>
      <w:proofErr w:type="gramStart"/>
      <w:r w:rsidR="0090219F">
        <w:rPr>
          <w:rFonts w:hint="eastAsia"/>
        </w:rPr>
        <w:t>採</w:t>
      </w:r>
      <w:proofErr w:type="gramEnd"/>
      <w:r w:rsidR="0090219F">
        <w:rPr>
          <w:rFonts w:hint="eastAsia"/>
        </w:rPr>
        <w:t>為認定事實的唯一證據而已</w:t>
      </w:r>
      <w:r w:rsidR="00A20BB2">
        <w:rPr>
          <w:rFonts w:hint="eastAsia"/>
        </w:rPr>
        <w:t>），從</w:t>
      </w:r>
      <w:r w:rsidR="0090219F">
        <w:rPr>
          <w:rFonts w:hint="eastAsia"/>
        </w:rPr>
        <w:t>而少年調查官依調查結果製作</w:t>
      </w:r>
      <w:r w:rsidR="007C25AC">
        <w:rPr>
          <w:rFonts w:hint="eastAsia"/>
        </w:rPr>
        <w:t>，並已提供少年法庭之調查報告，係</w:t>
      </w:r>
      <w:r w:rsidR="0090219F">
        <w:rPr>
          <w:rFonts w:hint="eastAsia"/>
        </w:rPr>
        <w:t>具有證據能力</w:t>
      </w:r>
      <w:r w:rsidR="007C25AC">
        <w:rPr>
          <w:rFonts w:hint="eastAsia"/>
        </w:rPr>
        <w:t>之公文書，並非不具法律效力的書稿</w:t>
      </w:r>
      <w:r w:rsidR="0090219F">
        <w:rPr>
          <w:rFonts w:hint="eastAsia"/>
        </w:rPr>
        <w:t>，</w:t>
      </w:r>
      <w:r w:rsidR="00FE3BD8">
        <w:rPr>
          <w:rFonts w:hint="eastAsia"/>
        </w:rPr>
        <w:t>故實務上</w:t>
      </w:r>
      <w:r w:rsidR="0090219F">
        <w:rPr>
          <w:rFonts w:hint="eastAsia"/>
        </w:rPr>
        <w:t>對於處遇建議之重要事項</w:t>
      </w:r>
      <w:r w:rsidR="00FE3BD8">
        <w:rPr>
          <w:rFonts w:hint="eastAsia"/>
        </w:rPr>
        <w:t>如</w:t>
      </w:r>
      <w:r w:rsidR="0090219F">
        <w:rPr>
          <w:rFonts w:hint="eastAsia"/>
        </w:rPr>
        <w:t>有變更，應</w:t>
      </w:r>
      <w:r w:rsidRPr="00576C9B">
        <w:rPr>
          <w:rFonts w:hint="eastAsia"/>
        </w:rPr>
        <w:t>製作補充報告</w:t>
      </w:r>
      <w:r w:rsidR="0090219F">
        <w:rPr>
          <w:rFonts w:hint="eastAsia"/>
        </w:rPr>
        <w:t>，連同</w:t>
      </w:r>
      <w:r w:rsidR="00F450B3">
        <w:rPr>
          <w:rFonts w:hint="eastAsia"/>
        </w:rPr>
        <w:t>原</w:t>
      </w:r>
      <w:r w:rsidR="0090219F">
        <w:rPr>
          <w:rFonts w:hint="eastAsia"/>
        </w:rPr>
        <w:t>已陳送少年法庭之</w:t>
      </w:r>
      <w:r w:rsidR="00F450B3">
        <w:rPr>
          <w:rFonts w:hint="eastAsia"/>
        </w:rPr>
        <w:t>調查報告</w:t>
      </w:r>
      <w:r w:rsidRPr="00576C9B">
        <w:rPr>
          <w:rFonts w:hint="eastAsia"/>
        </w:rPr>
        <w:t>附卷</w:t>
      </w:r>
      <w:r w:rsidR="00FE3BD8">
        <w:rPr>
          <w:rFonts w:hint="eastAsia"/>
        </w:rPr>
        <w:t>。</w:t>
      </w:r>
      <w:r w:rsidR="00A20BB2">
        <w:rPr>
          <w:rFonts w:hint="eastAsia"/>
        </w:rPr>
        <w:t>本案</w:t>
      </w:r>
      <w:r w:rsidR="009E26D0" w:rsidRPr="00576C9B">
        <w:rPr>
          <w:rFonts w:hint="eastAsia"/>
        </w:rPr>
        <w:t>楊秀卿</w:t>
      </w:r>
      <w:r w:rsidR="00FE3BD8">
        <w:rPr>
          <w:rFonts w:hint="eastAsia"/>
        </w:rPr>
        <w:t>調查官不但未製作補充報告，且表示疏未</w:t>
      </w:r>
      <w:r w:rsidR="007C25AC">
        <w:rPr>
          <w:rFonts w:hint="eastAsia"/>
        </w:rPr>
        <w:t>「抽換」</w:t>
      </w:r>
      <w:r w:rsidR="00FE3BD8">
        <w:rPr>
          <w:rFonts w:hint="eastAsia"/>
        </w:rPr>
        <w:t>云云，顯非正確的作法</w:t>
      </w:r>
      <w:r w:rsidR="00F450B3">
        <w:rPr>
          <w:rFonts w:hint="eastAsia"/>
        </w:rPr>
        <w:t>；而該報告屬認定少年需保護性的證據資料，</w:t>
      </w:r>
      <w:r w:rsidR="00DE18D1">
        <w:rPr>
          <w:rFonts w:hint="eastAsia"/>
        </w:rPr>
        <w:t>李法官</w:t>
      </w:r>
      <w:r w:rsidRPr="00576C9B">
        <w:rPr>
          <w:rFonts w:hint="eastAsia"/>
        </w:rPr>
        <w:t>指示書記官勿將少年調查報告附卷</w:t>
      </w:r>
      <w:r w:rsidR="00DE18D1">
        <w:rPr>
          <w:rFonts w:hint="eastAsia"/>
        </w:rPr>
        <w:t>，</w:t>
      </w:r>
      <w:proofErr w:type="gramStart"/>
      <w:r w:rsidRPr="00576C9B">
        <w:rPr>
          <w:rFonts w:hint="eastAsia"/>
        </w:rPr>
        <w:t>致</w:t>
      </w:r>
      <w:r w:rsidR="00F450B3">
        <w:rPr>
          <w:rFonts w:hint="eastAsia"/>
        </w:rPr>
        <w:t>卷內</w:t>
      </w:r>
      <w:proofErr w:type="gramEnd"/>
      <w:r w:rsidRPr="00576C9B">
        <w:rPr>
          <w:rFonts w:hint="eastAsia"/>
        </w:rPr>
        <w:t>少年調查報告之處遇建議與裁定所載內容不符</w:t>
      </w:r>
      <w:r w:rsidR="00F450B3">
        <w:rPr>
          <w:rFonts w:hint="eastAsia"/>
        </w:rPr>
        <w:t>，</w:t>
      </w:r>
      <w:proofErr w:type="gramStart"/>
      <w:r w:rsidR="00F450B3">
        <w:rPr>
          <w:rFonts w:hint="eastAsia"/>
        </w:rPr>
        <w:t>均有失</w:t>
      </w:r>
      <w:r w:rsidR="009E20A5">
        <w:rPr>
          <w:rFonts w:hint="eastAsia"/>
        </w:rPr>
        <w:t>當</w:t>
      </w:r>
      <w:proofErr w:type="gramEnd"/>
      <w:r w:rsidR="00F450B3">
        <w:rPr>
          <w:rFonts w:hint="eastAsia"/>
        </w:rPr>
        <w:t>。</w:t>
      </w:r>
    </w:p>
    <w:p w:rsidR="0067379F" w:rsidRDefault="00172075" w:rsidP="0067379F">
      <w:pPr>
        <w:pStyle w:val="4"/>
      </w:pPr>
      <w:r>
        <w:rPr>
          <w:rFonts w:hint="eastAsia"/>
        </w:rPr>
        <w:t>本院調閱</w:t>
      </w:r>
      <w:proofErr w:type="gramStart"/>
      <w:r w:rsidR="00D311C5">
        <w:rPr>
          <w:rFonts w:hint="eastAsia"/>
        </w:rPr>
        <w:t>105</w:t>
      </w:r>
      <w:proofErr w:type="gramEnd"/>
      <w:r w:rsidR="00D311C5">
        <w:rPr>
          <w:rFonts w:hint="eastAsia"/>
        </w:rPr>
        <w:t>年度</w:t>
      </w:r>
      <w:proofErr w:type="gramStart"/>
      <w:r w:rsidR="00D311C5">
        <w:rPr>
          <w:rFonts w:hint="eastAsia"/>
        </w:rPr>
        <w:t>少護字</w:t>
      </w:r>
      <w:proofErr w:type="gramEnd"/>
      <w:r w:rsidR="00D311C5">
        <w:rPr>
          <w:rFonts w:hint="eastAsia"/>
        </w:rPr>
        <w:t>第30號</w:t>
      </w:r>
      <w:r>
        <w:rPr>
          <w:rFonts w:hint="eastAsia"/>
        </w:rPr>
        <w:t>調查審理全卷，未見</w:t>
      </w:r>
      <w:r w:rsidR="009E26D0" w:rsidRPr="00576C9B">
        <w:rPr>
          <w:rFonts w:hint="eastAsia"/>
        </w:rPr>
        <w:t>楊秀卿</w:t>
      </w:r>
      <w:r>
        <w:rPr>
          <w:rFonts w:hint="eastAsia"/>
        </w:rPr>
        <w:t>少年調查官於</w:t>
      </w:r>
      <w:r w:rsidRPr="007E1FD9">
        <w:rPr>
          <w:rFonts w:hint="eastAsia"/>
        </w:rPr>
        <w:t>106年1月16日</w:t>
      </w:r>
      <w:r>
        <w:rPr>
          <w:rFonts w:hint="eastAsia"/>
        </w:rPr>
        <w:t>提出之少年調查報告</w:t>
      </w:r>
      <w:r w:rsidR="005602D5">
        <w:rPr>
          <w:rFonts w:hint="eastAsia"/>
        </w:rPr>
        <w:t>。</w:t>
      </w:r>
      <w:r>
        <w:rPr>
          <w:rFonts w:hint="eastAsia"/>
        </w:rPr>
        <w:t>其他少年調查報告</w:t>
      </w:r>
      <w:proofErr w:type="gramStart"/>
      <w:r>
        <w:rPr>
          <w:rFonts w:hint="eastAsia"/>
        </w:rPr>
        <w:t>雖</w:t>
      </w:r>
      <w:r w:rsidR="005602D5">
        <w:rPr>
          <w:rFonts w:hint="eastAsia"/>
        </w:rPr>
        <w:t>均</w:t>
      </w:r>
      <w:r>
        <w:rPr>
          <w:rFonts w:hint="eastAsia"/>
        </w:rPr>
        <w:t>附卷</w:t>
      </w:r>
      <w:proofErr w:type="gramEnd"/>
      <w:r>
        <w:rPr>
          <w:rFonts w:hint="eastAsia"/>
        </w:rPr>
        <w:t>，但僅折疊後以訂書針裝訂</w:t>
      </w:r>
      <w:r w:rsidR="005602D5">
        <w:rPr>
          <w:rFonts w:hint="eastAsia"/>
        </w:rPr>
        <w:t>，</w:t>
      </w:r>
      <w:r>
        <w:rPr>
          <w:rFonts w:hint="eastAsia"/>
        </w:rPr>
        <w:t>記載「少年個人資料不得閱覽」。對此，李法官</w:t>
      </w:r>
      <w:r w:rsidR="00DE18D1">
        <w:rPr>
          <w:rFonts w:hint="eastAsia"/>
        </w:rPr>
        <w:t>表示</w:t>
      </w:r>
      <w:r w:rsidR="0067379F">
        <w:rPr>
          <w:rFonts w:hint="eastAsia"/>
        </w:rPr>
        <w:t>其雖</w:t>
      </w:r>
      <w:r w:rsidRPr="007E1FD9">
        <w:rPr>
          <w:rFonts w:hint="eastAsia"/>
        </w:rPr>
        <w:t>指示書記官勿將</w:t>
      </w:r>
      <w:r w:rsidRPr="00172075">
        <w:rPr>
          <w:rFonts w:hint="eastAsia"/>
        </w:rPr>
        <w:t>106年1月16日</w:t>
      </w:r>
      <w:r>
        <w:rPr>
          <w:rFonts w:hint="eastAsia"/>
        </w:rPr>
        <w:t>之</w:t>
      </w:r>
      <w:r w:rsidRPr="007E1FD9">
        <w:rPr>
          <w:rFonts w:hint="eastAsia"/>
        </w:rPr>
        <w:t>少年調查報告附卷</w:t>
      </w:r>
      <w:r>
        <w:rPr>
          <w:rFonts w:hint="eastAsia"/>
        </w:rPr>
        <w:t>，但該調查報告</w:t>
      </w:r>
      <w:proofErr w:type="gramStart"/>
      <w:r w:rsidR="005602D5">
        <w:rPr>
          <w:rFonts w:hint="eastAsia"/>
        </w:rPr>
        <w:t>係</w:t>
      </w:r>
      <w:r w:rsidRPr="009E20A5">
        <w:rPr>
          <w:rFonts w:hint="eastAsia"/>
        </w:rPr>
        <w:t>散存於</w:t>
      </w:r>
      <w:proofErr w:type="gramEnd"/>
      <w:r>
        <w:rPr>
          <w:rFonts w:hint="eastAsia"/>
        </w:rPr>
        <w:t>審理</w:t>
      </w:r>
      <w:r w:rsidRPr="009E20A5">
        <w:rPr>
          <w:rFonts w:hint="eastAsia"/>
        </w:rPr>
        <w:t>卷後</w:t>
      </w:r>
      <w:r>
        <w:rPr>
          <w:rFonts w:hint="eastAsia"/>
        </w:rPr>
        <w:t>，</w:t>
      </w:r>
      <w:r w:rsidR="005602D5">
        <w:rPr>
          <w:rFonts w:hint="eastAsia"/>
        </w:rPr>
        <w:t>並於</w:t>
      </w:r>
      <w:r>
        <w:rPr>
          <w:rFonts w:hint="eastAsia"/>
        </w:rPr>
        <w:t>本院詢問時出示</w:t>
      </w:r>
      <w:proofErr w:type="gramStart"/>
      <w:r>
        <w:rPr>
          <w:rFonts w:hint="eastAsia"/>
        </w:rPr>
        <w:t>綑綁於卷後</w:t>
      </w:r>
      <w:proofErr w:type="gramEnd"/>
      <w:r>
        <w:rPr>
          <w:rFonts w:hint="eastAsia"/>
        </w:rPr>
        <w:t>之少年調查報告。</w:t>
      </w:r>
      <w:r w:rsidR="0067379F">
        <w:rPr>
          <w:rFonts w:hint="eastAsia"/>
        </w:rPr>
        <w:t>又張淑芬法官表示：「</w:t>
      </w:r>
      <w:r w:rsidR="0067379F" w:rsidRPr="0067379F">
        <w:rPr>
          <w:rFonts w:hint="eastAsia"/>
        </w:rPr>
        <w:t>少年調查報告原來是附卷，但因少年案件後續可能有刑事或民事法庭向</w:t>
      </w:r>
      <w:proofErr w:type="gramStart"/>
      <w:r w:rsidR="0067379F" w:rsidRPr="0067379F">
        <w:rPr>
          <w:rFonts w:hint="eastAsia"/>
        </w:rPr>
        <w:t>少庭調</w:t>
      </w:r>
      <w:proofErr w:type="gramEnd"/>
      <w:r w:rsidR="0067379F" w:rsidRPr="0067379F">
        <w:rPr>
          <w:rFonts w:hint="eastAsia"/>
        </w:rPr>
        <w:t>卷，因少年調查報告內容有可能事涉少年及家屬的隱私，不宜外</w:t>
      </w:r>
      <w:proofErr w:type="gramStart"/>
      <w:r w:rsidR="0067379F" w:rsidRPr="0067379F">
        <w:rPr>
          <w:rFonts w:hint="eastAsia"/>
        </w:rPr>
        <w:t>洩</w:t>
      </w:r>
      <w:proofErr w:type="gramEnd"/>
      <w:r w:rsidR="0067379F" w:rsidRPr="0067379F">
        <w:rPr>
          <w:rFonts w:hint="eastAsia"/>
        </w:rPr>
        <w:t>，如案卷借閱出去，相關承辦人未注意，也把少年調查報告給</w:t>
      </w:r>
      <w:proofErr w:type="gramStart"/>
      <w:r w:rsidR="0067379F" w:rsidRPr="0067379F">
        <w:rPr>
          <w:rFonts w:hint="eastAsia"/>
        </w:rPr>
        <w:t>閱</w:t>
      </w:r>
      <w:proofErr w:type="gramEnd"/>
      <w:r w:rsidR="0067379F" w:rsidRPr="0067379F">
        <w:rPr>
          <w:rFonts w:hint="eastAsia"/>
        </w:rPr>
        <w:t>，可能會洩漏少年及家屬的隱私。之前的作法</w:t>
      </w:r>
      <w:proofErr w:type="gramStart"/>
      <w:r w:rsidR="0067379F" w:rsidRPr="0067379F">
        <w:rPr>
          <w:rFonts w:hint="eastAsia"/>
        </w:rPr>
        <w:t>會把卷內</w:t>
      </w:r>
      <w:proofErr w:type="gramEnd"/>
      <w:r w:rsidR="0067379F" w:rsidRPr="0067379F">
        <w:rPr>
          <w:rFonts w:hint="eastAsia"/>
        </w:rPr>
        <w:t>的調查報告折疊後，以訂書針裝訂禁止給</w:t>
      </w:r>
      <w:proofErr w:type="gramStart"/>
      <w:r w:rsidR="0067379F" w:rsidRPr="0067379F">
        <w:rPr>
          <w:rFonts w:hint="eastAsia"/>
        </w:rPr>
        <w:t>閱</w:t>
      </w:r>
      <w:proofErr w:type="gramEnd"/>
      <w:r w:rsidR="0067379F" w:rsidRPr="0067379F">
        <w:rPr>
          <w:rFonts w:hint="eastAsia"/>
        </w:rPr>
        <w:t>，但現在桃園的作法已改為少年的前案紀錄及調查報告另起一宗卷宗，改以不得</w:t>
      </w:r>
      <w:r w:rsidR="0067379F" w:rsidRPr="0067379F">
        <w:rPr>
          <w:rFonts w:hint="eastAsia"/>
        </w:rPr>
        <w:lastRenderedPageBreak/>
        <w:t>閱覽卷保存。</w:t>
      </w:r>
      <w:r w:rsidR="0067379F">
        <w:rPr>
          <w:rFonts w:hint="eastAsia"/>
        </w:rPr>
        <w:t>」</w:t>
      </w:r>
      <w:r w:rsidR="00076BB7">
        <w:rPr>
          <w:rFonts w:hint="eastAsia"/>
        </w:rPr>
        <w:t>等語</w:t>
      </w:r>
    </w:p>
    <w:p w:rsidR="009E5877" w:rsidRDefault="00172075" w:rsidP="0067379F">
      <w:pPr>
        <w:pStyle w:val="4"/>
      </w:pPr>
      <w:r>
        <w:rPr>
          <w:rFonts w:hint="eastAsia"/>
        </w:rPr>
        <w:t>經查，</w:t>
      </w:r>
      <w:r w:rsidR="007E1FD9">
        <w:rPr>
          <w:rFonts w:hint="eastAsia"/>
        </w:rPr>
        <w:t>兒童權利公約要求主管機關對於少年刑事紀錄應實施嚴格的保密措施（</w:t>
      </w:r>
      <w:r>
        <w:rPr>
          <w:rFonts w:hint="eastAsia"/>
        </w:rPr>
        <w:t>參見</w:t>
      </w:r>
      <w:r w:rsidR="007E1FD9">
        <w:rPr>
          <w:rFonts w:hint="eastAsia"/>
        </w:rPr>
        <w:t>聯合國兒童權利委員會第10號一般性意見第27點）</w:t>
      </w:r>
      <w:r>
        <w:rPr>
          <w:rFonts w:hint="eastAsia"/>
        </w:rPr>
        <w:t>。少年調查官製作之少年調查報告</w:t>
      </w:r>
      <w:r w:rsidR="005602D5">
        <w:rPr>
          <w:rFonts w:hint="eastAsia"/>
        </w:rPr>
        <w:t>中</w:t>
      </w:r>
      <w:r>
        <w:rPr>
          <w:rFonts w:hint="eastAsia"/>
        </w:rPr>
        <w:t>詳細</w:t>
      </w:r>
      <w:r w:rsidR="00D311C5">
        <w:rPr>
          <w:rFonts w:hint="eastAsia"/>
        </w:rPr>
        <w:t>記</w:t>
      </w:r>
      <w:r>
        <w:rPr>
          <w:rFonts w:hint="eastAsia"/>
        </w:rPr>
        <w:t>載少年前科紀錄、</w:t>
      </w:r>
      <w:proofErr w:type="gramStart"/>
      <w:r>
        <w:rPr>
          <w:rFonts w:hint="eastAsia"/>
        </w:rPr>
        <w:t>個</w:t>
      </w:r>
      <w:proofErr w:type="gramEnd"/>
      <w:r>
        <w:rPr>
          <w:rFonts w:hint="eastAsia"/>
        </w:rPr>
        <w:t>資、家庭及學業狀況，桃園地院未將其</w:t>
      </w:r>
      <w:r w:rsidR="005602D5">
        <w:rPr>
          <w:rFonts w:hint="eastAsia"/>
        </w:rPr>
        <w:t>另附</w:t>
      </w:r>
      <w:r>
        <w:rPr>
          <w:rFonts w:hint="eastAsia"/>
        </w:rPr>
        <w:t>限制閱覽卷宗</w:t>
      </w:r>
      <w:r w:rsidR="005602D5">
        <w:rPr>
          <w:rFonts w:hint="eastAsia"/>
        </w:rPr>
        <w:t>，</w:t>
      </w:r>
      <w:r>
        <w:rPr>
          <w:rFonts w:hint="eastAsia"/>
        </w:rPr>
        <w:t>或</w:t>
      </w:r>
      <w:r w:rsidR="005602D5">
        <w:rPr>
          <w:rFonts w:hint="eastAsia"/>
        </w:rPr>
        <w:t>於一般卷宗內另</w:t>
      </w:r>
      <w:r>
        <w:rPr>
          <w:rFonts w:hint="eastAsia"/>
        </w:rPr>
        <w:t>封</w:t>
      </w:r>
      <w:proofErr w:type="gramStart"/>
      <w:r>
        <w:rPr>
          <w:rFonts w:hint="eastAsia"/>
        </w:rPr>
        <w:t>緘</w:t>
      </w:r>
      <w:proofErr w:type="gramEnd"/>
      <w:r>
        <w:rPr>
          <w:rFonts w:hint="eastAsia"/>
        </w:rPr>
        <w:t>保存，</w:t>
      </w:r>
      <w:r w:rsidR="005602D5">
        <w:rPr>
          <w:rFonts w:hint="eastAsia"/>
        </w:rPr>
        <w:t>卻</w:t>
      </w:r>
      <w:r w:rsidRPr="00172075">
        <w:rPr>
          <w:rFonts w:hint="eastAsia"/>
        </w:rPr>
        <w:t>僅折疊後以訂書針裝訂</w:t>
      </w:r>
      <w:r w:rsidR="005602D5">
        <w:rPr>
          <w:rFonts w:hint="eastAsia"/>
        </w:rPr>
        <w:t>，管制措施顯有不足，有欠妥適</w:t>
      </w:r>
      <w:r w:rsidRPr="00172075">
        <w:rPr>
          <w:rFonts w:hint="eastAsia"/>
        </w:rPr>
        <w:t>。</w:t>
      </w:r>
      <w:r w:rsidR="005602D5">
        <w:rPr>
          <w:rFonts w:hint="eastAsia"/>
        </w:rPr>
        <w:t>而本件</w:t>
      </w:r>
      <w:r w:rsidR="005602D5" w:rsidRPr="005602D5">
        <w:rPr>
          <w:rFonts w:hint="eastAsia"/>
        </w:rPr>
        <w:t>106年1月16日</w:t>
      </w:r>
      <w:r w:rsidR="005602D5">
        <w:rPr>
          <w:rFonts w:hint="eastAsia"/>
        </w:rPr>
        <w:t>少年調查報告未有任何保密措施，</w:t>
      </w:r>
      <w:proofErr w:type="gramStart"/>
      <w:r>
        <w:rPr>
          <w:rFonts w:hint="eastAsia"/>
        </w:rPr>
        <w:t>散存於</w:t>
      </w:r>
      <w:r w:rsidR="00D311C5">
        <w:rPr>
          <w:rFonts w:hint="eastAsia"/>
        </w:rPr>
        <w:t>105</w:t>
      </w:r>
      <w:proofErr w:type="gramEnd"/>
      <w:r w:rsidR="00D311C5">
        <w:rPr>
          <w:rFonts w:hint="eastAsia"/>
        </w:rPr>
        <w:t>年度</w:t>
      </w:r>
      <w:proofErr w:type="gramStart"/>
      <w:r w:rsidR="00D311C5">
        <w:rPr>
          <w:rFonts w:hint="eastAsia"/>
        </w:rPr>
        <w:t>少護字</w:t>
      </w:r>
      <w:proofErr w:type="gramEnd"/>
      <w:r w:rsidR="00D311C5">
        <w:rPr>
          <w:rFonts w:hint="eastAsia"/>
        </w:rPr>
        <w:t>第30號</w:t>
      </w:r>
      <w:r w:rsidR="005602D5">
        <w:rPr>
          <w:rFonts w:hint="eastAsia"/>
        </w:rPr>
        <w:t>審理</w:t>
      </w:r>
      <w:r>
        <w:rPr>
          <w:rFonts w:hint="eastAsia"/>
        </w:rPr>
        <w:t>卷後</w:t>
      </w:r>
      <w:r w:rsidR="005602D5">
        <w:rPr>
          <w:rFonts w:hint="eastAsia"/>
        </w:rPr>
        <w:t>，更有欠當</w:t>
      </w:r>
      <w:r w:rsidR="007E1FD9">
        <w:rPr>
          <w:rFonts w:hint="eastAsia"/>
        </w:rPr>
        <w:t>。</w:t>
      </w:r>
      <w:r w:rsidR="006F0EE8">
        <w:rPr>
          <w:rFonts w:hint="eastAsia"/>
        </w:rPr>
        <w:t>桃園地院</w:t>
      </w:r>
      <w:r w:rsidR="0067379F">
        <w:rPr>
          <w:rFonts w:hint="eastAsia"/>
        </w:rPr>
        <w:t>於本院調查</w:t>
      </w:r>
      <w:proofErr w:type="gramStart"/>
      <w:r w:rsidR="0067379F">
        <w:rPr>
          <w:rFonts w:hint="eastAsia"/>
        </w:rPr>
        <w:t>期間，</w:t>
      </w:r>
      <w:proofErr w:type="gramEnd"/>
      <w:r w:rsidR="0067379F">
        <w:rPr>
          <w:rFonts w:hint="eastAsia"/>
        </w:rPr>
        <w:t>雖已改善現行作法，將</w:t>
      </w:r>
      <w:r w:rsidR="0067379F" w:rsidRPr="0067379F">
        <w:rPr>
          <w:rFonts w:hint="eastAsia"/>
        </w:rPr>
        <w:t>少年前案紀錄及調查報告另以不得閱覽卷保存</w:t>
      </w:r>
      <w:r w:rsidR="0067379F">
        <w:rPr>
          <w:rFonts w:hint="eastAsia"/>
        </w:rPr>
        <w:t>，但司法院及桃園地院宜</w:t>
      </w:r>
      <w:r w:rsidR="006F0EE8">
        <w:rPr>
          <w:rFonts w:hint="eastAsia"/>
        </w:rPr>
        <w:t>查明</w:t>
      </w:r>
      <w:r w:rsidR="005602D5">
        <w:rPr>
          <w:rFonts w:hint="eastAsia"/>
        </w:rPr>
        <w:t>現有少年保護</w:t>
      </w:r>
      <w:proofErr w:type="gramStart"/>
      <w:r w:rsidR="005602D5">
        <w:rPr>
          <w:rFonts w:hint="eastAsia"/>
        </w:rPr>
        <w:t>事件之</w:t>
      </w:r>
      <w:r w:rsidR="007E1FD9">
        <w:rPr>
          <w:rFonts w:hint="eastAsia"/>
        </w:rPr>
        <w:t>檔存</w:t>
      </w:r>
      <w:proofErr w:type="gramEnd"/>
      <w:r w:rsidR="007E1FD9">
        <w:rPr>
          <w:rFonts w:hint="eastAsia"/>
        </w:rPr>
        <w:t>案卷是否仍有</w:t>
      </w:r>
      <w:r w:rsidR="006F0EE8">
        <w:rPr>
          <w:rFonts w:hint="eastAsia"/>
        </w:rPr>
        <w:t>類似狀況，</w:t>
      </w:r>
      <w:r w:rsidR="007E1FD9">
        <w:rPr>
          <w:rFonts w:hint="eastAsia"/>
        </w:rPr>
        <w:t>並</w:t>
      </w:r>
      <w:r w:rsidR="0067379F">
        <w:rPr>
          <w:rFonts w:hint="eastAsia"/>
        </w:rPr>
        <w:t>宜</w:t>
      </w:r>
      <w:r w:rsidR="007E1FD9">
        <w:rPr>
          <w:rFonts w:hint="eastAsia"/>
        </w:rPr>
        <w:t>採取</w:t>
      </w:r>
      <w:r w:rsidR="006F0EE8">
        <w:rPr>
          <w:rFonts w:hint="eastAsia"/>
        </w:rPr>
        <w:t>另附限制閱覽卷宗或其他必要之管制措施。</w:t>
      </w:r>
    </w:p>
    <w:p w:rsidR="00DC54B7" w:rsidRPr="00DC54B7" w:rsidRDefault="00DC54B7" w:rsidP="00631FBA">
      <w:pPr>
        <w:pStyle w:val="3"/>
        <w:rPr>
          <w:b/>
        </w:rPr>
      </w:pPr>
      <w:r w:rsidRPr="00DC54B7">
        <w:rPr>
          <w:rFonts w:hint="eastAsia"/>
          <w:b/>
        </w:rPr>
        <w:t>小結：</w:t>
      </w:r>
    </w:p>
    <w:p w:rsidR="00DF7B4E" w:rsidRPr="00BD3FBF" w:rsidRDefault="00DF7B4E" w:rsidP="00810226">
      <w:pPr>
        <w:pStyle w:val="32"/>
        <w:ind w:left="1361" w:firstLine="680"/>
      </w:pPr>
      <w:r>
        <w:rPr>
          <w:rFonts w:hint="eastAsia"/>
        </w:rPr>
        <w:t>少年保護事件之審理程序，須聽取少年、法定代理人、少年調查官及相關人之意見，經由溝通、思</w:t>
      </w:r>
      <w:r w:rsidR="00D311C5">
        <w:rPr>
          <w:rFonts w:hint="eastAsia"/>
        </w:rPr>
        <w:t>辨</w:t>
      </w:r>
      <w:r>
        <w:rPr>
          <w:rFonts w:hint="eastAsia"/>
        </w:rPr>
        <w:t>、協商、教育啟發之過程，共同探求符合少年最佳利益的處遇，</w:t>
      </w:r>
      <w:r w:rsidR="00F10285">
        <w:rPr>
          <w:rFonts w:hint="eastAsia"/>
        </w:rPr>
        <w:t>並</w:t>
      </w:r>
      <w:r>
        <w:rPr>
          <w:rFonts w:hint="eastAsia"/>
        </w:rPr>
        <w:t>提高執行成效。然</w:t>
      </w:r>
      <w:r w:rsidR="00F10285">
        <w:rPr>
          <w:rFonts w:hint="eastAsia"/>
        </w:rPr>
        <w:t>而</w:t>
      </w:r>
      <w:r w:rsidR="00DC54B7" w:rsidRPr="00253304">
        <w:rPr>
          <w:rFonts w:hint="eastAsia"/>
        </w:rPr>
        <w:t>綜觀本件</w:t>
      </w:r>
      <w:r w:rsidR="00DC54B7" w:rsidRPr="00F775A5">
        <w:rPr>
          <w:rFonts w:hint="eastAsia"/>
        </w:rPr>
        <w:t>桃園地院</w:t>
      </w:r>
      <w:r w:rsidR="00F10285">
        <w:rPr>
          <w:rFonts w:hint="eastAsia"/>
        </w:rPr>
        <w:t>少年法庭</w:t>
      </w:r>
      <w:r w:rsidR="00BD3FBF">
        <w:rPr>
          <w:rFonts w:hint="eastAsia"/>
        </w:rPr>
        <w:t>調查</w:t>
      </w:r>
      <w:r w:rsidR="00DC54B7" w:rsidRPr="00F775A5">
        <w:rPr>
          <w:rFonts w:hint="eastAsia"/>
        </w:rPr>
        <w:t>審理</w:t>
      </w:r>
      <w:r w:rsidR="00BD3FBF">
        <w:rPr>
          <w:rFonts w:hint="eastAsia"/>
        </w:rPr>
        <w:t>前後兩事件時</w:t>
      </w:r>
      <w:r w:rsidR="00DC54B7" w:rsidRPr="00253304">
        <w:rPr>
          <w:rFonts w:hint="eastAsia"/>
        </w:rPr>
        <w:t>，承辦之少年調查官始終從未到庭，輪值之少年調查官到庭後始翻閱少年調查報告，審理時</w:t>
      </w:r>
      <w:r w:rsidR="00DC54B7">
        <w:rPr>
          <w:rFonts w:hint="eastAsia"/>
        </w:rPr>
        <w:t>僅有一句「</w:t>
      </w:r>
      <w:r w:rsidR="00DC54B7" w:rsidRPr="000D7DCC">
        <w:rPr>
          <w:rFonts w:hint="eastAsia"/>
        </w:rPr>
        <w:t>少年調查官陳述意見詳如少年調查報告書所載</w:t>
      </w:r>
      <w:r w:rsidR="00DC54B7">
        <w:rPr>
          <w:rFonts w:hint="eastAsia"/>
        </w:rPr>
        <w:t>」；且後事件</w:t>
      </w:r>
      <w:r w:rsidR="00F10285">
        <w:rPr>
          <w:rFonts w:hint="eastAsia"/>
        </w:rPr>
        <w:t>承審之</w:t>
      </w:r>
      <w:r w:rsidR="009E26D0">
        <w:rPr>
          <w:rFonts w:hint="eastAsia"/>
        </w:rPr>
        <w:t>李秋梅</w:t>
      </w:r>
      <w:r>
        <w:rPr>
          <w:rFonts w:hint="eastAsia"/>
        </w:rPr>
        <w:t>法官</w:t>
      </w:r>
      <w:r w:rsidR="00FE3BD8" w:rsidRPr="003944AD">
        <w:rPr>
          <w:rFonts w:hint="eastAsia"/>
        </w:rPr>
        <w:t>不</w:t>
      </w:r>
      <w:proofErr w:type="gramStart"/>
      <w:r w:rsidR="00FE3BD8" w:rsidRPr="003944AD">
        <w:rPr>
          <w:rFonts w:hint="eastAsia"/>
        </w:rPr>
        <w:t>採</w:t>
      </w:r>
      <w:proofErr w:type="gramEnd"/>
      <w:r w:rsidR="00FE3BD8" w:rsidRPr="003944AD">
        <w:rPr>
          <w:rFonts w:hint="eastAsia"/>
        </w:rPr>
        <w:t>少年調查官陳述之意見</w:t>
      </w:r>
      <w:r w:rsidR="00FE3BD8">
        <w:rPr>
          <w:rFonts w:hint="eastAsia"/>
        </w:rPr>
        <w:t>，</w:t>
      </w:r>
      <w:r w:rsidR="00F10285">
        <w:rPr>
          <w:rFonts w:hint="eastAsia"/>
        </w:rPr>
        <w:t>在</w:t>
      </w:r>
      <w:r w:rsidR="00DC54B7">
        <w:rPr>
          <w:rFonts w:hint="eastAsia"/>
        </w:rPr>
        <w:t>審理</w:t>
      </w:r>
      <w:r w:rsidR="008C411B">
        <w:rPr>
          <w:rFonts w:hint="eastAsia"/>
        </w:rPr>
        <w:t>庭外，</w:t>
      </w:r>
      <w:r w:rsidRPr="00D56FF3">
        <w:rPr>
          <w:rFonts w:hint="eastAsia"/>
        </w:rPr>
        <w:t>前</w:t>
      </w:r>
      <w:r w:rsidR="00FE3BD8">
        <w:rPr>
          <w:rFonts w:hint="eastAsia"/>
        </w:rPr>
        <w:t>先與</w:t>
      </w:r>
      <w:r w:rsidRPr="00D56FF3">
        <w:rPr>
          <w:rFonts w:hint="eastAsia"/>
        </w:rPr>
        <w:t>少年調查官</w:t>
      </w:r>
      <w:r w:rsidR="00FE3BD8">
        <w:rPr>
          <w:rFonts w:hint="eastAsia"/>
        </w:rPr>
        <w:t>討論</w:t>
      </w:r>
      <w:r>
        <w:rPr>
          <w:rFonts w:hint="eastAsia"/>
        </w:rPr>
        <w:t>更改</w:t>
      </w:r>
      <w:r w:rsidRPr="00D56FF3">
        <w:rPr>
          <w:rFonts w:hint="eastAsia"/>
        </w:rPr>
        <w:t>處遇建議</w:t>
      </w:r>
      <w:r>
        <w:rPr>
          <w:rFonts w:hint="eastAsia"/>
        </w:rPr>
        <w:t>，</w:t>
      </w:r>
      <w:r w:rsidR="00810226">
        <w:rPr>
          <w:rFonts w:hint="eastAsia"/>
        </w:rPr>
        <w:t>並兩度</w:t>
      </w:r>
      <w:proofErr w:type="gramStart"/>
      <w:r w:rsidRPr="001816A6">
        <w:rPr>
          <w:rFonts w:hint="eastAsia"/>
        </w:rPr>
        <w:t>諭</w:t>
      </w:r>
      <w:proofErr w:type="gramEnd"/>
      <w:r w:rsidRPr="001816A6">
        <w:rPr>
          <w:rFonts w:hint="eastAsia"/>
        </w:rPr>
        <w:t>知由輪值到庭的少年調查官充任現在保護少年之人</w:t>
      </w:r>
      <w:r w:rsidR="00F10285">
        <w:rPr>
          <w:rFonts w:hint="eastAsia"/>
        </w:rPr>
        <w:t>。</w:t>
      </w:r>
      <w:r w:rsidR="00DC54B7">
        <w:rPr>
          <w:rFonts w:hint="eastAsia"/>
        </w:rPr>
        <w:t>種種情形</w:t>
      </w:r>
      <w:r w:rsidR="00810226">
        <w:rPr>
          <w:rFonts w:hint="eastAsia"/>
        </w:rPr>
        <w:t>，</w:t>
      </w:r>
      <w:r>
        <w:rPr>
          <w:rFonts w:hint="eastAsia"/>
        </w:rPr>
        <w:t>顯</w:t>
      </w:r>
      <w:r w:rsidR="00DC54B7">
        <w:rPr>
          <w:rFonts w:hint="eastAsia"/>
        </w:rPr>
        <w:t>已</w:t>
      </w:r>
      <w:r>
        <w:rPr>
          <w:rFonts w:hint="eastAsia"/>
        </w:rPr>
        <w:t>失去「協商式審理」的精神及價值。</w:t>
      </w:r>
      <w:r w:rsidR="00BD3FBF" w:rsidRPr="00BD3FBF">
        <w:rPr>
          <w:rFonts w:ascii="Times New Roman" w:hint="eastAsia"/>
          <w:kern w:val="28"/>
          <w:szCs w:val="32"/>
        </w:rPr>
        <w:t>本案</w:t>
      </w:r>
      <w:r w:rsidR="009E20A5">
        <w:rPr>
          <w:rFonts w:ascii="Times New Roman" w:hint="eastAsia"/>
          <w:kern w:val="28"/>
          <w:szCs w:val="32"/>
        </w:rPr>
        <w:t>少年法庭</w:t>
      </w:r>
      <w:proofErr w:type="gramStart"/>
      <w:r w:rsidR="009E20A5">
        <w:rPr>
          <w:rFonts w:ascii="Times New Roman" w:hint="eastAsia"/>
          <w:kern w:val="28"/>
          <w:szCs w:val="32"/>
        </w:rPr>
        <w:t>踐行</w:t>
      </w:r>
      <w:proofErr w:type="gramEnd"/>
      <w:r w:rsidR="00810226">
        <w:rPr>
          <w:rFonts w:ascii="Times New Roman" w:hint="eastAsia"/>
          <w:kern w:val="28"/>
          <w:szCs w:val="32"/>
        </w:rPr>
        <w:t>調查審理</w:t>
      </w:r>
      <w:r w:rsidR="009E20A5">
        <w:rPr>
          <w:rFonts w:ascii="Times New Roman" w:hint="eastAsia"/>
          <w:kern w:val="28"/>
          <w:szCs w:val="32"/>
        </w:rPr>
        <w:t>之程</w:t>
      </w:r>
      <w:r w:rsidR="009E20A5">
        <w:rPr>
          <w:rFonts w:ascii="Times New Roman" w:hint="eastAsia"/>
          <w:kern w:val="28"/>
          <w:szCs w:val="32"/>
        </w:rPr>
        <w:lastRenderedPageBreak/>
        <w:t>序，</w:t>
      </w:r>
      <w:r w:rsidR="00810226">
        <w:rPr>
          <w:rFonts w:ascii="Times New Roman" w:hint="eastAsia"/>
          <w:kern w:val="28"/>
          <w:szCs w:val="32"/>
        </w:rPr>
        <w:t>是否符合</w:t>
      </w:r>
      <w:r w:rsidR="00810226">
        <w:rPr>
          <w:rFonts w:hint="eastAsia"/>
        </w:rPr>
        <w:t>一般司法程序中人權及法律保障的基本價值</w:t>
      </w:r>
      <w:r w:rsidR="00810226">
        <w:rPr>
          <w:rFonts w:ascii="Times New Roman" w:hint="eastAsia"/>
          <w:kern w:val="28"/>
          <w:szCs w:val="32"/>
        </w:rPr>
        <w:t>之疑問</w:t>
      </w:r>
      <w:r w:rsidR="00BD3FBF" w:rsidRPr="00BD3FBF">
        <w:rPr>
          <w:rFonts w:ascii="Times New Roman" w:hint="eastAsia"/>
          <w:kern w:val="28"/>
          <w:szCs w:val="32"/>
        </w:rPr>
        <w:t>，桃園地院允宜慎重</w:t>
      </w:r>
      <w:proofErr w:type="gramStart"/>
      <w:r w:rsidR="00BD3FBF" w:rsidRPr="00BD3FBF">
        <w:rPr>
          <w:rFonts w:ascii="Times New Roman" w:hint="eastAsia"/>
          <w:kern w:val="28"/>
          <w:szCs w:val="32"/>
        </w:rPr>
        <w:t>釐</w:t>
      </w:r>
      <w:proofErr w:type="gramEnd"/>
      <w:r w:rsidR="00BD3FBF" w:rsidRPr="00BD3FBF">
        <w:rPr>
          <w:rFonts w:ascii="Times New Roman" w:hint="eastAsia"/>
          <w:kern w:val="28"/>
          <w:szCs w:val="32"/>
        </w:rPr>
        <w:t>清。</w:t>
      </w:r>
    </w:p>
    <w:p w:rsidR="00963504" w:rsidRPr="00D32F5A" w:rsidRDefault="00963504" w:rsidP="00963504">
      <w:pPr>
        <w:pStyle w:val="2"/>
        <w:rPr>
          <w:b/>
        </w:rPr>
      </w:pPr>
      <w:bookmarkStart w:id="58" w:name="_Toc535915335"/>
      <w:r w:rsidRPr="00D32F5A">
        <w:rPr>
          <w:rFonts w:hint="eastAsia"/>
          <w:b/>
        </w:rPr>
        <w:t>兒童權利公約第40條第2項b段規定，少年司法的正當法律程序，應包括保障父母或法定代理人聽審及陳述意見的權利。但桃園地院少年法庭審理保護事件時，屢見法官於少年之法定代理人未到場時，指定少年調查官充任「現在保護少年之人」，代替家長同意對少年裁定交付安置、感化教育等重大處分，顯然違反人權保障的基本價值。本案調查</w:t>
      </w:r>
      <w:proofErr w:type="gramStart"/>
      <w:r w:rsidRPr="00D32F5A">
        <w:rPr>
          <w:rFonts w:hint="eastAsia"/>
          <w:b/>
        </w:rPr>
        <w:t>期間，</w:t>
      </w:r>
      <w:proofErr w:type="gramEnd"/>
      <w:r w:rsidRPr="00D32F5A">
        <w:rPr>
          <w:rFonts w:hint="eastAsia"/>
          <w:b/>
        </w:rPr>
        <w:t>司法院認同本院意見，召集全國各主任調查保護官研討並做成「少年調查官不宜擔任現在保護少年之人」之結論，有積極之作為，應予肯定</w:t>
      </w:r>
      <w:r w:rsidR="0039424D">
        <w:rPr>
          <w:rFonts w:hint="eastAsia"/>
          <w:b/>
        </w:rPr>
        <w:t>。</w:t>
      </w:r>
      <w:proofErr w:type="gramStart"/>
      <w:r w:rsidRPr="00D32F5A">
        <w:rPr>
          <w:rFonts w:hint="eastAsia"/>
          <w:b/>
        </w:rPr>
        <w:t>惟</w:t>
      </w:r>
      <w:proofErr w:type="gramEnd"/>
      <w:r w:rsidR="003640E9">
        <w:rPr>
          <w:rFonts w:hint="eastAsia"/>
          <w:b/>
        </w:rPr>
        <w:t>司法院</w:t>
      </w:r>
      <w:r w:rsidRPr="00D32F5A">
        <w:rPr>
          <w:rFonts w:hint="eastAsia"/>
          <w:b/>
        </w:rPr>
        <w:t>仍應基於司法監督權，督導各法院落實，或</w:t>
      </w:r>
      <w:proofErr w:type="gramStart"/>
      <w:r w:rsidRPr="00D32F5A">
        <w:rPr>
          <w:rFonts w:hint="eastAsia"/>
          <w:b/>
        </w:rPr>
        <w:t>研</w:t>
      </w:r>
      <w:proofErr w:type="gramEnd"/>
      <w:r w:rsidRPr="00D32F5A">
        <w:rPr>
          <w:rFonts w:hint="eastAsia"/>
          <w:b/>
        </w:rPr>
        <w:t>議</w:t>
      </w:r>
      <w:r>
        <w:rPr>
          <w:rFonts w:hint="eastAsia"/>
          <w:b/>
        </w:rPr>
        <w:t>有無</w:t>
      </w:r>
      <w:r w:rsidRPr="00D32F5A">
        <w:rPr>
          <w:rFonts w:hint="eastAsia"/>
          <w:b/>
        </w:rPr>
        <w:t>補充審理規則或函釋</w:t>
      </w:r>
      <w:r>
        <w:rPr>
          <w:rFonts w:hint="eastAsia"/>
          <w:b/>
        </w:rPr>
        <w:t>之必要</w:t>
      </w:r>
      <w:r w:rsidRPr="00D32F5A">
        <w:rPr>
          <w:rFonts w:hint="eastAsia"/>
          <w:b/>
        </w:rPr>
        <w:t>。</w:t>
      </w:r>
      <w:bookmarkEnd w:id="58"/>
    </w:p>
    <w:p w:rsidR="00963504" w:rsidRPr="00AC5347" w:rsidRDefault="00963504" w:rsidP="00963504">
      <w:pPr>
        <w:pStyle w:val="3"/>
        <w:numPr>
          <w:ilvl w:val="2"/>
          <w:numId w:val="1"/>
        </w:numPr>
        <w:kinsoku w:val="0"/>
        <w:overflowPunct/>
        <w:autoSpaceDE/>
        <w:autoSpaceDN/>
        <w:ind w:left="1360" w:hanging="680"/>
        <w:rPr>
          <w:b/>
        </w:rPr>
      </w:pPr>
      <w:r w:rsidRPr="00AC5347">
        <w:rPr>
          <w:rFonts w:hint="eastAsia"/>
          <w:b/>
        </w:rPr>
        <w:t>兒童權利公約</w:t>
      </w:r>
      <w:r>
        <w:rPr>
          <w:rFonts w:hint="eastAsia"/>
          <w:b/>
        </w:rPr>
        <w:t>及</w:t>
      </w:r>
      <w:r w:rsidRPr="00AC5347">
        <w:rPr>
          <w:rFonts w:hint="eastAsia"/>
          <w:b/>
        </w:rPr>
        <w:t>少事法相關規定，法院審理少年保護事件，須確保少年及其法定代理人（或現在保護少年之人）的</w:t>
      </w:r>
      <w:proofErr w:type="gramStart"/>
      <w:r w:rsidRPr="00AC5347">
        <w:rPr>
          <w:rFonts w:hint="eastAsia"/>
          <w:b/>
        </w:rPr>
        <w:t>在場權</w:t>
      </w:r>
      <w:proofErr w:type="gramEnd"/>
      <w:r w:rsidRPr="00AC5347">
        <w:rPr>
          <w:rFonts w:hint="eastAsia"/>
          <w:b/>
        </w:rPr>
        <w:t>及意見陳述權</w:t>
      </w:r>
      <w:r>
        <w:rPr>
          <w:rFonts w:hint="eastAsia"/>
          <w:b/>
        </w:rPr>
        <w:t>；</w:t>
      </w:r>
    </w:p>
    <w:p w:rsidR="00963504" w:rsidRDefault="00963504" w:rsidP="00963504">
      <w:pPr>
        <w:pStyle w:val="4"/>
      </w:pPr>
      <w:r w:rsidRPr="00B623EF">
        <w:rPr>
          <w:rFonts w:hint="eastAsia"/>
        </w:rPr>
        <w:t>我國於10</w:t>
      </w:r>
      <w:r>
        <w:rPr>
          <w:rFonts w:hint="eastAsia"/>
        </w:rPr>
        <w:t>3</w:t>
      </w:r>
      <w:r w:rsidRPr="00B623EF">
        <w:rPr>
          <w:rFonts w:hint="eastAsia"/>
        </w:rPr>
        <w:t>年</w:t>
      </w:r>
      <w:r>
        <w:rPr>
          <w:rFonts w:hint="eastAsia"/>
        </w:rPr>
        <w:t>6</w:t>
      </w:r>
      <w:r w:rsidRPr="00B623EF">
        <w:rPr>
          <w:rFonts w:hint="eastAsia"/>
        </w:rPr>
        <w:t>月</w:t>
      </w:r>
      <w:r>
        <w:rPr>
          <w:rFonts w:hint="eastAsia"/>
        </w:rPr>
        <w:t>4</w:t>
      </w:r>
      <w:r w:rsidRPr="00B623EF">
        <w:rPr>
          <w:rFonts w:hint="eastAsia"/>
        </w:rPr>
        <w:t>日公布「兒童權利公約施行法」</w:t>
      </w:r>
      <w:r>
        <w:rPr>
          <w:rFonts w:hint="eastAsia"/>
        </w:rPr>
        <w:t>並</w:t>
      </w:r>
      <w:r w:rsidRPr="00B623EF">
        <w:rPr>
          <w:rFonts w:hint="eastAsia"/>
        </w:rPr>
        <w:t>自103年11月20日</w:t>
      </w:r>
      <w:r>
        <w:rPr>
          <w:rFonts w:hint="eastAsia"/>
        </w:rPr>
        <w:t>起施行</w:t>
      </w:r>
      <w:r w:rsidRPr="0097530E">
        <w:rPr>
          <w:rFonts w:hint="eastAsia"/>
        </w:rPr>
        <w:t>，</w:t>
      </w:r>
      <w:r>
        <w:rPr>
          <w:rFonts w:hint="eastAsia"/>
        </w:rPr>
        <w:t>將聯合國《</w:t>
      </w:r>
      <w:r w:rsidRPr="0097530E">
        <w:rPr>
          <w:rFonts w:hint="eastAsia"/>
        </w:rPr>
        <w:t>兒童權利公約</w:t>
      </w:r>
      <w:r>
        <w:rPr>
          <w:rFonts w:hint="eastAsia"/>
        </w:rPr>
        <w:t>》</w:t>
      </w:r>
      <w:r>
        <w:rPr>
          <w:rStyle w:val="aff"/>
        </w:rPr>
        <w:footnoteReference w:id="4"/>
      </w:r>
      <w:r w:rsidRPr="0097530E">
        <w:rPr>
          <w:rFonts w:hint="eastAsia"/>
        </w:rPr>
        <w:t>內國法化，</w:t>
      </w:r>
      <w:r>
        <w:rPr>
          <w:rFonts w:hint="eastAsia"/>
        </w:rPr>
        <w:t>作為</w:t>
      </w:r>
      <w:r w:rsidRPr="0097530E">
        <w:rPr>
          <w:rFonts w:hint="eastAsia"/>
        </w:rPr>
        <w:t>形塑</w:t>
      </w:r>
      <w:r>
        <w:rPr>
          <w:rFonts w:hint="eastAsia"/>
        </w:rPr>
        <w:t>我國整體</w:t>
      </w:r>
      <w:r w:rsidRPr="0097530E">
        <w:rPr>
          <w:rFonts w:hint="eastAsia"/>
        </w:rPr>
        <w:t>兒童</w:t>
      </w:r>
      <w:r>
        <w:rPr>
          <w:rFonts w:hint="eastAsia"/>
        </w:rPr>
        <w:t>及少年法制</w:t>
      </w:r>
      <w:r w:rsidRPr="0097530E">
        <w:rPr>
          <w:rFonts w:hint="eastAsia"/>
        </w:rPr>
        <w:t>規範</w:t>
      </w:r>
      <w:r>
        <w:rPr>
          <w:rFonts w:hint="eastAsia"/>
        </w:rPr>
        <w:t>發展</w:t>
      </w:r>
      <w:r w:rsidRPr="0097530E">
        <w:rPr>
          <w:rFonts w:hint="eastAsia"/>
        </w:rPr>
        <w:t>的基礎標準。</w:t>
      </w:r>
      <w:r>
        <w:rPr>
          <w:rFonts w:hint="eastAsia"/>
        </w:rPr>
        <w:t>依該</w:t>
      </w:r>
      <w:r w:rsidRPr="00242B08">
        <w:rPr>
          <w:rFonts w:hint="eastAsia"/>
        </w:rPr>
        <w:t>施行法第2、3條規定，</w:t>
      </w:r>
      <w:r>
        <w:rPr>
          <w:rFonts w:hint="eastAsia"/>
        </w:rPr>
        <w:t>兒童權利</w:t>
      </w:r>
      <w:r w:rsidRPr="00242B08">
        <w:rPr>
          <w:rFonts w:hint="eastAsia"/>
        </w:rPr>
        <w:t>公約所揭示保障及促進兒童及少年權利之規定，具有國內法律之效力</w:t>
      </w:r>
      <w:r>
        <w:rPr>
          <w:rFonts w:hint="eastAsia"/>
        </w:rPr>
        <w:t>；</w:t>
      </w:r>
      <w:r w:rsidRPr="00242B08">
        <w:rPr>
          <w:rFonts w:hint="eastAsia"/>
        </w:rPr>
        <w:t>適用公約</w:t>
      </w:r>
      <w:r w:rsidRPr="00242B08">
        <w:rPr>
          <w:rFonts w:hint="eastAsia"/>
        </w:rPr>
        <w:lastRenderedPageBreak/>
        <w:t>規定之法規及行政措施，應參照公約意旨及聯合國兒童權利委員會對公約之解釋</w:t>
      </w:r>
      <w:r>
        <w:rPr>
          <w:rFonts w:hint="eastAsia"/>
        </w:rPr>
        <w:t>；第4條課以</w:t>
      </w:r>
      <w:r w:rsidRPr="0097530E">
        <w:rPr>
          <w:rFonts w:hint="eastAsia"/>
        </w:rPr>
        <w:t>政府機關行使職權應符合公約有關兒童及少年權利保障規定</w:t>
      </w:r>
      <w:r>
        <w:rPr>
          <w:rFonts w:hint="eastAsia"/>
        </w:rPr>
        <w:t>之義務，</w:t>
      </w:r>
      <w:r w:rsidRPr="0097530E">
        <w:rPr>
          <w:rFonts w:hint="eastAsia"/>
        </w:rPr>
        <w:t>並</w:t>
      </w:r>
      <w:r>
        <w:rPr>
          <w:rFonts w:hint="eastAsia"/>
        </w:rPr>
        <w:t>應</w:t>
      </w:r>
      <w:r w:rsidRPr="0097530E">
        <w:rPr>
          <w:rFonts w:hint="eastAsia"/>
        </w:rPr>
        <w:t>積極促進兒童及少年權利之實現</w:t>
      </w:r>
      <w:r>
        <w:rPr>
          <w:rFonts w:hint="eastAsia"/>
        </w:rPr>
        <w:t>。</w:t>
      </w:r>
    </w:p>
    <w:p w:rsidR="00963504" w:rsidRDefault="00963504" w:rsidP="00963504">
      <w:pPr>
        <w:pStyle w:val="4"/>
      </w:pPr>
      <w:r w:rsidRPr="008800CB">
        <w:rPr>
          <w:rFonts w:hint="eastAsia"/>
        </w:rPr>
        <w:t>《兒童權利公約》</w:t>
      </w:r>
      <w:r>
        <w:rPr>
          <w:rFonts w:hint="eastAsia"/>
        </w:rPr>
        <w:t>規定，</w:t>
      </w:r>
      <w:r w:rsidRPr="008800CB">
        <w:rPr>
          <w:rFonts w:hint="eastAsia"/>
        </w:rPr>
        <w:t>少年</w:t>
      </w:r>
      <w:proofErr w:type="gramStart"/>
      <w:r w:rsidRPr="008800CB">
        <w:rPr>
          <w:rFonts w:hint="eastAsia"/>
        </w:rPr>
        <w:t>處遇</w:t>
      </w:r>
      <w:r>
        <w:rPr>
          <w:rFonts w:hint="eastAsia"/>
        </w:rPr>
        <w:t>應符合</w:t>
      </w:r>
      <w:proofErr w:type="gramEnd"/>
      <w:r>
        <w:rPr>
          <w:rFonts w:hint="eastAsia"/>
        </w:rPr>
        <w:t>「</w:t>
      </w:r>
      <w:proofErr w:type="gramStart"/>
      <w:r w:rsidRPr="008800CB">
        <w:rPr>
          <w:rFonts w:hint="eastAsia"/>
        </w:rPr>
        <w:t>個別化處遇</w:t>
      </w:r>
      <w:proofErr w:type="gramEnd"/>
      <w:r>
        <w:rPr>
          <w:rFonts w:hint="eastAsia"/>
        </w:rPr>
        <w:t>」、「</w:t>
      </w:r>
      <w:r w:rsidRPr="001E3CFE">
        <w:rPr>
          <w:rFonts w:hint="eastAsia"/>
        </w:rPr>
        <w:t>最佳利益</w:t>
      </w:r>
      <w:r>
        <w:rPr>
          <w:rFonts w:hint="eastAsia"/>
        </w:rPr>
        <w:t>」、「</w:t>
      </w:r>
      <w:r w:rsidRPr="001E3CFE">
        <w:rPr>
          <w:rFonts w:hint="eastAsia"/>
        </w:rPr>
        <w:t>保護優先</w:t>
      </w:r>
      <w:r>
        <w:rPr>
          <w:rFonts w:hint="eastAsia"/>
        </w:rPr>
        <w:t>」「</w:t>
      </w:r>
      <w:r w:rsidRPr="008800CB">
        <w:rPr>
          <w:rFonts w:hint="eastAsia"/>
        </w:rPr>
        <w:t>非機構處遇優先</w:t>
      </w:r>
      <w:r>
        <w:rPr>
          <w:rFonts w:hint="eastAsia"/>
        </w:rPr>
        <w:t>」</w:t>
      </w:r>
      <w:r w:rsidRPr="008800CB">
        <w:rPr>
          <w:rFonts w:hint="eastAsia"/>
        </w:rPr>
        <w:t>與</w:t>
      </w:r>
      <w:r>
        <w:rPr>
          <w:rFonts w:hint="eastAsia"/>
        </w:rPr>
        <w:t>「以</w:t>
      </w:r>
      <w:r w:rsidRPr="008800CB">
        <w:rPr>
          <w:rFonts w:hint="eastAsia"/>
        </w:rPr>
        <w:t>教育</w:t>
      </w:r>
      <w:r>
        <w:rPr>
          <w:rFonts w:hint="eastAsia"/>
        </w:rPr>
        <w:t>代替處罰」…</w:t>
      </w:r>
      <w:proofErr w:type="gramStart"/>
      <w:r>
        <w:rPr>
          <w:rFonts w:hint="eastAsia"/>
        </w:rPr>
        <w:t>…</w:t>
      </w:r>
      <w:proofErr w:type="gramEnd"/>
      <w:r>
        <w:rPr>
          <w:rFonts w:hint="eastAsia"/>
        </w:rPr>
        <w:t>等</w:t>
      </w:r>
      <w:r w:rsidRPr="008800CB">
        <w:rPr>
          <w:rFonts w:hint="eastAsia"/>
        </w:rPr>
        <w:t>原則。</w:t>
      </w:r>
      <w:r>
        <w:rPr>
          <w:rFonts w:hint="eastAsia"/>
        </w:rPr>
        <w:t>公約</w:t>
      </w:r>
      <w:r w:rsidRPr="003F77CE">
        <w:rPr>
          <w:rFonts w:hint="eastAsia"/>
        </w:rPr>
        <w:t>第12條規定：</w:t>
      </w:r>
      <w:r>
        <w:rPr>
          <w:rFonts w:hint="eastAsia"/>
        </w:rPr>
        <w:t>「</w:t>
      </w:r>
      <w:r w:rsidRPr="003F77CE">
        <w:rPr>
          <w:rFonts w:hint="eastAsia"/>
        </w:rPr>
        <w:t>締約國</w:t>
      </w:r>
      <w:r>
        <w:rPr>
          <w:rFonts w:hint="eastAsia"/>
        </w:rPr>
        <w:t>…</w:t>
      </w:r>
      <w:proofErr w:type="gramStart"/>
      <w:r>
        <w:rPr>
          <w:rFonts w:hint="eastAsia"/>
        </w:rPr>
        <w:t>…</w:t>
      </w:r>
      <w:proofErr w:type="gramEnd"/>
      <w:r w:rsidRPr="003F77CE">
        <w:rPr>
          <w:rFonts w:hint="eastAsia"/>
        </w:rPr>
        <w:t>應特別給予兒童在對自己有影響之司法及行政程序中，能夠依照國家法律之程序規定，由其本人直接或透過代表或適當之組織，表達意見之機會。</w:t>
      </w:r>
      <w:r>
        <w:rPr>
          <w:rFonts w:hint="eastAsia"/>
        </w:rPr>
        <w:t>」第40條第2項b段</w:t>
      </w:r>
      <w:r w:rsidRPr="003F77CE">
        <w:rPr>
          <w:rFonts w:hint="eastAsia"/>
        </w:rPr>
        <w:t>（iii）</w:t>
      </w:r>
      <w:r>
        <w:rPr>
          <w:rFonts w:hint="eastAsia"/>
        </w:rPr>
        <w:t>規定：「…</w:t>
      </w:r>
      <w:proofErr w:type="gramStart"/>
      <w:r>
        <w:rPr>
          <w:rFonts w:hint="eastAsia"/>
        </w:rPr>
        <w:t>…</w:t>
      </w:r>
      <w:proofErr w:type="gramEnd"/>
      <w:r w:rsidRPr="003F77CE">
        <w:rPr>
          <w:rFonts w:hint="eastAsia"/>
        </w:rPr>
        <w:t>兒童並應獲得法律或其他適當之協助，且其父母或法定監護人亦</w:t>
      </w:r>
      <w:proofErr w:type="gramStart"/>
      <w:r w:rsidRPr="003F77CE">
        <w:rPr>
          <w:rFonts w:hint="eastAsia"/>
        </w:rPr>
        <w:t>應在場</w:t>
      </w:r>
      <w:proofErr w:type="gramEnd"/>
      <w:r>
        <w:rPr>
          <w:rFonts w:hint="eastAsia"/>
        </w:rPr>
        <w:t>…</w:t>
      </w:r>
      <w:proofErr w:type="gramStart"/>
      <w:r>
        <w:rPr>
          <w:rFonts w:hint="eastAsia"/>
        </w:rPr>
        <w:t>…</w:t>
      </w:r>
      <w:proofErr w:type="gramEnd"/>
      <w:r>
        <w:rPr>
          <w:rFonts w:hint="eastAsia"/>
        </w:rPr>
        <w:t>。」要求締約國少年司法的制度設計則要求保障兒少的「</w:t>
      </w:r>
      <w:r>
        <w:t>法律協助權</w:t>
      </w:r>
      <w:r>
        <w:rPr>
          <w:rFonts w:hint="eastAsia"/>
        </w:rPr>
        <w:t>」</w:t>
      </w:r>
      <w:r>
        <w:t>、</w:t>
      </w:r>
      <w:r>
        <w:rPr>
          <w:rFonts w:hint="eastAsia"/>
        </w:rPr>
        <w:t>「</w:t>
      </w:r>
      <w:r>
        <w:t>父母</w:t>
      </w:r>
      <w:proofErr w:type="gramStart"/>
      <w:r>
        <w:t>在場權</w:t>
      </w:r>
      <w:proofErr w:type="gramEnd"/>
      <w:r>
        <w:t>與意見陳述權</w:t>
      </w:r>
      <w:r>
        <w:rPr>
          <w:rFonts w:hint="eastAsia"/>
        </w:rPr>
        <w:t>」，並建立有效的救濟管道，以符合正當法律程序。我國</w:t>
      </w:r>
      <w:r w:rsidRPr="008800CB">
        <w:rPr>
          <w:rFonts w:hint="eastAsia"/>
        </w:rPr>
        <w:t>少事法</w:t>
      </w:r>
      <w:r>
        <w:rPr>
          <w:rFonts w:hint="eastAsia"/>
        </w:rPr>
        <w:t>第32條、36條</w:t>
      </w:r>
      <w:r>
        <w:rPr>
          <w:rStyle w:val="aff"/>
        </w:rPr>
        <w:footnoteReference w:id="5"/>
      </w:r>
      <w:r>
        <w:rPr>
          <w:rFonts w:hint="eastAsia"/>
        </w:rPr>
        <w:t>明文保障少年法定代理人或現在保護少年之人</w:t>
      </w:r>
      <w:proofErr w:type="gramStart"/>
      <w:r>
        <w:rPr>
          <w:rFonts w:hint="eastAsia"/>
        </w:rPr>
        <w:t>在場權</w:t>
      </w:r>
      <w:proofErr w:type="gramEnd"/>
      <w:r>
        <w:rPr>
          <w:rFonts w:hint="eastAsia"/>
        </w:rPr>
        <w:t>與意見陳述權，以保障少年司法的正當程序。</w:t>
      </w:r>
      <w:r w:rsidRPr="00335EB3">
        <w:rPr>
          <w:rFonts w:hint="eastAsia"/>
        </w:rPr>
        <w:t>審理細則第27條</w:t>
      </w:r>
      <w:r>
        <w:rPr>
          <w:rFonts w:hint="eastAsia"/>
        </w:rPr>
        <w:t>亦明</w:t>
      </w:r>
      <w:r w:rsidRPr="00335EB3">
        <w:rPr>
          <w:rFonts w:hint="eastAsia"/>
        </w:rPr>
        <w:t>定法院裁定保護管束、安置輔導及感化教育時，少年之法定代理人或現在保護少年之人應到場始得為之。</w:t>
      </w:r>
      <w:proofErr w:type="gramStart"/>
      <w:r>
        <w:rPr>
          <w:rFonts w:hint="eastAsia"/>
        </w:rPr>
        <w:t>綜據上</w:t>
      </w:r>
      <w:proofErr w:type="gramEnd"/>
      <w:r>
        <w:rPr>
          <w:rFonts w:hint="eastAsia"/>
        </w:rPr>
        <w:t>開規定，我國少年法制已明定親權人之</w:t>
      </w:r>
      <w:proofErr w:type="gramStart"/>
      <w:r>
        <w:rPr>
          <w:rFonts w:hint="eastAsia"/>
        </w:rPr>
        <w:t>在場權</w:t>
      </w:r>
      <w:proofErr w:type="gramEnd"/>
      <w:r>
        <w:rPr>
          <w:rFonts w:hint="eastAsia"/>
        </w:rPr>
        <w:t>與意見陳述權，並設計抗告及重新審理等救濟途</w:t>
      </w:r>
      <w:proofErr w:type="gramStart"/>
      <w:r>
        <w:rPr>
          <w:rFonts w:hint="eastAsia"/>
        </w:rPr>
        <w:t>逕</w:t>
      </w:r>
      <w:proofErr w:type="gramEnd"/>
      <w:r>
        <w:rPr>
          <w:rFonts w:hint="eastAsia"/>
        </w:rPr>
        <w:t>，其內涵契合兒童權利公約之規定。</w:t>
      </w:r>
    </w:p>
    <w:p w:rsidR="00963504" w:rsidRDefault="00963504" w:rsidP="00963504">
      <w:pPr>
        <w:pStyle w:val="3"/>
        <w:numPr>
          <w:ilvl w:val="2"/>
          <w:numId w:val="1"/>
        </w:numPr>
        <w:kinsoku w:val="0"/>
        <w:overflowPunct/>
        <w:autoSpaceDE/>
        <w:autoSpaceDN/>
        <w:ind w:left="1360" w:hanging="680"/>
      </w:pPr>
      <w:r>
        <w:rPr>
          <w:rFonts w:hint="eastAsia"/>
        </w:rPr>
        <w:lastRenderedPageBreak/>
        <w:t>經查，法官</w:t>
      </w:r>
      <w:r w:rsidRPr="007B347F">
        <w:rPr>
          <w:rFonts w:hint="eastAsia"/>
        </w:rPr>
        <w:t>於審理期日指定少年調查官為現在保護少年之人</w:t>
      </w:r>
      <w:r>
        <w:rPr>
          <w:rFonts w:hint="eastAsia"/>
        </w:rPr>
        <w:t>不在少數，以</w:t>
      </w:r>
      <w:r w:rsidRPr="007B347F">
        <w:rPr>
          <w:rFonts w:hint="eastAsia"/>
        </w:rPr>
        <w:t>桃園地院</w:t>
      </w:r>
      <w:r>
        <w:rPr>
          <w:rFonts w:hint="eastAsia"/>
        </w:rPr>
        <w:t>為例，該院</w:t>
      </w:r>
      <w:r w:rsidRPr="007B347F">
        <w:rPr>
          <w:rFonts w:hint="eastAsia"/>
        </w:rPr>
        <w:t>105年1月1日</w:t>
      </w:r>
      <w:proofErr w:type="gramStart"/>
      <w:r w:rsidRPr="007B347F">
        <w:rPr>
          <w:rFonts w:hint="eastAsia"/>
        </w:rPr>
        <w:t>迄</w:t>
      </w:r>
      <w:proofErr w:type="gramEnd"/>
      <w:r>
        <w:rPr>
          <w:rFonts w:hint="eastAsia"/>
        </w:rPr>
        <w:t>107年3月共41件（相關</w:t>
      </w:r>
      <w:r w:rsidRPr="007B347F">
        <w:rPr>
          <w:rFonts w:hint="eastAsia"/>
        </w:rPr>
        <w:t>股別及所</w:t>
      </w:r>
      <w:r>
        <w:rPr>
          <w:rFonts w:hint="eastAsia"/>
        </w:rPr>
        <w:t>占</w:t>
      </w:r>
      <w:r w:rsidRPr="007B347F">
        <w:rPr>
          <w:rFonts w:hint="eastAsia"/>
        </w:rPr>
        <w:t>比</w:t>
      </w:r>
      <w:r w:rsidR="004974BF">
        <w:rPr>
          <w:rFonts w:hint="eastAsia"/>
        </w:rPr>
        <w:t>率</w:t>
      </w:r>
      <w:proofErr w:type="gramStart"/>
      <w:r>
        <w:rPr>
          <w:rFonts w:hint="eastAsia"/>
        </w:rPr>
        <w:t>詳</w:t>
      </w:r>
      <w:proofErr w:type="gramEnd"/>
      <w:r>
        <w:rPr>
          <w:rFonts w:hint="eastAsia"/>
        </w:rPr>
        <w:t>如下表）。</w:t>
      </w:r>
      <w:r w:rsidR="00D80795">
        <w:rPr>
          <w:rFonts w:hint="eastAsia"/>
        </w:rPr>
        <w:t>本案約</w:t>
      </w:r>
      <w:proofErr w:type="gramStart"/>
      <w:r w:rsidR="00D80795">
        <w:rPr>
          <w:rFonts w:hint="eastAsia"/>
        </w:rPr>
        <w:t>詢</w:t>
      </w:r>
      <w:proofErr w:type="gramEnd"/>
      <w:r w:rsidR="00D80795">
        <w:rPr>
          <w:rFonts w:hint="eastAsia"/>
        </w:rPr>
        <w:t>桃園地院少年調查官楊秀卿、方曉晴表示</w:t>
      </w:r>
      <w:r>
        <w:rPr>
          <w:rFonts w:hint="eastAsia"/>
        </w:rPr>
        <w:t>：</w:t>
      </w:r>
      <w:r w:rsidRPr="00C33E09">
        <w:rPr>
          <w:rFonts w:hint="eastAsia"/>
        </w:rPr>
        <w:t>家長若沒有到場，法官會指定</w:t>
      </w:r>
      <w:r>
        <w:rPr>
          <w:rFonts w:hint="eastAsia"/>
        </w:rPr>
        <w:t>到庭的少年調查官充</w:t>
      </w:r>
      <w:r w:rsidRPr="00C33E09">
        <w:rPr>
          <w:rFonts w:hint="eastAsia"/>
        </w:rPr>
        <w:t>當現在保護少年之人，我們也很難拒絕</w:t>
      </w:r>
      <w:r>
        <w:rPr>
          <w:rFonts w:hint="eastAsia"/>
        </w:rPr>
        <w:t>，每位調查官一年約被指定3至4件</w:t>
      </w:r>
      <w:r w:rsidRPr="00C33E09">
        <w:rPr>
          <w:rFonts w:hint="eastAsia"/>
        </w:rPr>
        <w:t>。</w:t>
      </w:r>
      <w:r>
        <w:rPr>
          <w:rFonts w:hint="eastAsia"/>
        </w:rPr>
        <w:t>保護少年之人不適合由少年調查官擔任，</w:t>
      </w:r>
      <w:r w:rsidRPr="00C33E09">
        <w:rPr>
          <w:rFonts w:hint="eastAsia"/>
        </w:rPr>
        <w:t>因為我們可能在庭中，可能才剛</w:t>
      </w:r>
      <w:proofErr w:type="gramStart"/>
      <w:r w:rsidR="00076BB7">
        <w:rPr>
          <w:rFonts w:hint="eastAsia"/>
        </w:rPr>
        <w:t>唸</w:t>
      </w:r>
      <w:proofErr w:type="gramEnd"/>
      <w:r w:rsidRPr="00C33E09">
        <w:rPr>
          <w:rFonts w:hint="eastAsia"/>
        </w:rPr>
        <w:t>了一段對少年不利的處遇</w:t>
      </w:r>
      <w:r>
        <w:rPr>
          <w:rFonts w:hint="eastAsia"/>
        </w:rPr>
        <w:t>，兩者角色衝突，雖然</w:t>
      </w:r>
      <w:r w:rsidRPr="00C33E09">
        <w:rPr>
          <w:rFonts w:hint="eastAsia"/>
        </w:rPr>
        <w:t>少事法就現在保護少年之人，</w:t>
      </w:r>
      <w:r>
        <w:rPr>
          <w:rFonts w:hint="eastAsia"/>
        </w:rPr>
        <w:t>並未明文</w:t>
      </w:r>
      <w:r w:rsidRPr="00C33E09">
        <w:rPr>
          <w:rFonts w:hint="eastAsia"/>
        </w:rPr>
        <w:t>規定</w:t>
      </w:r>
      <w:r>
        <w:rPr>
          <w:rFonts w:hint="eastAsia"/>
        </w:rPr>
        <w:t>其</w:t>
      </w:r>
      <w:r w:rsidRPr="00C33E09">
        <w:rPr>
          <w:rFonts w:hint="eastAsia"/>
        </w:rPr>
        <w:t>誰</w:t>
      </w:r>
      <w:proofErr w:type="gramStart"/>
      <w:r w:rsidRPr="00C33E09">
        <w:rPr>
          <w:rFonts w:hint="eastAsia"/>
        </w:rPr>
        <w:t>可以當誰不</w:t>
      </w:r>
      <w:proofErr w:type="gramEnd"/>
      <w:r w:rsidRPr="00C33E09">
        <w:rPr>
          <w:rFonts w:hint="eastAsia"/>
        </w:rPr>
        <w:t>可以當</w:t>
      </w:r>
      <w:r>
        <w:rPr>
          <w:rFonts w:hint="eastAsia"/>
        </w:rPr>
        <w:t>，但少年</w:t>
      </w:r>
      <w:proofErr w:type="gramStart"/>
      <w:r>
        <w:rPr>
          <w:rFonts w:hint="eastAsia"/>
        </w:rPr>
        <w:t>調查官僅</w:t>
      </w:r>
      <w:r w:rsidRPr="00C33E09">
        <w:rPr>
          <w:rFonts w:hint="eastAsia"/>
        </w:rPr>
        <w:t>是</w:t>
      </w:r>
      <w:proofErr w:type="gramEnd"/>
      <w:r w:rsidRPr="00C33E09">
        <w:rPr>
          <w:rFonts w:hint="eastAsia"/>
        </w:rPr>
        <w:t>形式上的現在保護少年之人。很難實際發揮保護少年的利益</w:t>
      </w:r>
      <w:r>
        <w:rPr>
          <w:rFonts w:hint="eastAsia"/>
        </w:rPr>
        <w:t>等語。顯然法官前揭作為，已違反兒童權利公約及少事法、少年保護事件審理細則之規定。</w:t>
      </w:r>
    </w:p>
    <w:tbl>
      <w:tblPr>
        <w:tblW w:w="5000" w:type="pct"/>
        <w:tblLayout w:type="fixed"/>
        <w:tblCellMar>
          <w:left w:w="28" w:type="dxa"/>
          <w:right w:w="28" w:type="dxa"/>
        </w:tblCellMar>
        <w:tblLook w:val="04A0" w:firstRow="1" w:lastRow="0" w:firstColumn="1" w:lastColumn="0" w:noHBand="0" w:noVBand="1"/>
      </w:tblPr>
      <w:tblGrid>
        <w:gridCol w:w="1701"/>
        <w:gridCol w:w="1567"/>
        <w:gridCol w:w="1266"/>
        <w:gridCol w:w="1127"/>
        <w:gridCol w:w="1127"/>
        <w:gridCol w:w="1127"/>
        <w:gridCol w:w="929"/>
      </w:tblGrid>
      <w:tr w:rsidR="00963504" w:rsidRPr="007B347F" w:rsidTr="0039424D">
        <w:tc>
          <w:tcPr>
            <w:tcW w:w="5000" w:type="pct"/>
            <w:gridSpan w:val="7"/>
            <w:tcBorders>
              <w:top w:val="nil"/>
              <w:left w:val="nil"/>
              <w:bottom w:val="nil"/>
              <w:right w:val="nil"/>
            </w:tcBorders>
            <w:shd w:val="clear" w:color="auto" w:fill="auto"/>
            <w:vAlign w:val="center"/>
            <w:hideMark/>
          </w:tcPr>
          <w:p w:rsidR="00963504" w:rsidRPr="007B347F" w:rsidRDefault="00963504" w:rsidP="0039424D">
            <w:pPr>
              <w:pStyle w:val="a3"/>
              <w:rPr>
                <w:kern w:val="0"/>
                <w:sz w:val="24"/>
                <w:szCs w:val="24"/>
              </w:rPr>
            </w:pPr>
            <w:r w:rsidRPr="007B347F">
              <w:rPr>
                <w:rFonts w:hint="eastAsia"/>
                <w:kern w:val="0"/>
              </w:rPr>
              <w:t>105年1月1日</w:t>
            </w:r>
            <w:r>
              <w:rPr>
                <w:rFonts w:hint="eastAsia"/>
                <w:kern w:val="0"/>
              </w:rPr>
              <w:t>至</w:t>
            </w:r>
            <w:r w:rsidRPr="007B347F">
              <w:rPr>
                <w:rFonts w:hint="eastAsia"/>
                <w:kern w:val="0"/>
              </w:rPr>
              <w:t>107年3月27日桃園地院於審理期日指定少年調查官為現在保護少年</w:t>
            </w:r>
            <w:proofErr w:type="gramStart"/>
            <w:r w:rsidRPr="007B347F">
              <w:rPr>
                <w:rFonts w:hint="eastAsia"/>
                <w:kern w:val="0"/>
              </w:rPr>
              <w:t>之人件數</w:t>
            </w:r>
            <w:proofErr w:type="gramEnd"/>
            <w:r w:rsidRPr="007B347F">
              <w:rPr>
                <w:rFonts w:hint="eastAsia"/>
                <w:kern w:val="0"/>
              </w:rPr>
              <w:t>統計表</w:t>
            </w:r>
          </w:p>
        </w:tc>
      </w:tr>
      <w:tr w:rsidR="00963504" w:rsidRPr="007B347F" w:rsidTr="0039424D">
        <w:tc>
          <w:tcPr>
            <w:tcW w:w="9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504" w:rsidRPr="00CC4778" w:rsidRDefault="00963504" w:rsidP="0039424D">
            <w:pPr>
              <w:widowControl/>
              <w:rPr>
                <w:rFonts w:hAnsi="標楷體" w:cs="新細明體"/>
                <w:color w:val="000000"/>
                <w:kern w:val="0"/>
                <w:sz w:val="30"/>
                <w:szCs w:val="30"/>
              </w:rPr>
            </w:pPr>
            <w:proofErr w:type="gramStart"/>
            <w:r w:rsidRPr="00CC4778">
              <w:rPr>
                <w:rFonts w:hAnsi="標楷體" w:cs="新細明體" w:hint="eastAsia"/>
                <w:color w:val="000000"/>
                <w:kern w:val="0"/>
                <w:sz w:val="30"/>
                <w:szCs w:val="30"/>
              </w:rPr>
              <w:t>股別</w:t>
            </w:r>
            <w:proofErr w:type="gramEnd"/>
          </w:p>
        </w:tc>
        <w:tc>
          <w:tcPr>
            <w:tcW w:w="886" w:type="pct"/>
            <w:tcBorders>
              <w:top w:val="single" w:sz="4" w:space="0" w:color="auto"/>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rPr>
                <w:rFonts w:hAnsi="標楷體" w:cs="新細明體"/>
                <w:color w:val="000000"/>
                <w:kern w:val="0"/>
                <w:sz w:val="30"/>
                <w:szCs w:val="30"/>
              </w:rPr>
            </w:pPr>
            <w:r w:rsidRPr="00CC4778">
              <w:rPr>
                <w:rFonts w:hAnsi="標楷體" w:cs="新細明體" w:hint="eastAsia"/>
                <w:color w:val="000000"/>
                <w:kern w:val="0"/>
                <w:sz w:val="30"/>
                <w:szCs w:val="30"/>
              </w:rPr>
              <w:t>宣示或裁定日</w:t>
            </w:r>
          </w:p>
        </w:tc>
        <w:tc>
          <w:tcPr>
            <w:tcW w:w="716" w:type="pct"/>
            <w:tcBorders>
              <w:top w:val="single" w:sz="4" w:space="0" w:color="auto"/>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b/>
                <w:color w:val="000000"/>
                <w:kern w:val="0"/>
                <w:sz w:val="30"/>
                <w:szCs w:val="30"/>
              </w:rPr>
            </w:pPr>
            <w:proofErr w:type="gramStart"/>
            <w:r w:rsidRPr="00CC4778">
              <w:rPr>
                <w:rFonts w:hAnsi="標楷體" w:cs="新細明體" w:hint="eastAsia"/>
                <w:b/>
                <w:color w:val="000000"/>
                <w:kern w:val="0"/>
                <w:sz w:val="30"/>
                <w:szCs w:val="30"/>
              </w:rPr>
              <w:t>迺</w:t>
            </w:r>
            <w:proofErr w:type="gramEnd"/>
          </w:p>
        </w:tc>
        <w:tc>
          <w:tcPr>
            <w:tcW w:w="637" w:type="pct"/>
            <w:tcBorders>
              <w:top w:val="single" w:sz="4" w:space="0" w:color="auto"/>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color w:val="000000"/>
                <w:kern w:val="0"/>
                <w:sz w:val="30"/>
                <w:szCs w:val="30"/>
              </w:rPr>
            </w:pPr>
            <w:r w:rsidRPr="00CC4778">
              <w:rPr>
                <w:rFonts w:hAnsi="標楷體" w:cs="新細明體" w:hint="eastAsia"/>
                <w:color w:val="000000"/>
                <w:kern w:val="0"/>
                <w:sz w:val="30"/>
                <w:szCs w:val="30"/>
              </w:rPr>
              <w:t>麗</w:t>
            </w:r>
          </w:p>
        </w:tc>
        <w:tc>
          <w:tcPr>
            <w:tcW w:w="637" w:type="pct"/>
            <w:tcBorders>
              <w:top w:val="single" w:sz="4" w:space="0" w:color="auto"/>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color w:val="000000"/>
                <w:kern w:val="0"/>
                <w:sz w:val="30"/>
                <w:szCs w:val="30"/>
              </w:rPr>
            </w:pPr>
            <w:r w:rsidRPr="00CC4778">
              <w:rPr>
                <w:rFonts w:hAnsi="標楷體" w:cs="新細明體" w:hint="eastAsia"/>
                <w:color w:val="000000"/>
                <w:kern w:val="0"/>
                <w:sz w:val="30"/>
                <w:szCs w:val="30"/>
              </w:rPr>
              <w:t>源</w:t>
            </w:r>
          </w:p>
        </w:tc>
        <w:tc>
          <w:tcPr>
            <w:tcW w:w="637" w:type="pct"/>
            <w:tcBorders>
              <w:top w:val="single" w:sz="4" w:space="0" w:color="auto"/>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b/>
                <w:color w:val="000000"/>
                <w:kern w:val="0"/>
                <w:sz w:val="30"/>
                <w:szCs w:val="30"/>
              </w:rPr>
            </w:pPr>
            <w:r w:rsidRPr="00CC4778">
              <w:rPr>
                <w:rFonts w:hAnsi="標楷體" w:cs="新細明體" w:hint="eastAsia"/>
                <w:b/>
                <w:color w:val="000000"/>
                <w:kern w:val="0"/>
                <w:sz w:val="30"/>
                <w:szCs w:val="30"/>
              </w:rPr>
              <w:t>洪</w:t>
            </w:r>
          </w:p>
        </w:tc>
        <w:tc>
          <w:tcPr>
            <w:tcW w:w="525" w:type="pct"/>
            <w:tcBorders>
              <w:top w:val="single" w:sz="4" w:space="0" w:color="auto"/>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color w:val="000000"/>
                <w:kern w:val="0"/>
                <w:sz w:val="30"/>
                <w:szCs w:val="30"/>
              </w:rPr>
            </w:pPr>
            <w:r w:rsidRPr="00CC4778">
              <w:rPr>
                <w:rFonts w:hAnsi="標楷體" w:cs="新細明體" w:hint="eastAsia"/>
                <w:color w:val="000000"/>
                <w:kern w:val="0"/>
                <w:sz w:val="30"/>
                <w:szCs w:val="30"/>
              </w:rPr>
              <w:t>合計</w:t>
            </w:r>
          </w:p>
        </w:tc>
      </w:tr>
      <w:tr w:rsidR="00963504" w:rsidRPr="007B347F" w:rsidTr="0039424D">
        <w:tc>
          <w:tcPr>
            <w:tcW w:w="96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63504" w:rsidRPr="00CC4778" w:rsidRDefault="00963504" w:rsidP="0039424D">
            <w:pPr>
              <w:widowControl/>
              <w:rPr>
                <w:rFonts w:hAnsi="標楷體" w:cs="新細明體"/>
                <w:color w:val="000000"/>
                <w:kern w:val="0"/>
                <w:sz w:val="30"/>
                <w:szCs w:val="30"/>
              </w:rPr>
            </w:pPr>
            <w:r w:rsidRPr="00CC4778">
              <w:rPr>
                <w:rFonts w:hAnsi="標楷體" w:cs="新細明體" w:hint="eastAsia"/>
                <w:color w:val="000000"/>
                <w:kern w:val="0"/>
                <w:sz w:val="30"/>
                <w:szCs w:val="30"/>
              </w:rPr>
              <w:t>受理件數</w:t>
            </w:r>
          </w:p>
        </w:tc>
        <w:tc>
          <w:tcPr>
            <w:tcW w:w="886"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rPr>
                <w:rFonts w:hAnsi="標楷體" w:cs="新細明體"/>
                <w:color w:val="000000"/>
                <w:kern w:val="0"/>
                <w:sz w:val="30"/>
                <w:szCs w:val="30"/>
              </w:rPr>
            </w:pPr>
            <w:r w:rsidRPr="00CC4778">
              <w:rPr>
                <w:rFonts w:hAnsi="標楷體" w:cs="新細明體" w:hint="eastAsia"/>
                <w:color w:val="000000"/>
                <w:kern w:val="0"/>
                <w:sz w:val="30"/>
                <w:szCs w:val="30"/>
              </w:rPr>
              <w:t>105年</w:t>
            </w:r>
          </w:p>
        </w:tc>
        <w:tc>
          <w:tcPr>
            <w:tcW w:w="716"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color w:val="000000"/>
                <w:kern w:val="0"/>
                <w:sz w:val="30"/>
                <w:szCs w:val="30"/>
              </w:rPr>
            </w:pPr>
            <w:r w:rsidRPr="00CC4778">
              <w:rPr>
                <w:rFonts w:hAnsi="標楷體" w:cs="新細明體" w:hint="eastAsia"/>
                <w:color w:val="000000"/>
                <w:kern w:val="0"/>
                <w:sz w:val="30"/>
                <w:szCs w:val="30"/>
              </w:rPr>
              <w:t>289</w:t>
            </w:r>
          </w:p>
        </w:tc>
        <w:tc>
          <w:tcPr>
            <w:tcW w:w="637"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color w:val="000000"/>
                <w:kern w:val="0"/>
                <w:sz w:val="30"/>
                <w:szCs w:val="30"/>
              </w:rPr>
            </w:pPr>
            <w:r w:rsidRPr="00CC4778">
              <w:rPr>
                <w:rFonts w:hAnsi="標楷體" w:cs="新細明體" w:hint="eastAsia"/>
                <w:color w:val="000000"/>
                <w:kern w:val="0"/>
                <w:sz w:val="30"/>
                <w:szCs w:val="30"/>
              </w:rPr>
              <w:t>281</w:t>
            </w:r>
          </w:p>
        </w:tc>
        <w:tc>
          <w:tcPr>
            <w:tcW w:w="637"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color w:val="000000"/>
                <w:kern w:val="0"/>
                <w:sz w:val="30"/>
                <w:szCs w:val="30"/>
              </w:rPr>
            </w:pPr>
            <w:r w:rsidRPr="00CC4778">
              <w:rPr>
                <w:rFonts w:hAnsi="標楷體" w:cs="新細明體" w:hint="eastAsia"/>
                <w:color w:val="000000"/>
                <w:kern w:val="0"/>
                <w:sz w:val="30"/>
                <w:szCs w:val="30"/>
              </w:rPr>
              <w:t>311</w:t>
            </w:r>
          </w:p>
        </w:tc>
        <w:tc>
          <w:tcPr>
            <w:tcW w:w="637"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color w:val="000000"/>
                <w:kern w:val="0"/>
                <w:sz w:val="30"/>
                <w:szCs w:val="30"/>
              </w:rPr>
            </w:pPr>
            <w:r w:rsidRPr="00CC4778">
              <w:rPr>
                <w:rFonts w:hAnsi="標楷體" w:cs="新細明體" w:hint="eastAsia"/>
                <w:color w:val="000000"/>
                <w:kern w:val="0"/>
                <w:sz w:val="30"/>
                <w:szCs w:val="30"/>
              </w:rPr>
              <w:t>275</w:t>
            </w:r>
          </w:p>
        </w:tc>
        <w:tc>
          <w:tcPr>
            <w:tcW w:w="525"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right"/>
              <w:rPr>
                <w:rFonts w:hAnsi="標楷體" w:cs="新細明體"/>
                <w:color w:val="000000"/>
                <w:kern w:val="0"/>
                <w:sz w:val="30"/>
                <w:szCs w:val="30"/>
              </w:rPr>
            </w:pPr>
            <w:r w:rsidRPr="00CC4778">
              <w:rPr>
                <w:rFonts w:hAnsi="標楷體" w:cs="新細明體" w:hint="eastAsia"/>
                <w:color w:val="000000"/>
                <w:kern w:val="0"/>
                <w:sz w:val="30"/>
                <w:szCs w:val="30"/>
              </w:rPr>
              <w:t>1156</w:t>
            </w:r>
          </w:p>
        </w:tc>
      </w:tr>
      <w:tr w:rsidR="00963504" w:rsidRPr="007B347F" w:rsidTr="0039424D">
        <w:tc>
          <w:tcPr>
            <w:tcW w:w="962" w:type="pct"/>
            <w:vMerge/>
            <w:tcBorders>
              <w:top w:val="nil"/>
              <w:left w:val="single" w:sz="4" w:space="0" w:color="auto"/>
              <w:bottom w:val="single" w:sz="4" w:space="0" w:color="auto"/>
              <w:right w:val="single" w:sz="4" w:space="0" w:color="auto"/>
            </w:tcBorders>
            <w:vAlign w:val="center"/>
            <w:hideMark/>
          </w:tcPr>
          <w:p w:rsidR="00963504" w:rsidRPr="00CC4778" w:rsidRDefault="00963504" w:rsidP="0039424D">
            <w:pPr>
              <w:widowControl/>
              <w:rPr>
                <w:rFonts w:hAnsi="標楷體" w:cs="新細明體"/>
                <w:color w:val="000000"/>
                <w:kern w:val="0"/>
                <w:sz w:val="30"/>
                <w:szCs w:val="30"/>
              </w:rPr>
            </w:pPr>
          </w:p>
        </w:tc>
        <w:tc>
          <w:tcPr>
            <w:tcW w:w="886"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rPr>
                <w:rFonts w:hAnsi="標楷體" w:cs="新細明體"/>
                <w:color w:val="000000"/>
                <w:kern w:val="0"/>
                <w:sz w:val="30"/>
                <w:szCs w:val="30"/>
              </w:rPr>
            </w:pPr>
            <w:r w:rsidRPr="00CC4778">
              <w:rPr>
                <w:rFonts w:hAnsi="標楷體" w:cs="新細明體" w:hint="eastAsia"/>
                <w:color w:val="000000"/>
                <w:kern w:val="0"/>
                <w:sz w:val="30"/>
                <w:szCs w:val="30"/>
              </w:rPr>
              <w:t>106年</w:t>
            </w:r>
          </w:p>
        </w:tc>
        <w:tc>
          <w:tcPr>
            <w:tcW w:w="716"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color w:val="000000"/>
                <w:kern w:val="0"/>
                <w:sz w:val="30"/>
                <w:szCs w:val="30"/>
              </w:rPr>
            </w:pPr>
            <w:r w:rsidRPr="00CC4778">
              <w:rPr>
                <w:rFonts w:hAnsi="標楷體" w:cs="新細明體" w:hint="eastAsia"/>
                <w:color w:val="000000"/>
                <w:kern w:val="0"/>
                <w:sz w:val="30"/>
                <w:szCs w:val="30"/>
              </w:rPr>
              <w:t>286</w:t>
            </w:r>
          </w:p>
        </w:tc>
        <w:tc>
          <w:tcPr>
            <w:tcW w:w="637"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color w:val="000000"/>
                <w:kern w:val="0"/>
                <w:sz w:val="30"/>
                <w:szCs w:val="30"/>
              </w:rPr>
            </w:pPr>
            <w:r w:rsidRPr="00CC4778">
              <w:rPr>
                <w:rFonts w:hAnsi="標楷體" w:cs="新細明體" w:hint="eastAsia"/>
                <w:color w:val="000000"/>
                <w:kern w:val="0"/>
                <w:sz w:val="30"/>
                <w:szCs w:val="30"/>
              </w:rPr>
              <w:t>268</w:t>
            </w:r>
          </w:p>
        </w:tc>
        <w:tc>
          <w:tcPr>
            <w:tcW w:w="637"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color w:val="000000"/>
                <w:kern w:val="0"/>
                <w:sz w:val="30"/>
                <w:szCs w:val="30"/>
              </w:rPr>
            </w:pPr>
            <w:r w:rsidRPr="00CC4778">
              <w:rPr>
                <w:rFonts w:hAnsi="標楷體" w:cs="新細明體" w:hint="eastAsia"/>
                <w:color w:val="000000"/>
                <w:kern w:val="0"/>
                <w:sz w:val="30"/>
                <w:szCs w:val="30"/>
              </w:rPr>
              <w:t>297</w:t>
            </w:r>
          </w:p>
        </w:tc>
        <w:tc>
          <w:tcPr>
            <w:tcW w:w="637"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color w:val="000000"/>
                <w:kern w:val="0"/>
                <w:sz w:val="30"/>
                <w:szCs w:val="30"/>
              </w:rPr>
            </w:pPr>
            <w:r w:rsidRPr="00CC4778">
              <w:rPr>
                <w:rFonts w:hAnsi="標楷體" w:cs="新細明體" w:hint="eastAsia"/>
                <w:color w:val="000000"/>
                <w:kern w:val="0"/>
                <w:sz w:val="30"/>
                <w:szCs w:val="30"/>
              </w:rPr>
              <w:t>315</w:t>
            </w:r>
          </w:p>
        </w:tc>
        <w:tc>
          <w:tcPr>
            <w:tcW w:w="525"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right"/>
              <w:rPr>
                <w:rFonts w:hAnsi="標楷體" w:cs="新細明體"/>
                <w:color w:val="000000"/>
                <w:kern w:val="0"/>
                <w:sz w:val="30"/>
                <w:szCs w:val="30"/>
              </w:rPr>
            </w:pPr>
            <w:r w:rsidRPr="00CC4778">
              <w:rPr>
                <w:rFonts w:hAnsi="標楷體" w:cs="新細明體" w:hint="eastAsia"/>
                <w:color w:val="000000"/>
                <w:kern w:val="0"/>
                <w:sz w:val="30"/>
                <w:szCs w:val="30"/>
              </w:rPr>
              <w:t>1166</w:t>
            </w:r>
          </w:p>
        </w:tc>
      </w:tr>
      <w:tr w:rsidR="00963504" w:rsidRPr="007B347F" w:rsidTr="0039424D">
        <w:tc>
          <w:tcPr>
            <w:tcW w:w="962" w:type="pct"/>
            <w:vMerge/>
            <w:tcBorders>
              <w:top w:val="nil"/>
              <w:left w:val="single" w:sz="4" w:space="0" w:color="auto"/>
              <w:bottom w:val="single" w:sz="4" w:space="0" w:color="auto"/>
              <w:right w:val="single" w:sz="4" w:space="0" w:color="auto"/>
            </w:tcBorders>
            <w:vAlign w:val="center"/>
            <w:hideMark/>
          </w:tcPr>
          <w:p w:rsidR="00963504" w:rsidRPr="00CC4778" w:rsidRDefault="00963504" w:rsidP="0039424D">
            <w:pPr>
              <w:widowControl/>
              <w:rPr>
                <w:rFonts w:hAnsi="標楷體" w:cs="新細明體"/>
                <w:color w:val="000000"/>
                <w:kern w:val="0"/>
                <w:sz w:val="30"/>
                <w:szCs w:val="30"/>
              </w:rPr>
            </w:pPr>
          </w:p>
        </w:tc>
        <w:tc>
          <w:tcPr>
            <w:tcW w:w="886"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rPr>
                <w:rFonts w:hAnsi="標楷體" w:cs="新細明體"/>
                <w:color w:val="000000"/>
                <w:kern w:val="0"/>
                <w:sz w:val="30"/>
                <w:szCs w:val="30"/>
              </w:rPr>
            </w:pPr>
            <w:r w:rsidRPr="00CC4778">
              <w:rPr>
                <w:rFonts w:hAnsi="標楷體" w:cs="新細明體" w:hint="eastAsia"/>
                <w:color w:val="000000"/>
                <w:kern w:val="0"/>
                <w:sz w:val="30"/>
                <w:szCs w:val="30"/>
              </w:rPr>
              <w:t>107年</w:t>
            </w:r>
          </w:p>
        </w:tc>
        <w:tc>
          <w:tcPr>
            <w:tcW w:w="716"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color w:val="000000"/>
                <w:kern w:val="0"/>
                <w:sz w:val="30"/>
                <w:szCs w:val="30"/>
              </w:rPr>
            </w:pPr>
            <w:r w:rsidRPr="00CC4778">
              <w:rPr>
                <w:rFonts w:hAnsi="標楷體" w:cs="新細明體" w:hint="eastAsia"/>
                <w:color w:val="000000"/>
                <w:kern w:val="0"/>
                <w:sz w:val="30"/>
                <w:szCs w:val="30"/>
              </w:rPr>
              <w:t>55</w:t>
            </w:r>
          </w:p>
        </w:tc>
        <w:tc>
          <w:tcPr>
            <w:tcW w:w="637"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color w:val="000000"/>
                <w:kern w:val="0"/>
                <w:sz w:val="30"/>
                <w:szCs w:val="30"/>
              </w:rPr>
            </w:pPr>
            <w:r w:rsidRPr="00CC4778">
              <w:rPr>
                <w:rFonts w:hAnsi="標楷體" w:cs="新細明體" w:hint="eastAsia"/>
                <w:color w:val="000000"/>
                <w:kern w:val="0"/>
                <w:sz w:val="30"/>
                <w:szCs w:val="30"/>
              </w:rPr>
              <w:t>40</w:t>
            </w:r>
          </w:p>
        </w:tc>
        <w:tc>
          <w:tcPr>
            <w:tcW w:w="637"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color w:val="000000"/>
                <w:kern w:val="0"/>
                <w:sz w:val="30"/>
                <w:szCs w:val="30"/>
              </w:rPr>
            </w:pPr>
            <w:r w:rsidRPr="00CC4778">
              <w:rPr>
                <w:rFonts w:hAnsi="標楷體" w:cs="新細明體" w:hint="eastAsia"/>
                <w:color w:val="000000"/>
                <w:kern w:val="0"/>
                <w:sz w:val="30"/>
                <w:szCs w:val="30"/>
              </w:rPr>
              <w:t>48</w:t>
            </w:r>
          </w:p>
        </w:tc>
        <w:tc>
          <w:tcPr>
            <w:tcW w:w="637"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color w:val="000000"/>
                <w:kern w:val="0"/>
                <w:sz w:val="30"/>
                <w:szCs w:val="30"/>
              </w:rPr>
            </w:pPr>
            <w:r w:rsidRPr="00CC4778">
              <w:rPr>
                <w:rFonts w:hAnsi="標楷體" w:cs="新細明體" w:hint="eastAsia"/>
                <w:color w:val="000000"/>
                <w:kern w:val="0"/>
                <w:sz w:val="30"/>
                <w:szCs w:val="30"/>
              </w:rPr>
              <w:t>27</w:t>
            </w:r>
          </w:p>
        </w:tc>
        <w:tc>
          <w:tcPr>
            <w:tcW w:w="525"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right"/>
              <w:rPr>
                <w:rFonts w:hAnsi="標楷體" w:cs="新細明體"/>
                <w:color w:val="000000"/>
                <w:kern w:val="0"/>
                <w:sz w:val="30"/>
                <w:szCs w:val="30"/>
              </w:rPr>
            </w:pPr>
            <w:r w:rsidRPr="00CC4778">
              <w:rPr>
                <w:rFonts w:hAnsi="標楷體" w:cs="新細明體" w:hint="eastAsia"/>
                <w:color w:val="000000"/>
                <w:kern w:val="0"/>
                <w:sz w:val="30"/>
                <w:szCs w:val="30"/>
              </w:rPr>
              <w:t>170</w:t>
            </w:r>
          </w:p>
        </w:tc>
      </w:tr>
      <w:tr w:rsidR="00963504" w:rsidRPr="007B347F" w:rsidTr="0039424D">
        <w:tc>
          <w:tcPr>
            <w:tcW w:w="962" w:type="pct"/>
            <w:vMerge/>
            <w:tcBorders>
              <w:top w:val="nil"/>
              <w:left w:val="single" w:sz="4" w:space="0" w:color="auto"/>
              <w:bottom w:val="single" w:sz="4" w:space="0" w:color="auto"/>
              <w:right w:val="single" w:sz="4" w:space="0" w:color="auto"/>
            </w:tcBorders>
            <w:vAlign w:val="center"/>
            <w:hideMark/>
          </w:tcPr>
          <w:p w:rsidR="00963504" w:rsidRPr="00CC4778" w:rsidRDefault="00963504" w:rsidP="0039424D">
            <w:pPr>
              <w:widowControl/>
              <w:rPr>
                <w:rFonts w:hAnsi="標楷體" w:cs="新細明體"/>
                <w:color w:val="000000"/>
                <w:kern w:val="0"/>
                <w:sz w:val="30"/>
                <w:szCs w:val="30"/>
              </w:rPr>
            </w:pPr>
          </w:p>
        </w:tc>
        <w:tc>
          <w:tcPr>
            <w:tcW w:w="886"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rPr>
                <w:rFonts w:hAnsi="標楷體" w:cs="新細明體"/>
                <w:color w:val="000000"/>
                <w:kern w:val="0"/>
                <w:sz w:val="30"/>
                <w:szCs w:val="30"/>
              </w:rPr>
            </w:pPr>
            <w:r w:rsidRPr="00CC4778">
              <w:rPr>
                <w:rFonts w:hAnsi="標楷體" w:cs="新細明體" w:hint="eastAsia"/>
                <w:color w:val="000000"/>
                <w:kern w:val="0"/>
                <w:sz w:val="30"/>
                <w:szCs w:val="30"/>
              </w:rPr>
              <w:t>合計</w:t>
            </w:r>
          </w:p>
        </w:tc>
        <w:tc>
          <w:tcPr>
            <w:tcW w:w="716"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color w:val="000000"/>
                <w:kern w:val="0"/>
                <w:sz w:val="30"/>
                <w:szCs w:val="30"/>
              </w:rPr>
            </w:pPr>
            <w:r w:rsidRPr="00CC4778">
              <w:rPr>
                <w:rFonts w:hAnsi="標楷體" w:cs="新細明體" w:hint="eastAsia"/>
                <w:color w:val="000000"/>
                <w:kern w:val="0"/>
                <w:sz w:val="30"/>
                <w:szCs w:val="30"/>
              </w:rPr>
              <w:t>630</w:t>
            </w:r>
          </w:p>
        </w:tc>
        <w:tc>
          <w:tcPr>
            <w:tcW w:w="637"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color w:val="000000"/>
                <w:kern w:val="0"/>
                <w:sz w:val="30"/>
                <w:szCs w:val="30"/>
              </w:rPr>
            </w:pPr>
            <w:r w:rsidRPr="00CC4778">
              <w:rPr>
                <w:rFonts w:hAnsi="標楷體" w:cs="新細明體" w:hint="eastAsia"/>
                <w:color w:val="000000"/>
                <w:kern w:val="0"/>
                <w:sz w:val="30"/>
                <w:szCs w:val="30"/>
              </w:rPr>
              <w:t>589</w:t>
            </w:r>
          </w:p>
        </w:tc>
        <w:tc>
          <w:tcPr>
            <w:tcW w:w="637"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color w:val="000000"/>
                <w:kern w:val="0"/>
                <w:sz w:val="30"/>
                <w:szCs w:val="30"/>
              </w:rPr>
            </w:pPr>
            <w:r w:rsidRPr="00CC4778">
              <w:rPr>
                <w:rFonts w:hAnsi="標楷體" w:cs="新細明體" w:hint="eastAsia"/>
                <w:color w:val="000000"/>
                <w:kern w:val="0"/>
                <w:sz w:val="30"/>
                <w:szCs w:val="30"/>
              </w:rPr>
              <w:t>656</w:t>
            </w:r>
          </w:p>
        </w:tc>
        <w:tc>
          <w:tcPr>
            <w:tcW w:w="637"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color w:val="000000"/>
                <w:kern w:val="0"/>
                <w:sz w:val="30"/>
                <w:szCs w:val="30"/>
              </w:rPr>
            </w:pPr>
            <w:r w:rsidRPr="00CC4778">
              <w:rPr>
                <w:rFonts w:hAnsi="標楷體" w:cs="新細明體" w:hint="eastAsia"/>
                <w:color w:val="000000"/>
                <w:kern w:val="0"/>
                <w:sz w:val="30"/>
                <w:szCs w:val="30"/>
              </w:rPr>
              <w:t>617</w:t>
            </w:r>
          </w:p>
        </w:tc>
        <w:tc>
          <w:tcPr>
            <w:tcW w:w="525"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right"/>
              <w:rPr>
                <w:rFonts w:hAnsi="標楷體" w:cs="新細明體"/>
                <w:color w:val="000000"/>
                <w:kern w:val="0"/>
                <w:sz w:val="30"/>
                <w:szCs w:val="30"/>
              </w:rPr>
            </w:pPr>
            <w:r w:rsidRPr="00CC4778">
              <w:rPr>
                <w:rFonts w:hAnsi="標楷體" w:cs="新細明體" w:hint="eastAsia"/>
                <w:color w:val="000000"/>
                <w:kern w:val="0"/>
                <w:sz w:val="30"/>
                <w:szCs w:val="30"/>
              </w:rPr>
              <w:t>2492</w:t>
            </w:r>
          </w:p>
        </w:tc>
      </w:tr>
      <w:tr w:rsidR="00963504" w:rsidRPr="007B347F" w:rsidTr="0039424D">
        <w:tc>
          <w:tcPr>
            <w:tcW w:w="962" w:type="pct"/>
            <w:vMerge w:val="restart"/>
            <w:tcBorders>
              <w:top w:val="nil"/>
              <w:left w:val="single" w:sz="4" w:space="0" w:color="auto"/>
              <w:bottom w:val="single" w:sz="4" w:space="0" w:color="auto"/>
              <w:right w:val="single" w:sz="4" w:space="0" w:color="auto"/>
            </w:tcBorders>
            <w:shd w:val="clear" w:color="auto" w:fill="auto"/>
            <w:vAlign w:val="center"/>
            <w:hideMark/>
          </w:tcPr>
          <w:p w:rsidR="00963504" w:rsidRPr="00CC4778" w:rsidRDefault="00963504" w:rsidP="0039424D">
            <w:pPr>
              <w:widowControl/>
              <w:rPr>
                <w:rFonts w:hAnsi="標楷體" w:cs="新細明體"/>
                <w:b/>
                <w:color w:val="000000"/>
                <w:kern w:val="0"/>
                <w:sz w:val="30"/>
                <w:szCs w:val="30"/>
              </w:rPr>
            </w:pPr>
            <w:r w:rsidRPr="00CC4778">
              <w:rPr>
                <w:rFonts w:hAnsi="標楷體" w:cs="新細明體" w:hint="eastAsia"/>
                <w:b/>
                <w:color w:val="000000"/>
                <w:kern w:val="0"/>
                <w:sz w:val="30"/>
                <w:szCs w:val="30"/>
              </w:rPr>
              <w:t>指定調查官為現在保護少年</w:t>
            </w:r>
            <w:proofErr w:type="gramStart"/>
            <w:r w:rsidRPr="00CC4778">
              <w:rPr>
                <w:rFonts w:hAnsi="標楷體" w:cs="新細明體" w:hint="eastAsia"/>
                <w:b/>
                <w:color w:val="000000"/>
                <w:kern w:val="0"/>
                <w:sz w:val="30"/>
                <w:szCs w:val="30"/>
              </w:rPr>
              <w:t>之人件數</w:t>
            </w:r>
            <w:proofErr w:type="gramEnd"/>
          </w:p>
        </w:tc>
        <w:tc>
          <w:tcPr>
            <w:tcW w:w="886" w:type="pct"/>
            <w:tcBorders>
              <w:top w:val="nil"/>
              <w:left w:val="nil"/>
              <w:bottom w:val="single" w:sz="4" w:space="0" w:color="auto"/>
              <w:right w:val="single" w:sz="4" w:space="0" w:color="auto"/>
            </w:tcBorders>
            <w:shd w:val="clear" w:color="auto" w:fill="auto"/>
            <w:vAlign w:val="center"/>
            <w:hideMark/>
          </w:tcPr>
          <w:p w:rsidR="00963504" w:rsidRPr="00CC4778" w:rsidRDefault="00963504" w:rsidP="0039424D">
            <w:pPr>
              <w:widowControl/>
              <w:rPr>
                <w:rFonts w:hAnsi="標楷體" w:cs="新細明體"/>
                <w:color w:val="000000"/>
                <w:kern w:val="0"/>
                <w:sz w:val="30"/>
                <w:szCs w:val="30"/>
              </w:rPr>
            </w:pPr>
            <w:r w:rsidRPr="00CC4778">
              <w:rPr>
                <w:rFonts w:hAnsi="標楷體" w:cs="新細明體" w:hint="eastAsia"/>
                <w:color w:val="000000"/>
                <w:kern w:val="0"/>
                <w:sz w:val="30"/>
                <w:szCs w:val="30"/>
              </w:rPr>
              <w:t>105年</w:t>
            </w:r>
          </w:p>
        </w:tc>
        <w:tc>
          <w:tcPr>
            <w:tcW w:w="716"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b/>
                <w:color w:val="000000"/>
                <w:kern w:val="0"/>
                <w:sz w:val="30"/>
                <w:szCs w:val="30"/>
              </w:rPr>
            </w:pPr>
            <w:r w:rsidRPr="00CC4778">
              <w:rPr>
                <w:rFonts w:hAnsi="標楷體" w:cs="新細明體" w:hint="eastAsia"/>
                <w:b/>
                <w:color w:val="000000"/>
                <w:kern w:val="0"/>
                <w:sz w:val="30"/>
                <w:szCs w:val="30"/>
              </w:rPr>
              <w:t>8</w:t>
            </w:r>
          </w:p>
        </w:tc>
        <w:tc>
          <w:tcPr>
            <w:tcW w:w="637"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color w:val="000000"/>
                <w:kern w:val="0"/>
                <w:sz w:val="30"/>
                <w:szCs w:val="30"/>
              </w:rPr>
            </w:pPr>
            <w:r w:rsidRPr="00CC4778">
              <w:rPr>
                <w:rFonts w:hAnsi="標楷體" w:cs="新細明體" w:hint="eastAsia"/>
                <w:color w:val="000000"/>
                <w:kern w:val="0"/>
                <w:sz w:val="30"/>
                <w:szCs w:val="30"/>
              </w:rPr>
              <w:t>3</w:t>
            </w:r>
          </w:p>
        </w:tc>
        <w:tc>
          <w:tcPr>
            <w:tcW w:w="637"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b/>
                <w:color w:val="000000"/>
                <w:kern w:val="0"/>
                <w:sz w:val="30"/>
                <w:szCs w:val="30"/>
              </w:rPr>
            </w:pPr>
            <w:r w:rsidRPr="00CC4778">
              <w:rPr>
                <w:rFonts w:hAnsi="標楷體" w:cs="新細明體" w:hint="eastAsia"/>
                <w:b/>
                <w:color w:val="000000"/>
                <w:kern w:val="0"/>
                <w:sz w:val="30"/>
                <w:szCs w:val="30"/>
              </w:rPr>
              <w:t>8</w:t>
            </w:r>
          </w:p>
        </w:tc>
        <w:tc>
          <w:tcPr>
            <w:tcW w:w="637"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b/>
                <w:color w:val="000000"/>
                <w:kern w:val="0"/>
                <w:sz w:val="30"/>
                <w:szCs w:val="30"/>
              </w:rPr>
            </w:pPr>
            <w:r w:rsidRPr="00CC4778">
              <w:rPr>
                <w:rFonts w:hAnsi="標楷體" w:cs="新細明體" w:hint="eastAsia"/>
                <w:b/>
                <w:color w:val="000000"/>
                <w:kern w:val="0"/>
                <w:sz w:val="30"/>
                <w:szCs w:val="30"/>
              </w:rPr>
              <w:t>8</w:t>
            </w:r>
          </w:p>
        </w:tc>
        <w:tc>
          <w:tcPr>
            <w:tcW w:w="525"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right"/>
              <w:rPr>
                <w:rFonts w:hAnsi="標楷體" w:cs="新細明體"/>
                <w:color w:val="000000"/>
                <w:kern w:val="0"/>
                <w:sz w:val="30"/>
                <w:szCs w:val="30"/>
              </w:rPr>
            </w:pPr>
            <w:r w:rsidRPr="00CC4778">
              <w:rPr>
                <w:rFonts w:hAnsi="標楷體" w:cs="新細明體" w:hint="eastAsia"/>
                <w:color w:val="000000"/>
                <w:kern w:val="0"/>
                <w:sz w:val="30"/>
                <w:szCs w:val="30"/>
              </w:rPr>
              <w:t>27</w:t>
            </w:r>
          </w:p>
        </w:tc>
      </w:tr>
      <w:tr w:rsidR="00963504" w:rsidRPr="007B347F" w:rsidTr="0039424D">
        <w:tc>
          <w:tcPr>
            <w:tcW w:w="962" w:type="pct"/>
            <w:vMerge/>
            <w:tcBorders>
              <w:top w:val="nil"/>
              <w:left w:val="single" w:sz="4" w:space="0" w:color="auto"/>
              <w:bottom w:val="single" w:sz="4" w:space="0" w:color="auto"/>
              <w:right w:val="single" w:sz="4" w:space="0" w:color="auto"/>
            </w:tcBorders>
            <w:vAlign w:val="center"/>
            <w:hideMark/>
          </w:tcPr>
          <w:p w:rsidR="00963504" w:rsidRPr="00CC4778" w:rsidRDefault="00963504" w:rsidP="0039424D">
            <w:pPr>
              <w:widowControl/>
              <w:rPr>
                <w:rFonts w:hAnsi="標楷體" w:cs="新細明體"/>
                <w:color w:val="000000"/>
                <w:kern w:val="0"/>
                <w:sz w:val="30"/>
                <w:szCs w:val="30"/>
              </w:rPr>
            </w:pPr>
          </w:p>
        </w:tc>
        <w:tc>
          <w:tcPr>
            <w:tcW w:w="886" w:type="pct"/>
            <w:tcBorders>
              <w:top w:val="nil"/>
              <w:left w:val="nil"/>
              <w:bottom w:val="single" w:sz="4" w:space="0" w:color="auto"/>
              <w:right w:val="single" w:sz="4" w:space="0" w:color="auto"/>
            </w:tcBorders>
            <w:shd w:val="clear" w:color="auto" w:fill="auto"/>
            <w:vAlign w:val="center"/>
            <w:hideMark/>
          </w:tcPr>
          <w:p w:rsidR="00963504" w:rsidRPr="00CC4778" w:rsidRDefault="00963504" w:rsidP="0039424D">
            <w:pPr>
              <w:widowControl/>
              <w:rPr>
                <w:rFonts w:hAnsi="標楷體" w:cs="新細明體"/>
                <w:color w:val="000000"/>
                <w:kern w:val="0"/>
                <w:sz w:val="30"/>
                <w:szCs w:val="30"/>
              </w:rPr>
            </w:pPr>
            <w:r w:rsidRPr="00CC4778">
              <w:rPr>
                <w:rFonts w:hAnsi="標楷體" w:cs="新細明體" w:hint="eastAsia"/>
                <w:color w:val="000000"/>
                <w:kern w:val="0"/>
                <w:sz w:val="30"/>
                <w:szCs w:val="30"/>
              </w:rPr>
              <w:t>比率</w:t>
            </w:r>
          </w:p>
        </w:tc>
        <w:tc>
          <w:tcPr>
            <w:tcW w:w="716"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color w:val="000000"/>
                <w:kern w:val="0"/>
                <w:sz w:val="30"/>
                <w:szCs w:val="30"/>
              </w:rPr>
            </w:pPr>
            <w:r w:rsidRPr="00CC4778">
              <w:rPr>
                <w:rFonts w:hAnsi="標楷體" w:cs="新細明體" w:hint="eastAsia"/>
                <w:color w:val="000000"/>
                <w:kern w:val="0"/>
                <w:sz w:val="30"/>
                <w:szCs w:val="30"/>
              </w:rPr>
              <w:t>2.77%</w:t>
            </w:r>
          </w:p>
        </w:tc>
        <w:tc>
          <w:tcPr>
            <w:tcW w:w="637"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color w:val="000000"/>
                <w:kern w:val="0"/>
                <w:sz w:val="30"/>
                <w:szCs w:val="30"/>
              </w:rPr>
            </w:pPr>
            <w:r w:rsidRPr="00CC4778">
              <w:rPr>
                <w:rFonts w:hAnsi="標楷體" w:cs="新細明體" w:hint="eastAsia"/>
                <w:color w:val="000000"/>
                <w:kern w:val="0"/>
                <w:sz w:val="30"/>
                <w:szCs w:val="30"/>
              </w:rPr>
              <w:t>1.07%</w:t>
            </w:r>
          </w:p>
        </w:tc>
        <w:tc>
          <w:tcPr>
            <w:tcW w:w="637"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color w:val="000000"/>
                <w:kern w:val="0"/>
                <w:sz w:val="30"/>
                <w:szCs w:val="30"/>
              </w:rPr>
            </w:pPr>
            <w:r w:rsidRPr="00CC4778">
              <w:rPr>
                <w:rFonts w:hAnsi="標楷體" w:cs="新細明體" w:hint="eastAsia"/>
                <w:color w:val="000000"/>
                <w:kern w:val="0"/>
                <w:sz w:val="30"/>
                <w:szCs w:val="30"/>
              </w:rPr>
              <w:t>2.57%</w:t>
            </w:r>
          </w:p>
        </w:tc>
        <w:tc>
          <w:tcPr>
            <w:tcW w:w="637"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color w:val="000000"/>
                <w:kern w:val="0"/>
                <w:sz w:val="30"/>
                <w:szCs w:val="30"/>
              </w:rPr>
            </w:pPr>
            <w:r w:rsidRPr="00CC4778">
              <w:rPr>
                <w:rFonts w:hAnsi="標楷體" w:cs="新細明體" w:hint="eastAsia"/>
                <w:color w:val="000000"/>
                <w:kern w:val="0"/>
                <w:sz w:val="30"/>
                <w:szCs w:val="30"/>
              </w:rPr>
              <w:t>2.91%</w:t>
            </w:r>
          </w:p>
        </w:tc>
        <w:tc>
          <w:tcPr>
            <w:tcW w:w="525"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color w:val="000000"/>
                <w:kern w:val="0"/>
                <w:sz w:val="30"/>
                <w:szCs w:val="30"/>
              </w:rPr>
            </w:pPr>
            <w:r w:rsidRPr="00CC4778">
              <w:rPr>
                <w:rFonts w:hAnsi="標楷體" w:cs="新細明體" w:hint="eastAsia"/>
                <w:color w:val="000000"/>
                <w:kern w:val="0"/>
                <w:sz w:val="30"/>
                <w:szCs w:val="30"/>
              </w:rPr>
              <w:t>2.34%</w:t>
            </w:r>
          </w:p>
        </w:tc>
      </w:tr>
      <w:tr w:rsidR="00963504" w:rsidRPr="007B347F" w:rsidTr="0039424D">
        <w:tc>
          <w:tcPr>
            <w:tcW w:w="962" w:type="pct"/>
            <w:vMerge/>
            <w:tcBorders>
              <w:top w:val="nil"/>
              <w:left w:val="single" w:sz="4" w:space="0" w:color="auto"/>
              <w:bottom w:val="single" w:sz="4" w:space="0" w:color="auto"/>
              <w:right w:val="single" w:sz="4" w:space="0" w:color="auto"/>
            </w:tcBorders>
            <w:vAlign w:val="center"/>
            <w:hideMark/>
          </w:tcPr>
          <w:p w:rsidR="00963504" w:rsidRPr="00CC4778" w:rsidRDefault="00963504" w:rsidP="0039424D">
            <w:pPr>
              <w:widowControl/>
              <w:rPr>
                <w:rFonts w:hAnsi="標楷體" w:cs="新細明體"/>
                <w:color w:val="000000"/>
                <w:kern w:val="0"/>
                <w:sz w:val="30"/>
                <w:szCs w:val="30"/>
              </w:rPr>
            </w:pPr>
          </w:p>
        </w:tc>
        <w:tc>
          <w:tcPr>
            <w:tcW w:w="886" w:type="pct"/>
            <w:tcBorders>
              <w:top w:val="nil"/>
              <w:left w:val="nil"/>
              <w:bottom w:val="single" w:sz="4" w:space="0" w:color="auto"/>
              <w:right w:val="single" w:sz="4" w:space="0" w:color="auto"/>
            </w:tcBorders>
            <w:shd w:val="clear" w:color="auto" w:fill="auto"/>
            <w:vAlign w:val="center"/>
            <w:hideMark/>
          </w:tcPr>
          <w:p w:rsidR="00963504" w:rsidRPr="00CC4778" w:rsidRDefault="00963504" w:rsidP="0039424D">
            <w:pPr>
              <w:widowControl/>
              <w:rPr>
                <w:rFonts w:hAnsi="標楷體" w:cs="新細明體"/>
                <w:color w:val="000000"/>
                <w:kern w:val="0"/>
                <w:sz w:val="30"/>
                <w:szCs w:val="30"/>
              </w:rPr>
            </w:pPr>
            <w:r w:rsidRPr="00CC4778">
              <w:rPr>
                <w:rFonts w:hAnsi="標楷體" w:cs="新細明體" w:hint="eastAsia"/>
                <w:color w:val="000000"/>
                <w:kern w:val="0"/>
                <w:sz w:val="30"/>
                <w:szCs w:val="30"/>
              </w:rPr>
              <w:t>106年</w:t>
            </w:r>
          </w:p>
        </w:tc>
        <w:tc>
          <w:tcPr>
            <w:tcW w:w="716"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color w:val="000000"/>
                <w:kern w:val="0"/>
                <w:sz w:val="30"/>
                <w:szCs w:val="30"/>
              </w:rPr>
            </w:pPr>
            <w:r w:rsidRPr="00CC4778">
              <w:rPr>
                <w:rFonts w:hAnsi="標楷體" w:cs="新細明體" w:hint="eastAsia"/>
                <w:color w:val="000000"/>
                <w:kern w:val="0"/>
                <w:sz w:val="30"/>
                <w:szCs w:val="30"/>
              </w:rPr>
              <w:t>0</w:t>
            </w:r>
          </w:p>
        </w:tc>
        <w:tc>
          <w:tcPr>
            <w:tcW w:w="637"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color w:val="000000"/>
                <w:kern w:val="0"/>
                <w:sz w:val="30"/>
                <w:szCs w:val="30"/>
              </w:rPr>
            </w:pPr>
            <w:r w:rsidRPr="00CC4778">
              <w:rPr>
                <w:rFonts w:hAnsi="標楷體" w:cs="新細明體" w:hint="eastAsia"/>
                <w:color w:val="000000"/>
                <w:kern w:val="0"/>
                <w:sz w:val="30"/>
                <w:szCs w:val="30"/>
              </w:rPr>
              <w:t>2</w:t>
            </w:r>
          </w:p>
        </w:tc>
        <w:tc>
          <w:tcPr>
            <w:tcW w:w="637"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color w:val="000000"/>
                <w:kern w:val="0"/>
                <w:sz w:val="30"/>
                <w:szCs w:val="30"/>
              </w:rPr>
            </w:pPr>
            <w:r w:rsidRPr="00CC4778">
              <w:rPr>
                <w:rFonts w:hAnsi="標楷體" w:cs="新細明體" w:hint="eastAsia"/>
                <w:color w:val="000000"/>
                <w:kern w:val="0"/>
                <w:sz w:val="30"/>
                <w:szCs w:val="30"/>
              </w:rPr>
              <w:t>2</w:t>
            </w:r>
          </w:p>
        </w:tc>
        <w:tc>
          <w:tcPr>
            <w:tcW w:w="637"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b/>
                <w:color w:val="000000"/>
                <w:kern w:val="0"/>
                <w:sz w:val="30"/>
                <w:szCs w:val="30"/>
              </w:rPr>
            </w:pPr>
            <w:r w:rsidRPr="00CC4778">
              <w:rPr>
                <w:rFonts w:hAnsi="標楷體" w:cs="新細明體" w:hint="eastAsia"/>
                <w:b/>
                <w:color w:val="000000"/>
                <w:kern w:val="0"/>
                <w:sz w:val="30"/>
                <w:szCs w:val="30"/>
              </w:rPr>
              <w:t>9</w:t>
            </w:r>
          </w:p>
        </w:tc>
        <w:tc>
          <w:tcPr>
            <w:tcW w:w="525"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color w:val="000000"/>
                <w:kern w:val="0"/>
                <w:sz w:val="30"/>
                <w:szCs w:val="30"/>
              </w:rPr>
            </w:pPr>
            <w:r w:rsidRPr="00CC4778">
              <w:rPr>
                <w:rFonts w:hAnsi="標楷體" w:cs="新細明體" w:hint="eastAsia"/>
                <w:color w:val="000000"/>
                <w:kern w:val="0"/>
                <w:sz w:val="30"/>
                <w:szCs w:val="30"/>
              </w:rPr>
              <w:t>13</w:t>
            </w:r>
          </w:p>
        </w:tc>
      </w:tr>
      <w:tr w:rsidR="00963504" w:rsidRPr="007B347F" w:rsidTr="0039424D">
        <w:tc>
          <w:tcPr>
            <w:tcW w:w="962" w:type="pct"/>
            <w:vMerge/>
            <w:tcBorders>
              <w:top w:val="nil"/>
              <w:left w:val="single" w:sz="4" w:space="0" w:color="auto"/>
              <w:bottom w:val="single" w:sz="4" w:space="0" w:color="auto"/>
              <w:right w:val="single" w:sz="4" w:space="0" w:color="auto"/>
            </w:tcBorders>
            <w:vAlign w:val="center"/>
            <w:hideMark/>
          </w:tcPr>
          <w:p w:rsidR="00963504" w:rsidRPr="00CC4778" w:rsidRDefault="00963504" w:rsidP="0039424D">
            <w:pPr>
              <w:widowControl/>
              <w:rPr>
                <w:rFonts w:hAnsi="標楷體" w:cs="新細明體"/>
                <w:color w:val="000000"/>
                <w:kern w:val="0"/>
                <w:sz w:val="30"/>
                <w:szCs w:val="30"/>
              </w:rPr>
            </w:pPr>
          </w:p>
        </w:tc>
        <w:tc>
          <w:tcPr>
            <w:tcW w:w="886" w:type="pct"/>
            <w:tcBorders>
              <w:top w:val="nil"/>
              <w:left w:val="nil"/>
              <w:bottom w:val="single" w:sz="4" w:space="0" w:color="auto"/>
              <w:right w:val="single" w:sz="4" w:space="0" w:color="auto"/>
            </w:tcBorders>
            <w:shd w:val="clear" w:color="auto" w:fill="auto"/>
            <w:vAlign w:val="center"/>
            <w:hideMark/>
          </w:tcPr>
          <w:p w:rsidR="00963504" w:rsidRPr="00CC4778" w:rsidRDefault="00963504" w:rsidP="0039424D">
            <w:pPr>
              <w:widowControl/>
              <w:rPr>
                <w:rFonts w:hAnsi="標楷體" w:cs="新細明體"/>
                <w:color w:val="000000"/>
                <w:kern w:val="0"/>
                <w:sz w:val="30"/>
                <w:szCs w:val="30"/>
              </w:rPr>
            </w:pPr>
            <w:r w:rsidRPr="00CC4778">
              <w:rPr>
                <w:rFonts w:hAnsi="標楷體" w:cs="新細明體" w:hint="eastAsia"/>
                <w:color w:val="000000"/>
                <w:kern w:val="0"/>
                <w:sz w:val="30"/>
                <w:szCs w:val="30"/>
              </w:rPr>
              <w:t>比率</w:t>
            </w:r>
          </w:p>
        </w:tc>
        <w:tc>
          <w:tcPr>
            <w:tcW w:w="716"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color w:val="000000"/>
                <w:kern w:val="0"/>
                <w:sz w:val="30"/>
                <w:szCs w:val="30"/>
              </w:rPr>
            </w:pPr>
            <w:r w:rsidRPr="00CC4778">
              <w:rPr>
                <w:rFonts w:hAnsi="標楷體" w:cs="新細明體" w:hint="eastAsia"/>
                <w:color w:val="000000"/>
                <w:kern w:val="0"/>
                <w:sz w:val="30"/>
                <w:szCs w:val="30"/>
              </w:rPr>
              <w:t>0.00%</w:t>
            </w:r>
          </w:p>
        </w:tc>
        <w:tc>
          <w:tcPr>
            <w:tcW w:w="637"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color w:val="000000"/>
                <w:kern w:val="0"/>
                <w:sz w:val="30"/>
                <w:szCs w:val="30"/>
              </w:rPr>
            </w:pPr>
            <w:r w:rsidRPr="00CC4778">
              <w:rPr>
                <w:rFonts w:hAnsi="標楷體" w:cs="新細明體" w:hint="eastAsia"/>
                <w:color w:val="000000"/>
                <w:kern w:val="0"/>
                <w:sz w:val="30"/>
                <w:szCs w:val="30"/>
              </w:rPr>
              <w:t>0.75%</w:t>
            </w:r>
          </w:p>
        </w:tc>
        <w:tc>
          <w:tcPr>
            <w:tcW w:w="637"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color w:val="000000"/>
                <w:kern w:val="0"/>
                <w:sz w:val="30"/>
                <w:szCs w:val="30"/>
              </w:rPr>
            </w:pPr>
            <w:r w:rsidRPr="00CC4778">
              <w:rPr>
                <w:rFonts w:hAnsi="標楷體" w:cs="新細明體" w:hint="eastAsia"/>
                <w:color w:val="000000"/>
                <w:kern w:val="0"/>
                <w:sz w:val="30"/>
                <w:szCs w:val="30"/>
              </w:rPr>
              <w:t>0.67%</w:t>
            </w:r>
          </w:p>
        </w:tc>
        <w:tc>
          <w:tcPr>
            <w:tcW w:w="637"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color w:val="000000"/>
                <w:kern w:val="0"/>
                <w:sz w:val="30"/>
                <w:szCs w:val="30"/>
              </w:rPr>
            </w:pPr>
            <w:r w:rsidRPr="00CC4778">
              <w:rPr>
                <w:rFonts w:hAnsi="標楷體" w:cs="新細明體" w:hint="eastAsia"/>
                <w:color w:val="000000"/>
                <w:kern w:val="0"/>
                <w:sz w:val="30"/>
                <w:szCs w:val="30"/>
              </w:rPr>
              <w:t>2.86%</w:t>
            </w:r>
          </w:p>
        </w:tc>
        <w:tc>
          <w:tcPr>
            <w:tcW w:w="525"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color w:val="000000"/>
                <w:kern w:val="0"/>
                <w:sz w:val="30"/>
                <w:szCs w:val="30"/>
              </w:rPr>
            </w:pPr>
            <w:r w:rsidRPr="00CC4778">
              <w:rPr>
                <w:rFonts w:hAnsi="標楷體" w:cs="新細明體" w:hint="eastAsia"/>
                <w:color w:val="000000"/>
                <w:kern w:val="0"/>
                <w:sz w:val="30"/>
                <w:szCs w:val="30"/>
              </w:rPr>
              <w:t>1.11%</w:t>
            </w:r>
          </w:p>
        </w:tc>
      </w:tr>
      <w:tr w:rsidR="00963504" w:rsidRPr="007B347F" w:rsidTr="0039424D">
        <w:tc>
          <w:tcPr>
            <w:tcW w:w="962" w:type="pct"/>
            <w:vMerge/>
            <w:tcBorders>
              <w:top w:val="nil"/>
              <w:left w:val="single" w:sz="4" w:space="0" w:color="auto"/>
              <w:bottom w:val="single" w:sz="4" w:space="0" w:color="auto"/>
              <w:right w:val="single" w:sz="4" w:space="0" w:color="auto"/>
            </w:tcBorders>
            <w:vAlign w:val="center"/>
            <w:hideMark/>
          </w:tcPr>
          <w:p w:rsidR="00963504" w:rsidRPr="00CC4778" w:rsidRDefault="00963504" w:rsidP="0039424D">
            <w:pPr>
              <w:widowControl/>
              <w:rPr>
                <w:rFonts w:hAnsi="標楷體" w:cs="新細明體"/>
                <w:color w:val="000000"/>
                <w:kern w:val="0"/>
                <w:sz w:val="30"/>
                <w:szCs w:val="30"/>
              </w:rPr>
            </w:pPr>
          </w:p>
        </w:tc>
        <w:tc>
          <w:tcPr>
            <w:tcW w:w="886" w:type="pct"/>
            <w:tcBorders>
              <w:top w:val="nil"/>
              <w:left w:val="nil"/>
              <w:bottom w:val="single" w:sz="4" w:space="0" w:color="auto"/>
              <w:right w:val="single" w:sz="4" w:space="0" w:color="auto"/>
            </w:tcBorders>
            <w:shd w:val="clear" w:color="auto" w:fill="auto"/>
            <w:vAlign w:val="center"/>
            <w:hideMark/>
          </w:tcPr>
          <w:p w:rsidR="00963504" w:rsidRPr="00CC4778" w:rsidRDefault="00963504" w:rsidP="0039424D">
            <w:pPr>
              <w:widowControl/>
              <w:rPr>
                <w:rFonts w:hAnsi="標楷體" w:cs="新細明體"/>
                <w:color w:val="000000"/>
                <w:kern w:val="0"/>
                <w:sz w:val="30"/>
                <w:szCs w:val="30"/>
              </w:rPr>
            </w:pPr>
            <w:r w:rsidRPr="00CC4778">
              <w:rPr>
                <w:rFonts w:hAnsi="標楷體" w:cs="新細明體" w:hint="eastAsia"/>
                <w:color w:val="000000"/>
                <w:kern w:val="0"/>
                <w:sz w:val="30"/>
                <w:szCs w:val="30"/>
              </w:rPr>
              <w:t>107年</w:t>
            </w:r>
          </w:p>
        </w:tc>
        <w:tc>
          <w:tcPr>
            <w:tcW w:w="716"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color w:val="000000"/>
                <w:kern w:val="0"/>
                <w:sz w:val="30"/>
                <w:szCs w:val="30"/>
              </w:rPr>
            </w:pPr>
            <w:r w:rsidRPr="00CC4778">
              <w:rPr>
                <w:rFonts w:hAnsi="標楷體" w:cs="新細明體" w:hint="eastAsia"/>
                <w:color w:val="000000"/>
                <w:kern w:val="0"/>
                <w:sz w:val="30"/>
                <w:szCs w:val="30"/>
              </w:rPr>
              <w:t>0</w:t>
            </w:r>
          </w:p>
        </w:tc>
        <w:tc>
          <w:tcPr>
            <w:tcW w:w="637"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color w:val="000000"/>
                <w:kern w:val="0"/>
                <w:sz w:val="30"/>
                <w:szCs w:val="30"/>
              </w:rPr>
            </w:pPr>
            <w:r w:rsidRPr="00CC4778">
              <w:rPr>
                <w:rFonts w:hAnsi="標楷體" w:cs="新細明體" w:hint="eastAsia"/>
                <w:color w:val="000000"/>
                <w:kern w:val="0"/>
                <w:sz w:val="30"/>
                <w:szCs w:val="30"/>
              </w:rPr>
              <w:t>0</w:t>
            </w:r>
          </w:p>
        </w:tc>
        <w:tc>
          <w:tcPr>
            <w:tcW w:w="637"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color w:val="000000"/>
                <w:kern w:val="0"/>
                <w:sz w:val="30"/>
                <w:szCs w:val="30"/>
              </w:rPr>
            </w:pPr>
            <w:r w:rsidRPr="00CC4778">
              <w:rPr>
                <w:rFonts w:hAnsi="標楷體" w:cs="新細明體" w:hint="eastAsia"/>
                <w:color w:val="000000"/>
                <w:kern w:val="0"/>
                <w:sz w:val="30"/>
                <w:szCs w:val="30"/>
              </w:rPr>
              <w:t>0</w:t>
            </w:r>
          </w:p>
        </w:tc>
        <w:tc>
          <w:tcPr>
            <w:tcW w:w="637"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b/>
                <w:color w:val="000000"/>
                <w:kern w:val="0"/>
                <w:sz w:val="30"/>
                <w:szCs w:val="30"/>
              </w:rPr>
            </w:pPr>
            <w:r w:rsidRPr="00CC4778">
              <w:rPr>
                <w:rFonts w:hAnsi="標楷體" w:cs="新細明體" w:hint="eastAsia"/>
                <w:b/>
                <w:color w:val="000000"/>
                <w:kern w:val="0"/>
                <w:sz w:val="30"/>
                <w:szCs w:val="30"/>
              </w:rPr>
              <w:t>1</w:t>
            </w:r>
          </w:p>
        </w:tc>
        <w:tc>
          <w:tcPr>
            <w:tcW w:w="525"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right"/>
              <w:rPr>
                <w:rFonts w:hAnsi="標楷體" w:cs="新細明體"/>
                <w:color w:val="000000"/>
                <w:kern w:val="0"/>
                <w:sz w:val="30"/>
                <w:szCs w:val="30"/>
              </w:rPr>
            </w:pPr>
            <w:r w:rsidRPr="00CC4778">
              <w:rPr>
                <w:rFonts w:hAnsi="標楷體" w:cs="新細明體" w:hint="eastAsia"/>
                <w:color w:val="000000"/>
                <w:kern w:val="0"/>
                <w:sz w:val="30"/>
                <w:szCs w:val="30"/>
              </w:rPr>
              <w:t>1</w:t>
            </w:r>
          </w:p>
        </w:tc>
      </w:tr>
      <w:tr w:rsidR="00963504" w:rsidRPr="007B347F" w:rsidTr="0039424D">
        <w:tc>
          <w:tcPr>
            <w:tcW w:w="962" w:type="pct"/>
            <w:vMerge/>
            <w:tcBorders>
              <w:top w:val="nil"/>
              <w:left w:val="single" w:sz="4" w:space="0" w:color="auto"/>
              <w:bottom w:val="single" w:sz="4" w:space="0" w:color="auto"/>
              <w:right w:val="single" w:sz="4" w:space="0" w:color="auto"/>
            </w:tcBorders>
            <w:vAlign w:val="center"/>
            <w:hideMark/>
          </w:tcPr>
          <w:p w:rsidR="00963504" w:rsidRPr="00CC4778" w:rsidRDefault="00963504" w:rsidP="0039424D">
            <w:pPr>
              <w:widowControl/>
              <w:rPr>
                <w:rFonts w:hAnsi="標楷體" w:cs="新細明體"/>
                <w:color w:val="000000"/>
                <w:kern w:val="0"/>
                <w:sz w:val="30"/>
                <w:szCs w:val="30"/>
              </w:rPr>
            </w:pPr>
          </w:p>
        </w:tc>
        <w:tc>
          <w:tcPr>
            <w:tcW w:w="886" w:type="pct"/>
            <w:tcBorders>
              <w:top w:val="nil"/>
              <w:left w:val="nil"/>
              <w:bottom w:val="single" w:sz="4" w:space="0" w:color="auto"/>
              <w:right w:val="single" w:sz="4" w:space="0" w:color="auto"/>
            </w:tcBorders>
            <w:shd w:val="clear" w:color="auto" w:fill="auto"/>
            <w:vAlign w:val="center"/>
            <w:hideMark/>
          </w:tcPr>
          <w:p w:rsidR="00963504" w:rsidRPr="00CC4778" w:rsidRDefault="00963504" w:rsidP="0039424D">
            <w:pPr>
              <w:widowControl/>
              <w:rPr>
                <w:rFonts w:hAnsi="標楷體" w:cs="新細明體"/>
                <w:color w:val="000000"/>
                <w:kern w:val="0"/>
                <w:sz w:val="30"/>
                <w:szCs w:val="30"/>
              </w:rPr>
            </w:pPr>
            <w:r w:rsidRPr="00CC4778">
              <w:rPr>
                <w:rFonts w:hAnsi="標楷體" w:cs="新細明體" w:hint="eastAsia"/>
                <w:color w:val="000000"/>
                <w:kern w:val="0"/>
                <w:sz w:val="30"/>
                <w:szCs w:val="30"/>
              </w:rPr>
              <w:t>比率</w:t>
            </w:r>
          </w:p>
        </w:tc>
        <w:tc>
          <w:tcPr>
            <w:tcW w:w="716"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color w:val="000000"/>
                <w:kern w:val="0"/>
                <w:sz w:val="30"/>
                <w:szCs w:val="30"/>
              </w:rPr>
            </w:pPr>
            <w:r w:rsidRPr="00CC4778">
              <w:rPr>
                <w:rFonts w:hAnsi="標楷體" w:cs="新細明體" w:hint="eastAsia"/>
                <w:color w:val="000000"/>
                <w:kern w:val="0"/>
                <w:sz w:val="30"/>
                <w:szCs w:val="30"/>
              </w:rPr>
              <w:t>0.00%</w:t>
            </w:r>
          </w:p>
        </w:tc>
        <w:tc>
          <w:tcPr>
            <w:tcW w:w="637"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color w:val="000000"/>
                <w:kern w:val="0"/>
                <w:sz w:val="30"/>
                <w:szCs w:val="30"/>
              </w:rPr>
            </w:pPr>
            <w:r w:rsidRPr="00CC4778">
              <w:rPr>
                <w:rFonts w:hAnsi="標楷體" w:cs="新細明體" w:hint="eastAsia"/>
                <w:color w:val="000000"/>
                <w:kern w:val="0"/>
                <w:sz w:val="30"/>
                <w:szCs w:val="30"/>
              </w:rPr>
              <w:t>0.00%</w:t>
            </w:r>
          </w:p>
        </w:tc>
        <w:tc>
          <w:tcPr>
            <w:tcW w:w="637"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color w:val="000000"/>
                <w:kern w:val="0"/>
                <w:sz w:val="30"/>
                <w:szCs w:val="30"/>
              </w:rPr>
            </w:pPr>
            <w:r w:rsidRPr="00CC4778">
              <w:rPr>
                <w:rFonts w:hAnsi="標楷體" w:cs="新細明體" w:hint="eastAsia"/>
                <w:color w:val="000000"/>
                <w:kern w:val="0"/>
                <w:sz w:val="30"/>
                <w:szCs w:val="30"/>
              </w:rPr>
              <w:t>0.00%</w:t>
            </w:r>
          </w:p>
        </w:tc>
        <w:tc>
          <w:tcPr>
            <w:tcW w:w="637"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color w:val="000000"/>
                <w:kern w:val="0"/>
                <w:sz w:val="30"/>
                <w:szCs w:val="30"/>
              </w:rPr>
            </w:pPr>
            <w:r w:rsidRPr="00CC4778">
              <w:rPr>
                <w:rFonts w:hAnsi="標楷體" w:cs="新細明體" w:hint="eastAsia"/>
                <w:color w:val="000000"/>
                <w:kern w:val="0"/>
                <w:sz w:val="30"/>
                <w:szCs w:val="30"/>
              </w:rPr>
              <w:t>3.70%</w:t>
            </w:r>
          </w:p>
        </w:tc>
        <w:tc>
          <w:tcPr>
            <w:tcW w:w="525"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color w:val="000000"/>
                <w:kern w:val="0"/>
                <w:sz w:val="30"/>
                <w:szCs w:val="30"/>
              </w:rPr>
            </w:pPr>
            <w:r w:rsidRPr="00CC4778">
              <w:rPr>
                <w:rFonts w:hAnsi="標楷體" w:cs="新細明體" w:hint="eastAsia"/>
                <w:color w:val="000000"/>
                <w:kern w:val="0"/>
                <w:sz w:val="30"/>
                <w:szCs w:val="30"/>
              </w:rPr>
              <w:t>0.59%</w:t>
            </w:r>
          </w:p>
        </w:tc>
      </w:tr>
      <w:tr w:rsidR="00963504" w:rsidRPr="007B347F" w:rsidTr="0039424D">
        <w:tc>
          <w:tcPr>
            <w:tcW w:w="962" w:type="pct"/>
            <w:vMerge/>
            <w:tcBorders>
              <w:top w:val="nil"/>
              <w:left w:val="single" w:sz="4" w:space="0" w:color="auto"/>
              <w:bottom w:val="single" w:sz="4" w:space="0" w:color="auto"/>
              <w:right w:val="single" w:sz="4" w:space="0" w:color="auto"/>
            </w:tcBorders>
            <w:vAlign w:val="center"/>
            <w:hideMark/>
          </w:tcPr>
          <w:p w:rsidR="00963504" w:rsidRPr="00CC4778" w:rsidRDefault="00963504" w:rsidP="0039424D">
            <w:pPr>
              <w:widowControl/>
              <w:rPr>
                <w:rFonts w:hAnsi="標楷體" w:cs="新細明體"/>
                <w:color w:val="000000"/>
                <w:kern w:val="0"/>
                <w:sz w:val="30"/>
                <w:szCs w:val="30"/>
              </w:rPr>
            </w:pPr>
          </w:p>
        </w:tc>
        <w:tc>
          <w:tcPr>
            <w:tcW w:w="886" w:type="pct"/>
            <w:tcBorders>
              <w:top w:val="nil"/>
              <w:left w:val="nil"/>
              <w:bottom w:val="single" w:sz="4" w:space="0" w:color="auto"/>
              <w:right w:val="single" w:sz="4" w:space="0" w:color="auto"/>
            </w:tcBorders>
            <w:shd w:val="clear" w:color="auto" w:fill="auto"/>
            <w:vAlign w:val="center"/>
            <w:hideMark/>
          </w:tcPr>
          <w:p w:rsidR="00963504" w:rsidRPr="00CC4778" w:rsidRDefault="00963504" w:rsidP="0039424D">
            <w:pPr>
              <w:widowControl/>
              <w:rPr>
                <w:rFonts w:hAnsi="標楷體" w:cs="新細明體"/>
                <w:color w:val="000000"/>
                <w:kern w:val="0"/>
                <w:sz w:val="30"/>
                <w:szCs w:val="30"/>
              </w:rPr>
            </w:pPr>
            <w:r w:rsidRPr="00CC4778">
              <w:rPr>
                <w:rFonts w:hAnsi="標楷體" w:cs="新細明體" w:hint="eastAsia"/>
                <w:color w:val="000000"/>
                <w:kern w:val="0"/>
                <w:sz w:val="30"/>
                <w:szCs w:val="30"/>
              </w:rPr>
              <w:t>合計</w:t>
            </w:r>
          </w:p>
        </w:tc>
        <w:tc>
          <w:tcPr>
            <w:tcW w:w="716"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color w:val="000000"/>
                <w:kern w:val="0"/>
                <w:sz w:val="30"/>
                <w:szCs w:val="30"/>
              </w:rPr>
            </w:pPr>
            <w:r w:rsidRPr="00CC4778">
              <w:rPr>
                <w:rFonts w:hAnsi="標楷體" w:cs="新細明體" w:hint="eastAsia"/>
                <w:color w:val="000000"/>
                <w:kern w:val="0"/>
                <w:sz w:val="30"/>
                <w:szCs w:val="30"/>
              </w:rPr>
              <w:t>8</w:t>
            </w:r>
          </w:p>
        </w:tc>
        <w:tc>
          <w:tcPr>
            <w:tcW w:w="637"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color w:val="000000"/>
                <w:kern w:val="0"/>
                <w:sz w:val="30"/>
                <w:szCs w:val="30"/>
              </w:rPr>
            </w:pPr>
            <w:r w:rsidRPr="00CC4778">
              <w:rPr>
                <w:rFonts w:hAnsi="標楷體" w:cs="新細明體" w:hint="eastAsia"/>
                <w:color w:val="000000"/>
                <w:kern w:val="0"/>
                <w:sz w:val="30"/>
                <w:szCs w:val="30"/>
              </w:rPr>
              <w:t>5</w:t>
            </w:r>
          </w:p>
        </w:tc>
        <w:tc>
          <w:tcPr>
            <w:tcW w:w="637"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color w:val="000000"/>
                <w:kern w:val="0"/>
                <w:sz w:val="30"/>
                <w:szCs w:val="30"/>
              </w:rPr>
            </w:pPr>
            <w:r w:rsidRPr="00CC4778">
              <w:rPr>
                <w:rFonts w:hAnsi="標楷體" w:cs="新細明體" w:hint="eastAsia"/>
                <w:color w:val="000000"/>
                <w:kern w:val="0"/>
                <w:sz w:val="30"/>
                <w:szCs w:val="30"/>
              </w:rPr>
              <w:t>10</w:t>
            </w:r>
          </w:p>
        </w:tc>
        <w:tc>
          <w:tcPr>
            <w:tcW w:w="637" w:type="pct"/>
            <w:tcBorders>
              <w:top w:val="nil"/>
              <w:left w:val="nil"/>
              <w:bottom w:val="single" w:sz="4" w:space="0" w:color="auto"/>
              <w:right w:val="single" w:sz="4" w:space="0" w:color="auto"/>
            </w:tcBorders>
            <w:shd w:val="clear" w:color="auto" w:fill="auto"/>
            <w:noWrap/>
            <w:vAlign w:val="center"/>
            <w:hideMark/>
          </w:tcPr>
          <w:p w:rsidR="00963504" w:rsidRPr="00CC4778" w:rsidRDefault="00963504" w:rsidP="0039424D">
            <w:pPr>
              <w:widowControl/>
              <w:jc w:val="center"/>
              <w:rPr>
                <w:rFonts w:hAnsi="標楷體" w:cs="新細明體"/>
                <w:b/>
                <w:color w:val="000000"/>
                <w:kern w:val="0"/>
                <w:sz w:val="30"/>
                <w:szCs w:val="30"/>
              </w:rPr>
            </w:pPr>
            <w:r w:rsidRPr="00CC4778">
              <w:rPr>
                <w:rFonts w:hAnsi="標楷體" w:cs="新細明體" w:hint="eastAsia"/>
                <w:b/>
                <w:color w:val="000000"/>
                <w:kern w:val="0"/>
                <w:sz w:val="30"/>
                <w:szCs w:val="30"/>
              </w:rPr>
              <w:t>18</w:t>
            </w:r>
          </w:p>
        </w:tc>
        <w:tc>
          <w:tcPr>
            <w:tcW w:w="525" w:type="pct"/>
            <w:tcBorders>
              <w:top w:val="nil"/>
              <w:left w:val="nil"/>
              <w:bottom w:val="single" w:sz="4" w:space="0" w:color="auto"/>
              <w:right w:val="single" w:sz="4" w:space="0" w:color="auto"/>
            </w:tcBorders>
            <w:shd w:val="clear" w:color="auto" w:fill="auto"/>
            <w:noWrap/>
            <w:vAlign w:val="center"/>
            <w:hideMark/>
          </w:tcPr>
          <w:p w:rsidR="00963504" w:rsidRPr="00A83515" w:rsidRDefault="00963504" w:rsidP="0039424D">
            <w:pPr>
              <w:widowControl/>
              <w:jc w:val="center"/>
              <w:rPr>
                <w:rFonts w:hAnsi="標楷體" w:cs="新細明體"/>
                <w:b/>
                <w:color w:val="000000"/>
                <w:kern w:val="0"/>
                <w:sz w:val="30"/>
                <w:szCs w:val="30"/>
              </w:rPr>
            </w:pPr>
            <w:r w:rsidRPr="00A83515">
              <w:rPr>
                <w:rFonts w:hAnsi="標楷體" w:cs="新細明體" w:hint="eastAsia"/>
                <w:b/>
                <w:color w:val="000000"/>
                <w:kern w:val="0"/>
                <w:sz w:val="30"/>
                <w:szCs w:val="30"/>
              </w:rPr>
              <w:t>41</w:t>
            </w:r>
          </w:p>
        </w:tc>
      </w:tr>
    </w:tbl>
    <w:p w:rsidR="00963504" w:rsidRPr="00CC4778" w:rsidRDefault="00963504" w:rsidP="00963504">
      <w:pPr>
        <w:widowControl/>
        <w:jc w:val="right"/>
        <w:rPr>
          <w:rFonts w:hAnsi="標楷體" w:cs="新細明體"/>
          <w:color w:val="000000"/>
          <w:kern w:val="0"/>
          <w:sz w:val="28"/>
          <w:szCs w:val="28"/>
        </w:rPr>
      </w:pPr>
      <w:r w:rsidRPr="007B347F">
        <w:rPr>
          <w:rFonts w:hAnsi="標楷體" w:cs="新細明體" w:hint="eastAsia"/>
          <w:color w:val="000000"/>
          <w:kern w:val="0"/>
          <w:sz w:val="28"/>
          <w:szCs w:val="28"/>
        </w:rPr>
        <w:t>資料來源：桃園地院</w:t>
      </w:r>
    </w:p>
    <w:p w:rsidR="00963504" w:rsidRDefault="00963504" w:rsidP="00963504">
      <w:pPr>
        <w:pStyle w:val="3"/>
      </w:pPr>
      <w:r>
        <w:rPr>
          <w:rFonts w:hint="eastAsia"/>
        </w:rPr>
        <w:lastRenderedPageBreak/>
        <w:t>對此，司法院原採取保守的看法，認為「</w:t>
      </w:r>
      <w:r w:rsidRPr="005F62B3">
        <w:rPr>
          <w:rFonts w:hint="eastAsia"/>
        </w:rPr>
        <w:t>所謂</w:t>
      </w:r>
      <w:r>
        <w:rPr>
          <w:rFonts w:hint="eastAsia"/>
        </w:rPr>
        <w:t>『</w:t>
      </w:r>
      <w:r w:rsidRPr="005F62B3">
        <w:rPr>
          <w:rFonts w:hint="eastAsia"/>
        </w:rPr>
        <w:t>現在保護少年之人</w:t>
      </w:r>
      <w:r>
        <w:rPr>
          <w:rFonts w:hint="eastAsia"/>
        </w:rPr>
        <w:t>』</w:t>
      </w:r>
      <w:r w:rsidRPr="005F62B3">
        <w:rPr>
          <w:rFonts w:hint="eastAsia"/>
        </w:rPr>
        <w:t>，包括得於具體個案中可協助少年表達意見，</w:t>
      </w:r>
      <w:r w:rsidRPr="007F3CC1">
        <w:rPr>
          <w:rFonts w:hint="eastAsia"/>
        </w:rPr>
        <w:t>實際發揮保護少年最佳</w:t>
      </w:r>
      <w:r w:rsidRPr="005F62B3">
        <w:rPr>
          <w:rFonts w:hint="eastAsia"/>
        </w:rPr>
        <w:t>利益之人</w:t>
      </w:r>
      <w:r>
        <w:rPr>
          <w:rFonts w:hint="eastAsia"/>
        </w:rPr>
        <w:t>。</w:t>
      </w:r>
      <w:r w:rsidRPr="005F62B3">
        <w:rPr>
          <w:rFonts w:hint="eastAsia"/>
        </w:rPr>
        <w:t>至於何人該當之，則為審判權</w:t>
      </w:r>
      <w:r w:rsidRPr="007F3CC1">
        <w:rPr>
          <w:rFonts w:hint="eastAsia"/>
        </w:rPr>
        <w:t>行使</w:t>
      </w:r>
      <w:r w:rsidRPr="005F62B3">
        <w:rPr>
          <w:rFonts w:hint="eastAsia"/>
        </w:rPr>
        <w:t>審酌之核心，且個案情形具多樣性，應由法官依具體個案審酌，司法院予以尊重</w:t>
      </w:r>
      <w:r>
        <w:rPr>
          <w:rFonts w:hint="eastAsia"/>
        </w:rPr>
        <w:t>」云云，並稱法官指定到庭的少年調查官充當「保護少年之人」非實務普遍的作法等語</w:t>
      </w:r>
      <w:r w:rsidRPr="005F62B3">
        <w:rPr>
          <w:rFonts w:hint="eastAsia"/>
        </w:rPr>
        <w:t>。</w:t>
      </w:r>
      <w:r>
        <w:rPr>
          <w:rFonts w:hint="eastAsia"/>
        </w:rPr>
        <w:t>本院約請司法</w:t>
      </w:r>
      <w:proofErr w:type="gramStart"/>
      <w:r>
        <w:rPr>
          <w:rFonts w:hint="eastAsia"/>
        </w:rPr>
        <w:t>院少家廳</w:t>
      </w:r>
      <w:proofErr w:type="gramEnd"/>
      <w:r>
        <w:rPr>
          <w:rFonts w:hint="eastAsia"/>
        </w:rPr>
        <w:t>謝廳長到院討論後，司法院已於107年8月20日邀集各法院主任調查保護官召開少年業務聯繫及座談會，就少年調查（保護）官可否為保護少年之人進行討論，結論略</w:t>
      </w:r>
      <w:proofErr w:type="gramStart"/>
      <w:r>
        <w:rPr>
          <w:rFonts w:hint="eastAsia"/>
        </w:rPr>
        <w:t>以</w:t>
      </w:r>
      <w:proofErr w:type="gramEnd"/>
      <w:r>
        <w:rPr>
          <w:rFonts w:hint="eastAsia"/>
        </w:rPr>
        <w:t>：「為強化實質到庭及協商式審理精神，少年調查官不宜擔任現在保護少年之人」，足見司法院已有積極檢討之作為。而各地方(少年及家事)法院自107年7月1日至11月30日止，</w:t>
      </w:r>
      <w:proofErr w:type="gramStart"/>
      <w:r>
        <w:rPr>
          <w:rFonts w:hint="eastAsia"/>
        </w:rPr>
        <w:t>均無指定</w:t>
      </w:r>
      <w:proofErr w:type="gramEnd"/>
      <w:r>
        <w:rPr>
          <w:rFonts w:hint="eastAsia"/>
        </w:rPr>
        <w:t>少年調查官為「現在保護少年之人」之情形，桃園地院亦表示自</w:t>
      </w:r>
      <w:r w:rsidRPr="008C3F10">
        <w:rPr>
          <w:rFonts w:hint="eastAsia"/>
        </w:rPr>
        <w:t>107年3月27日後已無前述之情形</w:t>
      </w:r>
      <w:r>
        <w:rPr>
          <w:rFonts w:hint="eastAsia"/>
        </w:rPr>
        <w:t>。</w:t>
      </w:r>
    </w:p>
    <w:p w:rsidR="0039424D" w:rsidRDefault="0039424D" w:rsidP="00963504">
      <w:pPr>
        <w:pStyle w:val="3"/>
      </w:pPr>
      <w:r>
        <w:rPr>
          <w:rFonts w:hint="eastAsia"/>
        </w:rPr>
        <w:t>小結：</w:t>
      </w:r>
    </w:p>
    <w:p w:rsidR="0039424D" w:rsidRDefault="00963504" w:rsidP="0039424D">
      <w:pPr>
        <w:pStyle w:val="4"/>
      </w:pPr>
      <w:r w:rsidRPr="0008139F">
        <w:rPr>
          <w:rFonts w:hint="eastAsia"/>
        </w:rPr>
        <w:t>聽審權乃源於人性尊嚴及法治國原則理念，為憲法保障之程序基本權</w:t>
      </w:r>
      <w:r>
        <w:rPr>
          <w:rFonts w:hint="eastAsia"/>
        </w:rPr>
        <w:t>，</w:t>
      </w:r>
      <w:r w:rsidRPr="0008139F">
        <w:rPr>
          <w:rFonts w:hint="eastAsia"/>
        </w:rPr>
        <w:t>司法院釋字第482號解釋闡釋</w:t>
      </w:r>
      <w:r>
        <w:rPr>
          <w:rFonts w:hint="eastAsia"/>
        </w:rPr>
        <w:t>甚明。</w:t>
      </w:r>
      <w:proofErr w:type="gramStart"/>
      <w:r w:rsidRPr="0008139F">
        <w:rPr>
          <w:rFonts w:hint="eastAsia"/>
        </w:rPr>
        <w:t>鑑</w:t>
      </w:r>
      <w:proofErr w:type="gramEnd"/>
      <w:r w:rsidRPr="0008139F">
        <w:rPr>
          <w:rFonts w:hint="eastAsia"/>
        </w:rPr>
        <w:t>於少年思慮</w:t>
      </w:r>
      <w:proofErr w:type="gramStart"/>
      <w:r w:rsidRPr="0008139F">
        <w:rPr>
          <w:rFonts w:hint="eastAsia"/>
        </w:rPr>
        <w:t>未周，</w:t>
      </w:r>
      <w:proofErr w:type="gramEnd"/>
      <w:r w:rsidRPr="0008139F">
        <w:rPr>
          <w:rFonts w:hint="eastAsia"/>
        </w:rPr>
        <w:t>欠缺完整在程序上意見表明的</w:t>
      </w:r>
      <w:r>
        <w:rPr>
          <w:rFonts w:hint="eastAsia"/>
        </w:rPr>
        <w:t>能力，故保障</w:t>
      </w:r>
      <w:r w:rsidRPr="0008139F">
        <w:rPr>
          <w:rFonts w:hint="eastAsia"/>
        </w:rPr>
        <w:t>其父母或法定代理人之聽審及表明意見的權利</w:t>
      </w:r>
      <w:r>
        <w:rPr>
          <w:rFonts w:hint="eastAsia"/>
        </w:rPr>
        <w:t>，此</w:t>
      </w:r>
      <w:r w:rsidRPr="0008139F">
        <w:rPr>
          <w:rFonts w:hint="eastAsia"/>
        </w:rPr>
        <w:t>屬程序的基本權</w:t>
      </w:r>
      <w:r>
        <w:rPr>
          <w:rFonts w:hint="eastAsia"/>
        </w:rPr>
        <w:t>。司法</w:t>
      </w:r>
      <w:proofErr w:type="gramStart"/>
      <w:r>
        <w:rPr>
          <w:rFonts w:hint="eastAsia"/>
        </w:rPr>
        <w:t>院少家廳</w:t>
      </w:r>
      <w:proofErr w:type="gramEnd"/>
      <w:r>
        <w:rPr>
          <w:rFonts w:hint="eastAsia"/>
        </w:rPr>
        <w:t>謝廳長指出：「</w:t>
      </w:r>
      <w:r w:rsidRPr="00B14229">
        <w:rPr>
          <w:rFonts w:hint="eastAsia"/>
        </w:rPr>
        <w:t>現在保護少年之人應屬於他的父母</w:t>
      </w:r>
      <w:r>
        <w:rPr>
          <w:rFonts w:hint="eastAsia"/>
        </w:rPr>
        <w:t>或</w:t>
      </w:r>
      <w:r w:rsidRPr="00B14229">
        <w:rPr>
          <w:rFonts w:hint="eastAsia"/>
        </w:rPr>
        <w:t>熟悉</w:t>
      </w:r>
      <w:r>
        <w:rPr>
          <w:rFonts w:hint="eastAsia"/>
        </w:rPr>
        <w:t>其</w:t>
      </w:r>
      <w:r w:rsidRPr="00B14229">
        <w:rPr>
          <w:rFonts w:hint="eastAsia"/>
        </w:rPr>
        <w:t>生活狀況的人，司法院</w:t>
      </w:r>
      <w:r>
        <w:rPr>
          <w:rFonts w:hint="eastAsia"/>
        </w:rPr>
        <w:t>曾研討</w:t>
      </w:r>
      <w:r w:rsidRPr="00B14229">
        <w:rPr>
          <w:rFonts w:hint="eastAsia"/>
        </w:rPr>
        <w:t>過，只要共同生活，可以陪同或輔佐作事實上及法律上陳述，為其行使辯解權之人</w:t>
      </w:r>
      <w:r>
        <w:rPr>
          <w:rFonts w:hint="eastAsia"/>
        </w:rPr>
        <w:t>，即</w:t>
      </w:r>
      <w:r w:rsidRPr="00B14229">
        <w:rPr>
          <w:rFonts w:hint="eastAsia"/>
        </w:rPr>
        <w:t>可視為現在保護少年之人。</w:t>
      </w:r>
      <w:r>
        <w:rPr>
          <w:rFonts w:hint="eastAsia"/>
        </w:rPr>
        <w:t>但</w:t>
      </w:r>
      <w:r w:rsidRPr="00B14229">
        <w:rPr>
          <w:rFonts w:hint="eastAsia"/>
        </w:rPr>
        <w:t>若與調查官行使職責範圍有所</w:t>
      </w:r>
      <w:proofErr w:type="gramStart"/>
      <w:r w:rsidRPr="00B14229">
        <w:rPr>
          <w:rFonts w:hint="eastAsia"/>
        </w:rPr>
        <w:t>扞</w:t>
      </w:r>
      <w:proofErr w:type="gramEnd"/>
      <w:r w:rsidRPr="00B14229">
        <w:rPr>
          <w:rFonts w:hint="eastAsia"/>
        </w:rPr>
        <w:t>格及矛盾，即屬不適合。在協商式審理時，法官不適合去混淆調查官是現在保護少年</w:t>
      </w:r>
      <w:r w:rsidRPr="00B14229">
        <w:rPr>
          <w:rFonts w:hint="eastAsia"/>
        </w:rPr>
        <w:lastRenderedPageBreak/>
        <w:t>之倫理界限</w:t>
      </w:r>
      <w:r>
        <w:rPr>
          <w:rFonts w:hint="eastAsia"/>
        </w:rPr>
        <w:t>」等語。顯見法官指定到庭之少年調查官為</w:t>
      </w:r>
      <w:r w:rsidRPr="007D6F7C">
        <w:rPr>
          <w:rFonts w:hint="eastAsia"/>
        </w:rPr>
        <w:t>「現在保護少年之人」</w:t>
      </w:r>
      <w:r>
        <w:rPr>
          <w:rFonts w:hint="eastAsia"/>
        </w:rPr>
        <w:t>，不符正當程序之保障，已非法律見解不同或法官審判的核心事項之問題。</w:t>
      </w:r>
      <w:r w:rsidRPr="0059390E">
        <w:rPr>
          <w:rFonts w:hint="eastAsia"/>
        </w:rPr>
        <w:t>司法院</w:t>
      </w:r>
      <w:r>
        <w:rPr>
          <w:rFonts w:hint="eastAsia"/>
        </w:rPr>
        <w:t>於本案調查期間已召集全國各主任調查保護官討論並作成結論，並</w:t>
      </w:r>
      <w:r w:rsidRPr="008C3F10">
        <w:rPr>
          <w:rFonts w:hint="eastAsia"/>
        </w:rPr>
        <w:t>於107年11月5日至9日之少年法院(庭)庭長、法官實務研討會開辦「少年事件程序保障原則之探討」、「司法最後手段性與實質到庭」等課程</w:t>
      </w:r>
      <w:r>
        <w:rPr>
          <w:rFonts w:hint="eastAsia"/>
        </w:rPr>
        <w:t>，確</w:t>
      </w:r>
      <w:r w:rsidRPr="00964B5E">
        <w:rPr>
          <w:rFonts w:hint="eastAsia"/>
        </w:rPr>
        <w:t>有積極之作為，應予肯定。</w:t>
      </w:r>
    </w:p>
    <w:p w:rsidR="00963504" w:rsidRDefault="00963504" w:rsidP="0039424D">
      <w:pPr>
        <w:pStyle w:val="4"/>
      </w:pPr>
      <w:r>
        <w:rPr>
          <w:rFonts w:hint="eastAsia"/>
        </w:rPr>
        <w:t>惟</w:t>
      </w:r>
      <w:proofErr w:type="gramStart"/>
      <w:r>
        <w:rPr>
          <w:rFonts w:hint="eastAsia"/>
        </w:rPr>
        <w:t>詢</w:t>
      </w:r>
      <w:proofErr w:type="gramEnd"/>
      <w:r>
        <w:rPr>
          <w:rFonts w:hint="eastAsia"/>
        </w:rPr>
        <w:t>據</w:t>
      </w:r>
      <w:r w:rsidR="005609DA">
        <w:rPr>
          <w:rFonts w:hint="eastAsia"/>
        </w:rPr>
        <w:t>李秋梅</w:t>
      </w:r>
      <w:r>
        <w:rPr>
          <w:rFonts w:hint="eastAsia"/>
        </w:rPr>
        <w:t>法官仍堅持</w:t>
      </w:r>
      <w:r w:rsidR="0039424D">
        <w:rPr>
          <w:rFonts w:hint="eastAsia"/>
        </w:rPr>
        <w:t>少年家長如經合法通知無正當理由不到場時，為避免程序延滯，指示</w:t>
      </w:r>
      <w:r>
        <w:rPr>
          <w:rFonts w:hint="eastAsia"/>
        </w:rPr>
        <w:t>輪值</w:t>
      </w:r>
      <w:r w:rsidRPr="00963504">
        <w:rPr>
          <w:rFonts w:hint="eastAsia"/>
        </w:rPr>
        <w:t>到庭的</w:t>
      </w:r>
      <w:proofErr w:type="gramStart"/>
      <w:r w:rsidRPr="00963504">
        <w:rPr>
          <w:rFonts w:hint="eastAsia"/>
        </w:rPr>
        <w:t>少調官</w:t>
      </w:r>
      <w:proofErr w:type="gramEnd"/>
      <w:r w:rsidRPr="00963504">
        <w:rPr>
          <w:rFonts w:hint="eastAsia"/>
        </w:rPr>
        <w:t>為</w:t>
      </w:r>
      <w:r>
        <w:rPr>
          <w:rFonts w:hint="eastAsia"/>
        </w:rPr>
        <w:t>「</w:t>
      </w:r>
      <w:r w:rsidRPr="00963504">
        <w:rPr>
          <w:rFonts w:hint="eastAsia"/>
        </w:rPr>
        <w:t>現在保護少年之人</w:t>
      </w:r>
      <w:r>
        <w:rPr>
          <w:rFonts w:hint="eastAsia"/>
        </w:rPr>
        <w:t>」並無不妥，</w:t>
      </w:r>
      <w:r w:rsidR="0039424D">
        <w:rPr>
          <w:rFonts w:hint="eastAsia"/>
        </w:rPr>
        <w:t>並</w:t>
      </w:r>
      <w:r w:rsidR="00076BB7">
        <w:rPr>
          <w:rFonts w:hint="eastAsia"/>
        </w:rPr>
        <w:t>表示</w:t>
      </w:r>
      <w:r w:rsidRPr="00D32F5A">
        <w:rPr>
          <w:rFonts w:hint="eastAsia"/>
        </w:rPr>
        <w:t>到庭的調查官可以依其專業，臨場發揮</w:t>
      </w:r>
      <w:r w:rsidR="0039424D">
        <w:rPr>
          <w:rFonts w:hint="eastAsia"/>
        </w:rPr>
        <w:t>其</w:t>
      </w:r>
      <w:r w:rsidRPr="00D32F5A">
        <w:rPr>
          <w:rFonts w:hint="eastAsia"/>
        </w:rPr>
        <w:t>判斷</w:t>
      </w:r>
      <w:r>
        <w:rPr>
          <w:rFonts w:hint="eastAsia"/>
        </w:rPr>
        <w:t>，</w:t>
      </w:r>
      <w:r w:rsidRPr="00D32F5A">
        <w:rPr>
          <w:rFonts w:hint="eastAsia"/>
        </w:rPr>
        <w:t>符合協商式審理的精神</w:t>
      </w:r>
      <w:r w:rsidR="00076BB7">
        <w:rPr>
          <w:rFonts w:hint="eastAsia"/>
        </w:rPr>
        <w:t>等語</w:t>
      </w:r>
      <w:r>
        <w:rPr>
          <w:rFonts w:hint="eastAsia"/>
        </w:rPr>
        <w:t>。故司法院前揭改善作為，能否拘束少年法庭法官？尚不無疑問。為維護人民依法定程序受充分而有效公平審判之權利，司法院應</w:t>
      </w:r>
      <w:r w:rsidRPr="00963504">
        <w:rPr>
          <w:rFonts w:hint="eastAsia"/>
        </w:rPr>
        <w:t>督導各法院落實，或</w:t>
      </w:r>
      <w:proofErr w:type="gramStart"/>
      <w:r w:rsidRPr="00963504">
        <w:rPr>
          <w:rFonts w:hint="eastAsia"/>
        </w:rPr>
        <w:t>研</w:t>
      </w:r>
      <w:proofErr w:type="gramEnd"/>
      <w:r w:rsidRPr="00963504">
        <w:rPr>
          <w:rFonts w:hint="eastAsia"/>
        </w:rPr>
        <w:t>議有無補充審理規則或函釋之必要</w:t>
      </w:r>
      <w:r>
        <w:rPr>
          <w:rFonts w:hint="eastAsia"/>
        </w:rPr>
        <w:t>。</w:t>
      </w:r>
    </w:p>
    <w:p w:rsidR="00F775A5" w:rsidRPr="00A75E18" w:rsidRDefault="00F775A5" w:rsidP="00F775A5">
      <w:pPr>
        <w:pStyle w:val="2"/>
        <w:numPr>
          <w:ilvl w:val="1"/>
          <w:numId w:val="1"/>
        </w:numPr>
        <w:kinsoku w:val="0"/>
        <w:overflowPunct/>
        <w:autoSpaceDE/>
        <w:autoSpaceDN/>
        <w:ind w:left="1045" w:hanging="697"/>
      </w:pPr>
      <w:bookmarkStart w:id="59" w:name="_Toc535915336"/>
      <w:r w:rsidRPr="00F34522">
        <w:rPr>
          <w:rFonts w:hint="eastAsia"/>
          <w:b/>
        </w:rPr>
        <w:t>司法院訂頒之「少年保護事件審理細則」第19條</w:t>
      </w:r>
      <w:r>
        <w:rPr>
          <w:rFonts w:hint="eastAsia"/>
          <w:b/>
        </w:rPr>
        <w:t>規定，不付審理的輕微少年事件得</w:t>
      </w:r>
      <w:r w:rsidRPr="00F34522">
        <w:rPr>
          <w:rFonts w:hint="eastAsia"/>
          <w:b/>
        </w:rPr>
        <w:t>以宣示筆錄</w:t>
      </w:r>
      <w:r>
        <w:rPr>
          <w:rFonts w:hint="eastAsia"/>
          <w:b/>
        </w:rPr>
        <w:t>記載主文，</w:t>
      </w:r>
      <w:r w:rsidRPr="00F34522">
        <w:rPr>
          <w:rFonts w:hint="eastAsia"/>
          <w:b/>
        </w:rPr>
        <w:t>代</w:t>
      </w:r>
      <w:r>
        <w:rPr>
          <w:rFonts w:hint="eastAsia"/>
          <w:b/>
        </w:rPr>
        <w:t>替</w:t>
      </w:r>
      <w:r w:rsidRPr="00F34522">
        <w:rPr>
          <w:rFonts w:hint="eastAsia"/>
          <w:b/>
        </w:rPr>
        <w:t>裁定書，其目的在落實協商式審理</w:t>
      </w:r>
      <w:r>
        <w:rPr>
          <w:rFonts w:hint="eastAsia"/>
          <w:b/>
        </w:rPr>
        <w:t>，</w:t>
      </w:r>
      <w:proofErr w:type="gramStart"/>
      <w:r>
        <w:rPr>
          <w:rFonts w:hint="eastAsia"/>
          <w:b/>
        </w:rPr>
        <w:t>立意核屬良善</w:t>
      </w:r>
      <w:proofErr w:type="gramEnd"/>
      <w:r>
        <w:rPr>
          <w:rFonts w:hint="eastAsia"/>
          <w:b/>
        </w:rPr>
        <w:t>。但該細則第</w:t>
      </w:r>
      <w:r w:rsidRPr="00F34522">
        <w:rPr>
          <w:rFonts w:hint="eastAsia"/>
          <w:b/>
        </w:rPr>
        <w:t>40</w:t>
      </w:r>
      <w:r>
        <w:rPr>
          <w:rFonts w:hint="eastAsia"/>
          <w:b/>
        </w:rPr>
        <w:t>條第2項將之擴及包括交付安置及感化教育等限制人身自由之重大裁定，導致目前少年司法實務絕大多數法官裁處限制少年人身自由之重大裁定，皆僅以宣示筆錄代之，其事實及理由不明，程序簡略，無從擔保法官經過縝密審理後始為之，對少年權益之保障不周，</w:t>
      </w:r>
      <w:r w:rsidR="009E20A5">
        <w:rPr>
          <w:rFonts w:hint="eastAsia"/>
          <w:b/>
        </w:rPr>
        <w:t>難以達成</w:t>
      </w:r>
      <w:r>
        <w:rPr>
          <w:rFonts w:hint="eastAsia"/>
          <w:b/>
        </w:rPr>
        <w:t>落實協商式審理</w:t>
      </w:r>
      <w:r w:rsidR="009E20A5">
        <w:rPr>
          <w:rFonts w:hint="eastAsia"/>
          <w:b/>
        </w:rPr>
        <w:t>的目的</w:t>
      </w:r>
      <w:r w:rsidR="00A92ED0">
        <w:rPr>
          <w:rFonts w:hint="eastAsia"/>
          <w:b/>
        </w:rPr>
        <w:t>，該制度似已遭濫用</w:t>
      </w:r>
      <w:r>
        <w:rPr>
          <w:rFonts w:hint="eastAsia"/>
          <w:b/>
        </w:rPr>
        <w:t>，司法院</w:t>
      </w:r>
      <w:r w:rsidR="00A92ED0">
        <w:rPr>
          <w:rFonts w:hint="eastAsia"/>
          <w:b/>
        </w:rPr>
        <w:t>於93年即已表示將於修法時檢討宣示筆錄之格式及記載內容，惟迄今已逾15年，仍未見具體改善，實有欠積極，核有</w:t>
      </w:r>
      <w:proofErr w:type="gramStart"/>
      <w:r w:rsidR="00A92ED0">
        <w:rPr>
          <w:rFonts w:hint="eastAsia"/>
          <w:b/>
        </w:rPr>
        <w:t>怠</w:t>
      </w:r>
      <w:proofErr w:type="gramEnd"/>
      <w:r w:rsidR="00A92ED0">
        <w:rPr>
          <w:rFonts w:hint="eastAsia"/>
          <w:b/>
        </w:rPr>
        <w:t>失</w:t>
      </w:r>
      <w:r>
        <w:rPr>
          <w:rFonts w:hint="eastAsia"/>
          <w:b/>
        </w:rPr>
        <w:t>。</w:t>
      </w:r>
      <w:bookmarkEnd w:id="59"/>
    </w:p>
    <w:p w:rsidR="00F775A5" w:rsidRDefault="00F775A5" w:rsidP="0007495F">
      <w:pPr>
        <w:pStyle w:val="3"/>
      </w:pPr>
      <w:r>
        <w:rPr>
          <w:rFonts w:hint="eastAsia"/>
        </w:rPr>
        <w:lastRenderedPageBreak/>
        <w:t>86年少事法新制施行後，司法院於</w:t>
      </w:r>
      <w:r w:rsidRPr="006E1C67">
        <w:rPr>
          <w:rFonts w:hint="eastAsia"/>
        </w:rPr>
        <w:t>88年3月5日</w:t>
      </w:r>
      <w:proofErr w:type="gramStart"/>
      <w:r w:rsidRPr="006E1C67">
        <w:rPr>
          <w:rFonts w:hint="eastAsia"/>
        </w:rPr>
        <w:t>函頒「</w:t>
      </w:r>
      <w:proofErr w:type="gramEnd"/>
      <w:r w:rsidRPr="006E1C67">
        <w:rPr>
          <w:rFonts w:hint="eastAsia"/>
        </w:rPr>
        <w:t>少年保護事件審理細則」</w:t>
      </w:r>
      <w:r w:rsidRPr="00F30D79">
        <w:rPr>
          <w:vertAlign w:val="superscript"/>
        </w:rPr>
        <w:footnoteReference w:id="6"/>
      </w:r>
      <w:r>
        <w:rPr>
          <w:rFonts w:hint="eastAsia"/>
        </w:rPr>
        <w:t>，該</w:t>
      </w:r>
      <w:r w:rsidRPr="00B34942">
        <w:rPr>
          <w:rFonts w:hint="eastAsia"/>
        </w:rPr>
        <w:t>審理細則第19</w:t>
      </w:r>
      <w:r>
        <w:rPr>
          <w:rFonts w:hint="eastAsia"/>
        </w:rPr>
        <w:t>條規定，</w:t>
      </w:r>
      <w:r w:rsidRPr="00B34942">
        <w:rPr>
          <w:rFonts w:hint="eastAsia"/>
        </w:rPr>
        <w:t>法官對於少年調查官提出之處遇意見之建議，經徵詢少年、少年之法定代理人或現在保護少年之人及輔佐人之同意，</w:t>
      </w:r>
      <w:proofErr w:type="gramStart"/>
      <w:r>
        <w:rPr>
          <w:rFonts w:hint="eastAsia"/>
        </w:rPr>
        <w:t>依少事</w:t>
      </w:r>
      <w:proofErr w:type="gramEnd"/>
      <w:r>
        <w:rPr>
          <w:rFonts w:hint="eastAsia"/>
        </w:rPr>
        <w:t>法第29條第1項為不付審理之裁定並當場宣示者</w:t>
      </w:r>
      <w:r w:rsidRPr="00B34942">
        <w:rPr>
          <w:rFonts w:hint="eastAsia"/>
        </w:rPr>
        <w:t>，得僅由書記官將主文記載於筆錄，不製作裁定書</w:t>
      </w:r>
      <w:r>
        <w:rPr>
          <w:rFonts w:hint="eastAsia"/>
        </w:rPr>
        <w:t>。第40條第1項、第42條規定，</w:t>
      </w:r>
      <w:r w:rsidRPr="000608DD">
        <w:rPr>
          <w:rFonts w:hint="eastAsia"/>
        </w:rPr>
        <w:t>保護處分之裁定書，應分別記載主文、事實與理由</w:t>
      </w:r>
      <w:r>
        <w:rPr>
          <w:rFonts w:hint="eastAsia"/>
        </w:rPr>
        <w:t>；理由內應分別記載：一、認定應付保護處分事實所憑之證據及其認定之理由。二、對於少年有利之證據不採納者，其理由。三、</w:t>
      </w:r>
      <w:proofErr w:type="gramStart"/>
      <w:r>
        <w:rPr>
          <w:rFonts w:hint="eastAsia"/>
        </w:rPr>
        <w:t>諭</w:t>
      </w:r>
      <w:proofErr w:type="gramEnd"/>
      <w:r>
        <w:rPr>
          <w:rFonts w:hint="eastAsia"/>
        </w:rPr>
        <w:t>知保護處分及其執行方式所審酌之理由。四、對於少年調查官到庭陳述意見不採納者，其理由。五、</w:t>
      </w:r>
      <w:proofErr w:type="gramStart"/>
      <w:r>
        <w:rPr>
          <w:rFonts w:hint="eastAsia"/>
        </w:rPr>
        <w:t>諭</w:t>
      </w:r>
      <w:proofErr w:type="gramEnd"/>
      <w:r>
        <w:rPr>
          <w:rFonts w:hint="eastAsia"/>
        </w:rPr>
        <w:t>知沒收或附隨處分者，其理由。六、適用之法律。上揭規定之制度目的，係著眼於協商式審理下得到的處遇結論，係經由少年及其法定代理人與法官、少年調查官溝通協議下所達共識之結果，此經由法官口頭宣示裁定，以宣示筆錄代替裁判書類的製作，可節省裁定書的製作時間，並經由少年及家長參與瞭解保護處分之用意及目的，並非處罰制裁，藉以減少無謂的爭執抗告，避免</w:t>
      </w:r>
      <w:proofErr w:type="gramStart"/>
      <w:r>
        <w:rPr>
          <w:rFonts w:hint="eastAsia"/>
        </w:rPr>
        <w:t>訟</w:t>
      </w:r>
      <w:proofErr w:type="gramEnd"/>
      <w:r>
        <w:rPr>
          <w:rFonts w:hint="eastAsia"/>
        </w:rPr>
        <w:t>累及減少司法資源的浪費</w:t>
      </w:r>
      <w:r>
        <w:rPr>
          <w:rStyle w:val="aff"/>
        </w:rPr>
        <w:footnoteReference w:id="7"/>
      </w:r>
      <w:r>
        <w:rPr>
          <w:rFonts w:hint="eastAsia"/>
        </w:rPr>
        <w:t>。可謂良善之立法。惟該細則第</w:t>
      </w:r>
      <w:r w:rsidRPr="00B34942">
        <w:rPr>
          <w:rFonts w:hint="eastAsia"/>
        </w:rPr>
        <w:t>40</w:t>
      </w:r>
      <w:r>
        <w:rPr>
          <w:rFonts w:hint="eastAsia"/>
        </w:rPr>
        <w:t>條第2項竟將</w:t>
      </w:r>
      <w:r w:rsidRPr="00940515">
        <w:rPr>
          <w:rFonts w:hint="eastAsia"/>
        </w:rPr>
        <w:t>宣示筆錄代替裁定書之</w:t>
      </w:r>
      <w:r>
        <w:rPr>
          <w:rFonts w:hint="eastAsia"/>
        </w:rPr>
        <w:t>規定，不當</w:t>
      </w:r>
      <w:r w:rsidRPr="00940515">
        <w:rPr>
          <w:rFonts w:hint="eastAsia"/>
        </w:rPr>
        <w:t>擴及包括交付安置及感化教育等限制人身自由之重大裁定</w:t>
      </w:r>
      <w:r>
        <w:rPr>
          <w:rFonts w:hint="eastAsia"/>
        </w:rPr>
        <w:t>。僅於第46</w:t>
      </w:r>
      <w:r w:rsidRPr="00B34942">
        <w:rPr>
          <w:rFonts w:hint="eastAsia"/>
        </w:rPr>
        <w:t>條規定</w:t>
      </w:r>
      <w:r>
        <w:rPr>
          <w:rFonts w:hint="eastAsia"/>
        </w:rPr>
        <w:t>：如有合法抗告時，法院應於7日內補行製作理由書送達少年及其他關係人</w:t>
      </w:r>
      <w:r>
        <w:rPr>
          <w:rStyle w:val="aff"/>
        </w:rPr>
        <w:footnoteReference w:id="8"/>
      </w:r>
      <w:r w:rsidRPr="00B34942">
        <w:rPr>
          <w:rFonts w:hint="eastAsia"/>
        </w:rPr>
        <w:t>。</w:t>
      </w:r>
    </w:p>
    <w:p w:rsidR="00F775A5" w:rsidRDefault="00F775A5" w:rsidP="00903D41">
      <w:pPr>
        <w:pStyle w:val="3"/>
      </w:pPr>
      <w:r>
        <w:rPr>
          <w:rFonts w:hint="eastAsia"/>
        </w:rPr>
        <w:lastRenderedPageBreak/>
        <w:t>因少年法庭審理</w:t>
      </w:r>
      <w:r w:rsidRPr="00E97A3E">
        <w:rPr>
          <w:rFonts w:hint="eastAsia"/>
        </w:rPr>
        <w:t>保護事件得以宣示筆錄代替裁定書，</w:t>
      </w:r>
      <w:r w:rsidRPr="00E801C4">
        <w:rPr>
          <w:rFonts w:hint="eastAsia"/>
        </w:rPr>
        <w:t>加以少年法庭</w:t>
      </w:r>
      <w:proofErr w:type="gramStart"/>
      <w:r w:rsidRPr="00E801C4">
        <w:rPr>
          <w:rFonts w:hint="eastAsia"/>
        </w:rPr>
        <w:t>採</w:t>
      </w:r>
      <w:proofErr w:type="gramEnd"/>
      <w:r w:rsidRPr="00E801C4">
        <w:rPr>
          <w:rFonts w:hint="eastAsia"/>
        </w:rPr>
        <w:t>秘密審理</w:t>
      </w:r>
      <w:r>
        <w:rPr>
          <w:rFonts w:hint="eastAsia"/>
        </w:rPr>
        <w:t>，</w:t>
      </w:r>
      <w:proofErr w:type="gramStart"/>
      <w:r>
        <w:rPr>
          <w:rFonts w:hint="eastAsia"/>
        </w:rPr>
        <w:t>外界迭有質疑</w:t>
      </w:r>
      <w:proofErr w:type="gramEnd"/>
      <w:r w:rsidRPr="00E801C4">
        <w:rPr>
          <w:rFonts w:hint="eastAsia"/>
        </w:rPr>
        <w:t>少數法官及少年調查官應調查證據未調查</w:t>
      </w:r>
      <w:r>
        <w:rPr>
          <w:rFonts w:hint="eastAsia"/>
        </w:rPr>
        <w:t>、</w:t>
      </w:r>
      <w:r w:rsidRPr="00E801C4">
        <w:rPr>
          <w:rFonts w:hint="eastAsia"/>
        </w:rPr>
        <w:t>強</w:t>
      </w:r>
      <w:r>
        <w:rPr>
          <w:rFonts w:hint="eastAsia"/>
        </w:rPr>
        <w:t>迫</w:t>
      </w:r>
      <w:r w:rsidRPr="00E801C4">
        <w:rPr>
          <w:rFonts w:hint="eastAsia"/>
        </w:rPr>
        <w:t>少年認罪</w:t>
      </w:r>
      <w:r>
        <w:rPr>
          <w:rFonts w:hint="eastAsia"/>
        </w:rPr>
        <w:t>，</w:t>
      </w:r>
      <w:r w:rsidRPr="00E801C4">
        <w:rPr>
          <w:rFonts w:hint="eastAsia"/>
        </w:rPr>
        <w:t>忽略少年權益等</w:t>
      </w:r>
      <w:r>
        <w:rPr>
          <w:rFonts w:hint="eastAsia"/>
        </w:rPr>
        <w:t>，並指出實務上的種種流弊如下：</w:t>
      </w:r>
    </w:p>
    <w:p w:rsidR="00F775A5" w:rsidRDefault="00F775A5" w:rsidP="0007495F">
      <w:pPr>
        <w:pStyle w:val="4"/>
      </w:pPr>
      <w:r>
        <w:rPr>
          <w:rFonts w:hint="eastAsia"/>
        </w:rPr>
        <w:t>李茂生教</w:t>
      </w:r>
      <w:r w:rsidRPr="00903D41">
        <w:rPr>
          <w:rFonts w:hint="eastAsia"/>
        </w:rPr>
        <w:t>授</w:t>
      </w:r>
      <w:r>
        <w:rPr>
          <w:rFonts w:hint="eastAsia"/>
        </w:rPr>
        <w:t>指出</w:t>
      </w:r>
      <w:r>
        <w:rPr>
          <w:rStyle w:val="aff"/>
        </w:rPr>
        <w:footnoteReference w:id="9"/>
      </w:r>
      <w:r>
        <w:rPr>
          <w:rFonts w:hint="eastAsia"/>
        </w:rPr>
        <w:t>：</w:t>
      </w:r>
    </w:p>
    <w:p w:rsidR="00F775A5" w:rsidRDefault="00F775A5" w:rsidP="00903D41">
      <w:pPr>
        <w:pStyle w:val="5"/>
      </w:pPr>
      <w:r>
        <w:rPr>
          <w:rFonts w:hint="eastAsia"/>
        </w:rPr>
        <w:t>少年保護事件審理細則第19條所謂「協商裁定」係規定「相對不付審理」之案件得由書記官將主文記載於筆錄，</w:t>
      </w:r>
      <w:proofErr w:type="gramStart"/>
      <w:r>
        <w:rPr>
          <w:rFonts w:hint="eastAsia"/>
        </w:rPr>
        <w:t>不</w:t>
      </w:r>
      <w:proofErr w:type="gramEnd"/>
      <w:r>
        <w:rPr>
          <w:rFonts w:hint="eastAsia"/>
        </w:rPr>
        <w:t>另作裁定書。其目的在針對輕微案件，在第一層保護圈（同心圓理論，少年為核心，親權人及教育人員為第一層保護圈）仍可發揮功能或有其他替代方案時，抑止第二層保護圈（少年法官、檢察官與調查官）的發動，減少刑事司法系統干預的機率。因此以宣告筆錄代裁定只是一種籌碼，而且是一種權宜之計，限於輕微案件始可適用，不得任意擴張。</w:t>
      </w:r>
    </w:p>
    <w:p w:rsidR="00F775A5" w:rsidRDefault="00F775A5" w:rsidP="00903D41">
      <w:pPr>
        <w:pStyle w:val="5"/>
      </w:pPr>
      <w:r>
        <w:rPr>
          <w:rFonts w:hint="eastAsia"/>
        </w:rPr>
        <w:t>依少年保護事件審理細則第40條規定，不論裁</w:t>
      </w:r>
      <w:r>
        <w:rPr>
          <w:rFonts w:hint="eastAsia"/>
        </w:rPr>
        <w:lastRenderedPageBreak/>
        <w:t>定的內容係保護處分或不付審理，只要經過少年等人的同意，即可以不製作裁定書而以宣示裁定的筆錄代之。官方指出其立意在於使法官把撰寫裁定書的精力用在審理上。然而法官如有將大部分精力放在審理上，則會有法官、調查官等為深邃思考的紀錄，法官大可依據這些筆錄做出最終決定，並將思考的流程</w:t>
      </w:r>
      <w:r w:rsidR="004974BF">
        <w:rPr>
          <w:rFonts w:hint="eastAsia"/>
        </w:rPr>
        <w:t>記</w:t>
      </w:r>
      <w:r>
        <w:rPr>
          <w:rFonts w:hint="eastAsia"/>
        </w:rPr>
        <w:t>錄於裁定書內，此時裁定書的製作不必省，也不應該省。</w:t>
      </w:r>
    </w:p>
    <w:p w:rsidR="00F775A5" w:rsidRDefault="00F775A5" w:rsidP="00903D41">
      <w:pPr>
        <w:pStyle w:val="5"/>
      </w:pPr>
      <w:r>
        <w:rPr>
          <w:rFonts w:hint="eastAsia"/>
        </w:rPr>
        <w:t>事實上會因為</w:t>
      </w:r>
      <w:proofErr w:type="gramStart"/>
      <w:r>
        <w:rPr>
          <w:rFonts w:hint="eastAsia"/>
        </w:rPr>
        <w:t>準</w:t>
      </w:r>
      <w:proofErr w:type="gramEnd"/>
      <w:r>
        <w:rPr>
          <w:rFonts w:hint="eastAsia"/>
        </w:rPr>
        <w:t>用規定而獲得莫大實質利益的法官，應該是那些沒有習慣或專業素養從事</w:t>
      </w:r>
      <w:r w:rsidR="004974BF">
        <w:rPr>
          <w:rFonts w:hint="eastAsia"/>
        </w:rPr>
        <w:t>縝</w:t>
      </w:r>
      <w:r>
        <w:rPr>
          <w:rFonts w:hint="eastAsia"/>
        </w:rPr>
        <w:t>密的思考及審理的法官。如此</w:t>
      </w:r>
      <w:proofErr w:type="gramStart"/>
      <w:r>
        <w:rPr>
          <w:rFonts w:hint="eastAsia"/>
        </w:rPr>
        <w:t>一來，</w:t>
      </w:r>
      <w:proofErr w:type="gramEnd"/>
      <w:r>
        <w:rPr>
          <w:rFonts w:hint="eastAsia"/>
        </w:rPr>
        <w:t>將會有許多不理解司法福利系統的司法人員，競相進入少年司法領域，而其目的僅在於圖謀不用縝密審理，也不用書寫裁定書的利益。而縱或少年及其法定代理人等事後反悔「當初的同意」而經過抗告獲得補寫的裁定書，該裁定書的內容應該也是充滿了搪塞之詞的庸俗之物。</w:t>
      </w:r>
    </w:p>
    <w:p w:rsidR="00F775A5" w:rsidRDefault="00F775A5" w:rsidP="000F64E5">
      <w:pPr>
        <w:pStyle w:val="5"/>
      </w:pPr>
      <w:r>
        <w:rPr>
          <w:rFonts w:hint="eastAsia"/>
        </w:rPr>
        <w:t>因為只要能夠得到法定的「同意」，則可免除書寫裁定書，於是這類法官於審理過程中，有可能只會盡力獲取少年、其法定代理人、輔佐人，甚至於調查官的同意，而不會去著重「實質的」審理流程。在沒有詳細的審理筆錄，也沒有任何的裁定書的情形，我們實在不知道要如何去確定該法官已經審慎地思考過該當事件。</w:t>
      </w:r>
    </w:p>
    <w:p w:rsidR="00F775A5" w:rsidRDefault="00F775A5" w:rsidP="0007495F">
      <w:pPr>
        <w:pStyle w:val="5"/>
      </w:pPr>
      <w:r>
        <w:rPr>
          <w:rFonts w:hint="eastAsia"/>
        </w:rPr>
        <w:t>更為惡劣的情況，當法官為了規避書寫裁定書的責</w:t>
      </w:r>
      <w:r w:rsidR="00C1371C">
        <w:rPr>
          <w:rFonts w:hint="eastAsia"/>
        </w:rPr>
        <w:t>任</w:t>
      </w:r>
      <w:r>
        <w:rPr>
          <w:rFonts w:hint="eastAsia"/>
        </w:rPr>
        <w:t>時，可能以僅處以輕微處分為誘餌，迫使少年或其法定代理人同意法官的決定（包含事後不反悔），這類案例中，根本無法透過粗糙的審理筆錄，發覺刑事司法系統惡質的侵犯。</w:t>
      </w:r>
      <w:r>
        <w:rPr>
          <w:rFonts w:hint="eastAsia"/>
        </w:rPr>
        <w:lastRenderedPageBreak/>
        <w:t>而調查官在法官與少年、其法定代理人、輔佐人的雙重壓力下，亦將放棄其應有的職守，而隨波逐流。</w:t>
      </w:r>
    </w:p>
    <w:p w:rsidR="00F775A5" w:rsidRDefault="00C1371C" w:rsidP="00903D41">
      <w:pPr>
        <w:pStyle w:val="4"/>
      </w:pPr>
      <w:r>
        <w:rPr>
          <w:rFonts w:hint="eastAsia"/>
        </w:rPr>
        <w:t>另</w:t>
      </w:r>
      <w:r w:rsidR="00F775A5">
        <w:rPr>
          <w:rFonts w:hint="eastAsia"/>
        </w:rPr>
        <w:t>黎文德法官為文指出，目前</w:t>
      </w:r>
      <w:r w:rsidR="00F775A5" w:rsidRPr="00A92ED0">
        <w:rPr>
          <w:rFonts w:hint="eastAsia"/>
          <w:u w:val="single"/>
        </w:rPr>
        <w:t>法院之宣示裁定筆錄，未記載事實及理由，而僅從主文內容無從確定案件之基礎事實，法院所認定的事實與移送機關移送</w:t>
      </w:r>
      <w:proofErr w:type="gramStart"/>
      <w:r w:rsidR="00F775A5" w:rsidRPr="00A92ED0">
        <w:rPr>
          <w:rFonts w:hint="eastAsia"/>
          <w:u w:val="single"/>
        </w:rPr>
        <w:t>事實間有無</w:t>
      </w:r>
      <w:proofErr w:type="gramEnd"/>
      <w:r w:rsidR="00F775A5" w:rsidRPr="00A92ED0">
        <w:rPr>
          <w:rFonts w:hint="eastAsia"/>
          <w:u w:val="single"/>
        </w:rPr>
        <w:t>差距？少年日後被再行移送時，亦無從由宣示裁定筆錄查知前案內容</w:t>
      </w:r>
      <w:r w:rsidR="00F775A5">
        <w:rPr>
          <w:rFonts w:hint="eastAsia"/>
        </w:rPr>
        <w:t>。故</w:t>
      </w:r>
      <w:proofErr w:type="gramStart"/>
      <w:r w:rsidR="00F775A5" w:rsidRPr="00A92ED0">
        <w:rPr>
          <w:rFonts w:hint="eastAsia"/>
          <w:u w:val="single"/>
        </w:rPr>
        <w:t>法律宜明定</w:t>
      </w:r>
      <w:proofErr w:type="gramEnd"/>
      <w:r w:rsidR="00F775A5" w:rsidRPr="00A92ED0">
        <w:rPr>
          <w:rFonts w:hint="eastAsia"/>
          <w:u w:val="single"/>
        </w:rPr>
        <w:t>裁定筆錄一定格式，至少將非行的態樣、時間、地點、被害人、財物損害情形及共同行為人等為簡易的記載</w:t>
      </w:r>
      <w:r w:rsidR="00F775A5">
        <w:rPr>
          <w:rFonts w:hint="eastAsia"/>
        </w:rPr>
        <w:t>。</w:t>
      </w:r>
      <w:r w:rsidR="00F775A5">
        <w:rPr>
          <w:rStyle w:val="aff"/>
        </w:rPr>
        <w:footnoteReference w:id="10"/>
      </w:r>
    </w:p>
    <w:p w:rsidR="00F775A5" w:rsidRDefault="00F775A5" w:rsidP="0007495F">
      <w:pPr>
        <w:pStyle w:val="4"/>
      </w:pPr>
      <w:proofErr w:type="gramStart"/>
      <w:r>
        <w:rPr>
          <w:rFonts w:hint="eastAsia"/>
        </w:rPr>
        <w:t>此外，</w:t>
      </w:r>
      <w:proofErr w:type="gramEnd"/>
      <w:r>
        <w:rPr>
          <w:rFonts w:hint="eastAsia"/>
        </w:rPr>
        <w:t>少年司法實務曾反省「少年保護事件審理細則第40條第2項保護處分之裁定</w:t>
      </w:r>
      <w:proofErr w:type="gramStart"/>
      <w:r>
        <w:rPr>
          <w:rFonts w:hint="eastAsia"/>
        </w:rPr>
        <w:t>準</w:t>
      </w:r>
      <w:proofErr w:type="gramEnd"/>
      <w:r>
        <w:rPr>
          <w:rFonts w:hint="eastAsia"/>
        </w:rPr>
        <w:t>用『宣示筆錄』，在實務運作上有窒礙難行之處」</w:t>
      </w:r>
      <w:r>
        <w:rPr>
          <w:rStyle w:val="aff"/>
        </w:rPr>
        <w:footnoteReference w:id="11"/>
      </w:r>
      <w:r>
        <w:rPr>
          <w:rFonts w:hint="eastAsia"/>
        </w:rPr>
        <w:t>，指出下列問題：</w:t>
      </w:r>
    </w:p>
    <w:p w:rsidR="00F775A5" w:rsidRDefault="00F775A5" w:rsidP="0007495F">
      <w:pPr>
        <w:pStyle w:val="5"/>
      </w:pPr>
      <w:r w:rsidRPr="00681E4B">
        <w:rPr>
          <w:rFonts w:hint="eastAsia"/>
        </w:rPr>
        <w:t>感化教育與安置輔導均涉及人身自由之重大處分</w:t>
      </w:r>
      <w:r>
        <w:rPr>
          <w:rFonts w:hint="eastAsia"/>
        </w:rPr>
        <w:t>，唯</w:t>
      </w:r>
      <w:proofErr w:type="gramStart"/>
      <w:r w:rsidRPr="00681E4B">
        <w:rPr>
          <w:rFonts w:hint="eastAsia"/>
        </w:rPr>
        <w:t>目前均以</w:t>
      </w:r>
      <w:proofErr w:type="gramEnd"/>
      <w:r w:rsidRPr="00681E4B">
        <w:rPr>
          <w:rFonts w:hint="eastAsia"/>
        </w:rPr>
        <w:t>「宣示筆錄」代裁定書，此係依少年保護事件審理細則第40條第2項保護處分之裁定</w:t>
      </w:r>
      <w:proofErr w:type="gramStart"/>
      <w:r w:rsidRPr="00681E4B">
        <w:rPr>
          <w:rFonts w:hint="eastAsia"/>
        </w:rPr>
        <w:t>準</w:t>
      </w:r>
      <w:proofErr w:type="gramEnd"/>
      <w:r w:rsidRPr="00681E4B">
        <w:rPr>
          <w:rFonts w:hint="eastAsia"/>
        </w:rPr>
        <w:t>用同細則第19條僅由書記官將主文記載於筆錄，</w:t>
      </w:r>
      <w:proofErr w:type="gramStart"/>
      <w:r w:rsidRPr="00681E4B">
        <w:rPr>
          <w:rFonts w:hint="eastAsia"/>
        </w:rPr>
        <w:t>不</w:t>
      </w:r>
      <w:proofErr w:type="gramEnd"/>
      <w:r w:rsidRPr="00681E4B">
        <w:rPr>
          <w:rFonts w:hint="eastAsia"/>
        </w:rPr>
        <w:t>另作裁定書，事實及</w:t>
      </w:r>
      <w:proofErr w:type="gramStart"/>
      <w:r w:rsidRPr="00681E4B">
        <w:rPr>
          <w:rFonts w:hint="eastAsia"/>
        </w:rPr>
        <w:t>理由均付之</w:t>
      </w:r>
      <w:proofErr w:type="gramEnd"/>
      <w:r w:rsidRPr="00681E4B">
        <w:rPr>
          <w:rFonts w:hint="eastAsia"/>
        </w:rPr>
        <w:t>闕如，經常讓執行者接獲宣示筆錄時，不解少年為何被法官裁處感化教育或安置輔導之理由</w:t>
      </w:r>
      <w:r>
        <w:rPr>
          <w:rFonts w:hint="eastAsia"/>
        </w:rPr>
        <w:t>？</w:t>
      </w:r>
    </w:p>
    <w:p w:rsidR="00F775A5" w:rsidRDefault="00F775A5" w:rsidP="0007495F">
      <w:pPr>
        <w:pStyle w:val="5"/>
      </w:pPr>
      <w:r w:rsidRPr="00B23C4D">
        <w:rPr>
          <w:rFonts w:hint="eastAsia"/>
        </w:rPr>
        <w:t>輔導人員</w:t>
      </w:r>
      <w:r>
        <w:rPr>
          <w:rFonts w:hint="eastAsia"/>
        </w:rPr>
        <w:t>無法瞭解少年非行動機、目的、手段、行為時所受之刺激、非行後態度等諸多因素，</w:t>
      </w:r>
      <w:r w:rsidRPr="00681E4B">
        <w:rPr>
          <w:rFonts w:hint="eastAsia"/>
          <w:u w:val="single"/>
        </w:rPr>
        <w:lastRenderedPageBreak/>
        <w:t>無從據以擬訂輔導計畫，對個案輔導毫無助益</w:t>
      </w:r>
      <w:r>
        <w:rPr>
          <w:rFonts w:hint="eastAsia"/>
        </w:rPr>
        <w:t>，在今日講求透明、有效率、便民的司法與提昇競爭力原則之下，</w:t>
      </w:r>
      <w:r w:rsidRPr="00681E4B">
        <w:rPr>
          <w:rFonts w:hint="eastAsia"/>
          <w:u w:val="single"/>
        </w:rPr>
        <w:t>對於</w:t>
      </w:r>
      <w:proofErr w:type="gramStart"/>
      <w:r w:rsidRPr="00681E4B">
        <w:rPr>
          <w:rFonts w:hint="eastAsia"/>
          <w:u w:val="single"/>
        </w:rPr>
        <w:t>攸</w:t>
      </w:r>
      <w:proofErr w:type="gramEnd"/>
      <w:r w:rsidRPr="00681E4B">
        <w:rPr>
          <w:rFonts w:hint="eastAsia"/>
          <w:u w:val="single"/>
        </w:rPr>
        <w:t>關人權至</w:t>
      </w:r>
      <w:proofErr w:type="gramStart"/>
      <w:r w:rsidRPr="00681E4B">
        <w:rPr>
          <w:rFonts w:hint="eastAsia"/>
          <w:u w:val="single"/>
        </w:rPr>
        <w:t>鉅</w:t>
      </w:r>
      <w:proofErr w:type="gramEnd"/>
      <w:r w:rsidRPr="00681E4B">
        <w:rPr>
          <w:rFonts w:hint="eastAsia"/>
          <w:u w:val="single"/>
        </w:rPr>
        <w:t>之感化教育與安置輔導處分，以宣示筆錄代裁定書，無法彰顯法官如何保障少年健全之自我成長，調整其成長環境，矯治其性格之立法意旨，就被害人層面而言，亦無法顯現公平正義，予人有感於少年事件不被重視之缺憾</w:t>
      </w:r>
      <w:r>
        <w:rPr>
          <w:rFonts w:hint="eastAsia"/>
        </w:rPr>
        <w:t>，區區一紙宣示筆錄，如何洞悉法官裁處感化教育與安置輔導處分之理由何在？被害人亦難以接受此種「改良式裁定書」，如不服宣示筆錄所載之裁定，如何提出完備之抗告理由？無法保障被害人權益，保障人權的司法，徒具口號而已。</w:t>
      </w:r>
    </w:p>
    <w:p w:rsidR="00F775A5" w:rsidRDefault="00F775A5" w:rsidP="0007495F">
      <w:pPr>
        <w:pStyle w:val="5"/>
      </w:pPr>
      <w:r w:rsidRPr="001E0D62">
        <w:rPr>
          <w:rFonts w:hint="eastAsia"/>
        </w:rPr>
        <w:t>建議修正少年保護事件審理細則第40條第2項，感化教育與安置輔導之裁定應</w:t>
      </w:r>
      <w:proofErr w:type="gramStart"/>
      <w:r w:rsidRPr="001E0D62">
        <w:rPr>
          <w:rFonts w:hint="eastAsia"/>
        </w:rPr>
        <w:t>準</w:t>
      </w:r>
      <w:proofErr w:type="gramEnd"/>
      <w:r w:rsidRPr="001E0D62">
        <w:rPr>
          <w:rFonts w:hint="eastAsia"/>
        </w:rPr>
        <w:t>用刑事訴訟法第30</w:t>
      </w:r>
      <w:r w:rsidRPr="0007495F">
        <w:rPr>
          <w:rStyle w:val="50"/>
          <w:rFonts w:hint="eastAsia"/>
        </w:rPr>
        <w:t>8</w:t>
      </w:r>
      <w:r w:rsidRPr="001E0D62">
        <w:rPr>
          <w:rFonts w:hint="eastAsia"/>
        </w:rPr>
        <w:t>條規定，裁定書應分別記載裁定之主文事實及理由，不宜</w:t>
      </w:r>
      <w:r w:rsidR="00DC136D">
        <w:rPr>
          <w:rFonts w:hint="eastAsia"/>
        </w:rPr>
        <w:t>以</w:t>
      </w:r>
      <w:r w:rsidRPr="001E0D62">
        <w:rPr>
          <w:rFonts w:hint="eastAsia"/>
        </w:rPr>
        <w:t>「宣示筆錄」代裁定</w:t>
      </w:r>
      <w:r>
        <w:rPr>
          <w:rFonts w:hint="eastAsia"/>
        </w:rPr>
        <w:t>，以落實司法為民之理念。</w:t>
      </w:r>
    </w:p>
    <w:p w:rsidR="00F775A5" w:rsidRDefault="00F775A5" w:rsidP="0007495F">
      <w:pPr>
        <w:pStyle w:val="3"/>
      </w:pPr>
      <w:r w:rsidRPr="00A15739">
        <w:rPr>
          <w:rFonts w:hint="eastAsia"/>
        </w:rPr>
        <w:t>102年迄今，各地方（少年及家事）法院</w:t>
      </w:r>
      <w:r w:rsidRPr="001D5607">
        <w:rPr>
          <w:rFonts w:hint="eastAsia"/>
          <w:u w:val="single"/>
        </w:rPr>
        <w:t>以宣示筆錄代替裁定書</w:t>
      </w:r>
      <w:r w:rsidRPr="00A15739">
        <w:rPr>
          <w:rFonts w:hint="eastAsia"/>
        </w:rPr>
        <w:t>所為少事法第42條第1項第2款至第4款之保護處分案件數</w:t>
      </w:r>
      <w:r w:rsidRPr="007E330B">
        <w:rPr>
          <w:rFonts w:hint="eastAsia"/>
        </w:rPr>
        <w:t>占各類保護處分裁定之比率</w:t>
      </w:r>
      <w:r>
        <w:rPr>
          <w:rFonts w:hint="eastAsia"/>
        </w:rPr>
        <w:t>如下表（90％以上者以粗體表示）：</w:t>
      </w:r>
    </w:p>
    <w:tbl>
      <w:tblPr>
        <w:tblW w:w="5033" w:type="pct"/>
        <w:tblLayout w:type="fixed"/>
        <w:tblCellMar>
          <w:left w:w="28" w:type="dxa"/>
          <w:right w:w="28" w:type="dxa"/>
        </w:tblCellMar>
        <w:tblLook w:val="04A0" w:firstRow="1" w:lastRow="0" w:firstColumn="1" w:lastColumn="0" w:noHBand="0" w:noVBand="1"/>
      </w:tblPr>
      <w:tblGrid>
        <w:gridCol w:w="1568"/>
        <w:gridCol w:w="845"/>
        <w:gridCol w:w="1830"/>
        <w:gridCol w:w="566"/>
        <w:gridCol w:w="1688"/>
        <w:gridCol w:w="706"/>
        <w:gridCol w:w="1689"/>
      </w:tblGrid>
      <w:tr w:rsidR="00F775A5" w:rsidRPr="00DF3D76" w:rsidTr="004C6913">
        <w:trPr>
          <w:trHeight w:val="330"/>
        </w:trPr>
        <w:tc>
          <w:tcPr>
            <w:tcW w:w="882"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75A5" w:rsidRPr="007E330B" w:rsidRDefault="00F775A5" w:rsidP="004C6913">
            <w:pPr>
              <w:widowControl/>
              <w:rPr>
                <w:rFonts w:hAnsi="標楷體" w:cs="新細明體"/>
                <w:b/>
                <w:bCs/>
                <w:color w:val="000000"/>
                <w:kern w:val="0"/>
                <w:sz w:val="28"/>
                <w:szCs w:val="28"/>
              </w:rPr>
            </w:pPr>
            <w:r w:rsidRPr="007E330B">
              <w:rPr>
                <w:rFonts w:hAnsi="標楷體" w:cs="新細明體" w:hint="eastAsia"/>
                <w:b/>
                <w:bCs/>
                <w:color w:val="000000"/>
                <w:kern w:val="0"/>
                <w:sz w:val="28"/>
                <w:szCs w:val="28"/>
              </w:rPr>
              <w:t>法院名稱</w:t>
            </w:r>
          </w:p>
        </w:tc>
        <w:tc>
          <w:tcPr>
            <w:tcW w:w="1504"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F775A5" w:rsidRDefault="00F775A5" w:rsidP="004C6913">
            <w:pPr>
              <w:widowControl/>
              <w:jc w:val="center"/>
              <w:rPr>
                <w:rFonts w:hAnsi="標楷體" w:cs="新細明體"/>
                <w:b/>
                <w:bCs/>
                <w:color w:val="000000"/>
                <w:kern w:val="0"/>
                <w:sz w:val="28"/>
                <w:szCs w:val="28"/>
              </w:rPr>
            </w:pPr>
            <w:r w:rsidRPr="007E330B">
              <w:rPr>
                <w:rFonts w:hAnsi="標楷體" w:cs="新細明體" w:hint="eastAsia"/>
                <w:b/>
                <w:bCs/>
                <w:color w:val="000000"/>
                <w:kern w:val="0"/>
                <w:sz w:val="28"/>
                <w:szCs w:val="28"/>
              </w:rPr>
              <w:t>第2款處分</w:t>
            </w:r>
          </w:p>
          <w:p w:rsidR="00F775A5" w:rsidRPr="007E330B" w:rsidRDefault="00F775A5" w:rsidP="004C6913">
            <w:pPr>
              <w:widowControl/>
              <w:jc w:val="center"/>
              <w:rPr>
                <w:rFonts w:hAnsi="標楷體" w:cs="新細明體"/>
                <w:b/>
                <w:bCs/>
                <w:color w:val="000000"/>
                <w:kern w:val="0"/>
                <w:sz w:val="28"/>
                <w:szCs w:val="28"/>
              </w:rPr>
            </w:pPr>
            <w:r>
              <w:rPr>
                <w:rFonts w:hAnsi="標楷體" w:cs="新細明體" w:hint="eastAsia"/>
                <w:b/>
                <w:bCs/>
                <w:color w:val="000000"/>
                <w:kern w:val="0"/>
                <w:sz w:val="28"/>
                <w:szCs w:val="28"/>
              </w:rPr>
              <w:t>（交付保護管束）</w:t>
            </w:r>
          </w:p>
        </w:tc>
        <w:tc>
          <w:tcPr>
            <w:tcW w:w="1267"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F775A5" w:rsidRDefault="00F775A5" w:rsidP="004C6913">
            <w:pPr>
              <w:widowControl/>
              <w:jc w:val="center"/>
              <w:rPr>
                <w:rFonts w:hAnsi="標楷體" w:cs="新細明體"/>
                <w:b/>
                <w:bCs/>
                <w:color w:val="000000"/>
                <w:kern w:val="0"/>
                <w:sz w:val="28"/>
                <w:szCs w:val="28"/>
              </w:rPr>
            </w:pPr>
            <w:r w:rsidRPr="007E330B">
              <w:rPr>
                <w:rFonts w:hAnsi="標楷體" w:cs="新細明體" w:hint="eastAsia"/>
                <w:b/>
                <w:bCs/>
                <w:color w:val="000000"/>
                <w:kern w:val="0"/>
                <w:sz w:val="28"/>
                <w:szCs w:val="28"/>
              </w:rPr>
              <w:t>第3款處分</w:t>
            </w:r>
          </w:p>
          <w:p w:rsidR="00F775A5" w:rsidRPr="007E330B" w:rsidRDefault="00F775A5" w:rsidP="004C6913">
            <w:pPr>
              <w:widowControl/>
              <w:jc w:val="center"/>
              <w:rPr>
                <w:rFonts w:hAnsi="標楷體" w:cs="新細明體"/>
                <w:b/>
                <w:bCs/>
                <w:color w:val="000000"/>
                <w:kern w:val="0"/>
                <w:sz w:val="28"/>
                <w:szCs w:val="28"/>
              </w:rPr>
            </w:pPr>
            <w:r>
              <w:rPr>
                <w:rFonts w:hAnsi="標楷體" w:cs="新細明體" w:hint="eastAsia"/>
                <w:b/>
                <w:bCs/>
                <w:color w:val="000000"/>
                <w:kern w:val="0"/>
                <w:sz w:val="28"/>
                <w:szCs w:val="28"/>
              </w:rPr>
              <w:t>（交付安置於福利教養機構）</w:t>
            </w:r>
          </w:p>
        </w:tc>
        <w:tc>
          <w:tcPr>
            <w:tcW w:w="1347"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F775A5" w:rsidRDefault="00F775A5" w:rsidP="004C6913">
            <w:pPr>
              <w:widowControl/>
              <w:jc w:val="center"/>
              <w:rPr>
                <w:rFonts w:hAnsi="標楷體" w:cs="新細明體"/>
                <w:b/>
                <w:bCs/>
                <w:color w:val="000000"/>
                <w:kern w:val="0"/>
                <w:sz w:val="28"/>
                <w:szCs w:val="28"/>
              </w:rPr>
            </w:pPr>
            <w:r w:rsidRPr="007E330B">
              <w:rPr>
                <w:rFonts w:hAnsi="標楷體" w:cs="新細明體" w:hint="eastAsia"/>
                <w:b/>
                <w:bCs/>
                <w:color w:val="000000"/>
                <w:kern w:val="0"/>
                <w:sz w:val="28"/>
                <w:szCs w:val="28"/>
              </w:rPr>
              <w:t>第4款處分</w:t>
            </w:r>
          </w:p>
          <w:p w:rsidR="00F775A5" w:rsidRPr="007E330B" w:rsidRDefault="00F775A5" w:rsidP="004C6913">
            <w:pPr>
              <w:widowControl/>
              <w:jc w:val="center"/>
              <w:rPr>
                <w:rFonts w:hAnsi="標楷體" w:cs="新細明體"/>
                <w:b/>
                <w:bCs/>
                <w:color w:val="000000"/>
                <w:kern w:val="0"/>
                <w:sz w:val="28"/>
                <w:szCs w:val="28"/>
              </w:rPr>
            </w:pPr>
            <w:r>
              <w:rPr>
                <w:rFonts w:hAnsi="標楷體" w:cs="新細明體" w:hint="eastAsia"/>
                <w:b/>
                <w:bCs/>
                <w:color w:val="000000"/>
                <w:kern w:val="0"/>
                <w:sz w:val="28"/>
                <w:szCs w:val="28"/>
              </w:rPr>
              <w:t>（感化教育）</w:t>
            </w:r>
          </w:p>
        </w:tc>
      </w:tr>
      <w:tr w:rsidR="00F775A5" w:rsidRPr="00DF3D76" w:rsidTr="004C6913">
        <w:trPr>
          <w:trHeight w:val="330"/>
        </w:trPr>
        <w:tc>
          <w:tcPr>
            <w:tcW w:w="882" w:type="pct"/>
            <w:vMerge/>
            <w:tcBorders>
              <w:top w:val="single" w:sz="4" w:space="0" w:color="auto"/>
              <w:left w:val="single" w:sz="4" w:space="0" w:color="auto"/>
              <w:bottom w:val="single" w:sz="4" w:space="0" w:color="auto"/>
              <w:right w:val="single" w:sz="4" w:space="0" w:color="auto"/>
            </w:tcBorders>
            <w:vAlign w:val="center"/>
            <w:hideMark/>
          </w:tcPr>
          <w:p w:rsidR="00F775A5" w:rsidRPr="007E330B" w:rsidRDefault="00F775A5" w:rsidP="004C6913">
            <w:pPr>
              <w:widowControl/>
              <w:rPr>
                <w:rFonts w:hAnsi="標楷體" w:cs="新細明體"/>
                <w:b/>
                <w:bCs/>
                <w:color w:val="000000"/>
                <w:kern w:val="0"/>
                <w:sz w:val="28"/>
                <w:szCs w:val="28"/>
              </w:rPr>
            </w:pPr>
          </w:p>
        </w:tc>
        <w:tc>
          <w:tcPr>
            <w:tcW w:w="475" w:type="pct"/>
            <w:tcBorders>
              <w:top w:val="nil"/>
              <w:left w:val="nil"/>
              <w:bottom w:val="single" w:sz="4" w:space="0" w:color="auto"/>
              <w:right w:val="single" w:sz="4" w:space="0" w:color="auto"/>
            </w:tcBorders>
            <w:shd w:val="clear" w:color="000000" w:fill="FFFFFF"/>
            <w:vAlign w:val="center"/>
            <w:hideMark/>
          </w:tcPr>
          <w:p w:rsidR="00F775A5" w:rsidRPr="007E330B" w:rsidRDefault="00F775A5" w:rsidP="004C6913">
            <w:pPr>
              <w:widowControl/>
              <w:rPr>
                <w:rFonts w:hAnsi="標楷體" w:cs="新細明體"/>
                <w:b/>
                <w:bCs/>
                <w:color w:val="000000"/>
                <w:kern w:val="0"/>
                <w:sz w:val="28"/>
                <w:szCs w:val="28"/>
              </w:rPr>
            </w:pPr>
            <w:r w:rsidRPr="007E330B">
              <w:rPr>
                <w:rFonts w:hAnsi="標楷體" w:cs="新細明體" w:hint="eastAsia"/>
                <w:b/>
                <w:bCs/>
                <w:color w:val="000000"/>
                <w:kern w:val="0"/>
                <w:sz w:val="28"/>
                <w:szCs w:val="28"/>
              </w:rPr>
              <w:t>總件數(</w:t>
            </w:r>
            <w:proofErr w:type="gramStart"/>
            <w:r w:rsidRPr="007E330B">
              <w:rPr>
                <w:rFonts w:hAnsi="標楷體" w:cs="新細明體" w:hint="eastAsia"/>
                <w:b/>
                <w:bCs/>
                <w:color w:val="000000"/>
                <w:kern w:val="0"/>
                <w:sz w:val="28"/>
                <w:szCs w:val="28"/>
              </w:rPr>
              <w:t>註</w:t>
            </w:r>
            <w:proofErr w:type="gramEnd"/>
            <w:r w:rsidRPr="007E330B">
              <w:rPr>
                <w:rFonts w:hAnsi="標楷體" w:cs="新細明體" w:hint="eastAsia"/>
                <w:b/>
                <w:bCs/>
                <w:color w:val="000000"/>
                <w:kern w:val="0"/>
                <w:sz w:val="28"/>
                <w:szCs w:val="28"/>
              </w:rPr>
              <w:t>1)</w:t>
            </w:r>
          </w:p>
        </w:tc>
        <w:tc>
          <w:tcPr>
            <w:tcW w:w="1029" w:type="pct"/>
            <w:tcBorders>
              <w:top w:val="nil"/>
              <w:left w:val="nil"/>
              <w:bottom w:val="single" w:sz="4" w:space="0" w:color="auto"/>
              <w:right w:val="single" w:sz="4" w:space="0" w:color="auto"/>
            </w:tcBorders>
            <w:shd w:val="clear" w:color="000000" w:fill="D0CECE"/>
            <w:vAlign w:val="center"/>
            <w:hideMark/>
          </w:tcPr>
          <w:p w:rsidR="00F775A5" w:rsidRPr="007E330B" w:rsidRDefault="00F775A5" w:rsidP="004C6913">
            <w:pPr>
              <w:widowControl/>
              <w:rPr>
                <w:rFonts w:hAnsi="標楷體" w:cs="新細明體"/>
                <w:b/>
                <w:bCs/>
                <w:color w:val="000000"/>
                <w:kern w:val="0"/>
                <w:sz w:val="28"/>
                <w:szCs w:val="28"/>
              </w:rPr>
            </w:pPr>
            <w:r w:rsidRPr="007E330B">
              <w:rPr>
                <w:rFonts w:hAnsi="標楷體" w:cs="新細明體" w:hint="eastAsia"/>
                <w:b/>
                <w:bCs/>
                <w:color w:val="000000"/>
                <w:kern w:val="0"/>
                <w:sz w:val="28"/>
                <w:szCs w:val="28"/>
              </w:rPr>
              <w:t>宣示筆錄案件數(</w:t>
            </w:r>
            <w:proofErr w:type="gramStart"/>
            <w:r w:rsidRPr="007E330B">
              <w:rPr>
                <w:rFonts w:hAnsi="標楷體" w:cs="新細明體" w:hint="eastAsia"/>
                <w:b/>
                <w:bCs/>
                <w:color w:val="000000"/>
                <w:kern w:val="0"/>
                <w:sz w:val="28"/>
                <w:szCs w:val="28"/>
              </w:rPr>
              <w:t>註</w:t>
            </w:r>
            <w:proofErr w:type="gramEnd"/>
            <w:r w:rsidRPr="007E330B">
              <w:rPr>
                <w:rFonts w:hAnsi="標楷體" w:cs="新細明體" w:hint="eastAsia"/>
                <w:b/>
                <w:bCs/>
                <w:color w:val="000000"/>
                <w:kern w:val="0"/>
                <w:sz w:val="28"/>
                <w:szCs w:val="28"/>
              </w:rPr>
              <w:t>2)</w:t>
            </w:r>
          </w:p>
        </w:tc>
        <w:tc>
          <w:tcPr>
            <w:tcW w:w="318" w:type="pct"/>
            <w:tcBorders>
              <w:top w:val="nil"/>
              <w:left w:val="nil"/>
              <w:bottom w:val="single" w:sz="4" w:space="0" w:color="auto"/>
              <w:right w:val="single" w:sz="4" w:space="0" w:color="auto"/>
            </w:tcBorders>
            <w:shd w:val="clear" w:color="000000" w:fill="FFFFFF"/>
            <w:noWrap/>
            <w:vAlign w:val="center"/>
            <w:hideMark/>
          </w:tcPr>
          <w:p w:rsidR="00F775A5" w:rsidRPr="007E330B" w:rsidRDefault="00F775A5" w:rsidP="004C6913">
            <w:pPr>
              <w:widowControl/>
              <w:rPr>
                <w:rFonts w:hAnsi="標楷體" w:cs="新細明體"/>
                <w:b/>
                <w:bCs/>
                <w:color w:val="000000"/>
                <w:kern w:val="0"/>
                <w:sz w:val="28"/>
                <w:szCs w:val="28"/>
              </w:rPr>
            </w:pPr>
            <w:r w:rsidRPr="007E330B">
              <w:rPr>
                <w:rFonts w:hAnsi="標楷體" w:cs="新細明體" w:hint="eastAsia"/>
                <w:b/>
                <w:bCs/>
                <w:color w:val="000000"/>
                <w:kern w:val="0"/>
                <w:sz w:val="28"/>
                <w:szCs w:val="28"/>
              </w:rPr>
              <w:t>總件數</w:t>
            </w:r>
          </w:p>
        </w:tc>
        <w:tc>
          <w:tcPr>
            <w:tcW w:w="949" w:type="pct"/>
            <w:tcBorders>
              <w:top w:val="nil"/>
              <w:left w:val="nil"/>
              <w:bottom w:val="single" w:sz="4" w:space="0" w:color="auto"/>
              <w:right w:val="single" w:sz="4" w:space="0" w:color="auto"/>
            </w:tcBorders>
            <w:shd w:val="clear" w:color="000000" w:fill="D0CECE"/>
            <w:noWrap/>
            <w:vAlign w:val="center"/>
            <w:hideMark/>
          </w:tcPr>
          <w:p w:rsidR="00F775A5" w:rsidRPr="007E330B" w:rsidRDefault="00F775A5" w:rsidP="004C6913">
            <w:pPr>
              <w:widowControl/>
              <w:rPr>
                <w:rFonts w:hAnsi="標楷體" w:cs="新細明體"/>
                <w:b/>
                <w:bCs/>
                <w:color w:val="000000"/>
                <w:kern w:val="0"/>
                <w:sz w:val="28"/>
                <w:szCs w:val="28"/>
              </w:rPr>
            </w:pPr>
            <w:r w:rsidRPr="007E330B">
              <w:rPr>
                <w:rFonts w:hAnsi="標楷體" w:cs="新細明體" w:hint="eastAsia"/>
                <w:b/>
                <w:bCs/>
                <w:color w:val="000000"/>
                <w:kern w:val="0"/>
                <w:sz w:val="28"/>
                <w:szCs w:val="28"/>
              </w:rPr>
              <w:t>宣示筆錄案件數</w:t>
            </w:r>
          </w:p>
        </w:tc>
        <w:tc>
          <w:tcPr>
            <w:tcW w:w="397" w:type="pct"/>
            <w:tcBorders>
              <w:top w:val="nil"/>
              <w:left w:val="nil"/>
              <w:bottom w:val="single" w:sz="4" w:space="0" w:color="auto"/>
              <w:right w:val="single" w:sz="4" w:space="0" w:color="auto"/>
            </w:tcBorders>
            <w:shd w:val="clear" w:color="000000" w:fill="FFFFFF"/>
            <w:noWrap/>
            <w:vAlign w:val="center"/>
            <w:hideMark/>
          </w:tcPr>
          <w:p w:rsidR="00F775A5" w:rsidRPr="007E330B" w:rsidRDefault="00F775A5" w:rsidP="004C6913">
            <w:pPr>
              <w:widowControl/>
              <w:rPr>
                <w:rFonts w:hAnsi="標楷體" w:cs="新細明體"/>
                <w:b/>
                <w:bCs/>
                <w:color w:val="000000"/>
                <w:kern w:val="0"/>
                <w:sz w:val="28"/>
                <w:szCs w:val="28"/>
              </w:rPr>
            </w:pPr>
            <w:r w:rsidRPr="007E330B">
              <w:rPr>
                <w:rFonts w:hAnsi="標楷體" w:cs="新細明體" w:hint="eastAsia"/>
                <w:b/>
                <w:bCs/>
                <w:color w:val="000000"/>
                <w:kern w:val="0"/>
                <w:sz w:val="28"/>
                <w:szCs w:val="28"/>
              </w:rPr>
              <w:t>總件數</w:t>
            </w:r>
          </w:p>
        </w:tc>
        <w:tc>
          <w:tcPr>
            <w:tcW w:w="950" w:type="pct"/>
            <w:tcBorders>
              <w:top w:val="nil"/>
              <w:left w:val="nil"/>
              <w:bottom w:val="single" w:sz="4" w:space="0" w:color="auto"/>
              <w:right w:val="single" w:sz="4" w:space="0" w:color="auto"/>
            </w:tcBorders>
            <w:shd w:val="clear" w:color="000000" w:fill="D0CECE"/>
            <w:noWrap/>
            <w:vAlign w:val="center"/>
            <w:hideMark/>
          </w:tcPr>
          <w:p w:rsidR="00F775A5" w:rsidRPr="007E330B" w:rsidRDefault="00F775A5" w:rsidP="004C6913">
            <w:pPr>
              <w:widowControl/>
              <w:rPr>
                <w:rFonts w:hAnsi="標楷體" w:cs="新細明體"/>
                <w:b/>
                <w:bCs/>
                <w:color w:val="000000"/>
                <w:kern w:val="0"/>
                <w:sz w:val="28"/>
                <w:szCs w:val="28"/>
              </w:rPr>
            </w:pPr>
            <w:r w:rsidRPr="007E330B">
              <w:rPr>
                <w:rFonts w:hAnsi="標楷體" w:cs="新細明體" w:hint="eastAsia"/>
                <w:b/>
                <w:bCs/>
                <w:color w:val="000000"/>
                <w:kern w:val="0"/>
                <w:sz w:val="28"/>
                <w:szCs w:val="28"/>
              </w:rPr>
              <w:t>宣示筆錄案件數</w:t>
            </w:r>
          </w:p>
        </w:tc>
      </w:tr>
      <w:tr w:rsidR="00F775A5" w:rsidRPr="00DF3D76" w:rsidTr="004C6913">
        <w:trPr>
          <w:trHeight w:val="330"/>
        </w:trPr>
        <w:tc>
          <w:tcPr>
            <w:tcW w:w="882" w:type="pct"/>
            <w:tcBorders>
              <w:top w:val="nil"/>
              <w:left w:val="single" w:sz="4" w:space="0" w:color="auto"/>
              <w:bottom w:val="single" w:sz="4" w:space="0" w:color="auto"/>
              <w:right w:val="single" w:sz="4" w:space="0" w:color="auto"/>
            </w:tcBorders>
            <w:shd w:val="clear" w:color="auto" w:fill="auto"/>
            <w:noWrap/>
            <w:vAlign w:val="center"/>
            <w:hideMark/>
          </w:tcPr>
          <w:p w:rsidR="00F775A5" w:rsidRPr="007E330B" w:rsidRDefault="004974BF" w:rsidP="004C6913">
            <w:pPr>
              <w:widowControl/>
              <w:rPr>
                <w:rFonts w:hAnsi="標楷體" w:cs="新細明體"/>
                <w:b/>
                <w:bCs/>
                <w:color w:val="000000"/>
                <w:kern w:val="0"/>
                <w:sz w:val="28"/>
                <w:szCs w:val="28"/>
              </w:rPr>
            </w:pPr>
            <w:proofErr w:type="gramStart"/>
            <w:r>
              <w:rPr>
                <w:rFonts w:hAnsi="標楷體" w:cs="新細明體" w:hint="eastAsia"/>
                <w:b/>
                <w:bCs/>
                <w:color w:val="000000"/>
                <w:kern w:val="0"/>
                <w:sz w:val="28"/>
                <w:szCs w:val="28"/>
              </w:rPr>
              <w:t>臺</w:t>
            </w:r>
            <w:proofErr w:type="gramEnd"/>
            <w:r w:rsidR="00F775A5" w:rsidRPr="007E330B">
              <w:rPr>
                <w:rFonts w:hAnsi="標楷體" w:cs="新細明體" w:hint="eastAsia"/>
                <w:b/>
                <w:bCs/>
                <w:color w:val="000000"/>
                <w:kern w:val="0"/>
                <w:sz w:val="28"/>
                <w:szCs w:val="28"/>
              </w:rPr>
              <w:t>北地院</w:t>
            </w:r>
          </w:p>
        </w:tc>
        <w:tc>
          <w:tcPr>
            <w:tcW w:w="475"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269</w:t>
            </w:r>
          </w:p>
        </w:tc>
        <w:tc>
          <w:tcPr>
            <w:tcW w:w="1029"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color w:val="000000"/>
                <w:kern w:val="0"/>
                <w:sz w:val="28"/>
                <w:szCs w:val="28"/>
              </w:rPr>
            </w:pPr>
            <w:r w:rsidRPr="007E330B">
              <w:rPr>
                <w:rFonts w:hAnsi="標楷體" w:cs="新細明體" w:hint="eastAsia"/>
                <w:b/>
                <w:color w:val="000000"/>
                <w:kern w:val="0"/>
                <w:sz w:val="28"/>
                <w:szCs w:val="28"/>
              </w:rPr>
              <w:t>261(97%)</w:t>
            </w:r>
          </w:p>
        </w:tc>
        <w:tc>
          <w:tcPr>
            <w:tcW w:w="318"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10</w:t>
            </w:r>
          </w:p>
        </w:tc>
        <w:tc>
          <w:tcPr>
            <w:tcW w:w="949"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color w:val="000000"/>
                <w:kern w:val="0"/>
                <w:sz w:val="28"/>
                <w:szCs w:val="28"/>
              </w:rPr>
            </w:pPr>
            <w:r w:rsidRPr="007E330B">
              <w:rPr>
                <w:rFonts w:hAnsi="標楷體" w:cs="新細明體" w:hint="eastAsia"/>
                <w:b/>
                <w:color w:val="000000"/>
                <w:kern w:val="0"/>
                <w:sz w:val="28"/>
                <w:szCs w:val="28"/>
              </w:rPr>
              <w:t>10(100%)</w:t>
            </w:r>
          </w:p>
        </w:tc>
        <w:tc>
          <w:tcPr>
            <w:tcW w:w="397"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18</w:t>
            </w:r>
          </w:p>
        </w:tc>
        <w:tc>
          <w:tcPr>
            <w:tcW w:w="950"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15(83.3%)</w:t>
            </w:r>
          </w:p>
        </w:tc>
      </w:tr>
      <w:tr w:rsidR="00F775A5" w:rsidRPr="00DF3D76" w:rsidTr="004C6913">
        <w:trPr>
          <w:trHeight w:val="330"/>
        </w:trPr>
        <w:tc>
          <w:tcPr>
            <w:tcW w:w="882" w:type="pct"/>
            <w:tcBorders>
              <w:top w:val="nil"/>
              <w:left w:val="single" w:sz="4" w:space="0" w:color="auto"/>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bCs/>
                <w:color w:val="000000"/>
                <w:kern w:val="0"/>
                <w:sz w:val="28"/>
                <w:szCs w:val="28"/>
              </w:rPr>
            </w:pPr>
            <w:r w:rsidRPr="007E330B">
              <w:rPr>
                <w:rFonts w:hAnsi="標楷體" w:cs="新細明體" w:hint="eastAsia"/>
                <w:b/>
                <w:bCs/>
                <w:color w:val="000000"/>
                <w:kern w:val="0"/>
                <w:sz w:val="28"/>
                <w:szCs w:val="28"/>
              </w:rPr>
              <w:t>士林地院</w:t>
            </w:r>
          </w:p>
        </w:tc>
        <w:tc>
          <w:tcPr>
            <w:tcW w:w="475"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212</w:t>
            </w:r>
          </w:p>
        </w:tc>
        <w:tc>
          <w:tcPr>
            <w:tcW w:w="1029"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color w:val="000000"/>
                <w:kern w:val="0"/>
                <w:sz w:val="28"/>
                <w:szCs w:val="28"/>
              </w:rPr>
            </w:pPr>
            <w:r w:rsidRPr="007E330B">
              <w:rPr>
                <w:rFonts w:hAnsi="標楷體" w:cs="新細明體" w:hint="eastAsia"/>
                <w:b/>
                <w:color w:val="000000"/>
                <w:kern w:val="0"/>
                <w:sz w:val="28"/>
                <w:szCs w:val="28"/>
              </w:rPr>
              <w:t>211(99.5%)</w:t>
            </w:r>
          </w:p>
        </w:tc>
        <w:tc>
          <w:tcPr>
            <w:tcW w:w="318"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13</w:t>
            </w:r>
          </w:p>
        </w:tc>
        <w:tc>
          <w:tcPr>
            <w:tcW w:w="949"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color w:val="000000"/>
                <w:kern w:val="0"/>
                <w:sz w:val="28"/>
                <w:szCs w:val="28"/>
              </w:rPr>
            </w:pPr>
            <w:r w:rsidRPr="007E330B">
              <w:rPr>
                <w:rFonts w:hAnsi="標楷體" w:cs="新細明體" w:hint="eastAsia"/>
                <w:b/>
                <w:color w:val="000000"/>
                <w:kern w:val="0"/>
                <w:sz w:val="28"/>
                <w:szCs w:val="28"/>
              </w:rPr>
              <w:t>13(100%)</w:t>
            </w:r>
          </w:p>
        </w:tc>
        <w:tc>
          <w:tcPr>
            <w:tcW w:w="397"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33</w:t>
            </w:r>
          </w:p>
        </w:tc>
        <w:tc>
          <w:tcPr>
            <w:tcW w:w="950"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color w:val="000000"/>
                <w:kern w:val="0"/>
                <w:sz w:val="28"/>
                <w:szCs w:val="28"/>
              </w:rPr>
            </w:pPr>
            <w:r w:rsidRPr="007E330B">
              <w:rPr>
                <w:rFonts w:hAnsi="標楷體" w:cs="新細明體" w:hint="eastAsia"/>
                <w:b/>
                <w:color w:val="000000"/>
                <w:kern w:val="0"/>
                <w:sz w:val="28"/>
                <w:szCs w:val="28"/>
              </w:rPr>
              <w:t>32(97%)</w:t>
            </w:r>
          </w:p>
        </w:tc>
      </w:tr>
      <w:tr w:rsidR="00F775A5" w:rsidRPr="00DF3D76" w:rsidTr="004C6913">
        <w:trPr>
          <w:trHeight w:val="330"/>
        </w:trPr>
        <w:tc>
          <w:tcPr>
            <w:tcW w:w="882" w:type="pct"/>
            <w:tcBorders>
              <w:top w:val="nil"/>
              <w:left w:val="single" w:sz="4" w:space="0" w:color="auto"/>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bCs/>
                <w:color w:val="000000"/>
                <w:kern w:val="0"/>
                <w:sz w:val="28"/>
                <w:szCs w:val="28"/>
              </w:rPr>
            </w:pPr>
            <w:r w:rsidRPr="007E330B">
              <w:rPr>
                <w:rFonts w:hAnsi="標楷體" w:cs="新細明體" w:hint="eastAsia"/>
                <w:b/>
                <w:bCs/>
                <w:color w:val="000000"/>
                <w:kern w:val="0"/>
                <w:sz w:val="28"/>
                <w:szCs w:val="28"/>
              </w:rPr>
              <w:t>新北地院</w:t>
            </w:r>
          </w:p>
        </w:tc>
        <w:tc>
          <w:tcPr>
            <w:tcW w:w="475"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860</w:t>
            </w:r>
          </w:p>
        </w:tc>
        <w:tc>
          <w:tcPr>
            <w:tcW w:w="1029"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color w:val="000000"/>
                <w:kern w:val="0"/>
                <w:sz w:val="28"/>
                <w:szCs w:val="28"/>
              </w:rPr>
            </w:pPr>
            <w:r w:rsidRPr="007E330B">
              <w:rPr>
                <w:rFonts w:hAnsi="標楷體" w:cs="新細明體" w:hint="eastAsia"/>
                <w:b/>
                <w:color w:val="000000"/>
                <w:kern w:val="0"/>
                <w:sz w:val="28"/>
                <w:szCs w:val="28"/>
              </w:rPr>
              <w:t>846(98.4%)</w:t>
            </w:r>
          </w:p>
        </w:tc>
        <w:tc>
          <w:tcPr>
            <w:tcW w:w="318"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3</w:t>
            </w:r>
          </w:p>
        </w:tc>
        <w:tc>
          <w:tcPr>
            <w:tcW w:w="949"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color w:val="000000"/>
                <w:kern w:val="0"/>
                <w:sz w:val="28"/>
                <w:szCs w:val="28"/>
              </w:rPr>
            </w:pPr>
            <w:r w:rsidRPr="007E330B">
              <w:rPr>
                <w:rFonts w:hAnsi="標楷體" w:cs="新細明體" w:hint="eastAsia"/>
                <w:b/>
                <w:color w:val="000000"/>
                <w:kern w:val="0"/>
                <w:sz w:val="28"/>
                <w:szCs w:val="28"/>
              </w:rPr>
              <w:t>3(100%)</w:t>
            </w:r>
          </w:p>
        </w:tc>
        <w:tc>
          <w:tcPr>
            <w:tcW w:w="397"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67</w:t>
            </w:r>
          </w:p>
        </w:tc>
        <w:tc>
          <w:tcPr>
            <w:tcW w:w="950"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57(85.1%)</w:t>
            </w:r>
          </w:p>
        </w:tc>
      </w:tr>
      <w:tr w:rsidR="00F775A5" w:rsidRPr="00DF3D76" w:rsidTr="004C6913">
        <w:trPr>
          <w:trHeight w:val="330"/>
        </w:trPr>
        <w:tc>
          <w:tcPr>
            <w:tcW w:w="882" w:type="pct"/>
            <w:tcBorders>
              <w:top w:val="nil"/>
              <w:left w:val="single" w:sz="4" w:space="0" w:color="auto"/>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bCs/>
                <w:color w:val="000000"/>
                <w:kern w:val="0"/>
                <w:sz w:val="28"/>
                <w:szCs w:val="28"/>
              </w:rPr>
            </w:pPr>
            <w:r w:rsidRPr="007E330B">
              <w:rPr>
                <w:rFonts w:hAnsi="標楷體" w:cs="新細明體" w:hint="eastAsia"/>
                <w:b/>
                <w:bCs/>
                <w:color w:val="000000"/>
                <w:kern w:val="0"/>
                <w:sz w:val="28"/>
                <w:szCs w:val="28"/>
              </w:rPr>
              <w:lastRenderedPageBreak/>
              <w:t>桃園地院</w:t>
            </w:r>
          </w:p>
        </w:tc>
        <w:tc>
          <w:tcPr>
            <w:tcW w:w="475"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689</w:t>
            </w:r>
          </w:p>
        </w:tc>
        <w:tc>
          <w:tcPr>
            <w:tcW w:w="1029"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color w:val="000000"/>
                <w:kern w:val="0"/>
                <w:sz w:val="28"/>
                <w:szCs w:val="28"/>
              </w:rPr>
            </w:pPr>
            <w:r w:rsidRPr="007E330B">
              <w:rPr>
                <w:rFonts w:hAnsi="標楷體" w:cs="新細明體" w:hint="eastAsia"/>
                <w:b/>
                <w:color w:val="000000"/>
                <w:kern w:val="0"/>
                <w:sz w:val="28"/>
                <w:szCs w:val="28"/>
              </w:rPr>
              <w:t>683(99.1%)</w:t>
            </w:r>
          </w:p>
        </w:tc>
        <w:tc>
          <w:tcPr>
            <w:tcW w:w="318"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12</w:t>
            </w:r>
          </w:p>
        </w:tc>
        <w:tc>
          <w:tcPr>
            <w:tcW w:w="949"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color w:val="000000"/>
                <w:kern w:val="0"/>
                <w:sz w:val="28"/>
                <w:szCs w:val="28"/>
              </w:rPr>
            </w:pPr>
            <w:r w:rsidRPr="007E330B">
              <w:rPr>
                <w:rFonts w:hAnsi="標楷體" w:cs="新細明體" w:hint="eastAsia"/>
                <w:b/>
                <w:color w:val="000000"/>
                <w:kern w:val="0"/>
                <w:sz w:val="28"/>
                <w:szCs w:val="28"/>
              </w:rPr>
              <w:t>12(100%)</w:t>
            </w:r>
          </w:p>
        </w:tc>
        <w:tc>
          <w:tcPr>
            <w:tcW w:w="397"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184</w:t>
            </w:r>
          </w:p>
        </w:tc>
        <w:tc>
          <w:tcPr>
            <w:tcW w:w="950"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138(75%)</w:t>
            </w:r>
          </w:p>
        </w:tc>
      </w:tr>
      <w:tr w:rsidR="00F775A5" w:rsidRPr="00DF3D76" w:rsidTr="004C6913">
        <w:trPr>
          <w:trHeight w:val="330"/>
        </w:trPr>
        <w:tc>
          <w:tcPr>
            <w:tcW w:w="882" w:type="pct"/>
            <w:tcBorders>
              <w:top w:val="nil"/>
              <w:left w:val="single" w:sz="4" w:space="0" w:color="auto"/>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bCs/>
                <w:color w:val="000000"/>
                <w:kern w:val="0"/>
                <w:sz w:val="28"/>
                <w:szCs w:val="28"/>
              </w:rPr>
            </w:pPr>
            <w:r w:rsidRPr="007E330B">
              <w:rPr>
                <w:rFonts w:hAnsi="標楷體" w:cs="新細明體" w:hint="eastAsia"/>
                <w:b/>
                <w:bCs/>
                <w:color w:val="000000"/>
                <w:kern w:val="0"/>
                <w:sz w:val="28"/>
                <w:szCs w:val="28"/>
              </w:rPr>
              <w:t>新竹地院</w:t>
            </w:r>
          </w:p>
        </w:tc>
        <w:tc>
          <w:tcPr>
            <w:tcW w:w="475"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238</w:t>
            </w:r>
          </w:p>
        </w:tc>
        <w:tc>
          <w:tcPr>
            <w:tcW w:w="1029"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color w:val="000000"/>
                <w:kern w:val="0"/>
                <w:sz w:val="28"/>
                <w:szCs w:val="28"/>
              </w:rPr>
            </w:pPr>
            <w:r w:rsidRPr="007E330B">
              <w:rPr>
                <w:rFonts w:hAnsi="標楷體" w:cs="新細明體" w:hint="eastAsia"/>
                <w:b/>
                <w:color w:val="000000"/>
                <w:kern w:val="0"/>
                <w:sz w:val="28"/>
                <w:szCs w:val="28"/>
              </w:rPr>
              <w:t>236(99.2%)</w:t>
            </w:r>
          </w:p>
        </w:tc>
        <w:tc>
          <w:tcPr>
            <w:tcW w:w="318"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9</w:t>
            </w:r>
          </w:p>
        </w:tc>
        <w:tc>
          <w:tcPr>
            <w:tcW w:w="949"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color w:val="000000"/>
                <w:kern w:val="0"/>
                <w:sz w:val="28"/>
                <w:szCs w:val="28"/>
              </w:rPr>
            </w:pPr>
            <w:r w:rsidRPr="007E330B">
              <w:rPr>
                <w:rFonts w:hAnsi="標楷體" w:cs="新細明體" w:hint="eastAsia"/>
                <w:b/>
                <w:color w:val="000000"/>
                <w:kern w:val="0"/>
                <w:sz w:val="28"/>
                <w:szCs w:val="28"/>
              </w:rPr>
              <w:t>9(100%)</w:t>
            </w:r>
          </w:p>
        </w:tc>
        <w:tc>
          <w:tcPr>
            <w:tcW w:w="397"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39</w:t>
            </w:r>
          </w:p>
        </w:tc>
        <w:tc>
          <w:tcPr>
            <w:tcW w:w="950"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24(61.5%)</w:t>
            </w:r>
          </w:p>
        </w:tc>
      </w:tr>
      <w:tr w:rsidR="00F775A5" w:rsidRPr="00DF3D76" w:rsidTr="004C6913">
        <w:trPr>
          <w:trHeight w:val="330"/>
        </w:trPr>
        <w:tc>
          <w:tcPr>
            <w:tcW w:w="882" w:type="pct"/>
            <w:tcBorders>
              <w:top w:val="nil"/>
              <w:left w:val="single" w:sz="4" w:space="0" w:color="auto"/>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bCs/>
                <w:color w:val="000000"/>
                <w:kern w:val="0"/>
                <w:sz w:val="28"/>
                <w:szCs w:val="28"/>
              </w:rPr>
            </w:pPr>
            <w:r w:rsidRPr="007E330B">
              <w:rPr>
                <w:rFonts w:hAnsi="標楷體" w:cs="新細明體" w:hint="eastAsia"/>
                <w:b/>
                <w:bCs/>
                <w:color w:val="000000"/>
                <w:kern w:val="0"/>
                <w:sz w:val="28"/>
                <w:szCs w:val="28"/>
              </w:rPr>
              <w:t>苗栗地院</w:t>
            </w:r>
          </w:p>
        </w:tc>
        <w:tc>
          <w:tcPr>
            <w:tcW w:w="475"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125</w:t>
            </w:r>
          </w:p>
        </w:tc>
        <w:tc>
          <w:tcPr>
            <w:tcW w:w="1029"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color w:val="000000"/>
                <w:kern w:val="0"/>
                <w:sz w:val="28"/>
                <w:szCs w:val="28"/>
              </w:rPr>
            </w:pPr>
            <w:r w:rsidRPr="007E330B">
              <w:rPr>
                <w:rFonts w:hAnsi="標楷體" w:cs="新細明體" w:hint="eastAsia"/>
                <w:b/>
                <w:color w:val="000000"/>
                <w:kern w:val="0"/>
                <w:sz w:val="28"/>
                <w:szCs w:val="28"/>
              </w:rPr>
              <w:t>124(99.2%)</w:t>
            </w:r>
          </w:p>
        </w:tc>
        <w:tc>
          <w:tcPr>
            <w:tcW w:w="318"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2</w:t>
            </w:r>
          </w:p>
        </w:tc>
        <w:tc>
          <w:tcPr>
            <w:tcW w:w="949"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1(50%)</w:t>
            </w:r>
          </w:p>
        </w:tc>
        <w:tc>
          <w:tcPr>
            <w:tcW w:w="397"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12</w:t>
            </w:r>
          </w:p>
        </w:tc>
        <w:tc>
          <w:tcPr>
            <w:tcW w:w="950"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color w:val="000000"/>
                <w:kern w:val="0"/>
                <w:sz w:val="28"/>
                <w:szCs w:val="28"/>
              </w:rPr>
            </w:pPr>
            <w:r w:rsidRPr="007E330B">
              <w:rPr>
                <w:rFonts w:hAnsi="標楷體" w:cs="新細明體" w:hint="eastAsia"/>
                <w:b/>
                <w:color w:val="000000"/>
                <w:kern w:val="0"/>
                <w:sz w:val="28"/>
                <w:szCs w:val="28"/>
              </w:rPr>
              <w:t>12(100%)</w:t>
            </w:r>
          </w:p>
        </w:tc>
      </w:tr>
      <w:tr w:rsidR="00F775A5" w:rsidRPr="00DF3D76" w:rsidTr="004C6913">
        <w:trPr>
          <w:trHeight w:val="330"/>
        </w:trPr>
        <w:tc>
          <w:tcPr>
            <w:tcW w:w="882" w:type="pct"/>
            <w:tcBorders>
              <w:top w:val="nil"/>
              <w:left w:val="single" w:sz="4" w:space="0" w:color="auto"/>
              <w:bottom w:val="single" w:sz="4" w:space="0" w:color="auto"/>
              <w:right w:val="single" w:sz="4" w:space="0" w:color="auto"/>
            </w:tcBorders>
            <w:shd w:val="clear" w:color="auto" w:fill="auto"/>
            <w:noWrap/>
            <w:vAlign w:val="center"/>
            <w:hideMark/>
          </w:tcPr>
          <w:p w:rsidR="00F775A5" w:rsidRPr="007E330B" w:rsidRDefault="004974BF" w:rsidP="004C6913">
            <w:pPr>
              <w:widowControl/>
              <w:rPr>
                <w:rFonts w:hAnsi="標楷體" w:cs="新細明體"/>
                <w:b/>
                <w:bCs/>
                <w:color w:val="000000"/>
                <w:kern w:val="0"/>
                <w:sz w:val="28"/>
                <w:szCs w:val="28"/>
              </w:rPr>
            </w:pPr>
            <w:proofErr w:type="gramStart"/>
            <w:r>
              <w:rPr>
                <w:rFonts w:hAnsi="標楷體" w:cs="新細明體" w:hint="eastAsia"/>
                <w:b/>
                <w:bCs/>
                <w:color w:val="000000"/>
                <w:kern w:val="0"/>
                <w:sz w:val="28"/>
                <w:szCs w:val="28"/>
              </w:rPr>
              <w:t>臺</w:t>
            </w:r>
            <w:proofErr w:type="gramEnd"/>
            <w:r w:rsidR="00F775A5" w:rsidRPr="007E330B">
              <w:rPr>
                <w:rFonts w:hAnsi="標楷體" w:cs="新細明體" w:hint="eastAsia"/>
                <w:b/>
                <w:bCs/>
                <w:color w:val="000000"/>
                <w:kern w:val="0"/>
                <w:sz w:val="28"/>
                <w:szCs w:val="28"/>
              </w:rPr>
              <w:t>中地院</w:t>
            </w:r>
          </w:p>
        </w:tc>
        <w:tc>
          <w:tcPr>
            <w:tcW w:w="475"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391</w:t>
            </w:r>
          </w:p>
        </w:tc>
        <w:tc>
          <w:tcPr>
            <w:tcW w:w="1029"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color w:val="000000"/>
                <w:kern w:val="0"/>
                <w:sz w:val="28"/>
                <w:szCs w:val="28"/>
              </w:rPr>
            </w:pPr>
            <w:r w:rsidRPr="007E330B">
              <w:rPr>
                <w:rFonts w:hAnsi="標楷體" w:cs="新細明體" w:hint="eastAsia"/>
                <w:b/>
                <w:color w:val="000000"/>
                <w:kern w:val="0"/>
                <w:sz w:val="28"/>
                <w:szCs w:val="28"/>
              </w:rPr>
              <w:t>374(95.7%)</w:t>
            </w:r>
          </w:p>
        </w:tc>
        <w:tc>
          <w:tcPr>
            <w:tcW w:w="318"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5</w:t>
            </w:r>
          </w:p>
        </w:tc>
        <w:tc>
          <w:tcPr>
            <w:tcW w:w="949"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4(80%)</w:t>
            </w:r>
          </w:p>
        </w:tc>
        <w:tc>
          <w:tcPr>
            <w:tcW w:w="397"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58</w:t>
            </w:r>
          </w:p>
        </w:tc>
        <w:tc>
          <w:tcPr>
            <w:tcW w:w="950"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color w:val="000000"/>
                <w:kern w:val="0"/>
                <w:sz w:val="28"/>
                <w:szCs w:val="28"/>
              </w:rPr>
            </w:pPr>
            <w:r w:rsidRPr="007E330B">
              <w:rPr>
                <w:rFonts w:hAnsi="標楷體" w:cs="新細明體" w:hint="eastAsia"/>
                <w:b/>
                <w:color w:val="000000"/>
                <w:kern w:val="0"/>
                <w:sz w:val="28"/>
                <w:szCs w:val="28"/>
              </w:rPr>
              <w:t>56(96.6%)</w:t>
            </w:r>
          </w:p>
        </w:tc>
      </w:tr>
      <w:tr w:rsidR="00F775A5" w:rsidRPr="00DF3D76" w:rsidTr="004C6913">
        <w:trPr>
          <w:trHeight w:val="330"/>
        </w:trPr>
        <w:tc>
          <w:tcPr>
            <w:tcW w:w="882" w:type="pct"/>
            <w:tcBorders>
              <w:top w:val="nil"/>
              <w:left w:val="single" w:sz="4" w:space="0" w:color="auto"/>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bCs/>
                <w:color w:val="000000"/>
                <w:kern w:val="0"/>
                <w:sz w:val="28"/>
                <w:szCs w:val="28"/>
              </w:rPr>
            </w:pPr>
            <w:r w:rsidRPr="007E330B">
              <w:rPr>
                <w:rFonts w:hAnsi="標楷體" w:cs="新細明體" w:hint="eastAsia"/>
                <w:b/>
                <w:bCs/>
                <w:color w:val="000000"/>
                <w:kern w:val="0"/>
                <w:sz w:val="28"/>
                <w:szCs w:val="28"/>
              </w:rPr>
              <w:t>南投地院</w:t>
            </w:r>
          </w:p>
        </w:tc>
        <w:tc>
          <w:tcPr>
            <w:tcW w:w="475"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86</w:t>
            </w:r>
          </w:p>
        </w:tc>
        <w:tc>
          <w:tcPr>
            <w:tcW w:w="1029"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54(62.8%)</w:t>
            </w:r>
          </w:p>
        </w:tc>
        <w:tc>
          <w:tcPr>
            <w:tcW w:w="318"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1</w:t>
            </w:r>
          </w:p>
        </w:tc>
        <w:tc>
          <w:tcPr>
            <w:tcW w:w="949"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0(0%)</w:t>
            </w:r>
          </w:p>
        </w:tc>
        <w:tc>
          <w:tcPr>
            <w:tcW w:w="397"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9</w:t>
            </w:r>
          </w:p>
        </w:tc>
        <w:tc>
          <w:tcPr>
            <w:tcW w:w="950"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4(44.4%)</w:t>
            </w:r>
          </w:p>
        </w:tc>
      </w:tr>
      <w:tr w:rsidR="00F775A5" w:rsidRPr="00DF3D76" w:rsidTr="004C6913">
        <w:trPr>
          <w:trHeight w:val="330"/>
        </w:trPr>
        <w:tc>
          <w:tcPr>
            <w:tcW w:w="882" w:type="pct"/>
            <w:tcBorders>
              <w:top w:val="nil"/>
              <w:left w:val="single" w:sz="4" w:space="0" w:color="auto"/>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bCs/>
                <w:color w:val="000000"/>
                <w:kern w:val="0"/>
                <w:sz w:val="28"/>
                <w:szCs w:val="28"/>
              </w:rPr>
            </w:pPr>
            <w:r w:rsidRPr="007E330B">
              <w:rPr>
                <w:rFonts w:hAnsi="標楷體" w:cs="新細明體" w:hint="eastAsia"/>
                <w:b/>
                <w:bCs/>
                <w:color w:val="000000"/>
                <w:kern w:val="0"/>
                <w:sz w:val="28"/>
                <w:szCs w:val="28"/>
              </w:rPr>
              <w:t>彰化地院</w:t>
            </w:r>
          </w:p>
        </w:tc>
        <w:tc>
          <w:tcPr>
            <w:tcW w:w="475"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127</w:t>
            </w:r>
          </w:p>
        </w:tc>
        <w:tc>
          <w:tcPr>
            <w:tcW w:w="1029"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color w:val="000000"/>
                <w:kern w:val="0"/>
                <w:sz w:val="28"/>
                <w:szCs w:val="28"/>
              </w:rPr>
            </w:pPr>
            <w:r w:rsidRPr="007E330B">
              <w:rPr>
                <w:rFonts w:hAnsi="標楷體" w:cs="新細明體" w:hint="eastAsia"/>
                <w:b/>
                <w:color w:val="000000"/>
                <w:kern w:val="0"/>
                <w:sz w:val="28"/>
                <w:szCs w:val="28"/>
              </w:rPr>
              <w:t>118(92.9%)</w:t>
            </w:r>
          </w:p>
        </w:tc>
        <w:tc>
          <w:tcPr>
            <w:tcW w:w="318"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4</w:t>
            </w:r>
          </w:p>
        </w:tc>
        <w:tc>
          <w:tcPr>
            <w:tcW w:w="949"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color w:val="000000"/>
                <w:kern w:val="0"/>
                <w:sz w:val="28"/>
                <w:szCs w:val="28"/>
              </w:rPr>
            </w:pPr>
            <w:r w:rsidRPr="007E330B">
              <w:rPr>
                <w:rFonts w:hAnsi="標楷體" w:cs="新細明體" w:hint="eastAsia"/>
                <w:b/>
                <w:color w:val="000000"/>
                <w:kern w:val="0"/>
                <w:sz w:val="28"/>
                <w:szCs w:val="28"/>
              </w:rPr>
              <w:t>4(100%)</w:t>
            </w:r>
          </w:p>
        </w:tc>
        <w:tc>
          <w:tcPr>
            <w:tcW w:w="397"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12</w:t>
            </w:r>
          </w:p>
        </w:tc>
        <w:tc>
          <w:tcPr>
            <w:tcW w:w="950"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color w:val="000000"/>
                <w:kern w:val="0"/>
                <w:sz w:val="28"/>
                <w:szCs w:val="28"/>
              </w:rPr>
            </w:pPr>
            <w:r w:rsidRPr="007E330B">
              <w:rPr>
                <w:rFonts w:hAnsi="標楷體" w:cs="新細明體" w:hint="eastAsia"/>
                <w:b/>
                <w:color w:val="000000"/>
                <w:kern w:val="0"/>
                <w:sz w:val="28"/>
                <w:szCs w:val="28"/>
              </w:rPr>
              <w:t>11(91.7%)</w:t>
            </w:r>
          </w:p>
        </w:tc>
      </w:tr>
      <w:tr w:rsidR="00F775A5" w:rsidRPr="00DF3D76" w:rsidTr="004C6913">
        <w:trPr>
          <w:trHeight w:val="330"/>
        </w:trPr>
        <w:tc>
          <w:tcPr>
            <w:tcW w:w="882" w:type="pct"/>
            <w:tcBorders>
              <w:top w:val="nil"/>
              <w:left w:val="single" w:sz="4" w:space="0" w:color="auto"/>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bCs/>
                <w:color w:val="000000"/>
                <w:kern w:val="0"/>
                <w:sz w:val="28"/>
                <w:szCs w:val="28"/>
              </w:rPr>
            </w:pPr>
            <w:r w:rsidRPr="007E330B">
              <w:rPr>
                <w:rFonts w:hAnsi="標楷體" w:cs="新細明體" w:hint="eastAsia"/>
                <w:b/>
                <w:bCs/>
                <w:color w:val="000000"/>
                <w:kern w:val="0"/>
                <w:sz w:val="28"/>
                <w:szCs w:val="28"/>
              </w:rPr>
              <w:t>雲林地院</w:t>
            </w:r>
          </w:p>
        </w:tc>
        <w:tc>
          <w:tcPr>
            <w:tcW w:w="475"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141</w:t>
            </w:r>
          </w:p>
        </w:tc>
        <w:tc>
          <w:tcPr>
            <w:tcW w:w="1029"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color w:val="000000"/>
                <w:kern w:val="0"/>
                <w:sz w:val="28"/>
                <w:szCs w:val="28"/>
              </w:rPr>
            </w:pPr>
            <w:r w:rsidRPr="007E330B">
              <w:rPr>
                <w:rFonts w:hAnsi="標楷體" w:cs="新細明體" w:hint="eastAsia"/>
                <w:b/>
                <w:color w:val="000000"/>
                <w:kern w:val="0"/>
                <w:sz w:val="28"/>
                <w:szCs w:val="28"/>
              </w:rPr>
              <w:t>138(97.9%)</w:t>
            </w:r>
          </w:p>
        </w:tc>
        <w:tc>
          <w:tcPr>
            <w:tcW w:w="318"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13</w:t>
            </w:r>
          </w:p>
        </w:tc>
        <w:tc>
          <w:tcPr>
            <w:tcW w:w="949"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color w:val="000000"/>
                <w:kern w:val="0"/>
                <w:sz w:val="28"/>
                <w:szCs w:val="28"/>
              </w:rPr>
            </w:pPr>
            <w:r w:rsidRPr="007E330B">
              <w:rPr>
                <w:rFonts w:hAnsi="標楷體" w:cs="新細明體" w:hint="eastAsia"/>
                <w:b/>
                <w:color w:val="000000"/>
                <w:kern w:val="0"/>
                <w:sz w:val="28"/>
                <w:szCs w:val="28"/>
              </w:rPr>
              <w:t>12(92.3%)</w:t>
            </w:r>
          </w:p>
        </w:tc>
        <w:tc>
          <w:tcPr>
            <w:tcW w:w="397"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12</w:t>
            </w:r>
          </w:p>
        </w:tc>
        <w:tc>
          <w:tcPr>
            <w:tcW w:w="950"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10(83.3%)</w:t>
            </w:r>
          </w:p>
        </w:tc>
      </w:tr>
      <w:tr w:rsidR="00F775A5" w:rsidRPr="00DF3D76" w:rsidTr="004C6913">
        <w:trPr>
          <w:trHeight w:val="330"/>
        </w:trPr>
        <w:tc>
          <w:tcPr>
            <w:tcW w:w="882" w:type="pct"/>
            <w:tcBorders>
              <w:top w:val="nil"/>
              <w:left w:val="single" w:sz="4" w:space="0" w:color="auto"/>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bCs/>
                <w:color w:val="000000"/>
                <w:kern w:val="0"/>
                <w:sz w:val="28"/>
                <w:szCs w:val="28"/>
              </w:rPr>
            </w:pPr>
            <w:r w:rsidRPr="007E330B">
              <w:rPr>
                <w:rFonts w:hAnsi="標楷體" w:cs="新細明體" w:hint="eastAsia"/>
                <w:b/>
                <w:bCs/>
                <w:color w:val="000000"/>
                <w:kern w:val="0"/>
                <w:sz w:val="28"/>
                <w:szCs w:val="28"/>
              </w:rPr>
              <w:t>嘉義地院</w:t>
            </w:r>
          </w:p>
        </w:tc>
        <w:tc>
          <w:tcPr>
            <w:tcW w:w="475"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116</w:t>
            </w:r>
          </w:p>
        </w:tc>
        <w:tc>
          <w:tcPr>
            <w:tcW w:w="1029"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color w:val="000000"/>
                <w:kern w:val="0"/>
                <w:sz w:val="28"/>
                <w:szCs w:val="28"/>
              </w:rPr>
            </w:pPr>
            <w:r w:rsidRPr="007E330B">
              <w:rPr>
                <w:rFonts w:hAnsi="標楷體" w:cs="新細明體" w:hint="eastAsia"/>
                <w:b/>
                <w:color w:val="000000"/>
                <w:kern w:val="0"/>
                <w:sz w:val="28"/>
                <w:szCs w:val="28"/>
              </w:rPr>
              <w:t>114(98.3%)</w:t>
            </w:r>
          </w:p>
        </w:tc>
        <w:tc>
          <w:tcPr>
            <w:tcW w:w="318"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3</w:t>
            </w:r>
          </w:p>
        </w:tc>
        <w:tc>
          <w:tcPr>
            <w:tcW w:w="949"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color w:val="000000"/>
                <w:kern w:val="0"/>
                <w:sz w:val="28"/>
                <w:szCs w:val="28"/>
              </w:rPr>
            </w:pPr>
            <w:r w:rsidRPr="007E330B">
              <w:rPr>
                <w:rFonts w:hAnsi="標楷體" w:cs="新細明體" w:hint="eastAsia"/>
                <w:b/>
                <w:color w:val="000000"/>
                <w:kern w:val="0"/>
                <w:sz w:val="28"/>
                <w:szCs w:val="28"/>
              </w:rPr>
              <w:t>3(100%)</w:t>
            </w:r>
          </w:p>
        </w:tc>
        <w:tc>
          <w:tcPr>
            <w:tcW w:w="397"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10</w:t>
            </w:r>
          </w:p>
        </w:tc>
        <w:tc>
          <w:tcPr>
            <w:tcW w:w="950"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color w:val="000000"/>
                <w:kern w:val="0"/>
                <w:sz w:val="28"/>
                <w:szCs w:val="28"/>
              </w:rPr>
            </w:pPr>
            <w:r w:rsidRPr="007E330B">
              <w:rPr>
                <w:rFonts w:hAnsi="標楷體" w:cs="新細明體" w:hint="eastAsia"/>
                <w:b/>
                <w:color w:val="000000"/>
                <w:kern w:val="0"/>
                <w:sz w:val="28"/>
                <w:szCs w:val="28"/>
              </w:rPr>
              <w:t>10(100%)</w:t>
            </w:r>
          </w:p>
        </w:tc>
      </w:tr>
      <w:tr w:rsidR="00F775A5" w:rsidRPr="00DF3D76" w:rsidTr="004C6913">
        <w:trPr>
          <w:trHeight w:val="330"/>
        </w:trPr>
        <w:tc>
          <w:tcPr>
            <w:tcW w:w="882" w:type="pct"/>
            <w:tcBorders>
              <w:top w:val="nil"/>
              <w:left w:val="single" w:sz="4" w:space="0" w:color="auto"/>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bCs/>
                <w:color w:val="000000"/>
                <w:kern w:val="0"/>
                <w:sz w:val="28"/>
                <w:szCs w:val="28"/>
              </w:rPr>
            </w:pPr>
            <w:proofErr w:type="gramStart"/>
            <w:r w:rsidRPr="007E330B">
              <w:rPr>
                <w:rFonts w:hAnsi="標楷體" w:cs="新細明體" w:hint="eastAsia"/>
                <w:b/>
                <w:bCs/>
                <w:color w:val="000000"/>
                <w:kern w:val="0"/>
                <w:sz w:val="28"/>
                <w:szCs w:val="28"/>
              </w:rPr>
              <w:t>臺</w:t>
            </w:r>
            <w:proofErr w:type="gramEnd"/>
            <w:r w:rsidRPr="007E330B">
              <w:rPr>
                <w:rFonts w:hAnsi="標楷體" w:cs="新細明體" w:hint="eastAsia"/>
                <w:b/>
                <w:bCs/>
                <w:color w:val="000000"/>
                <w:kern w:val="0"/>
                <w:sz w:val="28"/>
                <w:szCs w:val="28"/>
              </w:rPr>
              <w:t>南地院</w:t>
            </w:r>
          </w:p>
        </w:tc>
        <w:tc>
          <w:tcPr>
            <w:tcW w:w="475"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250</w:t>
            </w:r>
          </w:p>
        </w:tc>
        <w:tc>
          <w:tcPr>
            <w:tcW w:w="1029"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color w:val="000000"/>
                <w:kern w:val="0"/>
                <w:sz w:val="28"/>
                <w:szCs w:val="28"/>
              </w:rPr>
            </w:pPr>
            <w:r w:rsidRPr="007E330B">
              <w:rPr>
                <w:rFonts w:hAnsi="標楷體" w:cs="新細明體" w:hint="eastAsia"/>
                <w:b/>
                <w:color w:val="000000"/>
                <w:kern w:val="0"/>
                <w:sz w:val="28"/>
                <w:szCs w:val="28"/>
              </w:rPr>
              <w:t>240(96%)</w:t>
            </w:r>
          </w:p>
        </w:tc>
        <w:tc>
          <w:tcPr>
            <w:tcW w:w="318"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12</w:t>
            </w:r>
          </w:p>
        </w:tc>
        <w:tc>
          <w:tcPr>
            <w:tcW w:w="949"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color w:val="000000"/>
                <w:kern w:val="0"/>
                <w:sz w:val="28"/>
                <w:szCs w:val="28"/>
              </w:rPr>
            </w:pPr>
            <w:r w:rsidRPr="007E330B">
              <w:rPr>
                <w:rFonts w:hAnsi="標楷體" w:cs="新細明體" w:hint="eastAsia"/>
                <w:b/>
                <w:color w:val="000000"/>
                <w:kern w:val="0"/>
                <w:sz w:val="28"/>
                <w:szCs w:val="28"/>
              </w:rPr>
              <w:t>12(100%)</w:t>
            </w:r>
          </w:p>
        </w:tc>
        <w:tc>
          <w:tcPr>
            <w:tcW w:w="397"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7</w:t>
            </w:r>
          </w:p>
        </w:tc>
        <w:tc>
          <w:tcPr>
            <w:tcW w:w="950"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6(85.7%)</w:t>
            </w:r>
          </w:p>
        </w:tc>
      </w:tr>
      <w:tr w:rsidR="00F775A5" w:rsidRPr="00DF3D76" w:rsidTr="004C6913">
        <w:trPr>
          <w:trHeight w:val="330"/>
        </w:trPr>
        <w:tc>
          <w:tcPr>
            <w:tcW w:w="882" w:type="pct"/>
            <w:tcBorders>
              <w:top w:val="nil"/>
              <w:left w:val="single" w:sz="4" w:space="0" w:color="auto"/>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bCs/>
                <w:color w:val="000000"/>
                <w:kern w:val="0"/>
                <w:sz w:val="28"/>
                <w:szCs w:val="28"/>
              </w:rPr>
            </w:pPr>
            <w:r w:rsidRPr="007E330B">
              <w:rPr>
                <w:rFonts w:hAnsi="標楷體" w:cs="新細明體" w:hint="eastAsia"/>
                <w:b/>
                <w:bCs/>
                <w:color w:val="000000"/>
                <w:kern w:val="0"/>
                <w:sz w:val="28"/>
                <w:szCs w:val="28"/>
              </w:rPr>
              <w:t>高雄少家法院</w:t>
            </w:r>
          </w:p>
        </w:tc>
        <w:tc>
          <w:tcPr>
            <w:tcW w:w="475"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382</w:t>
            </w:r>
          </w:p>
        </w:tc>
        <w:tc>
          <w:tcPr>
            <w:tcW w:w="1029"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318(83.2%)</w:t>
            </w:r>
          </w:p>
        </w:tc>
        <w:tc>
          <w:tcPr>
            <w:tcW w:w="318"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13</w:t>
            </w:r>
          </w:p>
        </w:tc>
        <w:tc>
          <w:tcPr>
            <w:tcW w:w="949"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11(84.6%)</w:t>
            </w:r>
          </w:p>
        </w:tc>
        <w:tc>
          <w:tcPr>
            <w:tcW w:w="397"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64</w:t>
            </w:r>
          </w:p>
        </w:tc>
        <w:tc>
          <w:tcPr>
            <w:tcW w:w="950"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25(39.1%)</w:t>
            </w:r>
          </w:p>
        </w:tc>
      </w:tr>
      <w:tr w:rsidR="00F775A5" w:rsidRPr="00DF3D76" w:rsidTr="004C6913">
        <w:trPr>
          <w:trHeight w:val="330"/>
        </w:trPr>
        <w:tc>
          <w:tcPr>
            <w:tcW w:w="882" w:type="pct"/>
            <w:tcBorders>
              <w:top w:val="nil"/>
              <w:left w:val="single" w:sz="4" w:space="0" w:color="auto"/>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bCs/>
                <w:color w:val="000000"/>
                <w:kern w:val="0"/>
                <w:sz w:val="28"/>
                <w:szCs w:val="28"/>
              </w:rPr>
            </w:pPr>
            <w:r w:rsidRPr="007E330B">
              <w:rPr>
                <w:rFonts w:hAnsi="標楷體" w:cs="新細明體" w:hint="eastAsia"/>
                <w:b/>
                <w:bCs/>
                <w:color w:val="000000"/>
                <w:kern w:val="0"/>
                <w:sz w:val="28"/>
                <w:szCs w:val="28"/>
              </w:rPr>
              <w:t>屏東地院</w:t>
            </w:r>
          </w:p>
        </w:tc>
        <w:tc>
          <w:tcPr>
            <w:tcW w:w="475"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140</w:t>
            </w:r>
          </w:p>
        </w:tc>
        <w:tc>
          <w:tcPr>
            <w:tcW w:w="1029"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color w:val="000000"/>
                <w:kern w:val="0"/>
                <w:sz w:val="28"/>
                <w:szCs w:val="28"/>
              </w:rPr>
            </w:pPr>
            <w:r w:rsidRPr="007E330B">
              <w:rPr>
                <w:rFonts w:hAnsi="標楷體" w:cs="新細明體" w:hint="eastAsia"/>
                <w:b/>
                <w:color w:val="000000"/>
                <w:kern w:val="0"/>
                <w:sz w:val="28"/>
                <w:szCs w:val="28"/>
              </w:rPr>
              <w:t>133(95%)</w:t>
            </w:r>
          </w:p>
        </w:tc>
        <w:tc>
          <w:tcPr>
            <w:tcW w:w="318"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4</w:t>
            </w:r>
          </w:p>
        </w:tc>
        <w:tc>
          <w:tcPr>
            <w:tcW w:w="949"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color w:val="000000"/>
                <w:kern w:val="0"/>
                <w:sz w:val="28"/>
                <w:szCs w:val="28"/>
              </w:rPr>
            </w:pPr>
            <w:r w:rsidRPr="007E330B">
              <w:rPr>
                <w:rFonts w:hAnsi="標楷體" w:cs="新細明體" w:hint="eastAsia"/>
                <w:b/>
                <w:color w:val="000000"/>
                <w:kern w:val="0"/>
                <w:sz w:val="28"/>
                <w:szCs w:val="28"/>
              </w:rPr>
              <w:t>4(100%)</w:t>
            </w:r>
          </w:p>
        </w:tc>
        <w:tc>
          <w:tcPr>
            <w:tcW w:w="397"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18</w:t>
            </w:r>
          </w:p>
        </w:tc>
        <w:tc>
          <w:tcPr>
            <w:tcW w:w="950"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2(11.1%)</w:t>
            </w:r>
          </w:p>
        </w:tc>
      </w:tr>
      <w:tr w:rsidR="00F775A5" w:rsidRPr="00DF3D76" w:rsidTr="004C6913">
        <w:trPr>
          <w:trHeight w:val="330"/>
        </w:trPr>
        <w:tc>
          <w:tcPr>
            <w:tcW w:w="882" w:type="pct"/>
            <w:tcBorders>
              <w:top w:val="nil"/>
              <w:left w:val="single" w:sz="4" w:space="0" w:color="auto"/>
              <w:bottom w:val="single" w:sz="4" w:space="0" w:color="auto"/>
              <w:right w:val="single" w:sz="4" w:space="0" w:color="auto"/>
            </w:tcBorders>
            <w:shd w:val="clear" w:color="auto" w:fill="auto"/>
            <w:noWrap/>
            <w:vAlign w:val="center"/>
            <w:hideMark/>
          </w:tcPr>
          <w:p w:rsidR="00F775A5" w:rsidRPr="007E330B" w:rsidRDefault="004974BF" w:rsidP="004C6913">
            <w:pPr>
              <w:widowControl/>
              <w:rPr>
                <w:rFonts w:hAnsi="標楷體" w:cs="新細明體"/>
                <w:b/>
                <w:bCs/>
                <w:color w:val="000000"/>
                <w:kern w:val="0"/>
                <w:sz w:val="28"/>
                <w:szCs w:val="28"/>
              </w:rPr>
            </w:pPr>
            <w:proofErr w:type="gramStart"/>
            <w:r>
              <w:rPr>
                <w:rFonts w:hAnsi="標楷體" w:cs="新細明體" w:hint="eastAsia"/>
                <w:b/>
                <w:bCs/>
                <w:color w:val="000000"/>
                <w:kern w:val="0"/>
                <w:sz w:val="28"/>
                <w:szCs w:val="28"/>
              </w:rPr>
              <w:t>臺</w:t>
            </w:r>
            <w:proofErr w:type="gramEnd"/>
            <w:r w:rsidR="00F775A5" w:rsidRPr="007E330B">
              <w:rPr>
                <w:rFonts w:hAnsi="標楷體" w:cs="新細明體" w:hint="eastAsia"/>
                <w:b/>
                <w:bCs/>
                <w:color w:val="000000"/>
                <w:kern w:val="0"/>
                <w:sz w:val="28"/>
                <w:szCs w:val="28"/>
              </w:rPr>
              <w:t>東地院</w:t>
            </w:r>
          </w:p>
        </w:tc>
        <w:tc>
          <w:tcPr>
            <w:tcW w:w="475"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58</w:t>
            </w:r>
          </w:p>
        </w:tc>
        <w:tc>
          <w:tcPr>
            <w:tcW w:w="1029"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color w:val="000000"/>
                <w:kern w:val="0"/>
                <w:sz w:val="28"/>
                <w:szCs w:val="28"/>
              </w:rPr>
            </w:pPr>
            <w:r w:rsidRPr="007E330B">
              <w:rPr>
                <w:rFonts w:hAnsi="標楷體" w:cs="新細明體" w:hint="eastAsia"/>
                <w:b/>
                <w:color w:val="000000"/>
                <w:kern w:val="0"/>
                <w:sz w:val="28"/>
                <w:szCs w:val="28"/>
              </w:rPr>
              <w:t>57(98.3%)</w:t>
            </w:r>
          </w:p>
        </w:tc>
        <w:tc>
          <w:tcPr>
            <w:tcW w:w="318"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10</w:t>
            </w:r>
          </w:p>
        </w:tc>
        <w:tc>
          <w:tcPr>
            <w:tcW w:w="949"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color w:val="000000"/>
                <w:kern w:val="0"/>
                <w:sz w:val="28"/>
                <w:szCs w:val="28"/>
              </w:rPr>
            </w:pPr>
            <w:r w:rsidRPr="007E330B">
              <w:rPr>
                <w:rFonts w:hAnsi="標楷體" w:cs="新細明體" w:hint="eastAsia"/>
                <w:b/>
                <w:color w:val="000000"/>
                <w:kern w:val="0"/>
                <w:sz w:val="28"/>
                <w:szCs w:val="28"/>
              </w:rPr>
              <w:t>10(100%)</w:t>
            </w:r>
          </w:p>
        </w:tc>
        <w:tc>
          <w:tcPr>
            <w:tcW w:w="397"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8</w:t>
            </w:r>
          </w:p>
        </w:tc>
        <w:tc>
          <w:tcPr>
            <w:tcW w:w="950"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7(87.5%)</w:t>
            </w:r>
          </w:p>
        </w:tc>
      </w:tr>
      <w:tr w:rsidR="00F775A5" w:rsidRPr="00DF3D76" w:rsidTr="004C6913">
        <w:trPr>
          <w:trHeight w:val="330"/>
        </w:trPr>
        <w:tc>
          <w:tcPr>
            <w:tcW w:w="882" w:type="pct"/>
            <w:tcBorders>
              <w:top w:val="nil"/>
              <w:left w:val="single" w:sz="4" w:space="0" w:color="auto"/>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bCs/>
                <w:color w:val="000000"/>
                <w:kern w:val="0"/>
                <w:sz w:val="28"/>
                <w:szCs w:val="28"/>
              </w:rPr>
            </w:pPr>
            <w:r w:rsidRPr="007E330B">
              <w:rPr>
                <w:rFonts w:hAnsi="標楷體" w:cs="新細明體" w:hint="eastAsia"/>
                <w:b/>
                <w:bCs/>
                <w:color w:val="000000"/>
                <w:kern w:val="0"/>
                <w:sz w:val="28"/>
                <w:szCs w:val="28"/>
              </w:rPr>
              <w:t>花蓮地院</w:t>
            </w:r>
          </w:p>
        </w:tc>
        <w:tc>
          <w:tcPr>
            <w:tcW w:w="475"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149</w:t>
            </w:r>
          </w:p>
        </w:tc>
        <w:tc>
          <w:tcPr>
            <w:tcW w:w="1029"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color w:val="000000"/>
                <w:kern w:val="0"/>
                <w:sz w:val="28"/>
                <w:szCs w:val="28"/>
              </w:rPr>
            </w:pPr>
            <w:r w:rsidRPr="007E330B">
              <w:rPr>
                <w:rFonts w:hAnsi="標楷體" w:cs="新細明體" w:hint="eastAsia"/>
                <w:b/>
                <w:color w:val="000000"/>
                <w:kern w:val="0"/>
                <w:sz w:val="28"/>
                <w:szCs w:val="28"/>
              </w:rPr>
              <w:t>146(98%)</w:t>
            </w:r>
          </w:p>
        </w:tc>
        <w:tc>
          <w:tcPr>
            <w:tcW w:w="318"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5</w:t>
            </w:r>
          </w:p>
        </w:tc>
        <w:tc>
          <w:tcPr>
            <w:tcW w:w="949"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color w:val="000000"/>
                <w:kern w:val="0"/>
                <w:sz w:val="28"/>
                <w:szCs w:val="28"/>
              </w:rPr>
            </w:pPr>
            <w:r w:rsidRPr="007E330B">
              <w:rPr>
                <w:rFonts w:hAnsi="標楷體" w:cs="新細明體" w:hint="eastAsia"/>
                <w:b/>
                <w:color w:val="000000"/>
                <w:kern w:val="0"/>
                <w:sz w:val="28"/>
                <w:szCs w:val="28"/>
              </w:rPr>
              <w:t>5(100%)</w:t>
            </w:r>
          </w:p>
        </w:tc>
        <w:tc>
          <w:tcPr>
            <w:tcW w:w="397"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10</w:t>
            </w:r>
          </w:p>
        </w:tc>
        <w:tc>
          <w:tcPr>
            <w:tcW w:w="950"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color w:val="000000"/>
                <w:kern w:val="0"/>
                <w:sz w:val="28"/>
                <w:szCs w:val="28"/>
              </w:rPr>
            </w:pPr>
            <w:r w:rsidRPr="007E330B">
              <w:rPr>
                <w:rFonts w:hAnsi="標楷體" w:cs="新細明體" w:hint="eastAsia"/>
                <w:b/>
                <w:color w:val="000000"/>
                <w:kern w:val="0"/>
                <w:sz w:val="28"/>
                <w:szCs w:val="28"/>
              </w:rPr>
              <w:t>10(100%)</w:t>
            </w:r>
          </w:p>
        </w:tc>
      </w:tr>
      <w:tr w:rsidR="00F775A5" w:rsidRPr="00DF3D76" w:rsidTr="004C6913">
        <w:trPr>
          <w:trHeight w:val="330"/>
        </w:trPr>
        <w:tc>
          <w:tcPr>
            <w:tcW w:w="882" w:type="pct"/>
            <w:tcBorders>
              <w:top w:val="nil"/>
              <w:left w:val="single" w:sz="4" w:space="0" w:color="auto"/>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bCs/>
                <w:color w:val="000000"/>
                <w:kern w:val="0"/>
                <w:sz w:val="28"/>
                <w:szCs w:val="28"/>
              </w:rPr>
            </w:pPr>
            <w:r w:rsidRPr="007E330B">
              <w:rPr>
                <w:rFonts w:hAnsi="標楷體" w:cs="新細明體" w:hint="eastAsia"/>
                <w:b/>
                <w:bCs/>
                <w:color w:val="000000"/>
                <w:kern w:val="0"/>
                <w:sz w:val="28"/>
                <w:szCs w:val="28"/>
              </w:rPr>
              <w:t>宜蘭地院</w:t>
            </w:r>
          </w:p>
        </w:tc>
        <w:tc>
          <w:tcPr>
            <w:tcW w:w="475"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Cs/>
                <w:color w:val="000000"/>
                <w:kern w:val="0"/>
                <w:sz w:val="28"/>
                <w:szCs w:val="28"/>
              </w:rPr>
            </w:pPr>
            <w:r w:rsidRPr="007E330B">
              <w:rPr>
                <w:rFonts w:hAnsi="標楷體" w:cs="新細明體" w:hint="eastAsia"/>
                <w:bCs/>
                <w:color w:val="000000"/>
                <w:kern w:val="0"/>
                <w:sz w:val="28"/>
                <w:szCs w:val="28"/>
              </w:rPr>
              <w:t>85</w:t>
            </w:r>
          </w:p>
        </w:tc>
        <w:tc>
          <w:tcPr>
            <w:tcW w:w="1029"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Cs/>
                <w:color w:val="000000"/>
                <w:kern w:val="0"/>
                <w:sz w:val="28"/>
                <w:szCs w:val="28"/>
              </w:rPr>
            </w:pPr>
            <w:r w:rsidRPr="007E330B">
              <w:rPr>
                <w:rFonts w:hAnsi="標楷體" w:cs="新細明體" w:hint="eastAsia"/>
                <w:bCs/>
                <w:color w:val="000000"/>
                <w:kern w:val="0"/>
                <w:sz w:val="28"/>
                <w:szCs w:val="28"/>
              </w:rPr>
              <w:t>0(0%)</w:t>
            </w:r>
          </w:p>
        </w:tc>
        <w:tc>
          <w:tcPr>
            <w:tcW w:w="318"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Cs/>
                <w:color w:val="000000"/>
                <w:kern w:val="0"/>
                <w:sz w:val="28"/>
                <w:szCs w:val="28"/>
              </w:rPr>
            </w:pPr>
            <w:r w:rsidRPr="007E330B">
              <w:rPr>
                <w:rFonts w:hAnsi="標楷體" w:cs="新細明體" w:hint="eastAsia"/>
                <w:bCs/>
                <w:color w:val="000000"/>
                <w:kern w:val="0"/>
                <w:sz w:val="28"/>
                <w:szCs w:val="28"/>
              </w:rPr>
              <w:t>5</w:t>
            </w:r>
          </w:p>
        </w:tc>
        <w:tc>
          <w:tcPr>
            <w:tcW w:w="949"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Cs/>
                <w:color w:val="000000"/>
                <w:kern w:val="0"/>
                <w:sz w:val="28"/>
                <w:szCs w:val="28"/>
              </w:rPr>
            </w:pPr>
            <w:r w:rsidRPr="007E330B">
              <w:rPr>
                <w:rFonts w:hAnsi="標楷體" w:cs="新細明體" w:hint="eastAsia"/>
                <w:bCs/>
                <w:color w:val="000000"/>
                <w:kern w:val="0"/>
                <w:sz w:val="28"/>
                <w:szCs w:val="28"/>
              </w:rPr>
              <w:t>0(0%)</w:t>
            </w:r>
          </w:p>
        </w:tc>
        <w:tc>
          <w:tcPr>
            <w:tcW w:w="397"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Cs/>
                <w:color w:val="000000"/>
                <w:kern w:val="0"/>
                <w:sz w:val="28"/>
                <w:szCs w:val="28"/>
              </w:rPr>
            </w:pPr>
            <w:r w:rsidRPr="007E330B">
              <w:rPr>
                <w:rFonts w:hAnsi="標楷體" w:cs="新細明體" w:hint="eastAsia"/>
                <w:bCs/>
                <w:color w:val="000000"/>
                <w:kern w:val="0"/>
                <w:sz w:val="28"/>
                <w:szCs w:val="28"/>
              </w:rPr>
              <w:t>7</w:t>
            </w:r>
          </w:p>
        </w:tc>
        <w:tc>
          <w:tcPr>
            <w:tcW w:w="950"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Cs/>
                <w:color w:val="000000"/>
                <w:kern w:val="0"/>
                <w:sz w:val="28"/>
                <w:szCs w:val="28"/>
              </w:rPr>
            </w:pPr>
            <w:r w:rsidRPr="007E330B">
              <w:rPr>
                <w:rFonts w:hAnsi="標楷體" w:cs="新細明體" w:hint="eastAsia"/>
                <w:bCs/>
                <w:color w:val="000000"/>
                <w:kern w:val="0"/>
                <w:sz w:val="28"/>
                <w:szCs w:val="28"/>
              </w:rPr>
              <w:t>0(0%)</w:t>
            </w:r>
          </w:p>
        </w:tc>
      </w:tr>
      <w:tr w:rsidR="00F775A5" w:rsidRPr="00DF3D76" w:rsidTr="004C6913">
        <w:trPr>
          <w:trHeight w:val="330"/>
        </w:trPr>
        <w:tc>
          <w:tcPr>
            <w:tcW w:w="882" w:type="pct"/>
            <w:tcBorders>
              <w:top w:val="nil"/>
              <w:left w:val="single" w:sz="4" w:space="0" w:color="auto"/>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bCs/>
                <w:color w:val="000000"/>
                <w:kern w:val="0"/>
                <w:sz w:val="28"/>
                <w:szCs w:val="28"/>
              </w:rPr>
            </w:pPr>
            <w:r w:rsidRPr="007E330B">
              <w:rPr>
                <w:rFonts w:hAnsi="標楷體" w:cs="新細明體" w:hint="eastAsia"/>
                <w:b/>
                <w:bCs/>
                <w:color w:val="000000"/>
                <w:kern w:val="0"/>
                <w:sz w:val="28"/>
                <w:szCs w:val="28"/>
              </w:rPr>
              <w:t>基隆地院</w:t>
            </w:r>
          </w:p>
        </w:tc>
        <w:tc>
          <w:tcPr>
            <w:tcW w:w="475"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129</w:t>
            </w:r>
          </w:p>
        </w:tc>
        <w:tc>
          <w:tcPr>
            <w:tcW w:w="1029"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color w:val="000000"/>
                <w:kern w:val="0"/>
                <w:sz w:val="28"/>
                <w:szCs w:val="28"/>
              </w:rPr>
            </w:pPr>
            <w:r w:rsidRPr="007E330B">
              <w:rPr>
                <w:rFonts w:hAnsi="標楷體" w:cs="新細明體" w:hint="eastAsia"/>
                <w:b/>
                <w:color w:val="000000"/>
                <w:kern w:val="0"/>
                <w:sz w:val="28"/>
                <w:szCs w:val="28"/>
              </w:rPr>
              <w:t>128(99.2%)</w:t>
            </w:r>
          </w:p>
        </w:tc>
        <w:tc>
          <w:tcPr>
            <w:tcW w:w="318"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0</w:t>
            </w:r>
          </w:p>
        </w:tc>
        <w:tc>
          <w:tcPr>
            <w:tcW w:w="949"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0(無案件)</w:t>
            </w:r>
          </w:p>
        </w:tc>
        <w:tc>
          <w:tcPr>
            <w:tcW w:w="397"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11</w:t>
            </w:r>
          </w:p>
        </w:tc>
        <w:tc>
          <w:tcPr>
            <w:tcW w:w="950"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color w:val="000000"/>
                <w:kern w:val="0"/>
                <w:sz w:val="28"/>
                <w:szCs w:val="28"/>
              </w:rPr>
            </w:pPr>
            <w:r w:rsidRPr="007E330B">
              <w:rPr>
                <w:rFonts w:hAnsi="標楷體" w:cs="新細明體" w:hint="eastAsia"/>
                <w:b/>
                <w:color w:val="000000"/>
                <w:kern w:val="0"/>
                <w:sz w:val="28"/>
                <w:szCs w:val="28"/>
              </w:rPr>
              <w:t>10(90.9%)</w:t>
            </w:r>
          </w:p>
        </w:tc>
      </w:tr>
      <w:tr w:rsidR="00F775A5" w:rsidRPr="00DF3D76" w:rsidTr="004C6913">
        <w:trPr>
          <w:trHeight w:val="330"/>
        </w:trPr>
        <w:tc>
          <w:tcPr>
            <w:tcW w:w="882" w:type="pct"/>
            <w:tcBorders>
              <w:top w:val="nil"/>
              <w:left w:val="single" w:sz="4" w:space="0" w:color="auto"/>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bCs/>
                <w:color w:val="000000"/>
                <w:kern w:val="0"/>
                <w:sz w:val="28"/>
                <w:szCs w:val="28"/>
              </w:rPr>
            </w:pPr>
            <w:r w:rsidRPr="007E330B">
              <w:rPr>
                <w:rFonts w:hAnsi="標楷體" w:cs="新細明體" w:hint="eastAsia"/>
                <w:b/>
                <w:bCs/>
                <w:color w:val="000000"/>
                <w:kern w:val="0"/>
                <w:sz w:val="28"/>
                <w:szCs w:val="28"/>
              </w:rPr>
              <w:t>澎湖地院</w:t>
            </w:r>
          </w:p>
        </w:tc>
        <w:tc>
          <w:tcPr>
            <w:tcW w:w="475"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26</w:t>
            </w:r>
          </w:p>
        </w:tc>
        <w:tc>
          <w:tcPr>
            <w:tcW w:w="1029"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color w:val="000000"/>
                <w:kern w:val="0"/>
                <w:sz w:val="28"/>
                <w:szCs w:val="28"/>
              </w:rPr>
            </w:pPr>
            <w:r w:rsidRPr="007E330B">
              <w:rPr>
                <w:rFonts w:hAnsi="標楷體" w:cs="新細明體" w:hint="eastAsia"/>
                <w:b/>
                <w:color w:val="000000"/>
                <w:kern w:val="0"/>
                <w:sz w:val="28"/>
                <w:szCs w:val="28"/>
              </w:rPr>
              <w:t>26(100%)</w:t>
            </w:r>
          </w:p>
        </w:tc>
        <w:tc>
          <w:tcPr>
            <w:tcW w:w="318"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3</w:t>
            </w:r>
          </w:p>
        </w:tc>
        <w:tc>
          <w:tcPr>
            <w:tcW w:w="949"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color w:val="000000"/>
                <w:kern w:val="0"/>
                <w:sz w:val="28"/>
                <w:szCs w:val="28"/>
              </w:rPr>
            </w:pPr>
            <w:r w:rsidRPr="007E330B">
              <w:rPr>
                <w:rFonts w:hAnsi="標楷體" w:cs="新細明體" w:hint="eastAsia"/>
                <w:b/>
                <w:color w:val="000000"/>
                <w:kern w:val="0"/>
                <w:sz w:val="28"/>
                <w:szCs w:val="28"/>
              </w:rPr>
              <w:t>3(100%)</w:t>
            </w:r>
          </w:p>
        </w:tc>
        <w:tc>
          <w:tcPr>
            <w:tcW w:w="397"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color w:val="000000"/>
                <w:kern w:val="0"/>
                <w:sz w:val="28"/>
                <w:szCs w:val="28"/>
              </w:rPr>
            </w:pPr>
            <w:r w:rsidRPr="007E330B">
              <w:rPr>
                <w:rFonts w:hAnsi="標楷體" w:cs="新細明體" w:hint="eastAsia"/>
                <w:b/>
                <w:color w:val="000000"/>
                <w:kern w:val="0"/>
                <w:sz w:val="28"/>
                <w:szCs w:val="28"/>
              </w:rPr>
              <w:t>1</w:t>
            </w:r>
          </w:p>
        </w:tc>
        <w:tc>
          <w:tcPr>
            <w:tcW w:w="950"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color w:val="000000"/>
                <w:kern w:val="0"/>
                <w:sz w:val="28"/>
                <w:szCs w:val="28"/>
              </w:rPr>
            </w:pPr>
            <w:r w:rsidRPr="007E330B">
              <w:rPr>
                <w:rFonts w:hAnsi="標楷體" w:cs="新細明體" w:hint="eastAsia"/>
                <w:b/>
                <w:color w:val="000000"/>
                <w:kern w:val="0"/>
                <w:sz w:val="28"/>
                <w:szCs w:val="28"/>
              </w:rPr>
              <w:t>1(100%)</w:t>
            </w:r>
          </w:p>
        </w:tc>
      </w:tr>
      <w:tr w:rsidR="00F775A5" w:rsidRPr="00DF3D76" w:rsidTr="004C6913">
        <w:trPr>
          <w:trHeight w:val="330"/>
        </w:trPr>
        <w:tc>
          <w:tcPr>
            <w:tcW w:w="882" w:type="pct"/>
            <w:tcBorders>
              <w:top w:val="nil"/>
              <w:left w:val="single" w:sz="4" w:space="0" w:color="auto"/>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bCs/>
                <w:color w:val="000000"/>
                <w:kern w:val="0"/>
                <w:sz w:val="28"/>
                <w:szCs w:val="28"/>
              </w:rPr>
            </w:pPr>
            <w:r w:rsidRPr="007E330B">
              <w:rPr>
                <w:rFonts w:hAnsi="標楷體" w:cs="新細明體" w:hint="eastAsia"/>
                <w:b/>
                <w:bCs/>
                <w:color w:val="000000"/>
                <w:kern w:val="0"/>
                <w:sz w:val="28"/>
                <w:szCs w:val="28"/>
              </w:rPr>
              <w:t>金門地院</w:t>
            </w:r>
          </w:p>
        </w:tc>
        <w:tc>
          <w:tcPr>
            <w:tcW w:w="475"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11</w:t>
            </w:r>
          </w:p>
        </w:tc>
        <w:tc>
          <w:tcPr>
            <w:tcW w:w="1029"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color w:val="000000"/>
                <w:kern w:val="0"/>
                <w:sz w:val="28"/>
                <w:szCs w:val="28"/>
              </w:rPr>
            </w:pPr>
            <w:r w:rsidRPr="007E330B">
              <w:rPr>
                <w:rFonts w:hAnsi="標楷體" w:cs="新細明體" w:hint="eastAsia"/>
                <w:b/>
                <w:color w:val="000000"/>
                <w:kern w:val="0"/>
                <w:sz w:val="28"/>
                <w:szCs w:val="28"/>
              </w:rPr>
              <w:t>11(100%)</w:t>
            </w:r>
          </w:p>
        </w:tc>
        <w:tc>
          <w:tcPr>
            <w:tcW w:w="318"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1</w:t>
            </w:r>
          </w:p>
        </w:tc>
        <w:tc>
          <w:tcPr>
            <w:tcW w:w="949"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color w:val="000000"/>
                <w:kern w:val="0"/>
                <w:sz w:val="28"/>
                <w:szCs w:val="28"/>
              </w:rPr>
            </w:pPr>
            <w:r w:rsidRPr="007E330B">
              <w:rPr>
                <w:rFonts w:hAnsi="標楷體" w:cs="新細明體" w:hint="eastAsia"/>
                <w:b/>
                <w:color w:val="000000"/>
                <w:kern w:val="0"/>
                <w:sz w:val="28"/>
                <w:szCs w:val="28"/>
              </w:rPr>
              <w:t>1(100%)</w:t>
            </w:r>
          </w:p>
        </w:tc>
        <w:tc>
          <w:tcPr>
            <w:tcW w:w="397"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6</w:t>
            </w:r>
          </w:p>
        </w:tc>
        <w:tc>
          <w:tcPr>
            <w:tcW w:w="950"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4(66.7%)</w:t>
            </w:r>
          </w:p>
        </w:tc>
      </w:tr>
      <w:tr w:rsidR="00F775A5" w:rsidRPr="00DF3D76" w:rsidTr="004C6913">
        <w:trPr>
          <w:trHeight w:val="330"/>
        </w:trPr>
        <w:tc>
          <w:tcPr>
            <w:tcW w:w="882" w:type="pct"/>
            <w:tcBorders>
              <w:top w:val="nil"/>
              <w:left w:val="single" w:sz="4" w:space="0" w:color="auto"/>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bCs/>
                <w:color w:val="000000"/>
                <w:kern w:val="0"/>
                <w:sz w:val="28"/>
                <w:szCs w:val="28"/>
              </w:rPr>
            </w:pPr>
            <w:r w:rsidRPr="007E330B">
              <w:rPr>
                <w:rFonts w:hAnsi="標楷體" w:cs="新細明體" w:hint="eastAsia"/>
                <w:b/>
                <w:bCs/>
                <w:color w:val="000000"/>
                <w:kern w:val="0"/>
                <w:sz w:val="28"/>
                <w:szCs w:val="28"/>
              </w:rPr>
              <w:t>福建連江地方法院</w:t>
            </w:r>
          </w:p>
        </w:tc>
        <w:tc>
          <w:tcPr>
            <w:tcW w:w="475"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2</w:t>
            </w:r>
          </w:p>
        </w:tc>
        <w:tc>
          <w:tcPr>
            <w:tcW w:w="1029"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0(0%)</w:t>
            </w:r>
          </w:p>
        </w:tc>
        <w:tc>
          <w:tcPr>
            <w:tcW w:w="318"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0</w:t>
            </w:r>
          </w:p>
        </w:tc>
        <w:tc>
          <w:tcPr>
            <w:tcW w:w="949"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0(無案件)</w:t>
            </w:r>
          </w:p>
        </w:tc>
        <w:tc>
          <w:tcPr>
            <w:tcW w:w="397"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0</w:t>
            </w:r>
          </w:p>
        </w:tc>
        <w:tc>
          <w:tcPr>
            <w:tcW w:w="950"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0(無案件)</w:t>
            </w:r>
          </w:p>
        </w:tc>
      </w:tr>
      <w:tr w:rsidR="00F775A5" w:rsidRPr="00DF3D76" w:rsidTr="004C6913">
        <w:trPr>
          <w:trHeight w:val="330"/>
        </w:trPr>
        <w:tc>
          <w:tcPr>
            <w:tcW w:w="882" w:type="pct"/>
            <w:tcBorders>
              <w:top w:val="nil"/>
              <w:left w:val="single" w:sz="4" w:space="0" w:color="auto"/>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bCs/>
                <w:color w:val="000000"/>
                <w:kern w:val="0"/>
                <w:sz w:val="28"/>
                <w:szCs w:val="28"/>
              </w:rPr>
            </w:pPr>
            <w:r w:rsidRPr="007E330B">
              <w:rPr>
                <w:rFonts w:hAnsi="標楷體" w:cs="新細明體" w:hint="eastAsia"/>
                <w:b/>
                <w:bCs/>
                <w:color w:val="000000"/>
                <w:kern w:val="0"/>
                <w:sz w:val="28"/>
                <w:szCs w:val="28"/>
              </w:rPr>
              <w:t>總計</w:t>
            </w:r>
          </w:p>
        </w:tc>
        <w:tc>
          <w:tcPr>
            <w:tcW w:w="475"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4,486</w:t>
            </w:r>
          </w:p>
        </w:tc>
        <w:tc>
          <w:tcPr>
            <w:tcW w:w="1029"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b/>
                <w:color w:val="000000"/>
                <w:kern w:val="0"/>
                <w:sz w:val="28"/>
                <w:szCs w:val="28"/>
              </w:rPr>
            </w:pPr>
            <w:r w:rsidRPr="007E330B">
              <w:rPr>
                <w:rFonts w:hAnsi="標楷體" w:cs="新細明體" w:hint="eastAsia"/>
                <w:b/>
                <w:color w:val="000000"/>
                <w:kern w:val="0"/>
                <w:sz w:val="28"/>
                <w:szCs w:val="28"/>
              </w:rPr>
              <w:t>4218(94%)</w:t>
            </w:r>
          </w:p>
        </w:tc>
        <w:tc>
          <w:tcPr>
            <w:tcW w:w="318"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128</w:t>
            </w:r>
          </w:p>
        </w:tc>
        <w:tc>
          <w:tcPr>
            <w:tcW w:w="949"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b/>
                <w:color w:val="000000"/>
                <w:kern w:val="0"/>
                <w:sz w:val="28"/>
                <w:szCs w:val="28"/>
              </w:rPr>
              <w:t>117(91.4%)</w:t>
            </w:r>
          </w:p>
        </w:tc>
        <w:tc>
          <w:tcPr>
            <w:tcW w:w="397"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586</w:t>
            </w:r>
          </w:p>
        </w:tc>
        <w:tc>
          <w:tcPr>
            <w:tcW w:w="950" w:type="pct"/>
            <w:tcBorders>
              <w:top w:val="nil"/>
              <w:left w:val="nil"/>
              <w:bottom w:val="single" w:sz="4" w:space="0" w:color="auto"/>
              <w:right w:val="single" w:sz="4" w:space="0" w:color="auto"/>
            </w:tcBorders>
            <w:shd w:val="clear" w:color="auto" w:fill="auto"/>
            <w:noWrap/>
            <w:vAlign w:val="center"/>
            <w:hideMark/>
          </w:tcPr>
          <w:p w:rsidR="00F775A5" w:rsidRPr="007E330B" w:rsidRDefault="00F775A5" w:rsidP="004C6913">
            <w:pPr>
              <w:widowControl/>
              <w:rPr>
                <w:rFonts w:hAnsi="標楷體" w:cs="新細明體"/>
                <w:color w:val="000000"/>
                <w:kern w:val="0"/>
                <w:sz w:val="28"/>
                <w:szCs w:val="28"/>
              </w:rPr>
            </w:pPr>
            <w:r w:rsidRPr="007E330B">
              <w:rPr>
                <w:rFonts w:hAnsi="標楷體" w:cs="新細明體" w:hint="eastAsia"/>
                <w:color w:val="000000"/>
                <w:kern w:val="0"/>
                <w:sz w:val="28"/>
                <w:szCs w:val="28"/>
              </w:rPr>
              <w:t>434(74.1%)</w:t>
            </w:r>
          </w:p>
        </w:tc>
      </w:tr>
    </w:tbl>
    <w:p w:rsidR="00163F87" w:rsidRDefault="00163F87" w:rsidP="00163F87">
      <w:pPr>
        <w:widowControl/>
        <w:spacing w:line="280" w:lineRule="exact"/>
        <w:ind w:left="650" w:hangingChars="250" w:hanging="650"/>
        <w:rPr>
          <w:rFonts w:hAnsi="標楷體" w:cs="新細明體"/>
          <w:color w:val="000000"/>
          <w:kern w:val="0"/>
          <w:sz w:val="24"/>
          <w:szCs w:val="24"/>
        </w:rPr>
      </w:pPr>
      <w:proofErr w:type="gramStart"/>
      <w:r w:rsidRPr="00DF3D76">
        <w:rPr>
          <w:rFonts w:hAnsi="標楷體" w:cs="新細明體" w:hint="eastAsia"/>
          <w:color w:val="000000"/>
          <w:kern w:val="0"/>
          <w:sz w:val="24"/>
          <w:szCs w:val="24"/>
        </w:rPr>
        <w:t>註</w:t>
      </w:r>
      <w:proofErr w:type="gramEnd"/>
      <w:r w:rsidRPr="00DF3D76">
        <w:rPr>
          <w:rFonts w:hAnsi="標楷體" w:cs="新細明體" w:hint="eastAsia"/>
          <w:color w:val="000000"/>
          <w:kern w:val="0"/>
          <w:sz w:val="24"/>
          <w:szCs w:val="24"/>
        </w:rPr>
        <w:t>1：指該年度裁定第2款「保護管束」處分總件數(少年</w:t>
      </w:r>
      <w:proofErr w:type="gramStart"/>
      <w:r w:rsidRPr="00DF3D76">
        <w:rPr>
          <w:rFonts w:hAnsi="標楷體" w:cs="新細明體" w:hint="eastAsia"/>
          <w:color w:val="000000"/>
          <w:kern w:val="0"/>
          <w:sz w:val="24"/>
          <w:szCs w:val="24"/>
        </w:rPr>
        <w:t>人次)</w:t>
      </w:r>
      <w:proofErr w:type="gramEnd"/>
      <w:r w:rsidRPr="00DF3D76">
        <w:rPr>
          <w:rFonts w:hAnsi="標楷體" w:cs="新細明體" w:hint="eastAsia"/>
          <w:color w:val="000000"/>
          <w:kern w:val="0"/>
          <w:sz w:val="24"/>
          <w:szCs w:val="24"/>
        </w:rPr>
        <w:t>。</w:t>
      </w:r>
    </w:p>
    <w:p w:rsidR="00163F87" w:rsidRDefault="00163F87" w:rsidP="00163F87">
      <w:pPr>
        <w:widowControl/>
        <w:spacing w:line="280" w:lineRule="exact"/>
        <w:ind w:left="650" w:hangingChars="250" w:hanging="650"/>
        <w:rPr>
          <w:rFonts w:hAnsi="標楷體" w:cs="新細明體"/>
          <w:color w:val="000000"/>
          <w:kern w:val="0"/>
          <w:sz w:val="24"/>
          <w:szCs w:val="24"/>
        </w:rPr>
      </w:pPr>
      <w:proofErr w:type="gramStart"/>
      <w:r w:rsidRPr="00DF3D76">
        <w:rPr>
          <w:rFonts w:hAnsi="標楷體" w:cs="新細明體" w:hint="eastAsia"/>
          <w:color w:val="000000"/>
          <w:kern w:val="0"/>
          <w:sz w:val="24"/>
          <w:szCs w:val="24"/>
        </w:rPr>
        <w:t>註</w:t>
      </w:r>
      <w:proofErr w:type="gramEnd"/>
      <w:r w:rsidRPr="00DF3D76">
        <w:rPr>
          <w:rFonts w:hAnsi="標楷體" w:cs="新細明體" w:hint="eastAsia"/>
          <w:color w:val="000000"/>
          <w:kern w:val="0"/>
          <w:sz w:val="24"/>
          <w:szCs w:val="24"/>
        </w:rPr>
        <w:t>2：指該年度裁定第2款處分以宣示筆錄為之。</w:t>
      </w:r>
    </w:p>
    <w:p w:rsidR="00163F87" w:rsidRDefault="00163F87" w:rsidP="00163F87">
      <w:pPr>
        <w:widowControl/>
        <w:spacing w:line="280" w:lineRule="exact"/>
        <w:ind w:left="650" w:hangingChars="250" w:hanging="650"/>
        <w:rPr>
          <w:rFonts w:hAnsi="標楷體" w:cs="新細明體"/>
          <w:color w:val="000000"/>
          <w:kern w:val="0"/>
          <w:sz w:val="24"/>
          <w:szCs w:val="24"/>
        </w:rPr>
      </w:pPr>
      <w:proofErr w:type="gramStart"/>
      <w:r w:rsidRPr="00DF3D76">
        <w:rPr>
          <w:rFonts w:hAnsi="標楷體" w:cs="新細明體" w:hint="eastAsia"/>
          <w:color w:val="000000"/>
          <w:kern w:val="0"/>
          <w:sz w:val="24"/>
          <w:szCs w:val="24"/>
        </w:rPr>
        <w:t>註</w:t>
      </w:r>
      <w:proofErr w:type="gramEnd"/>
      <w:r w:rsidRPr="00DF3D76">
        <w:rPr>
          <w:rFonts w:hAnsi="標楷體" w:cs="新細明體" w:hint="eastAsia"/>
          <w:color w:val="000000"/>
          <w:kern w:val="0"/>
          <w:sz w:val="24"/>
          <w:szCs w:val="24"/>
        </w:rPr>
        <w:t>3：</w:t>
      </w:r>
      <w:proofErr w:type="gramStart"/>
      <w:r w:rsidRPr="00DF3D76">
        <w:rPr>
          <w:rFonts w:hAnsi="標楷體" w:cs="新細明體" w:hint="eastAsia"/>
          <w:color w:val="000000"/>
          <w:kern w:val="0"/>
          <w:sz w:val="24"/>
          <w:szCs w:val="24"/>
        </w:rPr>
        <w:t>囿</w:t>
      </w:r>
      <w:proofErr w:type="gramEnd"/>
      <w:r w:rsidRPr="00DF3D76">
        <w:rPr>
          <w:rFonts w:hAnsi="標楷體" w:cs="新細明體" w:hint="eastAsia"/>
          <w:color w:val="000000"/>
          <w:kern w:val="0"/>
          <w:sz w:val="24"/>
          <w:szCs w:val="24"/>
        </w:rPr>
        <w:t>於人力，無從</w:t>
      </w:r>
      <w:proofErr w:type="gramStart"/>
      <w:r w:rsidRPr="00DF3D76">
        <w:rPr>
          <w:rFonts w:hAnsi="標楷體" w:cs="新細明體" w:hint="eastAsia"/>
          <w:color w:val="000000"/>
          <w:kern w:val="0"/>
          <w:sz w:val="24"/>
          <w:szCs w:val="24"/>
        </w:rPr>
        <w:t>逐一檢卷統計</w:t>
      </w:r>
      <w:proofErr w:type="gramEnd"/>
      <w:r w:rsidRPr="00DF3D76">
        <w:rPr>
          <w:rFonts w:hAnsi="標楷體" w:cs="新細明體" w:hint="eastAsia"/>
          <w:color w:val="000000"/>
          <w:kern w:val="0"/>
          <w:sz w:val="24"/>
          <w:szCs w:val="24"/>
        </w:rPr>
        <w:t>，乃由資訊處設計程式從審判系統及書記官作業系統進行裁判書蒐集並比對關鍵字，若裁判書內容不符合程式判斷規則，可能會有誤判情況。</w:t>
      </w:r>
    </w:p>
    <w:p w:rsidR="00163F87" w:rsidRDefault="00163F87" w:rsidP="00163F87">
      <w:pPr>
        <w:widowControl/>
        <w:spacing w:line="280" w:lineRule="exact"/>
        <w:ind w:left="650" w:hangingChars="250" w:hanging="650"/>
        <w:rPr>
          <w:rFonts w:hAnsi="標楷體" w:cs="新細明體"/>
          <w:color w:val="000000"/>
          <w:kern w:val="0"/>
          <w:sz w:val="24"/>
          <w:szCs w:val="24"/>
        </w:rPr>
      </w:pPr>
      <w:proofErr w:type="gramStart"/>
      <w:r w:rsidRPr="00DF3D76">
        <w:rPr>
          <w:rFonts w:hAnsi="標楷體" w:cs="新細明體" w:hint="eastAsia"/>
          <w:color w:val="000000"/>
          <w:kern w:val="0"/>
          <w:sz w:val="24"/>
          <w:szCs w:val="24"/>
        </w:rPr>
        <w:t>註</w:t>
      </w:r>
      <w:proofErr w:type="gramEnd"/>
      <w:r w:rsidRPr="00DF3D76">
        <w:rPr>
          <w:rFonts w:hAnsi="標楷體" w:cs="新細明體" w:hint="eastAsia"/>
          <w:color w:val="000000"/>
          <w:kern w:val="0"/>
          <w:sz w:val="24"/>
          <w:szCs w:val="24"/>
        </w:rPr>
        <w:t>4：部</w:t>
      </w:r>
      <w:r w:rsidR="004974BF">
        <w:rPr>
          <w:rFonts w:hAnsi="標楷體" w:cs="新細明體" w:hint="eastAsia"/>
          <w:color w:val="000000"/>
          <w:kern w:val="0"/>
          <w:sz w:val="24"/>
          <w:szCs w:val="24"/>
        </w:rPr>
        <w:t>分</w:t>
      </w:r>
      <w:r w:rsidRPr="00DF3D76">
        <w:rPr>
          <w:rFonts w:hAnsi="標楷體" w:cs="新細明體" w:hint="eastAsia"/>
          <w:color w:val="000000"/>
          <w:kern w:val="0"/>
          <w:sz w:val="24"/>
          <w:szCs w:val="24"/>
        </w:rPr>
        <w:t>案件因程式找不到對應的裁判書，會一律被判斷為非宣示筆錄，實際上仍可能是宣示筆錄，造成宣示筆錄比</w:t>
      </w:r>
      <w:r w:rsidR="004974BF">
        <w:rPr>
          <w:rFonts w:hAnsi="標楷體" w:cs="新細明體" w:hint="eastAsia"/>
          <w:color w:val="000000"/>
          <w:kern w:val="0"/>
          <w:sz w:val="24"/>
          <w:szCs w:val="24"/>
        </w:rPr>
        <w:t>率</w:t>
      </w:r>
      <w:r w:rsidRPr="00DF3D76">
        <w:rPr>
          <w:rFonts w:hAnsi="標楷體" w:cs="新細明體" w:hint="eastAsia"/>
          <w:color w:val="000000"/>
          <w:kern w:val="0"/>
          <w:sz w:val="24"/>
          <w:szCs w:val="24"/>
        </w:rPr>
        <w:t>被低估(例如:宜蘭地院)。</w:t>
      </w:r>
    </w:p>
    <w:p w:rsidR="00163F87" w:rsidRDefault="00163F87" w:rsidP="00163F87">
      <w:pPr>
        <w:pStyle w:val="3"/>
        <w:numPr>
          <w:ilvl w:val="0"/>
          <w:numId w:val="0"/>
        </w:numPr>
        <w:spacing w:line="280" w:lineRule="exact"/>
        <w:ind w:left="1361" w:hanging="681"/>
        <w:jc w:val="right"/>
      </w:pPr>
      <w:r w:rsidRPr="00163F87">
        <w:rPr>
          <w:rFonts w:hAnsi="標楷體" w:cs="新細明體" w:hint="eastAsia"/>
          <w:color w:val="000000"/>
          <w:kern w:val="0"/>
          <w:sz w:val="24"/>
          <w:szCs w:val="24"/>
        </w:rPr>
        <w:t>資料來源：司法院少年及家事廳</w:t>
      </w:r>
    </w:p>
    <w:p w:rsidR="00F775A5" w:rsidRDefault="0007495F" w:rsidP="0007495F">
      <w:pPr>
        <w:pStyle w:val="3"/>
      </w:pPr>
      <w:r>
        <w:rPr>
          <w:rFonts w:hint="eastAsia"/>
        </w:rPr>
        <w:t>目前少年保護事件</w:t>
      </w:r>
      <w:r w:rsidRPr="00E97A3E">
        <w:rPr>
          <w:rFonts w:hint="eastAsia"/>
        </w:rPr>
        <w:t>宣示裁定之筆錄格式過於簡略</w:t>
      </w:r>
      <w:r>
        <w:rPr>
          <w:rFonts w:hint="eastAsia"/>
        </w:rPr>
        <w:t>，應僅限於輕微案件始可適用，</w:t>
      </w:r>
      <w:r w:rsidR="00C1371C">
        <w:rPr>
          <w:rFonts w:hint="eastAsia"/>
        </w:rPr>
        <w:t>涉及少年權益的重大裁定</w:t>
      </w:r>
      <w:r>
        <w:rPr>
          <w:rFonts w:hint="eastAsia"/>
        </w:rPr>
        <w:t>，不可任意利用協商將案件了結。</w:t>
      </w:r>
      <w:r>
        <w:rPr>
          <w:rStyle w:val="40"/>
          <w:rFonts w:hint="eastAsia"/>
        </w:rPr>
        <w:t>然</w:t>
      </w:r>
      <w:r w:rsidR="008E66F5" w:rsidRPr="00A92ED0">
        <w:rPr>
          <w:rStyle w:val="40"/>
          <w:rFonts w:hint="eastAsia"/>
          <w:u w:val="single"/>
        </w:rPr>
        <w:t>依</w:t>
      </w:r>
      <w:r w:rsidRPr="00A92ED0">
        <w:rPr>
          <w:rStyle w:val="40"/>
          <w:rFonts w:hint="eastAsia"/>
          <w:u w:val="single"/>
        </w:rPr>
        <w:t>上開</w:t>
      </w:r>
      <w:r w:rsidR="00F775A5" w:rsidRPr="00A92ED0">
        <w:rPr>
          <w:rFonts w:hint="eastAsia"/>
          <w:u w:val="single"/>
        </w:rPr>
        <w:t>司法院</w:t>
      </w:r>
      <w:r w:rsidRPr="00A92ED0">
        <w:rPr>
          <w:rFonts w:hint="eastAsia"/>
          <w:u w:val="single"/>
        </w:rPr>
        <w:t>之</w:t>
      </w:r>
      <w:r w:rsidR="00F775A5" w:rsidRPr="00A92ED0">
        <w:rPr>
          <w:rFonts w:hint="eastAsia"/>
          <w:u w:val="single"/>
        </w:rPr>
        <w:t>統計</w:t>
      </w:r>
      <w:r w:rsidRPr="00A92ED0">
        <w:rPr>
          <w:rFonts w:hint="eastAsia"/>
          <w:u w:val="single"/>
        </w:rPr>
        <w:t>數據</w:t>
      </w:r>
      <w:r w:rsidR="008E66F5" w:rsidRPr="00A92ED0">
        <w:rPr>
          <w:rFonts w:hint="eastAsia"/>
          <w:u w:val="single"/>
        </w:rPr>
        <w:t>顯示</w:t>
      </w:r>
      <w:r w:rsidRPr="00A92ED0">
        <w:rPr>
          <w:rFonts w:hint="eastAsia"/>
          <w:u w:val="single"/>
        </w:rPr>
        <w:t>，</w:t>
      </w:r>
      <w:r w:rsidR="008E66F5" w:rsidRPr="00A92ED0">
        <w:rPr>
          <w:rFonts w:hint="eastAsia"/>
          <w:u w:val="single"/>
        </w:rPr>
        <w:t>限制少年人身自由達</w:t>
      </w:r>
      <w:r w:rsidR="00A92ED0" w:rsidRPr="00A92ED0">
        <w:rPr>
          <w:rFonts w:hint="eastAsia"/>
          <w:u w:val="single"/>
        </w:rPr>
        <w:t>3</w:t>
      </w:r>
      <w:r w:rsidR="008E66F5" w:rsidRPr="00A92ED0">
        <w:rPr>
          <w:rFonts w:hint="eastAsia"/>
          <w:u w:val="single"/>
        </w:rPr>
        <w:t>年之感化教育，</w:t>
      </w:r>
      <w:proofErr w:type="gramStart"/>
      <w:r w:rsidR="00F775A5" w:rsidRPr="00A92ED0">
        <w:rPr>
          <w:rFonts w:hint="eastAsia"/>
          <w:u w:val="single"/>
        </w:rPr>
        <w:t>逕</w:t>
      </w:r>
      <w:proofErr w:type="gramEnd"/>
      <w:r w:rsidR="00F775A5" w:rsidRPr="00A92ED0">
        <w:rPr>
          <w:rFonts w:hint="eastAsia"/>
          <w:u w:val="single"/>
        </w:rPr>
        <w:t>以宣示筆錄代替裁定書的比率極高，例如士林地院為97％、台中地院96.6％，甚至苗栗地院、嘉義地院達到100％。</w:t>
      </w:r>
      <w:r w:rsidR="00852FED" w:rsidRPr="00A92ED0">
        <w:rPr>
          <w:rFonts w:hint="eastAsia"/>
          <w:u w:val="single"/>
        </w:rPr>
        <w:t>該等</w:t>
      </w:r>
      <w:r w:rsidRPr="00A92ED0">
        <w:rPr>
          <w:rFonts w:hint="eastAsia"/>
          <w:u w:val="single"/>
        </w:rPr>
        <w:t>宣示筆錄</w:t>
      </w:r>
      <w:r w:rsidR="00852FED" w:rsidRPr="00A92ED0">
        <w:rPr>
          <w:rFonts w:hint="eastAsia"/>
          <w:u w:val="single"/>
        </w:rPr>
        <w:t>僅記載裁定主文</w:t>
      </w:r>
      <w:r w:rsidR="00852FED">
        <w:rPr>
          <w:rFonts w:hint="eastAsia"/>
        </w:rPr>
        <w:t>（部分筆錄將警察機關之移送書列為附件）</w:t>
      </w:r>
      <w:r w:rsidR="00852FED" w:rsidRPr="00A92ED0">
        <w:rPr>
          <w:rFonts w:hint="eastAsia"/>
          <w:u w:val="single"/>
        </w:rPr>
        <w:t>，</w:t>
      </w:r>
      <w:r w:rsidRPr="00A92ED0">
        <w:rPr>
          <w:rFonts w:hint="eastAsia"/>
          <w:u w:val="single"/>
        </w:rPr>
        <w:lastRenderedPageBreak/>
        <w:t>事實及理由</w:t>
      </w:r>
      <w:r w:rsidR="00852FED" w:rsidRPr="00A92ED0">
        <w:rPr>
          <w:rFonts w:hint="eastAsia"/>
          <w:u w:val="single"/>
        </w:rPr>
        <w:t>皆</w:t>
      </w:r>
      <w:r w:rsidRPr="00A92ED0">
        <w:rPr>
          <w:rFonts w:hint="eastAsia"/>
          <w:u w:val="single"/>
        </w:rPr>
        <w:t>不明，程序過簡略，無從擔保</w:t>
      </w:r>
      <w:r w:rsidR="00C1371C" w:rsidRPr="00A92ED0">
        <w:rPr>
          <w:rFonts w:hint="eastAsia"/>
          <w:u w:val="single"/>
        </w:rPr>
        <w:t>有無</w:t>
      </w:r>
      <w:r w:rsidR="00163F87" w:rsidRPr="00A92ED0">
        <w:rPr>
          <w:rFonts w:hint="eastAsia"/>
          <w:u w:val="single"/>
        </w:rPr>
        <w:t>法官</w:t>
      </w:r>
      <w:proofErr w:type="gramStart"/>
      <w:r w:rsidR="00C1371C" w:rsidRPr="00A92ED0">
        <w:rPr>
          <w:rFonts w:hint="eastAsia"/>
          <w:u w:val="single"/>
        </w:rPr>
        <w:t>踐行</w:t>
      </w:r>
      <w:proofErr w:type="gramEnd"/>
      <w:r w:rsidR="00C1371C" w:rsidRPr="00A92ED0">
        <w:rPr>
          <w:rFonts w:hint="eastAsia"/>
          <w:u w:val="single"/>
        </w:rPr>
        <w:t>正當程序、落實協商式審理</w:t>
      </w:r>
      <w:r w:rsidR="00163F87" w:rsidRPr="00A92ED0">
        <w:rPr>
          <w:rFonts w:hint="eastAsia"/>
          <w:u w:val="single"/>
        </w:rPr>
        <w:t>，亦無從確保少年法庭</w:t>
      </w:r>
      <w:r w:rsidR="00C1371C" w:rsidRPr="00A92ED0">
        <w:rPr>
          <w:rFonts w:hint="eastAsia"/>
          <w:u w:val="single"/>
        </w:rPr>
        <w:t>正確評估少年之需保護性</w:t>
      </w:r>
      <w:r w:rsidR="00810BC8" w:rsidRPr="00A92ED0">
        <w:rPr>
          <w:rFonts w:hint="eastAsia"/>
          <w:u w:val="single"/>
        </w:rPr>
        <w:t>、</w:t>
      </w:r>
      <w:r w:rsidRPr="00A92ED0">
        <w:rPr>
          <w:rFonts w:hint="eastAsia"/>
          <w:u w:val="single"/>
        </w:rPr>
        <w:t>縝密</w:t>
      </w:r>
      <w:r w:rsidR="00C1371C" w:rsidRPr="00A92ED0">
        <w:rPr>
          <w:rFonts w:hint="eastAsia"/>
          <w:u w:val="single"/>
        </w:rPr>
        <w:t>思考連結相關資</w:t>
      </w:r>
      <w:r w:rsidR="00F3254D" w:rsidRPr="00A92ED0">
        <w:rPr>
          <w:rFonts w:hint="eastAsia"/>
          <w:u w:val="single"/>
        </w:rPr>
        <w:t>源，協助少年回歸正途</w:t>
      </w:r>
      <w:r w:rsidRPr="00A92ED0">
        <w:rPr>
          <w:rFonts w:hint="eastAsia"/>
          <w:u w:val="single"/>
        </w:rPr>
        <w:t>，對少年權益之保障</w:t>
      </w:r>
      <w:r w:rsidR="00C1371C" w:rsidRPr="00A92ED0">
        <w:rPr>
          <w:rFonts w:hint="eastAsia"/>
          <w:u w:val="single"/>
        </w:rPr>
        <w:t>顯有</w:t>
      </w:r>
      <w:r w:rsidRPr="00A92ED0">
        <w:rPr>
          <w:rFonts w:hint="eastAsia"/>
          <w:u w:val="single"/>
        </w:rPr>
        <w:t>不周</w:t>
      </w:r>
      <w:r w:rsidR="00852FED" w:rsidRPr="00A92ED0">
        <w:rPr>
          <w:rFonts w:hint="eastAsia"/>
          <w:u w:val="single"/>
        </w:rPr>
        <w:t>。</w:t>
      </w:r>
      <w:r w:rsidR="000F64E5" w:rsidRPr="00A92ED0">
        <w:rPr>
          <w:rFonts w:hint="eastAsia"/>
          <w:u w:val="single"/>
        </w:rPr>
        <w:t>本案</w:t>
      </w:r>
      <w:r w:rsidR="00852FED" w:rsidRPr="00A92ED0">
        <w:rPr>
          <w:rFonts w:hint="eastAsia"/>
          <w:u w:val="single"/>
        </w:rPr>
        <w:t>經調閱審理筆錄及勘驗開庭錄音，發現</w:t>
      </w:r>
      <w:r w:rsidR="002B485B" w:rsidRPr="00A92ED0">
        <w:rPr>
          <w:rFonts w:hint="eastAsia"/>
          <w:u w:val="single"/>
        </w:rPr>
        <w:t>實務運作上</w:t>
      </w:r>
      <w:r w:rsidR="00852FED" w:rsidRPr="00A92ED0">
        <w:rPr>
          <w:rFonts w:hint="eastAsia"/>
          <w:u w:val="single"/>
        </w:rPr>
        <w:t>少年法庭調查審理的過程極為簡</w:t>
      </w:r>
      <w:r w:rsidR="00C1371C" w:rsidRPr="00A92ED0">
        <w:rPr>
          <w:rFonts w:hint="eastAsia"/>
          <w:u w:val="single"/>
        </w:rPr>
        <w:t>略</w:t>
      </w:r>
      <w:r w:rsidR="00852FED" w:rsidRPr="00A92ED0">
        <w:rPr>
          <w:rFonts w:hint="eastAsia"/>
          <w:u w:val="single"/>
        </w:rPr>
        <w:t>、草率</w:t>
      </w:r>
      <w:r w:rsidR="000F64E5" w:rsidRPr="00A92ED0">
        <w:rPr>
          <w:rFonts w:hint="eastAsia"/>
          <w:u w:val="single"/>
        </w:rPr>
        <w:t>，</w:t>
      </w:r>
      <w:r w:rsidR="00C1371C" w:rsidRPr="00A92ED0">
        <w:rPr>
          <w:rFonts w:hint="eastAsia"/>
          <w:u w:val="single"/>
        </w:rPr>
        <w:t>確有李茂生教授所指出之現象，</w:t>
      </w:r>
      <w:r w:rsidR="002B485B" w:rsidRPr="00A92ED0">
        <w:rPr>
          <w:rFonts w:hint="eastAsia"/>
          <w:u w:val="single"/>
        </w:rPr>
        <w:t>顯示</w:t>
      </w:r>
      <w:r w:rsidRPr="00A92ED0">
        <w:rPr>
          <w:rFonts w:hint="eastAsia"/>
          <w:u w:val="single"/>
        </w:rPr>
        <w:t>該制度確已遭濫用。</w:t>
      </w:r>
      <w:r w:rsidR="002B485B">
        <w:rPr>
          <w:rFonts w:hint="eastAsia"/>
        </w:rPr>
        <w:t>又93年司法院第1期少年法院觀護人業務研討會提出相關問題後，司法院之研討結論雖表示將於修法時檢討宣示筆錄之格式及記載內容等事項，惟迄今已逾1</w:t>
      </w:r>
      <w:r w:rsidR="00A92ED0">
        <w:rPr>
          <w:rFonts w:hint="eastAsia"/>
        </w:rPr>
        <w:t>5</w:t>
      </w:r>
      <w:r w:rsidR="002B485B">
        <w:rPr>
          <w:rFonts w:hint="eastAsia"/>
        </w:rPr>
        <w:t>年，仍未見具體改善，實有欠積極。</w:t>
      </w:r>
      <w:proofErr w:type="gramStart"/>
      <w:r>
        <w:rPr>
          <w:rFonts w:hint="eastAsia"/>
        </w:rPr>
        <w:t>鑑</w:t>
      </w:r>
      <w:proofErr w:type="gramEnd"/>
      <w:r>
        <w:rPr>
          <w:rFonts w:hint="eastAsia"/>
        </w:rPr>
        <w:t>於人身自由</w:t>
      </w:r>
      <w:r w:rsidR="00852FED">
        <w:rPr>
          <w:rFonts w:hint="eastAsia"/>
        </w:rPr>
        <w:t>屬人權保障之核心</w:t>
      </w:r>
      <w:r>
        <w:rPr>
          <w:rFonts w:hint="eastAsia"/>
        </w:rPr>
        <w:t>，</w:t>
      </w:r>
      <w:r w:rsidR="00F775A5">
        <w:rPr>
          <w:rFonts w:hint="eastAsia"/>
        </w:rPr>
        <w:t>在檢討保障少年正當程序及確定法院審理及裁判範圍時，</w:t>
      </w:r>
      <w:r>
        <w:rPr>
          <w:rFonts w:hint="eastAsia"/>
        </w:rPr>
        <w:t>司法院</w:t>
      </w:r>
      <w:r w:rsidR="00F775A5">
        <w:rPr>
          <w:rFonts w:hint="eastAsia"/>
        </w:rPr>
        <w:t>對於</w:t>
      </w:r>
      <w:r w:rsidR="000F64E5">
        <w:rPr>
          <w:rFonts w:hint="eastAsia"/>
        </w:rPr>
        <w:t>如何</w:t>
      </w:r>
      <w:r w:rsidR="00903D41" w:rsidRPr="0007495F">
        <w:rPr>
          <w:rFonts w:hint="eastAsia"/>
        </w:rPr>
        <w:t>落實協商式審理</w:t>
      </w:r>
      <w:r w:rsidR="002B485B">
        <w:rPr>
          <w:rFonts w:hint="eastAsia"/>
        </w:rPr>
        <w:t>、如何</w:t>
      </w:r>
      <w:r w:rsidR="00903D41">
        <w:rPr>
          <w:rFonts w:hint="eastAsia"/>
        </w:rPr>
        <w:t>避免宣示筆錄代替裁判書</w:t>
      </w:r>
      <w:r w:rsidR="00852FED">
        <w:rPr>
          <w:rFonts w:hint="eastAsia"/>
        </w:rPr>
        <w:t>之立法原意</w:t>
      </w:r>
      <w:r w:rsidR="00903D41">
        <w:rPr>
          <w:rFonts w:hint="eastAsia"/>
        </w:rPr>
        <w:t>遭到濫用</w:t>
      </w:r>
      <w:r w:rsidR="002B485B">
        <w:rPr>
          <w:rFonts w:hint="eastAsia"/>
        </w:rPr>
        <w:t>、</w:t>
      </w:r>
      <w:r w:rsidR="00852FED">
        <w:rPr>
          <w:rFonts w:hint="eastAsia"/>
        </w:rPr>
        <w:t>如何建立有效的司法監督機制</w:t>
      </w:r>
      <w:r w:rsidR="00903D41" w:rsidRPr="0007495F">
        <w:rPr>
          <w:rFonts w:hint="eastAsia"/>
        </w:rPr>
        <w:t>，實有深入檢討的必要</w:t>
      </w:r>
      <w:r>
        <w:rPr>
          <w:rFonts w:hint="eastAsia"/>
        </w:rPr>
        <w:t>。</w:t>
      </w:r>
    </w:p>
    <w:p w:rsidR="00F775A5" w:rsidRPr="005A17B3" w:rsidRDefault="00F775A5" w:rsidP="00CC6001">
      <w:pPr>
        <w:pStyle w:val="2"/>
      </w:pPr>
      <w:bookmarkStart w:id="60" w:name="_Toc535915337"/>
      <w:bookmarkEnd w:id="55"/>
      <w:r w:rsidRPr="00CC6001">
        <w:rPr>
          <w:rFonts w:hint="eastAsia"/>
          <w:b/>
        </w:rPr>
        <w:t>少年保護事件重</w:t>
      </w:r>
      <w:r w:rsidR="00AE4EC6" w:rsidRPr="00CC6001">
        <w:rPr>
          <w:rFonts w:hint="eastAsia"/>
          <w:b/>
        </w:rPr>
        <w:t>視</w:t>
      </w:r>
      <w:r w:rsidRPr="00CC6001">
        <w:rPr>
          <w:rFonts w:hint="eastAsia"/>
          <w:b/>
        </w:rPr>
        <w:t>少年</w:t>
      </w:r>
      <w:proofErr w:type="gramStart"/>
      <w:r w:rsidRPr="00CC6001">
        <w:rPr>
          <w:rFonts w:hint="eastAsia"/>
          <w:b/>
        </w:rPr>
        <w:t>調查官審前</w:t>
      </w:r>
      <w:proofErr w:type="gramEnd"/>
      <w:r w:rsidRPr="00CC6001">
        <w:rPr>
          <w:rFonts w:hint="eastAsia"/>
          <w:b/>
        </w:rPr>
        <w:t>調查，要求法官進行協商式審理時，須以少年調查官專業調查評估之處遇建議為藍本，但目前</w:t>
      </w:r>
      <w:r w:rsidR="00CC6001" w:rsidRPr="00CC6001">
        <w:rPr>
          <w:rFonts w:hint="eastAsia"/>
          <w:b/>
        </w:rPr>
        <w:t>仍有桃園地院等8所</w:t>
      </w:r>
      <w:r w:rsidRPr="00CC6001">
        <w:rPr>
          <w:rFonts w:hint="eastAsia"/>
          <w:b/>
        </w:rPr>
        <w:t>法院</w:t>
      </w:r>
      <w:r w:rsidR="00CC6001" w:rsidRPr="00CC6001">
        <w:rPr>
          <w:rFonts w:hint="eastAsia"/>
          <w:b/>
        </w:rPr>
        <w:t>之</w:t>
      </w:r>
      <w:r w:rsidRPr="00CC6001">
        <w:rPr>
          <w:rFonts w:hint="eastAsia"/>
          <w:b/>
        </w:rPr>
        <w:t>少年調查官</w:t>
      </w:r>
      <w:proofErr w:type="gramStart"/>
      <w:r w:rsidRPr="00CC6001">
        <w:rPr>
          <w:rFonts w:hint="eastAsia"/>
          <w:b/>
        </w:rPr>
        <w:t>採</w:t>
      </w:r>
      <w:proofErr w:type="gramEnd"/>
      <w:r w:rsidRPr="00CC6001">
        <w:rPr>
          <w:rFonts w:hint="eastAsia"/>
          <w:b/>
        </w:rPr>
        <w:t>輪值相互代理到庭</w:t>
      </w:r>
      <w:r w:rsidR="00076BB7">
        <w:rPr>
          <w:rFonts w:hint="eastAsia"/>
          <w:b/>
        </w:rPr>
        <w:t>。此方式</w:t>
      </w:r>
      <w:proofErr w:type="gramStart"/>
      <w:r w:rsidR="00076BB7">
        <w:rPr>
          <w:rFonts w:hint="eastAsia"/>
          <w:b/>
        </w:rPr>
        <w:t>似仿目前</w:t>
      </w:r>
      <w:proofErr w:type="gramEnd"/>
      <w:r w:rsidR="00076BB7">
        <w:rPr>
          <w:rFonts w:hint="eastAsia"/>
          <w:b/>
        </w:rPr>
        <w:t>檢察官到庭實施公訴時之「公訴庭」制度，惟</w:t>
      </w:r>
      <w:proofErr w:type="gramStart"/>
      <w:r w:rsidR="00076BB7">
        <w:rPr>
          <w:rFonts w:hint="eastAsia"/>
          <w:b/>
        </w:rPr>
        <w:t>公訴庭係奠基</w:t>
      </w:r>
      <w:proofErr w:type="gramEnd"/>
      <w:r w:rsidR="00076BB7">
        <w:rPr>
          <w:rFonts w:hint="eastAsia"/>
          <w:b/>
        </w:rPr>
        <w:t>於「檢察一體」之基礎上，與少事法第39條第1項規定：「少年調查官應於審理期日出庭陳述調查及審理之意見」</w:t>
      </w:r>
      <w:r w:rsidR="0018327F">
        <w:rPr>
          <w:rFonts w:hint="eastAsia"/>
          <w:b/>
        </w:rPr>
        <w:t>，</w:t>
      </w:r>
      <w:r w:rsidR="00076BB7">
        <w:rPr>
          <w:rFonts w:hint="eastAsia"/>
          <w:b/>
        </w:rPr>
        <w:t>目的</w:t>
      </w:r>
      <w:proofErr w:type="gramStart"/>
      <w:r w:rsidR="00076BB7">
        <w:rPr>
          <w:rFonts w:hint="eastAsia"/>
          <w:b/>
        </w:rPr>
        <w:t>在於使依同</w:t>
      </w:r>
      <w:proofErr w:type="gramEnd"/>
      <w:r w:rsidR="00076BB7">
        <w:rPr>
          <w:rFonts w:hint="eastAsia"/>
          <w:b/>
        </w:rPr>
        <w:t>法第19條第1項「…</w:t>
      </w:r>
      <w:proofErr w:type="gramStart"/>
      <w:r w:rsidR="00076BB7">
        <w:rPr>
          <w:rFonts w:hint="eastAsia"/>
          <w:b/>
        </w:rPr>
        <w:t>…</w:t>
      </w:r>
      <w:proofErr w:type="gramEnd"/>
      <w:r w:rsidR="00076BB7">
        <w:rPr>
          <w:rFonts w:hint="eastAsia"/>
          <w:b/>
        </w:rPr>
        <w:t>調查該少年與事件有關之行為、其人之品格…</w:t>
      </w:r>
      <w:proofErr w:type="gramStart"/>
      <w:r w:rsidR="00076BB7">
        <w:rPr>
          <w:rFonts w:hint="eastAsia"/>
          <w:b/>
        </w:rPr>
        <w:t>…</w:t>
      </w:r>
      <w:proofErr w:type="gramEnd"/>
      <w:r w:rsidR="00076BB7">
        <w:rPr>
          <w:rFonts w:hint="eastAsia"/>
          <w:b/>
        </w:rPr>
        <w:t>」</w:t>
      </w:r>
      <w:r w:rsidR="002B3476">
        <w:rPr>
          <w:rFonts w:hint="eastAsia"/>
          <w:b/>
        </w:rPr>
        <w:t>，與負責</w:t>
      </w:r>
      <w:r w:rsidR="00076BB7">
        <w:rPr>
          <w:rFonts w:hint="eastAsia"/>
          <w:b/>
        </w:rPr>
        <w:t>審前調查之少年調查官出庭提出報告，並附具建議之理論基礎完全不同，</w:t>
      </w:r>
      <w:proofErr w:type="gramStart"/>
      <w:r w:rsidR="00076BB7">
        <w:rPr>
          <w:rFonts w:hint="eastAsia"/>
          <w:b/>
        </w:rPr>
        <w:t>彷</w:t>
      </w:r>
      <w:proofErr w:type="gramEnd"/>
      <w:r w:rsidR="00076BB7">
        <w:rPr>
          <w:rFonts w:hint="eastAsia"/>
          <w:b/>
        </w:rPr>
        <w:t>若另創了「調查一體」之理論，</w:t>
      </w:r>
      <w:r w:rsidR="002B3476">
        <w:rPr>
          <w:rFonts w:hint="eastAsia"/>
          <w:b/>
        </w:rPr>
        <w:t>欠缺法源依據。</w:t>
      </w:r>
      <w:r w:rsidR="00076BB7">
        <w:rPr>
          <w:rFonts w:hint="eastAsia"/>
          <w:b/>
        </w:rPr>
        <w:t>且從本案調查實證可知，此種行禮如儀的方式，</w:t>
      </w:r>
      <w:proofErr w:type="gramStart"/>
      <w:r w:rsidR="00076BB7">
        <w:rPr>
          <w:rFonts w:hint="eastAsia"/>
          <w:b/>
        </w:rPr>
        <w:t>已使少事</w:t>
      </w:r>
      <w:proofErr w:type="gramEnd"/>
      <w:r w:rsidR="00076BB7">
        <w:rPr>
          <w:rFonts w:hint="eastAsia"/>
          <w:b/>
        </w:rPr>
        <w:t>法第39條第1項之規定流於形式。該</w:t>
      </w:r>
      <w:r w:rsidR="00090275">
        <w:rPr>
          <w:rFonts w:hint="eastAsia"/>
          <w:b/>
        </w:rPr>
        <w:t>等</w:t>
      </w:r>
      <w:r w:rsidR="00076BB7">
        <w:rPr>
          <w:rFonts w:hint="eastAsia"/>
          <w:b/>
        </w:rPr>
        <w:t>輪值之少年調查官，</w:t>
      </w:r>
      <w:r w:rsidRPr="00CC6001">
        <w:rPr>
          <w:rFonts w:hint="eastAsia"/>
          <w:b/>
        </w:rPr>
        <w:t>到</w:t>
      </w:r>
      <w:proofErr w:type="gramStart"/>
      <w:r w:rsidRPr="00CC6001">
        <w:rPr>
          <w:rFonts w:hint="eastAsia"/>
          <w:b/>
        </w:rPr>
        <w:t>庭前既未</w:t>
      </w:r>
      <w:proofErr w:type="gramEnd"/>
      <w:r w:rsidRPr="00CC6001">
        <w:rPr>
          <w:rFonts w:hint="eastAsia"/>
          <w:b/>
        </w:rPr>
        <w:t>接觸相關卷證，</w:t>
      </w:r>
      <w:r w:rsidRPr="00CC6001">
        <w:rPr>
          <w:rFonts w:hint="eastAsia"/>
          <w:b/>
        </w:rPr>
        <w:lastRenderedPageBreak/>
        <w:t>陳述意見時僅</w:t>
      </w:r>
      <w:r w:rsidR="005A17B3" w:rsidRPr="00CC6001">
        <w:rPr>
          <w:rFonts w:hint="eastAsia"/>
          <w:b/>
        </w:rPr>
        <w:t>有一句「詳如少年調查報告書所載」</w:t>
      </w:r>
      <w:r w:rsidRPr="00CC6001">
        <w:rPr>
          <w:rFonts w:hint="eastAsia"/>
          <w:b/>
        </w:rPr>
        <w:t>，開庭後亦無任何交接機制</w:t>
      </w:r>
      <w:r w:rsidR="003640E9">
        <w:rPr>
          <w:rFonts w:hint="eastAsia"/>
          <w:b/>
        </w:rPr>
        <w:t>。</w:t>
      </w:r>
      <w:r w:rsidR="004B0507" w:rsidRPr="00CC6001">
        <w:rPr>
          <w:rFonts w:hint="eastAsia"/>
          <w:b/>
        </w:rPr>
        <w:t>實務上</w:t>
      </w:r>
      <w:r w:rsidR="00AE4EC6" w:rsidRPr="00CC6001">
        <w:rPr>
          <w:rFonts w:hint="eastAsia"/>
          <w:b/>
        </w:rPr>
        <w:t>法</w:t>
      </w:r>
      <w:r w:rsidR="00DA7292" w:rsidRPr="00CC6001">
        <w:rPr>
          <w:rFonts w:hint="eastAsia"/>
          <w:b/>
        </w:rPr>
        <w:t>官</w:t>
      </w:r>
      <w:r w:rsidR="005D1CB4" w:rsidRPr="00CC6001">
        <w:rPr>
          <w:rFonts w:hint="eastAsia"/>
          <w:b/>
        </w:rPr>
        <w:t>若</w:t>
      </w:r>
      <w:r w:rsidR="00DA7292" w:rsidRPr="00CC6001">
        <w:rPr>
          <w:rFonts w:hint="eastAsia"/>
          <w:b/>
        </w:rPr>
        <w:t>不同意少年調查官之處遇建議</w:t>
      </w:r>
      <w:r w:rsidR="005D1CB4" w:rsidRPr="00CC6001">
        <w:rPr>
          <w:rFonts w:hint="eastAsia"/>
          <w:b/>
        </w:rPr>
        <w:t>，常</w:t>
      </w:r>
      <w:r w:rsidR="004B0507" w:rsidRPr="00CC6001">
        <w:rPr>
          <w:rFonts w:hint="eastAsia"/>
          <w:b/>
        </w:rPr>
        <w:t>於開庭前</w:t>
      </w:r>
      <w:r w:rsidR="00370A39" w:rsidRPr="00CC6001">
        <w:rPr>
          <w:rFonts w:hint="eastAsia"/>
          <w:b/>
        </w:rPr>
        <w:t>與</w:t>
      </w:r>
      <w:r w:rsidR="005D1CB4" w:rsidRPr="00CC6001">
        <w:rPr>
          <w:rFonts w:hint="eastAsia"/>
          <w:b/>
        </w:rPr>
        <w:t>少年調查官</w:t>
      </w:r>
      <w:r w:rsidR="00370A39" w:rsidRPr="00CC6001">
        <w:rPr>
          <w:rFonts w:hint="eastAsia"/>
          <w:b/>
        </w:rPr>
        <w:t>討論</w:t>
      </w:r>
      <w:r w:rsidR="00DA7292" w:rsidRPr="00CC6001">
        <w:rPr>
          <w:rFonts w:hint="eastAsia"/>
          <w:b/>
        </w:rPr>
        <w:t>更改</w:t>
      </w:r>
      <w:r w:rsidR="005D1CB4" w:rsidRPr="00CC6001">
        <w:rPr>
          <w:rFonts w:hint="eastAsia"/>
          <w:b/>
        </w:rPr>
        <w:t>處遇建議</w:t>
      </w:r>
      <w:r w:rsidR="00DA7292" w:rsidRPr="00CC6001">
        <w:rPr>
          <w:rFonts w:hint="eastAsia"/>
          <w:b/>
        </w:rPr>
        <w:t>，</w:t>
      </w:r>
      <w:r w:rsidR="00AE4EC6" w:rsidRPr="00CC6001">
        <w:rPr>
          <w:rFonts w:hint="eastAsia"/>
          <w:b/>
        </w:rPr>
        <w:t>致保護事件以宣示筆錄代替裁定書之整體比率</w:t>
      </w:r>
      <w:r w:rsidR="005D1CB4" w:rsidRPr="00CC6001">
        <w:rPr>
          <w:rFonts w:hint="eastAsia"/>
          <w:b/>
        </w:rPr>
        <w:t>偏高</w:t>
      </w:r>
      <w:r w:rsidR="00A20BB2" w:rsidRPr="00CC6001">
        <w:rPr>
          <w:rFonts w:hint="eastAsia"/>
          <w:b/>
        </w:rPr>
        <w:t>，原應</w:t>
      </w:r>
      <w:proofErr w:type="gramStart"/>
      <w:r w:rsidR="00A20BB2" w:rsidRPr="00CC6001">
        <w:rPr>
          <w:rFonts w:hint="eastAsia"/>
          <w:b/>
        </w:rPr>
        <w:t>採</w:t>
      </w:r>
      <w:proofErr w:type="gramEnd"/>
      <w:r w:rsidR="00A20BB2" w:rsidRPr="00CC6001">
        <w:rPr>
          <w:rFonts w:hint="eastAsia"/>
          <w:b/>
        </w:rPr>
        <w:t>行的「協商式」審理，不無淪為「</w:t>
      </w:r>
      <w:proofErr w:type="gramStart"/>
      <w:r w:rsidR="00A20BB2" w:rsidRPr="00CC6001">
        <w:rPr>
          <w:rFonts w:hint="eastAsia"/>
          <w:b/>
        </w:rPr>
        <w:t>糾問式</w:t>
      </w:r>
      <w:proofErr w:type="gramEnd"/>
      <w:r w:rsidR="00A20BB2" w:rsidRPr="00CC6001">
        <w:rPr>
          <w:rFonts w:hint="eastAsia"/>
          <w:b/>
        </w:rPr>
        <w:t>」</w:t>
      </w:r>
      <w:r w:rsidR="00CC6001" w:rsidRPr="00CC6001">
        <w:rPr>
          <w:rFonts w:hint="eastAsia"/>
          <w:b/>
        </w:rPr>
        <w:t>審理</w:t>
      </w:r>
      <w:r w:rsidR="00A20BB2" w:rsidRPr="00CC6001">
        <w:rPr>
          <w:rFonts w:hint="eastAsia"/>
          <w:b/>
        </w:rPr>
        <w:t>之虞</w:t>
      </w:r>
      <w:r w:rsidR="00CC6001" w:rsidRPr="00CC6001">
        <w:rPr>
          <w:rFonts w:hint="eastAsia"/>
          <w:b/>
        </w:rPr>
        <w:t>。</w:t>
      </w:r>
      <w:r w:rsidRPr="00CC6001">
        <w:rPr>
          <w:rFonts w:hint="eastAsia"/>
          <w:b/>
        </w:rPr>
        <w:t>司法院</w:t>
      </w:r>
      <w:r w:rsidR="00CC6001" w:rsidRPr="00CC6001">
        <w:rPr>
          <w:rFonts w:hint="eastAsia"/>
          <w:b/>
        </w:rPr>
        <w:t>基於司法行政監督權，自應督促所屬各法院</w:t>
      </w:r>
      <w:r w:rsidR="009E20A5">
        <w:rPr>
          <w:rFonts w:hint="eastAsia"/>
          <w:b/>
        </w:rPr>
        <w:t>儘速檢討改善</w:t>
      </w:r>
      <w:r w:rsidR="0067379F">
        <w:rPr>
          <w:rFonts w:hint="eastAsia"/>
          <w:b/>
        </w:rPr>
        <w:t>，如各法院確有實際困難，亦應協助補充相關資源</w:t>
      </w:r>
      <w:r w:rsidR="00CC6001" w:rsidRPr="00CC6001">
        <w:rPr>
          <w:rFonts w:hint="eastAsia"/>
          <w:b/>
        </w:rPr>
        <w:t>。</w:t>
      </w:r>
      <w:bookmarkEnd w:id="60"/>
    </w:p>
    <w:p w:rsidR="00852FED" w:rsidRDefault="00F775A5" w:rsidP="00852FED">
      <w:pPr>
        <w:pStyle w:val="3"/>
      </w:pPr>
      <w:r w:rsidRPr="008605EF">
        <w:rPr>
          <w:rFonts w:hint="eastAsia"/>
        </w:rPr>
        <w:t>少事法</w:t>
      </w:r>
      <w:r>
        <w:rPr>
          <w:rFonts w:hint="eastAsia"/>
        </w:rPr>
        <w:t>第</w:t>
      </w:r>
      <w:r w:rsidRPr="008605EF">
        <w:rPr>
          <w:rFonts w:hint="eastAsia"/>
        </w:rPr>
        <w:t>19條第1項</w:t>
      </w:r>
      <w:r>
        <w:rPr>
          <w:rFonts w:hint="eastAsia"/>
        </w:rPr>
        <w:t>及</w:t>
      </w:r>
      <w:r w:rsidRPr="008605EF">
        <w:rPr>
          <w:rFonts w:hint="eastAsia"/>
        </w:rPr>
        <w:t>第39條</w:t>
      </w:r>
      <w:r>
        <w:rPr>
          <w:rFonts w:hint="eastAsia"/>
        </w:rPr>
        <w:t>規定，</w:t>
      </w:r>
      <w:r w:rsidRPr="008605EF">
        <w:rPr>
          <w:rFonts w:hint="eastAsia"/>
        </w:rPr>
        <w:t>少年法院接受移送、請求或報告事件後，應先由少年調查官調查該少年與事件有關之行為、其人之品格、經歷、身心狀況、家庭情形、社會環境、教育程度以及其他必要之事項，提出報告，並附具建議</w:t>
      </w:r>
      <w:r>
        <w:rPr>
          <w:rFonts w:hint="eastAsia"/>
        </w:rPr>
        <w:t>。少年調查官</w:t>
      </w:r>
      <w:r w:rsidRPr="008605EF">
        <w:rPr>
          <w:rFonts w:hint="eastAsia"/>
        </w:rPr>
        <w:t>應於審理期日出庭陳述調查及處理之意見。少年法院不</w:t>
      </w:r>
      <w:proofErr w:type="gramStart"/>
      <w:r w:rsidRPr="008605EF">
        <w:rPr>
          <w:rFonts w:hint="eastAsia"/>
        </w:rPr>
        <w:t>採</w:t>
      </w:r>
      <w:proofErr w:type="gramEnd"/>
      <w:r w:rsidRPr="008605EF">
        <w:rPr>
          <w:rFonts w:hint="eastAsia"/>
        </w:rPr>
        <w:t>少年調查官陳述之意見者，應於裁定中記載不</w:t>
      </w:r>
      <w:proofErr w:type="gramStart"/>
      <w:r w:rsidRPr="008605EF">
        <w:rPr>
          <w:rFonts w:hint="eastAsia"/>
        </w:rPr>
        <w:t>採</w:t>
      </w:r>
      <w:proofErr w:type="gramEnd"/>
      <w:r w:rsidRPr="008605EF">
        <w:rPr>
          <w:rFonts w:hint="eastAsia"/>
        </w:rPr>
        <w:t>之理由</w:t>
      </w:r>
      <w:r>
        <w:rPr>
          <w:rFonts w:hint="eastAsia"/>
        </w:rPr>
        <w:t>。</w:t>
      </w:r>
      <w:r w:rsidR="00852FED">
        <w:rPr>
          <w:rFonts w:hint="eastAsia"/>
        </w:rPr>
        <w:t>又</w:t>
      </w:r>
      <w:r w:rsidR="00852FED" w:rsidRPr="00852FED">
        <w:rPr>
          <w:rFonts w:hint="eastAsia"/>
        </w:rPr>
        <w:t>依「少年保護事件審理細則」第27條規定，法院裁定保護管束、安置輔導、感化教育時，</w:t>
      </w:r>
      <w:proofErr w:type="gramStart"/>
      <w:r w:rsidR="00852FED" w:rsidRPr="00852FED">
        <w:rPr>
          <w:rFonts w:hint="eastAsia"/>
        </w:rPr>
        <w:t>均需少年</w:t>
      </w:r>
      <w:proofErr w:type="gramEnd"/>
      <w:r w:rsidR="00852FED" w:rsidRPr="00852FED">
        <w:rPr>
          <w:rFonts w:hint="eastAsia"/>
        </w:rPr>
        <w:t>及法定代理人到場始得為之。其理由在於少年觸法案情節較重，應予少年、法定代理人充分陳述意見之機會，不得逕行審理。又「協商式審理」係現行司法實務運作的重要依據，有如前述。依</w:t>
      </w:r>
      <w:r w:rsidR="00852FED">
        <w:rPr>
          <w:rFonts w:hint="eastAsia"/>
        </w:rPr>
        <w:t>該</w:t>
      </w:r>
      <w:r w:rsidR="00852FED" w:rsidRPr="00852FED">
        <w:rPr>
          <w:rFonts w:hint="eastAsia"/>
        </w:rPr>
        <w:t>審理細則規定，</w:t>
      </w:r>
      <w:r w:rsidR="00852FED">
        <w:rPr>
          <w:rFonts w:hint="eastAsia"/>
        </w:rPr>
        <w:t>協商式審理之</w:t>
      </w:r>
      <w:r w:rsidR="00852FED" w:rsidRPr="00852FED">
        <w:rPr>
          <w:rFonts w:hint="eastAsia"/>
        </w:rPr>
        <w:t>要件為：1.須以少年</w:t>
      </w:r>
      <w:proofErr w:type="gramStart"/>
      <w:r w:rsidR="00852FED" w:rsidRPr="00852FED">
        <w:rPr>
          <w:rFonts w:hint="eastAsia"/>
        </w:rPr>
        <w:t>調查官審前</w:t>
      </w:r>
      <w:proofErr w:type="gramEnd"/>
      <w:r w:rsidR="00852FED" w:rsidRPr="00852FED">
        <w:rPr>
          <w:rFonts w:hint="eastAsia"/>
        </w:rPr>
        <w:t>調查報告之處遇建議為藍本。2.須經由少年及其法定代理人或現在保護少年之人及輔佐人之協商同意。該2項要件缺一不可。且協商過程著重於少年及其法定代理人等親身參與，經由充分互動溝通下，尋求處遇的共識，故法官須在相關人同意之下作出處遇結果，而非威權的單向告知審理結果，故如參與協商的同意權人如</w:t>
      </w:r>
      <w:proofErr w:type="gramStart"/>
      <w:r w:rsidR="00852FED" w:rsidRPr="00852FED">
        <w:rPr>
          <w:rFonts w:hint="eastAsia"/>
        </w:rPr>
        <w:t>不</w:t>
      </w:r>
      <w:proofErr w:type="gramEnd"/>
      <w:r w:rsidR="00852FED" w:rsidRPr="00852FED">
        <w:rPr>
          <w:rFonts w:hint="eastAsia"/>
        </w:rPr>
        <w:t>認同處遇結果或根本否認非行時，法官應另行以正式裁定書定期宣</w:t>
      </w:r>
      <w:r w:rsidR="00852FED" w:rsidRPr="00852FED">
        <w:rPr>
          <w:rFonts w:hint="eastAsia"/>
        </w:rPr>
        <w:lastRenderedPageBreak/>
        <w:t>示。</w:t>
      </w:r>
    </w:p>
    <w:p w:rsidR="00F775A5" w:rsidRDefault="00A92ED0" w:rsidP="002B1302">
      <w:pPr>
        <w:pStyle w:val="3"/>
      </w:pPr>
      <w:r>
        <w:rPr>
          <w:rFonts w:hint="eastAsia"/>
        </w:rPr>
        <w:t>對此，</w:t>
      </w:r>
      <w:proofErr w:type="gramStart"/>
      <w:r>
        <w:rPr>
          <w:rFonts w:hint="eastAsia"/>
        </w:rPr>
        <w:t>詢</w:t>
      </w:r>
      <w:proofErr w:type="gramEnd"/>
      <w:r>
        <w:rPr>
          <w:rFonts w:hint="eastAsia"/>
        </w:rPr>
        <w:t>據桃園地院表示</w:t>
      </w:r>
      <w:r w:rsidR="00DB5AC8">
        <w:rPr>
          <w:rFonts w:hint="eastAsia"/>
        </w:rPr>
        <w:t>：</w:t>
      </w:r>
      <w:r w:rsidR="00F775A5">
        <w:rPr>
          <w:rFonts w:hint="eastAsia"/>
        </w:rPr>
        <w:t>因</w:t>
      </w:r>
      <w:r>
        <w:rPr>
          <w:rFonts w:hint="eastAsia"/>
        </w:rPr>
        <w:t>少年調查官</w:t>
      </w:r>
      <w:r w:rsidR="00F775A5" w:rsidRPr="009745B8">
        <w:rPr>
          <w:rFonts w:hint="eastAsia"/>
        </w:rPr>
        <w:t>業務涵</w:t>
      </w:r>
      <w:r w:rsidR="00F775A5">
        <w:rPr>
          <w:rFonts w:hint="eastAsia"/>
        </w:rPr>
        <w:t>蓋</w:t>
      </w:r>
      <w:r w:rsidR="00F775A5" w:rsidRPr="009745B8">
        <w:rPr>
          <w:rFonts w:hint="eastAsia"/>
        </w:rPr>
        <w:t>少年調查、家庭訪視</w:t>
      </w:r>
      <w:r w:rsidR="00F775A5">
        <w:rPr>
          <w:rFonts w:hint="eastAsia"/>
        </w:rPr>
        <w:t>及</w:t>
      </w:r>
      <w:r w:rsidR="00F775A5" w:rsidRPr="009745B8">
        <w:rPr>
          <w:rFonts w:hint="eastAsia"/>
        </w:rPr>
        <w:t>保護管束的執行等，</w:t>
      </w:r>
      <w:r w:rsidR="00F775A5">
        <w:rPr>
          <w:rFonts w:hint="eastAsia"/>
        </w:rPr>
        <w:t>實務上少年調查官及保護官負擔之案件量極大，故</w:t>
      </w:r>
      <w:r w:rsidR="002B1302">
        <w:rPr>
          <w:rFonts w:hint="eastAsia"/>
        </w:rPr>
        <w:t>部分</w:t>
      </w:r>
      <w:r w:rsidR="00F775A5">
        <w:rPr>
          <w:rFonts w:hint="eastAsia"/>
        </w:rPr>
        <w:t>法院之調查保護室不分少年調查官或保護官，以排班輪值方式相互代理出庭。例如桃園地院</w:t>
      </w:r>
      <w:r w:rsidR="00F775A5" w:rsidRPr="009745B8">
        <w:rPr>
          <w:rFonts w:hint="eastAsia"/>
        </w:rPr>
        <w:t>少年法庭法官共4位，每</w:t>
      </w:r>
      <w:r w:rsidR="00F775A5">
        <w:rPr>
          <w:rFonts w:hint="eastAsia"/>
        </w:rPr>
        <w:t>股</w:t>
      </w:r>
      <w:proofErr w:type="gramStart"/>
      <w:r w:rsidR="00F775A5" w:rsidRPr="009745B8">
        <w:rPr>
          <w:rFonts w:hint="eastAsia"/>
        </w:rPr>
        <w:t>一</w:t>
      </w:r>
      <w:r w:rsidR="004974BF">
        <w:rPr>
          <w:rFonts w:hint="eastAsia"/>
        </w:rPr>
        <w:t>週</w:t>
      </w:r>
      <w:proofErr w:type="gramEnd"/>
      <w:r w:rsidR="00F775A5" w:rsidRPr="009745B8">
        <w:rPr>
          <w:rFonts w:hint="eastAsia"/>
        </w:rPr>
        <w:t>開庭2至3個</w:t>
      </w:r>
      <w:proofErr w:type="gramStart"/>
      <w:r w:rsidR="00F775A5" w:rsidRPr="009745B8">
        <w:rPr>
          <w:rFonts w:hint="eastAsia"/>
        </w:rPr>
        <w:t>半天，</w:t>
      </w:r>
      <w:proofErr w:type="gramEnd"/>
      <w:r w:rsidR="00F775A5" w:rsidRPr="009745B8">
        <w:rPr>
          <w:rFonts w:hint="eastAsia"/>
        </w:rPr>
        <w:t>該院少年</w:t>
      </w:r>
      <w:proofErr w:type="gramStart"/>
      <w:r w:rsidR="00F775A5" w:rsidRPr="009745B8">
        <w:rPr>
          <w:rFonts w:hint="eastAsia"/>
        </w:rPr>
        <w:t>調查官計</w:t>
      </w:r>
      <w:proofErr w:type="gramEnd"/>
      <w:r w:rsidR="00F775A5" w:rsidRPr="009745B8">
        <w:rPr>
          <w:rFonts w:hint="eastAsia"/>
        </w:rPr>
        <w:t>18-19位，每月每位</w:t>
      </w:r>
      <w:proofErr w:type="gramStart"/>
      <w:r w:rsidR="00F775A5" w:rsidRPr="009745B8">
        <w:rPr>
          <w:rFonts w:hint="eastAsia"/>
        </w:rPr>
        <w:t>調查官需撰寫</w:t>
      </w:r>
      <w:proofErr w:type="gramEnd"/>
      <w:r w:rsidR="00F775A5" w:rsidRPr="009745B8">
        <w:rPr>
          <w:rFonts w:hint="eastAsia"/>
        </w:rPr>
        <w:t>調查報告</w:t>
      </w:r>
      <w:r w:rsidR="00F775A5">
        <w:rPr>
          <w:rFonts w:hint="eastAsia"/>
        </w:rPr>
        <w:t>之</w:t>
      </w:r>
      <w:r w:rsidR="00F775A5" w:rsidRPr="009745B8">
        <w:rPr>
          <w:rFonts w:hint="eastAsia"/>
        </w:rPr>
        <w:t>新收案件約15件，即每月每人有15件案件開庭，然</w:t>
      </w:r>
      <w:r w:rsidR="00F775A5">
        <w:rPr>
          <w:rFonts w:hint="eastAsia"/>
        </w:rPr>
        <w:t>因</w:t>
      </w:r>
      <w:r w:rsidR="00F775A5" w:rsidRPr="009745B8">
        <w:rPr>
          <w:rFonts w:hint="eastAsia"/>
        </w:rPr>
        <w:t>各別案件因承審法官不同，開庭時間不一，故調查</w:t>
      </w:r>
      <w:proofErr w:type="gramStart"/>
      <w:r w:rsidR="00F775A5" w:rsidRPr="009745B8">
        <w:rPr>
          <w:rFonts w:hint="eastAsia"/>
        </w:rPr>
        <w:t>保護室訂</w:t>
      </w:r>
      <w:r w:rsidR="00F775A5">
        <w:rPr>
          <w:rFonts w:hint="eastAsia"/>
        </w:rPr>
        <w:t>定</w:t>
      </w:r>
      <w:proofErr w:type="gramEnd"/>
      <w:r w:rsidR="00F775A5" w:rsidRPr="009745B8">
        <w:rPr>
          <w:rFonts w:hint="eastAsia"/>
        </w:rPr>
        <w:t>調查</w:t>
      </w:r>
      <w:r w:rsidR="00F775A5">
        <w:rPr>
          <w:rFonts w:hint="eastAsia"/>
        </w:rPr>
        <w:t>保護</w:t>
      </w:r>
      <w:r w:rsidR="00F775A5" w:rsidRPr="009745B8">
        <w:rPr>
          <w:rFonts w:hint="eastAsia"/>
        </w:rPr>
        <w:t>官</w:t>
      </w:r>
      <w:r w:rsidR="00CF187C">
        <w:rPr>
          <w:rFonts w:hint="eastAsia"/>
        </w:rPr>
        <w:t>到庭</w:t>
      </w:r>
      <w:r w:rsidR="00F775A5">
        <w:rPr>
          <w:rFonts w:hint="eastAsia"/>
        </w:rPr>
        <w:t>之內部事務分配規定</w:t>
      </w:r>
      <w:r w:rsidR="00F775A5" w:rsidRPr="009745B8">
        <w:rPr>
          <w:rFonts w:hint="eastAsia"/>
        </w:rPr>
        <w:t>，少年法庭法官開庭時，依每月排定輪值</w:t>
      </w:r>
      <w:r w:rsidR="00F775A5">
        <w:rPr>
          <w:rFonts w:hint="eastAsia"/>
        </w:rPr>
        <w:t>之</w:t>
      </w:r>
      <w:r w:rsidR="00F775A5" w:rsidRPr="009745B8">
        <w:rPr>
          <w:rFonts w:hint="eastAsia"/>
        </w:rPr>
        <w:t>調查官到庭</w:t>
      </w:r>
      <w:r w:rsidR="00B21A1A">
        <w:rPr>
          <w:rFonts w:hint="eastAsia"/>
        </w:rPr>
        <w:t>。由不同的調查官到庭，可依其專業就現場觀察所得，補充原負責審前調查之調查官不足之處</w:t>
      </w:r>
      <w:r w:rsidR="00DB5AC8">
        <w:rPr>
          <w:rFonts w:hint="eastAsia"/>
        </w:rPr>
        <w:t>等語</w:t>
      </w:r>
      <w:r w:rsidR="00F775A5" w:rsidRPr="009745B8">
        <w:rPr>
          <w:rFonts w:hint="eastAsia"/>
        </w:rPr>
        <w:t>。</w:t>
      </w:r>
    </w:p>
    <w:p w:rsidR="00532CD1" w:rsidRDefault="00532CD1" w:rsidP="00532CD1">
      <w:pPr>
        <w:pStyle w:val="3"/>
      </w:pPr>
      <w:r>
        <w:rPr>
          <w:rFonts w:hint="eastAsia"/>
        </w:rPr>
        <w:t>據司法院統計，各</w:t>
      </w:r>
      <w:r w:rsidRPr="00532CD1">
        <w:rPr>
          <w:rFonts w:hint="eastAsia"/>
        </w:rPr>
        <w:t>法院由個案調查之少年調查官於審理期日親自到庭陳述調查意見之法院，計有臺灣</w:t>
      </w:r>
      <w:proofErr w:type="gramStart"/>
      <w:r w:rsidRPr="00532CD1">
        <w:rPr>
          <w:rFonts w:hint="eastAsia"/>
        </w:rPr>
        <w:t>臺</w:t>
      </w:r>
      <w:proofErr w:type="gramEnd"/>
      <w:r w:rsidRPr="00532CD1">
        <w:rPr>
          <w:rFonts w:hint="eastAsia"/>
        </w:rPr>
        <w:t>北、士林、新竹、苗栗、雲林、屏東、</w:t>
      </w:r>
      <w:proofErr w:type="gramStart"/>
      <w:r w:rsidRPr="00532CD1">
        <w:rPr>
          <w:rFonts w:hint="eastAsia"/>
        </w:rPr>
        <w:t>臺</w:t>
      </w:r>
      <w:proofErr w:type="gramEnd"/>
      <w:r w:rsidRPr="00532CD1">
        <w:rPr>
          <w:rFonts w:hint="eastAsia"/>
        </w:rPr>
        <w:t>東、花蓮、宜蘭、澎湖地方法院、臺灣高雄少年及家事法院、福建金門及連江地方法院</w:t>
      </w:r>
      <w:r>
        <w:rPr>
          <w:rFonts w:hint="eastAsia"/>
        </w:rPr>
        <w:t>等13所法院</w:t>
      </w:r>
      <w:r w:rsidRPr="00532CD1">
        <w:rPr>
          <w:rFonts w:hint="eastAsia"/>
        </w:rPr>
        <w:t>。</w:t>
      </w:r>
      <w:r>
        <w:rPr>
          <w:rFonts w:hint="eastAsia"/>
        </w:rPr>
        <w:t>而</w:t>
      </w:r>
      <w:r w:rsidRPr="00532CD1">
        <w:rPr>
          <w:rFonts w:hint="eastAsia"/>
        </w:rPr>
        <w:t>未採取上述模式之法院為臺灣新北、桃園、</w:t>
      </w:r>
      <w:proofErr w:type="gramStart"/>
      <w:r w:rsidRPr="00532CD1">
        <w:rPr>
          <w:rFonts w:hint="eastAsia"/>
        </w:rPr>
        <w:t>臺</w:t>
      </w:r>
      <w:proofErr w:type="gramEnd"/>
      <w:r w:rsidRPr="00532CD1">
        <w:rPr>
          <w:rFonts w:hint="eastAsia"/>
        </w:rPr>
        <w:t>中、南投、彰化、嘉義、</w:t>
      </w:r>
      <w:proofErr w:type="gramStart"/>
      <w:r w:rsidRPr="00532CD1">
        <w:rPr>
          <w:rFonts w:hint="eastAsia"/>
        </w:rPr>
        <w:t>臺</w:t>
      </w:r>
      <w:proofErr w:type="gramEnd"/>
      <w:r w:rsidRPr="00532CD1">
        <w:rPr>
          <w:rFonts w:hint="eastAsia"/>
        </w:rPr>
        <w:t>南及基隆地方法院</w:t>
      </w:r>
      <w:r>
        <w:rPr>
          <w:rFonts w:hint="eastAsia"/>
        </w:rPr>
        <w:t>等8所法院</w:t>
      </w:r>
      <w:r w:rsidRPr="00532CD1">
        <w:rPr>
          <w:rFonts w:hint="eastAsia"/>
        </w:rPr>
        <w:t>，</w:t>
      </w:r>
      <w:r>
        <w:rPr>
          <w:rFonts w:hint="eastAsia"/>
        </w:rPr>
        <w:t>該等法院不採取實際到庭之理由</w:t>
      </w:r>
      <w:r w:rsidRPr="00532CD1">
        <w:rPr>
          <w:rFonts w:hint="eastAsia"/>
        </w:rPr>
        <w:t>如下：</w:t>
      </w:r>
    </w:p>
    <w:p w:rsidR="00532CD1" w:rsidRDefault="00532CD1" w:rsidP="00532CD1">
      <w:pPr>
        <w:pStyle w:val="4"/>
      </w:pPr>
      <w:r w:rsidRPr="00532CD1">
        <w:rPr>
          <w:rFonts w:hint="eastAsia"/>
        </w:rPr>
        <w:t>現行少年調查官、少年保護官均相互兼理少年保護、調查業務，因到庭陳述須配合法官開庭時間，而法官開庭處理之事件可能涵</w:t>
      </w:r>
      <w:proofErr w:type="gramStart"/>
      <w:r w:rsidRPr="00532CD1">
        <w:rPr>
          <w:rFonts w:hint="eastAsia"/>
        </w:rPr>
        <w:t>括</w:t>
      </w:r>
      <w:proofErr w:type="gramEnd"/>
      <w:r w:rsidRPr="00532CD1">
        <w:rPr>
          <w:rFonts w:hint="eastAsia"/>
        </w:rPr>
        <w:t>全體或多股少年調查官調查之個案，因未實施配股制，故於審理期日多數少年調查</w:t>
      </w:r>
      <w:proofErr w:type="gramStart"/>
      <w:r w:rsidRPr="00532CD1">
        <w:rPr>
          <w:rFonts w:hint="eastAsia"/>
        </w:rPr>
        <w:t>官均須等候</w:t>
      </w:r>
      <w:proofErr w:type="gramEnd"/>
      <w:r w:rsidRPr="00532CD1">
        <w:rPr>
          <w:rFonts w:hint="eastAsia"/>
        </w:rPr>
        <w:t>開庭或奔波於不同法庭，將造成難以安排及處理其他調保工作，或致時間切割瑣碎，影響工作之進行或效率。</w:t>
      </w:r>
    </w:p>
    <w:p w:rsidR="00532CD1" w:rsidRDefault="00532CD1" w:rsidP="00532CD1">
      <w:pPr>
        <w:pStyle w:val="4"/>
      </w:pPr>
      <w:r w:rsidRPr="00532CD1">
        <w:rPr>
          <w:rFonts w:hint="eastAsia"/>
        </w:rPr>
        <w:lastRenderedPageBreak/>
        <w:t>少年調查官輪值到庭，可讓法官開庭進度不受少年調查官頻繁更換之困擾，亦不因個案調查之少年調查官</w:t>
      </w:r>
      <w:proofErr w:type="gramStart"/>
      <w:r w:rsidRPr="00532CD1">
        <w:rPr>
          <w:rFonts w:hint="eastAsia"/>
        </w:rPr>
        <w:t>衝</w:t>
      </w:r>
      <w:proofErr w:type="gramEnd"/>
      <w:r w:rsidRPr="00532CD1">
        <w:rPr>
          <w:rFonts w:hint="eastAsia"/>
        </w:rPr>
        <w:t>庭、差假、參加研習、開會、另有公務等因素而受影響。</w:t>
      </w:r>
    </w:p>
    <w:p w:rsidR="00532CD1" w:rsidRDefault="00532CD1" w:rsidP="00532CD1">
      <w:pPr>
        <w:pStyle w:val="4"/>
      </w:pPr>
      <w:r w:rsidRPr="00532CD1">
        <w:rPr>
          <w:rFonts w:hint="eastAsia"/>
        </w:rPr>
        <w:t>因調保業務合一，且少年調查官與少年保護官比例不同、調查與保護事件案件</w:t>
      </w:r>
      <w:proofErr w:type="gramStart"/>
      <w:r w:rsidRPr="00532CD1">
        <w:rPr>
          <w:rFonts w:hint="eastAsia"/>
        </w:rPr>
        <w:t>量均有不同</w:t>
      </w:r>
      <w:proofErr w:type="gramEnd"/>
      <w:r w:rsidRPr="00532CD1">
        <w:rPr>
          <w:rFonts w:hint="eastAsia"/>
        </w:rPr>
        <w:t>，輪值</w:t>
      </w:r>
      <w:proofErr w:type="gramStart"/>
      <w:r w:rsidRPr="00532CD1">
        <w:rPr>
          <w:rFonts w:hint="eastAsia"/>
        </w:rPr>
        <w:t>到庭可避免</w:t>
      </w:r>
      <w:proofErr w:type="gramEnd"/>
      <w:r w:rsidRPr="00532CD1">
        <w:rPr>
          <w:rFonts w:hint="eastAsia"/>
        </w:rPr>
        <w:t>工作量不均之問題。</w:t>
      </w:r>
    </w:p>
    <w:p w:rsidR="00532CD1" w:rsidRDefault="00532CD1" w:rsidP="00532CD1">
      <w:pPr>
        <w:pStyle w:val="4"/>
      </w:pPr>
      <w:r w:rsidRPr="00532CD1">
        <w:rPr>
          <w:rFonts w:hint="eastAsia"/>
        </w:rPr>
        <w:t>為符合協商式審理之精神，雖</w:t>
      </w:r>
      <w:proofErr w:type="gramStart"/>
      <w:r w:rsidRPr="00532CD1">
        <w:rPr>
          <w:rFonts w:hint="eastAsia"/>
        </w:rPr>
        <w:t>採</w:t>
      </w:r>
      <w:proofErr w:type="gramEnd"/>
      <w:r w:rsidRPr="00532CD1">
        <w:rPr>
          <w:rFonts w:hint="eastAsia"/>
        </w:rPr>
        <w:t>輪值到庭，亦有許多調和措施，例如法官與負責審前調查之少年調查官於庭</w:t>
      </w:r>
      <w:proofErr w:type="gramStart"/>
      <w:r w:rsidRPr="00532CD1">
        <w:rPr>
          <w:rFonts w:hint="eastAsia"/>
        </w:rPr>
        <w:t>前或庭後</w:t>
      </w:r>
      <w:proofErr w:type="gramEnd"/>
      <w:r w:rsidRPr="00532CD1">
        <w:rPr>
          <w:rFonts w:hint="eastAsia"/>
        </w:rPr>
        <w:t>討論個案狀況；必要時（如複雜、高風險、需跨際合作或運用多元資源之個案），指定由個案調查之少年調查官到庭；輪值之少年調查官於開庭前詳閱個案之調查報告，並就疑義部分與負責審前調查之少年調查官進行討論等。</w:t>
      </w:r>
    </w:p>
    <w:p w:rsidR="00F775A5" w:rsidRDefault="00532CD1" w:rsidP="00532CD1">
      <w:pPr>
        <w:pStyle w:val="3"/>
      </w:pPr>
      <w:r>
        <w:rPr>
          <w:rFonts w:hint="eastAsia"/>
        </w:rPr>
        <w:t>對</w:t>
      </w:r>
      <w:r w:rsidR="00020D62">
        <w:rPr>
          <w:rFonts w:hint="eastAsia"/>
        </w:rPr>
        <w:t>於</w:t>
      </w:r>
      <w:r w:rsidR="001D6456">
        <w:rPr>
          <w:rFonts w:hint="eastAsia"/>
        </w:rPr>
        <w:t>上開情形</w:t>
      </w:r>
      <w:r>
        <w:rPr>
          <w:rFonts w:hint="eastAsia"/>
        </w:rPr>
        <w:t>，</w:t>
      </w:r>
      <w:proofErr w:type="gramStart"/>
      <w:r w:rsidRPr="00E153F2">
        <w:rPr>
          <w:rFonts w:hint="eastAsia"/>
        </w:rPr>
        <w:t>詢</w:t>
      </w:r>
      <w:proofErr w:type="gramEnd"/>
      <w:r w:rsidRPr="00E153F2">
        <w:rPr>
          <w:rFonts w:hint="eastAsia"/>
        </w:rPr>
        <w:t>據司法院表示</w:t>
      </w:r>
      <w:r w:rsidR="00020D62">
        <w:rPr>
          <w:rFonts w:hint="eastAsia"/>
        </w:rPr>
        <w:t>：</w:t>
      </w:r>
      <w:r w:rsidR="00F775A5" w:rsidRPr="00E153F2">
        <w:rPr>
          <w:rFonts w:hint="eastAsia"/>
        </w:rPr>
        <w:t>實務運作上如少年、其法定代理人或現在保護少年之人或法官對處遇建議有不同意見，而出庭之少年調查官非原案之調查官時，法官為充分了解何種處遇符合少年最佳利益之需求，通常會以另訂庭期，以便與原調查官討論，或命調查官提出補充報告等方式處理。故少年調查官以輪值排班方式出庭，而</w:t>
      </w:r>
      <w:r w:rsidR="002B1302">
        <w:rPr>
          <w:rFonts w:hint="eastAsia"/>
        </w:rPr>
        <w:t>相關人</w:t>
      </w:r>
      <w:r w:rsidR="00F775A5" w:rsidRPr="00E153F2">
        <w:rPr>
          <w:rFonts w:hint="eastAsia"/>
        </w:rPr>
        <w:t>對原調查報告</w:t>
      </w:r>
      <w:proofErr w:type="gramStart"/>
      <w:r w:rsidR="00F775A5" w:rsidRPr="00E153F2">
        <w:rPr>
          <w:rFonts w:hint="eastAsia"/>
        </w:rPr>
        <w:t>所提處遇</w:t>
      </w:r>
      <w:proofErr w:type="gramEnd"/>
      <w:r w:rsidR="00F775A5" w:rsidRPr="00E153F2">
        <w:rPr>
          <w:rFonts w:hint="eastAsia"/>
        </w:rPr>
        <w:t>建議有不同意見時，的確可能影響協商式審理程序之順利進行。</w:t>
      </w:r>
      <w:proofErr w:type="gramStart"/>
      <w:r w:rsidR="00F775A5" w:rsidRPr="00E153F2">
        <w:rPr>
          <w:rFonts w:hint="eastAsia"/>
        </w:rPr>
        <w:t>惟</w:t>
      </w:r>
      <w:proofErr w:type="gramEnd"/>
      <w:r w:rsidR="00F775A5" w:rsidRPr="00E153F2">
        <w:rPr>
          <w:rFonts w:hint="eastAsia"/>
        </w:rPr>
        <w:t>出庭之少年調查官仍得本其專業陳述意見，供少年、其法定代理人或現在保護少年之人及少年法庭法法官討論審酌，故是否會造成「協商式審理」流於形式，恐難一概而論</w:t>
      </w:r>
      <w:r w:rsidR="00F775A5">
        <w:rPr>
          <w:rFonts w:hint="eastAsia"/>
        </w:rPr>
        <w:t>等語</w:t>
      </w:r>
      <w:r w:rsidR="00F775A5" w:rsidRPr="00E153F2">
        <w:rPr>
          <w:rFonts w:hint="eastAsia"/>
        </w:rPr>
        <w:t>。</w:t>
      </w:r>
      <w:r w:rsidR="002B1302">
        <w:rPr>
          <w:rFonts w:hint="eastAsia"/>
        </w:rPr>
        <w:t>本院審酌如下</w:t>
      </w:r>
      <w:r w:rsidR="00F775A5">
        <w:rPr>
          <w:rFonts w:hint="eastAsia"/>
        </w:rPr>
        <w:t>：</w:t>
      </w:r>
    </w:p>
    <w:p w:rsidR="00F775A5" w:rsidRDefault="00F775A5" w:rsidP="0007495F">
      <w:pPr>
        <w:pStyle w:val="4"/>
      </w:pPr>
      <w:r w:rsidRPr="00E97A3E">
        <w:rPr>
          <w:rFonts w:hint="eastAsia"/>
        </w:rPr>
        <w:t>司法院於88年3月5日</w:t>
      </w:r>
      <w:proofErr w:type="gramStart"/>
      <w:r w:rsidRPr="00E97A3E">
        <w:rPr>
          <w:rFonts w:hint="eastAsia"/>
        </w:rPr>
        <w:t>函頒「</w:t>
      </w:r>
      <w:proofErr w:type="gramEnd"/>
      <w:r w:rsidRPr="00E97A3E">
        <w:rPr>
          <w:rFonts w:hint="eastAsia"/>
        </w:rPr>
        <w:t>少年保護事件審理細則」</w:t>
      </w:r>
      <w:r w:rsidR="00F4008A">
        <w:rPr>
          <w:rFonts w:hint="eastAsia"/>
        </w:rPr>
        <w:t>，</w:t>
      </w:r>
      <w:r w:rsidRPr="006E1C67">
        <w:rPr>
          <w:rFonts w:hint="eastAsia"/>
        </w:rPr>
        <w:t>引</w:t>
      </w:r>
      <w:r w:rsidRPr="006E1C67">
        <w:t>入協商式審理機制</w:t>
      </w:r>
      <w:r w:rsidR="00F4008A">
        <w:rPr>
          <w:rFonts w:hint="eastAsia"/>
        </w:rPr>
        <w:t>，</w:t>
      </w:r>
      <w:r>
        <w:rPr>
          <w:rFonts w:hint="eastAsia"/>
        </w:rPr>
        <w:t>要求</w:t>
      </w:r>
      <w:r w:rsidR="00F4008A">
        <w:rPr>
          <w:rFonts w:hint="eastAsia"/>
        </w:rPr>
        <w:t>少年法庭</w:t>
      </w:r>
      <w:r>
        <w:rPr>
          <w:rFonts w:hint="eastAsia"/>
        </w:rPr>
        <w:t>運</w:t>
      </w:r>
      <w:r w:rsidRPr="006E1C67">
        <w:t>用</w:t>
      </w:r>
      <w:r>
        <w:rPr>
          <w:rFonts w:hint="eastAsia"/>
        </w:rPr>
        <w:t>類</w:t>
      </w:r>
      <w:r>
        <w:rPr>
          <w:rFonts w:hint="eastAsia"/>
        </w:rPr>
        <w:lastRenderedPageBreak/>
        <w:t>似</w:t>
      </w:r>
      <w:r w:rsidRPr="006E1C67">
        <w:t>調解</w:t>
      </w:r>
      <w:r>
        <w:rPr>
          <w:rFonts w:hint="eastAsia"/>
        </w:rPr>
        <w:t>之</w:t>
      </w:r>
      <w:r w:rsidRPr="006E1C67">
        <w:t>機制</w:t>
      </w:r>
      <w:r>
        <w:rPr>
          <w:rFonts w:hint="eastAsia"/>
        </w:rPr>
        <w:t>，</w:t>
      </w:r>
      <w:proofErr w:type="gramStart"/>
      <w:r w:rsidRPr="006E1C67">
        <w:t>使</w:t>
      </w:r>
      <w:r>
        <w:rPr>
          <w:rFonts w:hint="eastAsia"/>
        </w:rPr>
        <w:t>兒</w:t>
      </w:r>
      <w:r w:rsidRPr="006E1C67">
        <w:rPr>
          <w:rFonts w:hint="eastAsia"/>
        </w:rPr>
        <w:t>少</w:t>
      </w:r>
      <w:proofErr w:type="gramEnd"/>
      <w:r w:rsidRPr="006E1C67">
        <w:t>加害人瞭解其行為所造成之傷害，並藉由</w:t>
      </w:r>
      <w:r w:rsidR="00F4008A">
        <w:rPr>
          <w:rFonts w:hint="eastAsia"/>
        </w:rPr>
        <w:t>向</w:t>
      </w:r>
      <w:r w:rsidRPr="006E1C67">
        <w:t>被害者道歉</w:t>
      </w:r>
      <w:r w:rsidR="00F4008A">
        <w:rPr>
          <w:rFonts w:hint="eastAsia"/>
        </w:rPr>
        <w:t>、</w:t>
      </w:r>
      <w:r w:rsidRPr="006E1C67">
        <w:t>賠償等方式教育</w:t>
      </w:r>
      <w:r>
        <w:rPr>
          <w:rFonts w:hint="eastAsia"/>
        </w:rPr>
        <w:t>兒少</w:t>
      </w:r>
      <w:r w:rsidRPr="006E1C67">
        <w:t>如何彌補過錯，避免再犯。另一方面，透過親權人全程參與，改善親子關係並加強親職教育</w:t>
      </w:r>
      <w:r w:rsidRPr="00F30D79">
        <w:rPr>
          <w:vertAlign w:val="superscript"/>
        </w:rPr>
        <w:footnoteReference w:id="12"/>
      </w:r>
      <w:r w:rsidRPr="006E1C67">
        <w:rPr>
          <w:rFonts w:hint="eastAsia"/>
        </w:rPr>
        <w:t>，</w:t>
      </w:r>
      <w:r>
        <w:rPr>
          <w:rFonts w:hint="eastAsia"/>
        </w:rPr>
        <w:t>並</w:t>
      </w:r>
      <w:r w:rsidR="009B7179" w:rsidRPr="007C4C8D">
        <w:rPr>
          <w:rFonts w:hint="eastAsia"/>
        </w:rPr>
        <w:t>摒棄一般開庭的威權審訊方式，</w:t>
      </w:r>
      <w:r>
        <w:rPr>
          <w:rFonts w:hint="eastAsia"/>
        </w:rPr>
        <w:t>藉由開庭形式的改變及程序的經濟化，提升執行成效</w:t>
      </w:r>
      <w:r>
        <w:rPr>
          <w:rStyle w:val="aff"/>
        </w:rPr>
        <w:footnoteReference w:id="13"/>
      </w:r>
      <w:r>
        <w:rPr>
          <w:rFonts w:hint="eastAsia"/>
        </w:rPr>
        <w:t>。</w:t>
      </w:r>
      <w:r w:rsidR="00370A39">
        <w:rPr>
          <w:rFonts w:hint="eastAsia"/>
        </w:rPr>
        <w:t>此一修復式司法（或稱和解性、治癒性司法）在少年保護事件中，可調合禁制規範與福利</w:t>
      </w:r>
      <w:proofErr w:type="gramStart"/>
      <w:r w:rsidR="00370A39">
        <w:rPr>
          <w:rFonts w:hint="eastAsia"/>
        </w:rPr>
        <w:t>規範間的衝突</w:t>
      </w:r>
      <w:proofErr w:type="gramEnd"/>
      <w:r w:rsidR="00370A39">
        <w:rPr>
          <w:rFonts w:hint="eastAsia"/>
        </w:rPr>
        <w:t>，導入中性的</w:t>
      </w:r>
      <w:r w:rsidR="00915B92">
        <w:rPr>
          <w:rFonts w:hint="eastAsia"/>
        </w:rPr>
        <w:t>和</w:t>
      </w:r>
      <w:r w:rsidR="00370A39">
        <w:rPr>
          <w:rFonts w:hint="eastAsia"/>
        </w:rPr>
        <w:t>解措施，強化各項規範的對話功能</w:t>
      </w:r>
      <w:r w:rsidR="00370A39">
        <w:rPr>
          <w:rStyle w:val="aff"/>
        </w:rPr>
        <w:footnoteReference w:id="14"/>
      </w:r>
      <w:r w:rsidR="00370A39">
        <w:rPr>
          <w:rFonts w:hint="eastAsia"/>
        </w:rPr>
        <w:t>，司法院自應督導各法院落實。</w:t>
      </w:r>
      <w:r w:rsidR="00F4008A">
        <w:rPr>
          <w:rFonts w:hint="eastAsia"/>
        </w:rPr>
        <w:t>然而</w:t>
      </w:r>
      <w:r w:rsidRPr="00F30D79">
        <w:rPr>
          <w:rFonts w:ascii="Times New Roman" w:hAnsi="Times New Roman" w:hint="eastAsia"/>
          <w:szCs w:val="20"/>
        </w:rPr>
        <w:t>審理期日負責調查</w:t>
      </w:r>
      <w:r>
        <w:rPr>
          <w:rFonts w:ascii="Times New Roman" w:hAnsi="Times New Roman" w:hint="eastAsia"/>
          <w:szCs w:val="20"/>
        </w:rPr>
        <w:t>及提出專業處遇意見</w:t>
      </w:r>
      <w:r w:rsidRPr="00F30D79">
        <w:rPr>
          <w:rFonts w:ascii="Times New Roman" w:hAnsi="Times New Roman" w:hint="eastAsia"/>
          <w:szCs w:val="20"/>
        </w:rPr>
        <w:t>之少年調查官</w:t>
      </w:r>
      <w:r>
        <w:rPr>
          <w:rFonts w:ascii="Times New Roman" w:hAnsi="Times New Roman" w:hint="eastAsia"/>
          <w:szCs w:val="20"/>
        </w:rPr>
        <w:t>未到庭參與，實難以想像如何與相關人共同商討妥適的處遇模式，自然影響「協商式審理」的落實</w:t>
      </w:r>
      <w:r w:rsidR="00EC5544">
        <w:rPr>
          <w:rFonts w:ascii="Times New Roman" w:hAnsi="Times New Roman" w:hint="eastAsia"/>
          <w:szCs w:val="20"/>
        </w:rPr>
        <w:t>，當無可爭辯</w:t>
      </w:r>
      <w:r w:rsidRPr="00F30D79">
        <w:rPr>
          <w:rFonts w:ascii="Times New Roman" w:hAnsi="Times New Roman" w:hint="eastAsia"/>
          <w:szCs w:val="20"/>
        </w:rPr>
        <w:t>。</w:t>
      </w:r>
    </w:p>
    <w:p w:rsidR="007C4C8D" w:rsidRPr="007C4C8D" w:rsidRDefault="007C4C8D" w:rsidP="007C4C8D">
      <w:pPr>
        <w:pStyle w:val="4"/>
      </w:pPr>
      <w:r>
        <w:rPr>
          <w:rFonts w:hint="eastAsia"/>
        </w:rPr>
        <w:t>少年調查官輪值到庭，</w:t>
      </w:r>
      <w:r w:rsidRPr="007C4C8D">
        <w:rPr>
          <w:rFonts w:hint="eastAsia"/>
        </w:rPr>
        <w:t>似將少年事件之審理類比成刑事審理，仿目前檢察官到庭實施公訴時之</w:t>
      </w:r>
      <w:r w:rsidRPr="007C4C8D">
        <w:rPr>
          <w:rFonts w:hint="eastAsia"/>
        </w:rPr>
        <w:lastRenderedPageBreak/>
        <w:t>「公訴庭」制度</w:t>
      </w:r>
      <w:r w:rsidR="009B7179">
        <w:rPr>
          <w:rFonts w:hint="eastAsia"/>
        </w:rPr>
        <w:t>，另創「調查一體」之理論</w:t>
      </w:r>
      <w:r w:rsidRPr="007C4C8D">
        <w:rPr>
          <w:rFonts w:hint="eastAsia"/>
        </w:rPr>
        <w:t>。但</w:t>
      </w:r>
      <w:proofErr w:type="gramStart"/>
      <w:r w:rsidRPr="007C4C8D">
        <w:rPr>
          <w:rFonts w:hint="eastAsia"/>
        </w:rPr>
        <w:t>公訴庭係奠基</w:t>
      </w:r>
      <w:proofErr w:type="gramEnd"/>
      <w:r w:rsidRPr="007C4C8D">
        <w:rPr>
          <w:rFonts w:hint="eastAsia"/>
        </w:rPr>
        <w:t>於「檢察一體」之基礎，由法務部執行多項加強落實檢察官交互詰問</w:t>
      </w:r>
      <w:r>
        <w:rPr>
          <w:rFonts w:hint="eastAsia"/>
        </w:rPr>
        <w:t>及實質到庭</w:t>
      </w:r>
      <w:r w:rsidRPr="007C4C8D">
        <w:rPr>
          <w:rFonts w:hint="eastAsia"/>
        </w:rPr>
        <w:t>之方案，</w:t>
      </w:r>
      <w:r>
        <w:rPr>
          <w:rFonts w:hint="eastAsia"/>
        </w:rPr>
        <w:t>並</w:t>
      </w:r>
      <w:r w:rsidRPr="007C4C8D">
        <w:rPr>
          <w:rFonts w:hint="eastAsia"/>
        </w:rPr>
        <w:t>逐步完成檢察人力之增補及</w:t>
      </w:r>
      <w:r w:rsidR="009B7179">
        <w:rPr>
          <w:rFonts w:hint="eastAsia"/>
        </w:rPr>
        <w:t>進行</w:t>
      </w:r>
      <w:r w:rsidRPr="007C4C8D">
        <w:rPr>
          <w:rFonts w:hint="eastAsia"/>
        </w:rPr>
        <w:t>相關業務</w:t>
      </w:r>
      <w:r w:rsidR="009B7179">
        <w:rPr>
          <w:rFonts w:hint="eastAsia"/>
        </w:rPr>
        <w:t>的完整</w:t>
      </w:r>
      <w:r w:rsidRPr="007C4C8D">
        <w:rPr>
          <w:rFonts w:hint="eastAsia"/>
        </w:rPr>
        <w:t>規劃</w:t>
      </w:r>
      <w:r w:rsidR="009B7179">
        <w:rPr>
          <w:rFonts w:hint="eastAsia"/>
        </w:rPr>
        <w:t>。所謂「</w:t>
      </w:r>
      <w:r>
        <w:rPr>
          <w:rFonts w:hint="eastAsia"/>
        </w:rPr>
        <w:t>少年調查</w:t>
      </w:r>
      <w:proofErr w:type="gramStart"/>
      <w:r>
        <w:rPr>
          <w:rFonts w:hint="eastAsia"/>
        </w:rPr>
        <w:t>官</w:t>
      </w:r>
      <w:r w:rsidR="009B7179">
        <w:rPr>
          <w:rFonts w:hint="eastAsia"/>
        </w:rPr>
        <w:t>蒞</w:t>
      </w:r>
      <w:r>
        <w:rPr>
          <w:rFonts w:hint="eastAsia"/>
        </w:rPr>
        <w:t>庭</w:t>
      </w:r>
      <w:r w:rsidR="009B7179">
        <w:rPr>
          <w:rFonts w:hint="eastAsia"/>
        </w:rPr>
        <w:t>制</w:t>
      </w:r>
      <w:proofErr w:type="gramEnd"/>
      <w:r>
        <w:rPr>
          <w:rFonts w:hint="eastAsia"/>
        </w:rPr>
        <w:t>」</w:t>
      </w:r>
      <w:r w:rsidRPr="007C4C8D">
        <w:rPr>
          <w:rFonts w:hint="eastAsia"/>
        </w:rPr>
        <w:t>顯</w:t>
      </w:r>
      <w:r w:rsidR="009B7179">
        <w:rPr>
          <w:rFonts w:hint="eastAsia"/>
        </w:rPr>
        <w:t>然完全</w:t>
      </w:r>
      <w:r w:rsidRPr="007C4C8D">
        <w:rPr>
          <w:rFonts w:hint="eastAsia"/>
        </w:rPr>
        <w:t>無法相提並論</w:t>
      </w:r>
      <w:r w:rsidR="009B7179">
        <w:rPr>
          <w:rFonts w:hint="eastAsia"/>
        </w:rPr>
        <w:t>，欠缺法源基礎及配套作為，引據失當</w:t>
      </w:r>
      <w:r w:rsidRPr="007C4C8D">
        <w:rPr>
          <w:rFonts w:hint="eastAsia"/>
        </w:rPr>
        <w:t>。</w:t>
      </w:r>
    </w:p>
    <w:p w:rsidR="004A2B3C" w:rsidRDefault="005609DA" w:rsidP="001C7244">
      <w:pPr>
        <w:pStyle w:val="4"/>
      </w:pPr>
      <w:r>
        <w:rPr>
          <w:rFonts w:hint="eastAsia"/>
        </w:rPr>
        <w:t>以本案為例，A</w:t>
      </w:r>
      <w:r w:rsidRPr="00180A2C">
        <w:rPr>
          <w:rFonts w:hint="eastAsia"/>
        </w:rPr>
        <w:t>少年前後兩次保護事件及</w:t>
      </w:r>
      <w:r>
        <w:rPr>
          <w:rFonts w:hint="eastAsia"/>
        </w:rPr>
        <w:t>兩次</w:t>
      </w:r>
      <w:r w:rsidRPr="00180A2C">
        <w:rPr>
          <w:rFonts w:hint="eastAsia"/>
        </w:rPr>
        <w:t>免除感化教育之聲請，桃園地院</w:t>
      </w:r>
      <w:r>
        <w:rPr>
          <w:rFonts w:hint="eastAsia"/>
        </w:rPr>
        <w:t>雖均分由同一位楊秀卿少年調查官承辦，但楊少年調查官7次開庭期日僅出庭1次，其他期間皆由輪值之其他少年調查官或保護官代理。</w:t>
      </w:r>
      <w:proofErr w:type="gramStart"/>
      <w:r>
        <w:rPr>
          <w:rFonts w:hint="eastAsia"/>
        </w:rPr>
        <w:t>詢</w:t>
      </w:r>
      <w:proofErr w:type="gramEnd"/>
      <w:r>
        <w:rPr>
          <w:rFonts w:hint="eastAsia"/>
        </w:rPr>
        <w:t>據代理到庭之方曉晴少年保護官（到庭時身分轉變為少年調查官），坦承對該案審理過程及案情並無印象，當時亦未感覺不妥。而該案其與楊秀卿</w:t>
      </w:r>
      <w:r w:rsidRPr="009745B8">
        <w:rPr>
          <w:rFonts w:hint="eastAsia"/>
        </w:rPr>
        <w:t>事前及</w:t>
      </w:r>
      <w:proofErr w:type="gramStart"/>
      <w:r w:rsidRPr="009745B8">
        <w:rPr>
          <w:rFonts w:hint="eastAsia"/>
        </w:rPr>
        <w:t>事後均未交接</w:t>
      </w:r>
      <w:proofErr w:type="gramEnd"/>
      <w:r w:rsidRPr="009745B8">
        <w:rPr>
          <w:rFonts w:hint="eastAsia"/>
        </w:rPr>
        <w:t>卷證，亦未交接開庭情形</w:t>
      </w:r>
      <w:r>
        <w:rPr>
          <w:rFonts w:hint="eastAsia"/>
        </w:rPr>
        <w:t>。係</w:t>
      </w:r>
      <w:r w:rsidRPr="009745B8">
        <w:rPr>
          <w:rFonts w:hint="eastAsia"/>
        </w:rPr>
        <w:t>到庭當場才看到調查報告</w:t>
      </w:r>
      <w:r>
        <w:rPr>
          <w:rFonts w:hint="eastAsia"/>
        </w:rPr>
        <w:t>及相關資料</w:t>
      </w:r>
      <w:r w:rsidRPr="009745B8">
        <w:rPr>
          <w:rFonts w:hint="eastAsia"/>
        </w:rPr>
        <w:t>。</w:t>
      </w:r>
      <w:r>
        <w:rPr>
          <w:rFonts w:hint="eastAsia"/>
        </w:rPr>
        <w:t>並表示</w:t>
      </w:r>
      <w:r w:rsidRPr="009745B8">
        <w:rPr>
          <w:rFonts w:hint="eastAsia"/>
        </w:rPr>
        <w:t>身為少年調查官，期待能親自向法官說明及溝通</w:t>
      </w:r>
      <w:r>
        <w:rPr>
          <w:rFonts w:hint="eastAsia"/>
        </w:rPr>
        <w:t>等語，足見部分法院所採取之輪值到庭制度，確已影響調查審理的進行</w:t>
      </w:r>
      <w:r w:rsidR="00D700D3">
        <w:rPr>
          <w:rFonts w:hint="eastAsia"/>
        </w:rPr>
        <w:t>。</w:t>
      </w:r>
    </w:p>
    <w:p w:rsidR="00F775A5" w:rsidRDefault="005609DA" w:rsidP="0007495F">
      <w:pPr>
        <w:pStyle w:val="4"/>
      </w:pPr>
      <w:r>
        <w:rPr>
          <w:rFonts w:hint="eastAsia"/>
        </w:rPr>
        <w:t>又桃園地院因未採取少年調查官實質到庭，少年法庭法官</w:t>
      </w:r>
      <w:r w:rsidRPr="004200B5">
        <w:rPr>
          <w:rFonts w:hint="eastAsia"/>
        </w:rPr>
        <w:t>於開庭前</w:t>
      </w:r>
      <w:r>
        <w:rPr>
          <w:rFonts w:hint="eastAsia"/>
        </w:rPr>
        <w:t>，如不同意調查報告的處遇建議時，與</w:t>
      </w:r>
      <w:r w:rsidRPr="004200B5">
        <w:rPr>
          <w:rFonts w:hint="eastAsia"/>
        </w:rPr>
        <w:t>少年調查官</w:t>
      </w:r>
      <w:r>
        <w:rPr>
          <w:rFonts w:hint="eastAsia"/>
        </w:rPr>
        <w:t>討論</w:t>
      </w:r>
      <w:r w:rsidRPr="004200B5">
        <w:rPr>
          <w:rFonts w:hint="eastAsia"/>
        </w:rPr>
        <w:t>更改處遇建議</w:t>
      </w:r>
      <w:r>
        <w:rPr>
          <w:rFonts w:hint="eastAsia"/>
        </w:rPr>
        <w:t>，確有實際上的需要。類此法官在審判庭外與</w:t>
      </w:r>
      <w:r w:rsidRPr="004200B5">
        <w:rPr>
          <w:rFonts w:hint="eastAsia"/>
        </w:rPr>
        <w:t>少年調查官</w:t>
      </w:r>
      <w:r>
        <w:rPr>
          <w:rFonts w:hint="eastAsia"/>
        </w:rPr>
        <w:t>討論</w:t>
      </w:r>
      <w:r w:rsidRPr="004200B5">
        <w:rPr>
          <w:rFonts w:hint="eastAsia"/>
        </w:rPr>
        <w:t>更改處遇建議</w:t>
      </w:r>
      <w:r>
        <w:rPr>
          <w:rFonts w:hint="eastAsia"/>
        </w:rPr>
        <w:t>，據瞭解屬普遍的現象。</w:t>
      </w:r>
      <w:proofErr w:type="gramStart"/>
      <w:r>
        <w:rPr>
          <w:rFonts w:hint="eastAsia"/>
        </w:rPr>
        <w:t>又卷查</w:t>
      </w:r>
      <w:proofErr w:type="gramEnd"/>
      <w:r>
        <w:rPr>
          <w:rFonts w:hint="eastAsia"/>
        </w:rPr>
        <w:t>桃園地院</w:t>
      </w:r>
      <w:proofErr w:type="gramStart"/>
      <w:r>
        <w:rPr>
          <w:rFonts w:hint="eastAsia"/>
        </w:rPr>
        <w:t>102</w:t>
      </w:r>
      <w:proofErr w:type="gramEnd"/>
      <w:r>
        <w:rPr>
          <w:rFonts w:hint="eastAsia"/>
        </w:rPr>
        <w:t>年度</w:t>
      </w:r>
      <w:proofErr w:type="gramStart"/>
      <w:r>
        <w:rPr>
          <w:rFonts w:hint="eastAsia"/>
        </w:rPr>
        <w:t>少護字</w:t>
      </w:r>
      <w:proofErr w:type="gramEnd"/>
      <w:r>
        <w:rPr>
          <w:rFonts w:hint="eastAsia"/>
        </w:rPr>
        <w:t>第904號少年保護事件審理筆錄，法官於102年11月29日審理</w:t>
      </w:r>
      <w:r w:rsidRPr="000D7DCC">
        <w:rPr>
          <w:rFonts w:hint="eastAsia"/>
        </w:rPr>
        <w:t>，</w:t>
      </w:r>
      <w:r>
        <w:rPr>
          <w:rFonts w:hint="eastAsia"/>
        </w:rPr>
        <w:t>承辦之少年調查官</w:t>
      </w:r>
      <w:r w:rsidRPr="000D7DCC">
        <w:rPr>
          <w:rFonts w:hint="eastAsia"/>
        </w:rPr>
        <w:t>楊秀卿未到庭</w:t>
      </w:r>
      <w:r>
        <w:rPr>
          <w:rFonts w:hint="eastAsia"/>
        </w:rPr>
        <w:t>，由</w:t>
      </w:r>
      <w:r w:rsidRPr="000D7DCC">
        <w:rPr>
          <w:rFonts w:hint="eastAsia"/>
        </w:rPr>
        <w:t>陳美鈴</w:t>
      </w:r>
      <w:r>
        <w:rPr>
          <w:rFonts w:hint="eastAsia"/>
        </w:rPr>
        <w:t>代理，</w:t>
      </w:r>
      <w:r w:rsidRPr="000D7DCC">
        <w:rPr>
          <w:rFonts w:hint="eastAsia"/>
        </w:rPr>
        <w:t>法官請少年調查官陳述意見，</w:t>
      </w:r>
      <w:r>
        <w:rPr>
          <w:rFonts w:hint="eastAsia"/>
        </w:rPr>
        <w:t>陳美鈴</w:t>
      </w:r>
      <w:r w:rsidRPr="000D7DCC">
        <w:rPr>
          <w:rFonts w:hint="eastAsia"/>
        </w:rPr>
        <w:t>稱：「少年調查官陳述意見詳如少年調查報告書所載」</w:t>
      </w:r>
      <w:r>
        <w:rPr>
          <w:rFonts w:hint="eastAsia"/>
        </w:rPr>
        <w:t>，</w:t>
      </w:r>
      <w:proofErr w:type="gramStart"/>
      <w:r>
        <w:rPr>
          <w:rFonts w:hint="eastAsia"/>
        </w:rPr>
        <w:t>餘無其他</w:t>
      </w:r>
      <w:proofErr w:type="gramEnd"/>
      <w:r>
        <w:rPr>
          <w:rFonts w:hint="eastAsia"/>
        </w:rPr>
        <w:lastRenderedPageBreak/>
        <w:t>陳述；依桃園地院</w:t>
      </w:r>
      <w:proofErr w:type="gramStart"/>
      <w:r>
        <w:rPr>
          <w:rFonts w:hint="eastAsia"/>
        </w:rPr>
        <w:t>105</w:t>
      </w:r>
      <w:proofErr w:type="gramEnd"/>
      <w:r>
        <w:rPr>
          <w:rFonts w:hint="eastAsia"/>
        </w:rPr>
        <w:t>年度</w:t>
      </w:r>
      <w:proofErr w:type="gramStart"/>
      <w:r>
        <w:rPr>
          <w:rFonts w:hint="eastAsia"/>
        </w:rPr>
        <w:t>少護字</w:t>
      </w:r>
      <w:proofErr w:type="gramEnd"/>
      <w:r>
        <w:rPr>
          <w:rFonts w:hint="eastAsia"/>
        </w:rPr>
        <w:t>第30號少年保護事件審理筆錄，</w:t>
      </w:r>
      <w:r w:rsidRPr="000D7DCC">
        <w:rPr>
          <w:rFonts w:hint="eastAsia"/>
        </w:rPr>
        <w:t>106年1月16日</w:t>
      </w:r>
      <w:r>
        <w:rPr>
          <w:rFonts w:hint="eastAsia"/>
        </w:rPr>
        <w:t>審理庭承辦之少年調查官</w:t>
      </w:r>
      <w:r w:rsidRPr="000D7DCC">
        <w:rPr>
          <w:rFonts w:hint="eastAsia"/>
        </w:rPr>
        <w:t>楊秀卿</w:t>
      </w:r>
      <w:r>
        <w:rPr>
          <w:rFonts w:hint="eastAsia"/>
        </w:rPr>
        <w:t>亦</w:t>
      </w:r>
      <w:r w:rsidRPr="000D7DCC">
        <w:rPr>
          <w:rFonts w:hint="eastAsia"/>
        </w:rPr>
        <w:t>未到庭</w:t>
      </w:r>
      <w:r>
        <w:rPr>
          <w:rFonts w:hint="eastAsia"/>
        </w:rPr>
        <w:t>，由方曉晴代理</w:t>
      </w:r>
      <w:r w:rsidRPr="000D7DCC">
        <w:rPr>
          <w:rFonts w:hint="eastAsia"/>
        </w:rPr>
        <w:t>，法官請少年調查官陳述意見</w:t>
      </w:r>
      <w:r>
        <w:rPr>
          <w:rFonts w:hint="eastAsia"/>
        </w:rPr>
        <w:t>，方曉晴稱：「</w:t>
      </w:r>
      <w:r w:rsidRPr="000D7DCC">
        <w:rPr>
          <w:rFonts w:hint="eastAsia"/>
        </w:rPr>
        <w:t>少年調查官陳述意見詳如少年調查報告書所載」</w:t>
      </w:r>
      <w:r>
        <w:rPr>
          <w:rFonts w:hint="eastAsia"/>
        </w:rPr>
        <w:t>，</w:t>
      </w:r>
      <w:proofErr w:type="gramStart"/>
      <w:r w:rsidRPr="00F32863">
        <w:rPr>
          <w:rFonts w:hint="eastAsia"/>
        </w:rPr>
        <w:t>餘</w:t>
      </w:r>
      <w:r>
        <w:rPr>
          <w:rFonts w:hint="eastAsia"/>
        </w:rPr>
        <w:t>亦</w:t>
      </w:r>
      <w:r w:rsidRPr="00F32863">
        <w:rPr>
          <w:rFonts w:hint="eastAsia"/>
        </w:rPr>
        <w:t>無</w:t>
      </w:r>
      <w:proofErr w:type="gramEnd"/>
      <w:r w:rsidRPr="00F32863">
        <w:rPr>
          <w:rFonts w:hint="eastAsia"/>
        </w:rPr>
        <w:t>其他陳述</w:t>
      </w:r>
      <w:r>
        <w:rPr>
          <w:rFonts w:hint="eastAsia"/>
        </w:rPr>
        <w:t>。可見所謂「協商式審理」，因部分法院容許少年調查官輪值到庭，相互代理，而少年調查官對於代理之案件，</w:t>
      </w:r>
      <w:r w:rsidRPr="00257069">
        <w:rPr>
          <w:rFonts w:hint="eastAsia"/>
        </w:rPr>
        <w:t>到</w:t>
      </w:r>
      <w:proofErr w:type="gramStart"/>
      <w:r w:rsidRPr="00257069">
        <w:rPr>
          <w:rFonts w:hint="eastAsia"/>
        </w:rPr>
        <w:t>庭前</w:t>
      </w:r>
      <w:r>
        <w:rPr>
          <w:rFonts w:hint="eastAsia"/>
        </w:rPr>
        <w:t>既</w:t>
      </w:r>
      <w:r w:rsidRPr="00257069">
        <w:rPr>
          <w:rFonts w:hint="eastAsia"/>
        </w:rPr>
        <w:t>未</w:t>
      </w:r>
      <w:proofErr w:type="gramEnd"/>
      <w:r>
        <w:rPr>
          <w:rFonts w:hint="eastAsia"/>
        </w:rPr>
        <w:t>調卷</w:t>
      </w:r>
      <w:proofErr w:type="gramStart"/>
      <w:r>
        <w:rPr>
          <w:rFonts w:hint="eastAsia"/>
        </w:rPr>
        <w:t>研</w:t>
      </w:r>
      <w:proofErr w:type="gramEnd"/>
      <w:r>
        <w:rPr>
          <w:rFonts w:hint="eastAsia"/>
        </w:rPr>
        <w:t>閱</w:t>
      </w:r>
      <w:r w:rsidRPr="00257069">
        <w:rPr>
          <w:rFonts w:hint="eastAsia"/>
        </w:rPr>
        <w:t>相關卷證，開庭後亦無任何交接機制</w:t>
      </w:r>
      <w:r>
        <w:rPr>
          <w:rFonts w:hint="eastAsia"/>
        </w:rPr>
        <w:t>，</w:t>
      </w:r>
      <w:r w:rsidRPr="00257069">
        <w:rPr>
          <w:rFonts w:hint="eastAsia"/>
        </w:rPr>
        <w:t>陳述意見時僅照本宣科</w:t>
      </w:r>
      <w:r>
        <w:rPr>
          <w:rFonts w:hint="eastAsia"/>
        </w:rPr>
        <w:t>，已流於形式</w:t>
      </w:r>
      <w:bookmarkStart w:id="61" w:name="_GoBack"/>
      <w:bookmarkEnd w:id="61"/>
      <w:r w:rsidR="00F775A5">
        <w:rPr>
          <w:rFonts w:hint="eastAsia"/>
        </w:rPr>
        <w:t>。</w:t>
      </w:r>
    </w:p>
    <w:p w:rsidR="00F775A5" w:rsidRDefault="00F775A5" w:rsidP="00BD313B">
      <w:pPr>
        <w:pStyle w:val="3"/>
        <w:numPr>
          <w:ilvl w:val="2"/>
          <w:numId w:val="1"/>
        </w:numPr>
        <w:kinsoku w:val="0"/>
        <w:overflowPunct/>
        <w:autoSpaceDE/>
        <w:autoSpaceDN/>
        <w:ind w:left="1360" w:hanging="680"/>
      </w:pPr>
      <w:r>
        <w:rPr>
          <w:rFonts w:hint="eastAsia"/>
        </w:rPr>
        <w:t>綜上，</w:t>
      </w:r>
      <w:r w:rsidRPr="008E7394">
        <w:rPr>
          <w:rFonts w:hint="eastAsia"/>
        </w:rPr>
        <w:t>少年</w:t>
      </w:r>
      <w:proofErr w:type="gramStart"/>
      <w:r w:rsidRPr="008E7394">
        <w:rPr>
          <w:rFonts w:hint="eastAsia"/>
        </w:rPr>
        <w:t>調查官負有</w:t>
      </w:r>
      <w:proofErr w:type="gramEnd"/>
      <w:r w:rsidRPr="008E7394">
        <w:rPr>
          <w:rFonts w:hint="eastAsia"/>
        </w:rPr>
        <w:t>調查少年人格特質、生活環境、交往</w:t>
      </w:r>
      <w:r w:rsidRPr="00E34D69">
        <w:rPr>
          <w:rFonts w:hint="eastAsia"/>
        </w:rPr>
        <w:t>情形</w:t>
      </w:r>
      <w:r w:rsidRPr="008E7394">
        <w:rPr>
          <w:rFonts w:hint="eastAsia"/>
        </w:rPr>
        <w:t>之責，並</w:t>
      </w:r>
      <w:r w:rsidR="005A17B3">
        <w:rPr>
          <w:rFonts w:hint="eastAsia"/>
        </w:rPr>
        <w:t>應</w:t>
      </w:r>
      <w:r w:rsidRPr="008E7394">
        <w:rPr>
          <w:rFonts w:hint="eastAsia"/>
        </w:rPr>
        <w:t>依據社工專業，發掘少年偏差行為背後因素，協助判斷少年</w:t>
      </w:r>
      <w:r w:rsidR="005C1C36">
        <w:rPr>
          <w:rFonts w:hint="eastAsia"/>
        </w:rPr>
        <w:t>需保護性</w:t>
      </w:r>
      <w:r w:rsidRPr="008E7394">
        <w:rPr>
          <w:rFonts w:hint="eastAsia"/>
        </w:rPr>
        <w:t>，以評估司法介入的程度</w:t>
      </w:r>
      <w:r w:rsidR="001617AB">
        <w:rPr>
          <w:rFonts w:hint="eastAsia"/>
        </w:rPr>
        <w:t>。少事法第9條第3項雖規定</w:t>
      </w:r>
      <w:r w:rsidR="00F4008A">
        <w:rPr>
          <w:rFonts w:hint="eastAsia"/>
        </w:rPr>
        <w:t>其</w:t>
      </w:r>
      <w:r w:rsidR="001617AB">
        <w:rPr>
          <w:rFonts w:hint="eastAsia"/>
        </w:rPr>
        <w:t>執行職務時應「服從法官之監督」，惟</w:t>
      </w:r>
      <w:r w:rsidR="00532338">
        <w:rPr>
          <w:rFonts w:hint="eastAsia"/>
        </w:rPr>
        <w:t>少年調查官並非</w:t>
      </w:r>
      <w:r w:rsidR="001617AB">
        <w:rPr>
          <w:rFonts w:hint="eastAsia"/>
        </w:rPr>
        <w:t>法官</w:t>
      </w:r>
      <w:r w:rsidR="00532338">
        <w:rPr>
          <w:rFonts w:hint="eastAsia"/>
        </w:rPr>
        <w:t>助理，</w:t>
      </w:r>
      <w:r w:rsidR="001617AB">
        <w:rPr>
          <w:rFonts w:hint="eastAsia"/>
        </w:rPr>
        <w:t>與</w:t>
      </w:r>
      <w:r w:rsidR="00532338">
        <w:rPr>
          <w:rFonts w:hint="eastAsia"/>
        </w:rPr>
        <w:t>法官無上下位階關係，少年調查報告為法官審理時應參酌之法定證據</w:t>
      </w:r>
      <w:r w:rsidR="00951E09">
        <w:rPr>
          <w:rFonts w:hint="eastAsia"/>
        </w:rPr>
        <w:t>。又</w:t>
      </w:r>
      <w:r w:rsidR="00532338">
        <w:rPr>
          <w:rFonts w:hint="eastAsia"/>
        </w:rPr>
        <w:t>少年調查官應於審理期日出庭陳述調查及處理之意見，法官若不</w:t>
      </w:r>
      <w:proofErr w:type="gramStart"/>
      <w:r w:rsidR="00532338">
        <w:rPr>
          <w:rFonts w:hint="eastAsia"/>
        </w:rPr>
        <w:t>採</w:t>
      </w:r>
      <w:proofErr w:type="gramEnd"/>
      <w:r w:rsidR="00532338">
        <w:rPr>
          <w:rFonts w:hint="eastAsia"/>
        </w:rPr>
        <w:t>少年調查官陳述之意見者，應於裁定中記載不</w:t>
      </w:r>
      <w:proofErr w:type="gramStart"/>
      <w:r w:rsidR="00532338">
        <w:rPr>
          <w:rFonts w:hint="eastAsia"/>
        </w:rPr>
        <w:t>採</w:t>
      </w:r>
      <w:proofErr w:type="gramEnd"/>
      <w:r w:rsidR="00532338">
        <w:rPr>
          <w:rFonts w:hint="eastAsia"/>
        </w:rPr>
        <w:t>之理由</w:t>
      </w:r>
      <w:r w:rsidR="00951E09">
        <w:rPr>
          <w:rFonts w:hint="eastAsia"/>
        </w:rPr>
        <w:t>，少事法第39條定有明文</w:t>
      </w:r>
      <w:r w:rsidR="00532338" w:rsidRPr="008E7394">
        <w:rPr>
          <w:rFonts w:hint="eastAsia"/>
        </w:rPr>
        <w:t>。</w:t>
      </w:r>
      <w:r w:rsidR="00951E09">
        <w:rPr>
          <w:rFonts w:hint="eastAsia"/>
        </w:rPr>
        <w:t>有關少年調查官與法官間之定位，</w:t>
      </w:r>
      <w:r w:rsidR="00B20E3A">
        <w:rPr>
          <w:rFonts w:hint="eastAsia"/>
        </w:rPr>
        <w:t>涉及</w:t>
      </w:r>
      <w:r w:rsidR="00532338">
        <w:rPr>
          <w:rFonts w:hint="eastAsia"/>
        </w:rPr>
        <w:t>少事法為建全司法福利系統，藉</w:t>
      </w:r>
      <w:r w:rsidR="00951E09">
        <w:rPr>
          <w:rFonts w:hint="eastAsia"/>
        </w:rPr>
        <w:t>設置</w:t>
      </w:r>
      <w:r w:rsidR="00532338">
        <w:rPr>
          <w:rFonts w:hint="eastAsia"/>
        </w:rPr>
        <w:t>少年調查及保護官引入社工</w:t>
      </w:r>
      <w:r w:rsidR="00B20E3A">
        <w:rPr>
          <w:rFonts w:hint="eastAsia"/>
        </w:rPr>
        <w:t>專業</w:t>
      </w:r>
      <w:r w:rsidR="00532338">
        <w:rPr>
          <w:rFonts w:hint="eastAsia"/>
        </w:rPr>
        <w:t>之制度設計</w:t>
      </w:r>
      <w:r w:rsidR="00532338">
        <w:rPr>
          <w:rStyle w:val="aff"/>
        </w:rPr>
        <w:footnoteReference w:id="15"/>
      </w:r>
      <w:r w:rsidR="001617AB">
        <w:rPr>
          <w:rFonts w:hint="eastAsia"/>
        </w:rPr>
        <w:t>。該</w:t>
      </w:r>
      <w:r w:rsidRPr="00CA6116">
        <w:rPr>
          <w:rFonts w:hint="eastAsia"/>
        </w:rPr>
        <w:t>法於86年修法後，專</w:t>
      </w:r>
      <w:r w:rsidR="005A17B3">
        <w:rPr>
          <w:rFonts w:hint="eastAsia"/>
        </w:rPr>
        <w:t>家</w:t>
      </w:r>
      <w:r w:rsidRPr="00CA6116">
        <w:rPr>
          <w:rFonts w:hint="eastAsia"/>
        </w:rPr>
        <w:t>學者即強調應推行以法官審理之個案</w:t>
      </w:r>
      <w:proofErr w:type="gramStart"/>
      <w:r w:rsidRPr="00CA6116">
        <w:rPr>
          <w:rFonts w:hint="eastAsia"/>
        </w:rPr>
        <w:t>為內圓之</w:t>
      </w:r>
      <w:proofErr w:type="gramEnd"/>
      <w:r w:rsidRPr="00CA6116">
        <w:rPr>
          <w:rFonts w:hint="eastAsia"/>
        </w:rPr>
        <w:t>「以多協</w:t>
      </w:r>
      <w:proofErr w:type="gramStart"/>
      <w:r w:rsidRPr="00CA6116">
        <w:rPr>
          <w:rFonts w:hint="eastAsia"/>
        </w:rPr>
        <w:t>一</w:t>
      </w:r>
      <w:proofErr w:type="gramEnd"/>
      <w:r w:rsidRPr="00CA6116">
        <w:rPr>
          <w:rFonts w:hint="eastAsia"/>
        </w:rPr>
        <w:t>」的觀護配股制度（將</w:t>
      </w:r>
      <w:r w:rsidR="00D30B21">
        <w:rPr>
          <w:rFonts w:hint="eastAsia"/>
        </w:rPr>
        <w:t>少年調查官</w:t>
      </w:r>
      <w:r w:rsidRPr="00CA6116">
        <w:rPr>
          <w:rFonts w:hint="eastAsia"/>
        </w:rPr>
        <w:t>及少</w:t>
      </w:r>
      <w:r w:rsidR="0087410D">
        <w:rPr>
          <w:rFonts w:hint="eastAsia"/>
        </w:rPr>
        <w:t>年</w:t>
      </w:r>
      <w:r w:rsidRPr="00CA6116">
        <w:rPr>
          <w:rFonts w:hint="eastAsia"/>
        </w:rPr>
        <w:t>保</w:t>
      </w:r>
      <w:r w:rsidR="0087410D">
        <w:rPr>
          <w:rFonts w:hint="eastAsia"/>
        </w:rPr>
        <w:t>護</w:t>
      </w:r>
      <w:r w:rsidRPr="00CA6116">
        <w:rPr>
          <w:rFonts w:hint="eastAsia"/>
        </w:rPr>
        <w:t>官配屬在法官之下），以利共同運作</w:t>
      </w:r>
      <w:r>
        <w:rPr>
          <w:rStyle w:val="aff"/>
        </w:rPr>
        <w:footnoteReference w:id="16"/>
      </w:r>
      <w:r>
        <w:rPr>
          <w:rFonts w:hint="eastAsia"/>
        </w:rPr>
        <w:t>。</w:t>
      </w:r>
      <w:r w:rsidRPr="00CA6116">
        <w:rPr>
          <w:rFonts w:hint="eastAsia"/>
        </w:rPr>
        <w:t>立法委員謝啟大</w:t>
      </w:r>
      <w:r>
        <w:rPr>
          <w:rFonts w:hint="eastAsia"/>
        </w:rPr>
        <w:t>亦</w:t>
      </w:r>
      <w:r w:rsidRPr="00CA6116">
        <w:rPr>
          <w:rFonts w:hint="eastAsia"/>
        </w:rPr>
        <w:t>曾</w:t>
      </w:r>
      <w:r>
        <w:rPr>
          <w:rFonts w:hint="eastAsia"/>
        </w:rPr>
        <w:t>於88</w:t>
      </w:r>
      <w:r>
        <w:rPr>
          <w:rFonts w:hint="eastAsia"/>
        </w:rPr>
        <w:lastRenderedPageBreak/>
        <w:t>年在立法院</w:t>
      </w:r>
      <w:r w:rsidRPr="00CA6116">
        <w:rPr>
          <w:rFonts w:hint="eastAsia"/>
        </w:rPr>
        <w:t>質詢司法院</w:t>
      </w:r>
      <w:r>
        <w:rPr>
          <w:rFonts w:hint="eastAsia"/>
        </w:rPr>
        <w:t>少家廳</w:t>
      </w:r>
      <w:r w:rsidRPr="00CA6116">
        <w:rPr>
          <w:rFonts w:hint="eastAsia"/>
        </w:rPr>
        <w:t>林</w:t>
      </w:r>
      <w:proofErr w:type="gramStart"/>
      <w:r w:rsidRPr="00CA6116">
        <w:rPr>
          <w:rFonts w:hint="eastAsia"/>
        </w:rPr>
        <w:t>堭</w:t>
      </w:r>
      <w:proofErr w:type="gramEnd"/>
      <w:r w:rsidRPr="00CA6116">
        <w:rPr>
          <w:rFonts w:hint="eastAsia"/>
        </w:rPr>
        <w:t>儀廳長指出，法官和觀護人如未「配股」，將很難開庭，要求將</w:t>
      </w:r>
      <w:proofErr w:type="gramStart"/>
      <w:r w:rsidRPr="00CA6116">
        <w:rPr>
          <w:rFonts w:hint="eastAsia"/>
        </w:rPr>
        <w:t>每一位觀護</w:t>
      </w:r>
      <w:proofErr w:type="gramEnd"/>
      <w:r w:rsidRPr="00CA6116">
        <w:rPr>
          <w:rFonts w:hint="eastAsia"/>
        </w:rPr>
        <w:t>人配屬在</w:t>
      </w:r>
      <w:r>
        <w:rPr>
          <w:rFonts w:hint="eastAsia"/>
        </w:rPr>
        <w:t>各股</w:t>
      </w:r>
      <w:r w:rsidRPr="00CA6116">
        <w:rPr>
          <w:rFonts w:hint="eastAsia"/>
        </w:rPr>
        <w:t>法官之下，以利共同運作，林廳長表示曾徵詢法官及觀護人的意見，但觀護人反對</w:t>
      </w:r>
      <w:r>
        <w:rPr>
          <w:rStyle w:val="aff"/>
        </w:rPr>
        <w:footnoteReference w:id="17"/>
      </w:r>
      <w:r w:rsidRPr="00CA6116">
        <w:rPr>
          <w:rFonts w:hint="eastAsia"/>
        </w:rPr>
        <w:t>。</w:t>
      </w:r>
      <w:r>
        <w:rPr>
          <w:rFonts w:hint="eastAsia"/>
        </w:rPr>
        <w:t>可見</w:t>
      </w:r>
      <w:r w:rsidR="00CC6001">
        <w:rPr>
          <w:rFonts w:hint="eastAsia"/>
        </w:rPr>
        <w:t>由</w:t>
      </w:r>
      <w:r>
        <w:rPr>
          <w:rFonts w:hint="eastAsia"/>
        </w:rPr>
        <w:t>少年調查官輪值代理到庭，其實質原因在於內部阻力</w:t>
      </w:r>
      <w:r w:rsidR="00E72A0B">
        <w:rPr>
          <w:rFonts w:hint="eastAsia"/>
        </w:rPr>
        <w:t>及現實考量</w:t>
      </w:r>
      <w:r>
        <w:rPr>
          <w:rFonts w:hint="eastAsia"/>
        </w:rPr>
        <w:t>。</w:t>
      </w:r>
      <w:r w:rsidR="0067379F">
        <w:rPr>
          <w:rFonts w:hint="eastAsia"/>
        </w:rPr>
        <w:t>另</w:t>
      </w:r>
      <w:proofErr w:type="gramStart"/>
      <w:r w:rsidR="0067379F">
        <w:rPr>
          <w:rFonts w:hint="eastAsia"/>
        </w:rPr>
        <w:t>詢</w:t>
      </w:r>
      <w:proofErr w:type="gramEnd"/>
      <w:r w:rsidR="0067379F">
        <w:rPr>
          <w:rFonts w:hint="eastAsia"/>
        </w:rPr>
        <w:t>據桃園地院張淑芬法官表示，其認為此屬政策決定的</w:t>
      </w:r>
      <w:r w:rsidR="00BD313B">
        <w:rPr>
          <w:rFonts w:hint="eastAsia"/>
        </w:rPr>
        <w:t>範疇</w:t>
      </w:r>
      <w:r w:rsidR="0067379F">
        <w:rPr>
          <w:rFonts w:hint="eastAsia"/>
        </w:rPr>
        <w:t>，如認為由審前調查的調查官到庭較為可</w:t>
      </w:r>
      <w:proofErr w:type="gramStart"/>
      <w:r w:rsidR="0067379F">
        <w:rPr>
          <w:rFonts w:hint="eastAsia"/>
        </w:rPr>
        <w:t>採</w:t>
      </w:r>
      <w:proofErr w:type="gramEnd"/>
      <w:r w:rsidR="0067379F">
        <w:rPr>
          <w:rFonts w:hint="eastAsia"/>
        </w:rPr>
        <w:t>，就需注意人力、法庭數等相關資源能否配合等語。</w:t>
      </w:r>
      <w:r w:rsidR="00E72A0B">
        <w:rPr>
          <w:rFonts w:hint="eastAsia"/>
        </w:rPr>
        <w:t>考量目前已有</w:t>
      </w:r>
      <w:proofErr w:type="gramStart"/>
      <w:r w:rsidR="00E72A0B">
        <w:rPr>
          <w:rFonts w:hint="eastAsia"/>
        </w:rPr>
        <w:t>臺</w:t>
      </w:r>
      <w:proofErr w:type="gramEnd"/>
      <w:r w:rsidR="00E72A0B">
        <w:rPr>
          <w:rFonts w:hint="eastAsia"/>
        </w:rPr>
        <w:t>北、士林等13所法院</w:t>
      </w:r>
      <w:proofErr w:type="gramStart"/>
      <w:r w:rsidR="00E72A0B">
        <w:rPr>
          <w:rFonts w:hint="eastAsia"/>
        </w:rPr>
        <w:t>採</w:t>
      </w:r>
      <w:proofErr w:type="gramEnd"/>
      <w:r w:rsidR="00E72A0B">
        <w:rPr>
          <w:rFonts w:hint="eastAsia"/>
        </w:rPr>
        <w:t>配股制及實質到庭，</w:t>
      </w:r>
      <w:r w:rsidR="00BD313B">
        <w:rPr>
          <w:rFonts w:hint="eastAsia"/>
        </w:rPr>
        <w:t>且本案調查</w:t>
      </w:r>
      <w:proofErr w:type="gramStart"/>
      <w:r w:rsidR="00BD313B">
        <w:rPr>
          <w:rFonts w:hint="eastAsia"/>
        </w:rPr>
        <w:t>期間，</w:t>
      </w:r>
      <w:proofErr w:type="gramEnd"/>
      <w:r w:rsidR="00BD313B">
        <w:rPr>
          <w:rFonts w:hint="eastAsia"/>
        </w:rPr>
        <w:t>司法院於107年8月20日召開「少年業務聯繫及座談會」，會議結論略</w:t>
      </w:r>
      <w:proofErr w:type="gramStart"/>
      <w:r w:rsidR="00BD313B">
        <w:rPr>
          <w:rFonts w:hint="eastAsia"/>
        </w:rPr>
        <w:t>以</w:t>
      </w:r>
      <w:proofErr w:type="gramEnd"/>
      <w:r w:rsidR="00BD313B">
        <w:rPr>
          <w:rFonts w:hint="eastAsia"/>
        </w:rPr>
        <w:t>：「現階段各法院調查保護室少年調查、保護業務合一或分離，雖由各法院因地制宜，但已有法院</w:t>
      </w:r>
      <w:proofErr w:type="gramStart"/>
      <w:r w:rsidR="00BD313B">
        <w:rPr>
          <w:rFonts w:hint="eastAsia"/>
        </w:rPr>
        <w:t>採</w:t>
      </w:r>
      <w:proofErr w:type="gramEnd"/>
      <w:r w:rsidR="00BD313B">
        <w:rPr>
          <w:rFonts w:hint="eastAsia"/>
        </w:rPr>
        <w:t>配股制或實質</w:t>
      </w:r>
      <w:proofErr w:type="gramStart"/>
      <w:r w:rsidR="00BD313B">
        <w:rPr>
          <w:rFonts w:hint="eastAsia"/>
        </w:rPr>
        <w:t>到庭制</w:t>
      </w:r>
      <w:proofErr w:type="gramEnd"/>
      <w:r w:rsidR="00BD313B">
        <w:rPr>
          <w:rFonts w:hint="eastAsia"/>
        </w:rPr>
        <w:t>，成效良好，為落實協商式審理制度，鼓勵各法院相互觀摩學習，深化、質化實質到庭，避免流於形式。」足見司法院已有積極之作為。未採取實際到庭之</w:t>
      </w:r>
      <w:r w:rsidR="00E72A0B">
        <w:rPr>
          <w:rFonts w:hint="eastAsia"/>
        </w:rPr>
        <w:t>各法院如確有人力不足、硬體設施不足、案件量過多的困境，</w:t>
      </w:r>
      <w:proofErr w:type="gramStart"/>
      <w:r w:rsidR="00E72A0B">
        <w:rPr>
          <w:rFonts w:hint="eastAsia"/>
        </w:rPr>
        <w:t>司法院宜儘量</w:t>
      </w:r>
      <w:proofErr w:type="gramEnd"/>
      <w:r w:rsidR="00E72A0B">
        <w:rPr>
          <w:rFonts w:hint="eastAsia"/>
        </w:rPr>
        <w:t>提供協助，各機關亦應思考如何運用既有資源及合理分工，以落實制度目的。</w:t>
      </w:r>
    </w:p>
    <w:p w:rsidR="00F775A5" w:rsidRDefault="00F775A5" w:rsidP="00F775A5">
      <w:pPr>
        <w:pStyle w:val="3"/>
        <w:numPr>
          <w:ilvl w:val="2"/>
          <w:numId w:val="1"/>
        </w:numPr>
        <w:kinsoku w:val="0"/>
        <w:overflowPunct/>
        <w:autoSpaceDE/>
        <w:autoSpaceDN/>
        <w:ind w:left="1360" w:hanging="680"/>
      </w:pPr>
      <w:r>
        <w:rPr>
          <w:rFonts w:hint="eastAsia"/>
        </w:rPr>
        <w:t>另據陳訴人表示，</w:t>
      </w:r>
      <w:r w:rsidRPr="00982A87">
        <w:rPr>
          <w:rFonts w:hint="eastAsia"/>
        </w:rPr>
        <w:t>桃園地院部分少年保護官為求</w:t>
      </w:r>
      <w:r>
        <w:rPr>
          <w:rFonts w:hint="eastAsia"/>
        </w:rPr>
        <w:t>省時</w:t>
      </w:r>
      <w:r w:rsidRPr="00982A87">
        <w:rPr>
          <w:rFonts w:hint="eastAsia"/>
        </w:rPr>
        <w:t>方便，對同</w:t>
      </w:r>
      <w:r>
        <w:rPr>
          <w:rFonts w:hint="eastAsia"/>
        </w:rPr>
        <w:t>一</w:t>
      </w:r>
      <w:r w:rsidRPr="00982A87">
        <w:rPr>
          <w:rFonts w:hint="eastAsia"/>
        </w:rPr>
        <w:t>日上午或下午報到之</w:t>
      </w:r>
      <w:r>
        <w:rPr>
          <w:rFonts w:hint="eastAsia"/>
        </w:rPr>
        <w:t>數名</w:t>
      </w:r>
      <w:r w:rsidRPr="00982A87">
        <w:rPr>
          <w:rFonts w:hint="eastAsia"/>
        </w:rPr>
        <w:t>保護管束少年，均要求應於同一時間</w:t>
      </w:r>
      <w:r>
        <w:rPr>
          <w:rFonts w:hint="eastAsia"/>
        </w:rPr>
        <w:t>向保護官</w:t>
      </w:r>
      <w:r w:rsidRPr="00982A87">
        <w:rPr>
          <w:rFonts w:hint="eastAsia"/>
        </w:rPr>
        <w:t>報到，少年到場後依報到先後抽取號碼牌，在晤談室外</w:t>
      </w:r>
      <w:r>
        <w:rPr>
          <w:rFonts w:hint="eastAsia"/>
        </w:rPr>
        <w:t>群聚</w:t>
      </w:r>
      <w:r w:rsidRPr="00982A87">
        <w:rPr>
          <w:rFonts w:hint="eastAsia"/>
        </w:rPr>
        <w:t>等候</w:t>
      </w:r>
      <w:r>
        <w:rPr>
          <w:rFonts w:hint="eastAsia"/>
        </w:rPr>
        <w:t>。</w:t>
      </w:r>
      <w:r w:rsidR="0087410D">
        <w:rPr>
          <w:rFonts w:hint="eastAsia"/>
        </w:rPr>
        <w:t>A</w:t>
      </w:r>
      <w:r>
        <w:rPr>
          <w:rFonts w:hint="eastAsia"/>
        </w:rPr>
        <w:t>少年於105年8月免除感化教育返家後，家人雖處處防備其交友狀況，甚至不允許少年</w:t>
      </w:r>
      <w:r w:rsidR="00CC25F8">
        <w:rPr>
          <w:rFonts w:hint="eastAsia"/>
        </w:rPr>
        <w:t>持</w:t>
      </w:r>
      <w:r>
        <w:rPr>
          <w:rFonts w:hint="eastAsia"/>
        </w:rPr>
        <w:t>有手機，孰知</w:t>
      </w:r>
      <w:r w:rsidRPr="00982A87">
        <w:rPr>
          <w:rFonts w:hint="eastAsia"/>
        </w:rPr>
        <w:t>少年</w:t>
      </w:r>
      <w:r>
        <w:rPr>
          <w:rFonts w:hint="eastAsia"/>
        </w:rPr>
        <w:t>在法院因等候報到而</w:t>
      </w:r>
      <w:r w:rsidRPr="00982A87">
        <w:rPr>
          <w:rFonts w:hint="eastAsia"/>
        </w:rPr>
        <w:t>接觸</w:t>
      </w:r>
      <w:proofErr w:type="gramStart"/>
      <w:r w:rsidRPr="00982A87">
        <w:rPr>
          <w:rFonts w:hint="eastAsia"/>
        </w:rPr>
        <w:t>昔日損</w:t>
      </w:r>
      <w:proofErr w:type="gramEnd"/>
      <w:r w:rsidRPr="00982A87">
        <w:rPr>
          <w:rFonts w:hint="eastAsia"/>
        </w:rPr>
        <w:t>友</w:t>
      </w:r>
      <w:r>
        <w:rPr>
          <w:rFonts w:hint="eastAsia"/>
        </w:rPr>
        <w:t>，致</w:t>
      </w:r>
      <w:r w:rsidRPr="00982A87">
        <w:rPr>
          <w:rFonts w:hint="eastAsia"/>
        </w:rPr>
        <w:lastRenderedPageBreak/>
        <w:t>又</w:t>
      </w:r>
      <w:proofErr w:type="gramStart"/>
      <w:r w:rsidRPr="00982A87">
        <w:rPr>
          <w:rFonts w:hint="eastAsia"/>
        </w:rPr>
        <w:t>重蹈非行</w:t>
      </w:r>
      <w:proofErr w:type="gramEnd"/>
      <w:r w:rsidRPr="00982A87">
        <w:rPr>
          <w:rFonts w:hint="eastAsia"/>
        </w:rPr>
        <w:t>，再次誤入歧途</w:t>
      </w:r>
      <w:r w:rsidR="00B962D1">
        <w:rPr>
          <w:rFonts w:hint="eastAsia"/>
        </w:rPr>
        <w:t>，但桃園地</w:t>
      </w:r>
      <w:r w:rsidR="00B962D1" w:rsidRPr="00982A87">
        <w:rPr>
          <w:rFonts w:hint="eastAsia"/>
        </w:rPr>
        <w:t>院</w:t>
      </w:r>
      <w:r w:rsidR="00B962D1">
        <w:rPr>
          <w:rFonts w:hint="eastAsia"/>
        </w:rPr>
        <w:t>亦有具有理念的</w:t>
      </w:r>
      <w:r w:rsidR="00B962D1" w:rsidRPr="00982A87">
        <w:rPr>
          <w:rFonts w:hint="eastAsia"/>
        </w:rPr>
        <w:t>少年</w:t>
      </w:r>
      <w:r w:rsidR="00B962D1">
        <w:rPr>
          <w:rFonts w:hint="eastAsia"/>
        </w:rPr>
        <w:t>保護</w:t>
      </w:r>
      <w:r w:rsidR="00B962D1" w:rsidRPr="00982A87">
        <w:rPr>
          <w:rFonts w:hint="eastAsia"/>
        </w:rPr>
        <w:t>官</w:t>
      </w:r>
      <w:r w:rsidR="00B962D1">
        <w:rPr>
          <w:rFonts w:hint="eastAsia"/>
        </w:rPr>
        <w:t>，不採取叫號方式並</w:t>
      </w:r>
      <w:r w:rsidR="00B962D1" w:rsidRPr="00982A87">
        <w:rPr>
          <w:rFonts w:hint="eastAsia"/>
        </w:rPr>
        <w:t>嚴格區隔少年報到時間</w:t>
      </w:r>
      <w:r>
        <w:rPr>
          <w:rFonts w:hint="eastAsia"/>
        </w:rPr>
        <w:t>等語</w:t>
      </w:r>
      <w:r w:rsidRPr="00982A87">
        <w:rPr>
          <w:rFonts w:hint="eastAsia"/>
        </w:rPr>
        <w:t>。</w:t>
      </w:r>
      <w:r>
        <w:rPr>
          <w:rFonts w:hint="eastAsia"/>
        </w:rPr>
        <w:t>對此，</w:t>
      </w:r>
      <w:proofErr w:type="gramStart"/>
      <w:r w:rsidRPr="00982A87">
        <w:rPr>
          <w:rFonts w:hint="eastAsia"/>
        </w:rPr>
        <w:t>詢</w:t>
      </w:r>
      <w:proofErr w:type="gramEnd"/>
      <w:r>
        <w:rPr>
          <w:rFonts w:hint="eastAsia"/>
        </w:rPr>
        <w:t>據桃園地院</w:t>
      </w:r>
      <w:r w:rsidRPr="00982A87">
        <w:rPr>
          <w:rFonts w:hint="eastAsia"/>
        </w:rPr>
        <w:t>少年調查官</w:t>
      </w:r>
      <w:r>
        <w:rPr>
          <w:rFonts w:hint="eastAsia"/>
        </w:rPr>
        <w:t>，坦承該院確</w:t>
      </w:r>
      <w:r w:rsidRPr="00982A87">
        <w:rPr>
          <w:rFonts w:hint="eastAsia"/>
        </w:rPr>
        <w:t>設有叫號機</w:t>
      </w:r>
      <w:r w:rsidR="00B962D1">
        <w:rPr>
          <w:rFonts w:hint="eastAsia"/>
        </w:rPr>
        <w:t>，</w:t>
      </w:r>
      <w:r>
        <w:rPr>
          <w:rFonts w:hint="eastAsia"/>
        </w:rPr>
        <w:t>令少年在晤談室外等候的做法，並表示</w:t>
      </w:r>
      <w:r w:rsidR="00B962D1">
        <w:rPr>
          <w:rFonts w:hint="eastAsia"/>
        </w:rPr>
        <w:t>此一做法可節省時間，</w:t>
      </w:r>
      <w:r>
        <w:rPr>
          <w:rFonts w:hint="eastAsia"/>
        </w:rPr>
        <w:t>其他法院如</w:t>
      </w:r>
      <w:r w:rsidRPr="00982A87">
        <w:rPr>
          <w:rFonts w:hint="eastAsia"/>
        </w:rPr>
        <w:t>新北地院</w:t>
      </w:r>
      <w:r>
        <w:rPr>
          <w:rFonts w:hint="eastAsia"/>
        </w:rPr>
        <w:t>亦</w:t>
      </w:r>
      <w:proofErr w:type="gramStart"/>
      <w:r>
        <w:rPr>
          <w:rFonts w:hint="eastAsia"/>
        </w:rPr>
        <w:t>採</w:t>
      </w:r>
      <w:proofErr w:type="gramEnd"/>
      <w:r>
        <w:rPr>
          <w:rFonts w:hint="eastAsia"/>
        </w:rPr>
        <w:t>行此種方式等語</w:t>
      </w:r>
      <w:r w:rsidR="00B962D1">
        <w:rPr>
          <w:rFonts w:hint="eastAsia"/>
        </w:rPr>
        <w:t>，因此陳訴人所述，應屬實情</w:t>
      </w:r>
      <w:r>
        <w:rPr>
          <w:rFonts w:hint="eastAsia"/>
        </w:rPr>
        <w:t>。</w:t>
      </w:r>
      <w:r w:rsidR="00B962D1">
        <w:rPr>
          <w:rFonts w:hint="eastAsia"/>
        </w:rPr>
        <w:t>基於保護少年的理念，</w:t>
      </w:r>
      <w:proofErr w:type="gramStart"/>
      <w:r>
        <w:rPr>
          <w:rFonts w:hint="eastAsia"/>
        </w:rPr>
        <w:t>司法院宜瞭解</w:t>
      </w:r>
      <w:proofErr w:type="gramEnd"/>
      <w:r>
        <w:rPr>
          <w:rFonts w:hint="eastAsia"/>
        </w:rPr>
        <w:t>各</w:t>
      </w:r>
      <w:r w:rsidRPr="00982A87">
        <w:rPr>
          <w:rFonts w:hint="eastAsia"/>
        </w:rPr>
        <w:t>法院</w:t>
      </w:r>
      <w:r>
        <w:rPr>
          <w:rFonts w:hint="eastAsia"/>
        </w:rPr>
        <w:t>是否有要求多名少年在</w:t>
      </w:r>
      <w:r w:rsidR="00356E13">
        <w:rPr>
          <w:rFonts w:hint="eastAsia"/>
        </w:rPr>
        <w:t>同</w:t>
      </w:r>
      <w:r>
        <w:rPr>
          <w:rFonts w:hint="eastAsia"/>
        </w:rPr>
        <w:t>一時間報到等候叫號之情形，並應督導各法院</w:t>
      </w:r>
      <w:proofErr w:type="gramStart"/>
      <w:r>
        <w:rPr>
          <w:rFonts w:hint="eastAsia"/>
        </w:rPr>
        <w:t>採</w:t>
      </w:r>
      <w:proofErr w:type="gramEnd"/>
      <w:r>
        <w:rPr>
          <w:rFonts w:hint="eastAsia"/>
        </w:rPr>
        <w:t>行避免同案少年於報到時接觸之具體措施</w:t>
      </w:r>
      <w:r w:rsidRPr="00982A87">
        <w:rPr>
          <w:rFonts w:hint="eastAsia"/>
        </w:rPr>
        <w:t>。</w:t>
      </w:r>
    </w:p>
    <w:p w:rsidR="00947589" w:rsidRPr="00947589" w:rsidRDefault="00947589" w:rsidP="00947589">
      <w:pPr>
        <w:pStyle w:val="2"/>
        <w:rPr>
          <w:b/>
        </w:rPr>
      </w:pPr>
      <w:bookmarkStart w:id="62" w:name="_Toc535915338"/>
      <w:r>
        <w:rPr>
          <w:rFonts w:hint="eastAsia"/>
          <w:b/>
        </w:rPr>
        <w:t>桃園地方檢察署檢察官</w:t>
      </w:r>
      <w:r w:rsidRPr="00947589">
        <w:rPr>
          <w:rFonts w:hint="eastAsia"/>
          <w:b/>
        </w:rPr>
        <w:t>起訴書附表內雖記載</w:t>
      </w:r>
      <w:r w:rsidR="00591ADD">
        <w:rPr>
          <w:rFonts w:hint="eastAsia"/>
          <w:b/>
        </w:rPr>
        <w:t>A</w:t>
      </w:r>
      <w:r w:rsidRPr="00947589">
        <w:rPr>
          <w:rFonts w:hint="eastAsia"/>
          <w:b/>
        </w:rPr>
        <w:t>少年涉嫌於102年9月24日共同詐騙被害人</w:t>
      </w:r>
      <w:r w:rsidR="00FF3F3B">
        <w:rPr>
          <w:rFonts w:hint="eastAsia"/>
          <w:b/>
        </w:rPr>
        <w:t>唐○○</w:t>
      </w:r>
      <w:r w:rsidRPr="00947589">
        <w:rPr>
          <w:rFonts w:hint="eastAsia"/>
          <w:b/>
        </w:rPr>
        <w:t>，但</w:t>
      </w:r>
      <w:r w:rsidR="00591ADD">
        <w:rPr>
          <w:rFonts w:hint="eastAsia"/>
          <w:b/>
        </w:rPr>
        <w:t>刑事</w:t>
      </w:r>
      <w:r w:rsidRPr="00947589">
        <w:rPr>
          <w:rFonts w:hint="eastAsia"/>
          <w:b/>
        </w:rPr>
        <w:t>偵查</w:t>
      </w:r>
      <w:r w:rsidR="00591ADD">
        <w:rPr>
          <w:rFonts w:hint="eastAsia"/>
          <w:b/>
        </w:rPr>
        <w:t>之</w:t>
      </w:r>
      <w:r w:rsidRPr="00947589">
        <w:rPr>
          <w:rFonts w:hint="eastAsia"/>
          <w:b/>
        </w:rPr>
        <w:t>對象</w:t>
      </w:r>
      <w:proofErr w:type="gramStart"/>
      <w:r w:rsidRPr="00947589">
        <w:rPr>
          <w:rFonts w:hint="eastAsia"/>
          <w:b/>
        </w:rPr>
        <w:t>不</w:t>
      </w:r>
      <w:proofErr w:type="gramEnd"/>
      <w:r w:rsidRPr="00947589">
        <w:rPr>
          <w:rFonts w:hint="eastAsia"/>
          <w:b/>
        </w:rPr>
        <w:t>及於少年，且</w:t>
      </w:r>
      <w:r w:rsidR="00591ADD">
        <w:rPr>
          <w:rFonts w:hint="eastAsia"/>
          <w:b/>
        </w:rPr>
        <w:t>起訴書中</w:t>
      </w:r>
      <w:r w:rsidRPr="00947589">
        <w:rPr>
          <w:rFonts w:hint="eastAsia"/>
          <w:b/>
        </w:rPr>
        <w:t>就涉案之少年，分別註明是否已移送少年法庭；至於桃園地院</w:t>
      </w:r>
      <w:proofErr w:type="gramStart"/>
      <w:r w:rsidRPr="00947589">
        <w:rPr>
          <w:rFonts w:hint="eastAsia"/>
          <w:b/>
        </w:rPr>
        <w:t>103年度訴字第96號</w:t>
      </w:r>
      <w:proofErr w:type="gramEnd"/>
      <w:r w:rsidRPr="00947589">
        <w:rPr>
          <w:rFonts w:hint="eastAsia"/>
          <w:b/>
        </w:rPr>
        <w:t>刑事判決，認定</w:t>
      </w:r>
      <w:r w:rsidR="0087410D">
        <w:rPr>
          <w:rFonts w:hint="eastAsia"/>
          <w:b/>
        </w:rPr>
        <w:t>A</w:t>
      </w:r>
      <w:r w:rsidRPr="00947589">
        <w:rPr>
          <w:rFonts w:hint="eastAsia"/>
          <w:b/>
        </w:rPr>
        <w:t>少年涉嫌共同詐欺被害人</w:t>
      </w:r>
      <w:r w:rsidR="00FF3F3B">
        <w:rPr>
          <w:rFonts w:hint="eastAsia"/>
          <w:b/>
        </w:rPr>
        <w:t>唐○○</w:t>
      </w:r>
      <w:r w:rsidRPr="00947589">
        <w:rPr>
          <w:rFonts w:hint="eastAsia"/>
          <w:b/>
        </w:rPr>
        <w:t>，</w:t>
      </w:r>
      <w:r w:rsidR="00380C11">
        <w:rPr>
          <w:rFonts w:hint="eastAsia"/>
          <w:b/>
        </w:rPr>
        <w:t>刑事庭</w:t>
      </w:r>
      <w:r w:rsidRPr="00947589">
        <w:rPr>
          <w:rFonts w:hint="eastAsia"/>
          <w:b/>
        </w:rPr>
        <w:t>未移送少年法庭</w:t>
      </w:r>
      <w:r w:rsidR="00380C11">
        <w:rPr>
          <w:rFonts w:hint="eastAsia"/>
          <w:b/>
        </w:rPr>
        <w:t>調查</w:t>
      </w:r>
      <w:r w:rsidRPr="00947589">
        <w:rPr>
          <w:rFonts w:hint="eastAsia"/>
          <w:b/>
        </w:rPr>
        <w:t>審理，雖不符少事法第18條第1項規定，惟因少年早已向少年法庭自</w:t>
      </w:r>
      <w:proofErr w:type="gramStart"/>
      <w:r w:rsidRPr="00947589">
        <w:rPr>
          <w:rFonts w:hint="eastAsia"/>
          <w:b/>
        </w:rPr>
        <w:t>陳該觸法</w:t>
      </w:r>
      <w:proofErr w:type="gramEnd"/>
      <w:r w:rsidRPr="00947589">
        <w:rPr>
          <w:rFonts w:hint="eastAsia"/>
          <w:b/>
        </w:rPr>
        <w:t>事實，故自難苛責刑事庭</w:t>
      </w:r>
      <w:proofErr w:type="gramStart"/>
      <w:r w:rsidRPr="00947589">
        <w:rPr>
          <w:rFonts w:hint="eastAsia"/>
          <w:b/>
        </w:rPr>
        <w:t>有何違失</w:t>
      </w:r>
      <w:proofErr w:type="gramEnd"/>
      <w:r w:rsidRPr="00947589">
        <w:rPr>
          <w:rFonts w:hint="eastAsia"/>
          <w:b/>
        </w:rPr>
        <w:t>。</w:t>
      </w:r>
      <w:bookmarkEnd w:id="62"/>
    </w:p>
    <w:p w:rsidR="00947589" w:rsidRDefault="00947589" w:rsidP="00D52C81">
      <w:pPr>
        <w:pStyle w:val="3"/>
      </w:pPr>
      <w:r w:rsidRPr="005907A5">
        <w:rPr>
          <w:rFonts w:hint="eastAsia"/>
        </w:rPr>
        <w:t>陳訴人指稱</w:t>
      </w:r>
      <w:r>
        <w:rPr>
          <w:rFonts w:hint="eastAsia"/>
        </w:rPr>
        <w:t>：檢警及桃園地院</w:t>
      </w:r>
      <w:r w:rsidRPr="005907A5">
        <w:rPr>
          <w:rFonts w:hint="eastAsia"/>
        </w:rPr>
        <w:t>刑事</w:t>
      </w:r>
      <w:r>
        <w:rPr>
          <w:rFonts w:hint="eastAsia"/>
        </w:rPr>
        <w:t>庭於103年偵辦及審理成年共犯時，已知悉</w:t>
      </w:r>
      <w:r w:rsidR="0087410D">
        <w:rPr>
          <w:rFonts w:hint="eastAsia"/>
        </w:rPr>
        <w:t>A</w:t>
      </w:r>
      <w:r>
        <w:rPr>
          <w:rFonts w:hint="eastAsia"/>
        </w:rPr>
        <w:t>少年詐欺被害人</w:t>
      </w:r>
      <w:r w:rsidR="00FF3F3B">
        <w:rPr>
          <w:rFonts w:hint="eastAsia"/>
        </w:rPr>
        <w:t>唐○○</w:t>
      </w:r>
      <w:r>
        <w:rPr>
          <w:rFonts w:hint="eastAsia"/>
        </w:rPr>
        <w:t>，卻</w:t>
      </w:r>
      <w:r w:rsidRPr="005907A5">
        <w:rPr>
          <w:rFonts w:hint="eastAsia"/>
        </w:rPr>
        <w:t>未移送少年法庭審理</w:t>
      </w:r>
      <w:r>
        <w:rPr>
          <w:rFonts w:hint="eastAsia"/>
        </w:rPr>
        <w:t>等語。</w:t>
      </w:r>
    </w:p>
    <w:p w:rsidR="00947589" w:rsidRDefault="00947589" w:rsidP="00D52C81">
      <w:pPr>
        <w:pStyle w:val="3"/>
      </w:pPr>
      <w:r>
        <w:rPr>
          <w:rFonts w:hint="eastAsia"/>
        </w:rPr>
        <w:t>對此，據桃園地院查復略</w:t>
      </w:r>
      <w:proofErr w:type="gramStart"/>
      <w:r>
        <w:rPr>
          <w:rFonts w:hint="eastAsia"/>
        </w:rPr>
        <w:t>以</w:t>
      </w:r>
      <w:proofErr w:type="gramEnd"/>
      <w:r>
        <w:rPr>
          <w:rFonts w:hint="eastAsia"/>
        </w:rPr>
        <w:t>：該案</w:t>
      </w:r>
      <w:r w:rsidRPr="005907A5">
        <w:rPr>
          <w:rFonts w:hint="eastAsia"/>
        </w:rPr>
        <w:t>係經檢察官提起公訴，起訴事實已認定</w:t>
      </w:r>
      <w:r w:rsidR="0087410D">
        <w:rPr>
          <w:rFonts w:hint="eastAsia"/>
        </w:rPr>
        <w:t>A</w:t>
      </w:r>
      <w:r w:rsidRPr="005907A5">
        <w:rPr>
          <w:rFonts w:hint="eastAsia"/>
        </w:rPr>
        <w:t>少年為詐騙被害人</w:t>
      </w:r>
      <w:r w:rsidR="00FF3F3B">
        <w:rPr>
          <w:rFonts w:hint="eastAsia"/>
        </w:rPr>
        <w:t>唐○○</w:t>
      </w:r>
      <w:r w:rsidRPr="005907A5">
        <w:rPr>
          <w:rFonts w:hint="eastAsia"/>
        </w:rPr>
        <w:t>、</w:t>
      </w:r>
      <w:proofErr w:type="gramStart"/>
      <w:r w:rsidRPr="005907A5">
        <w:rPr>
          <w:rFonts w:hint="eastAsia"/>
        </w:rPr>
        <w:t>鍾</w:t>
      </w:r>
      <w:proofErr w:type="gramEnd"/>
      <w:r w:rsidR="00FF3F3B">
        <w:rPr>
          <w:rFonts w:hint="eastAsia"/>
        </w:rPr>
        <w:t>張○○</w:t>
      </w:r>
      <w:r w:rsidRPr="005907A5">
        <w:rPr>
          <w:rFonts w:hint="eastAsia"/>
        </w:rPr>
        <w:t>之共犯，起訴書另又載明「</w:t>
      </w:r>
      <w:proofErr w:type="gramStart"/>
      <w:r w:rsidRPr="005907A5">
        <w:rPr>
          <w:rFonts w:hint="eastAsia"/>
        </w:rPr>
        <w:t>鍾</w:t>
      </w:r>
      <w:proofErr w:type="gramEnd"/>
      <w:r w:rsidR="00FF3F3B">
        <w:rPr>
          <w:rFonts w:hint="eastAsia"/>
        </w:rPr>
        <w:t>張○○</w:t>
      </w:r>
      <w:r w:rsidRPr="005907A5">
        <w:rPr>
          <w:rFonts w:hint="eastAsia"/>
        </w:rPr>
        <w:t>」遭詐騙案由少年法庭另案審理，該院</w:t>
      </w:r>
      <w:proofErr w:type="gramStart"/>
      <w:r w:rsidRPr="005907A5">
        <w:rPr>
          <w:rFonts w:hint="eastAsia"/>
        </w:rPr>
        <w:t>103年度訴</w:t>
      </w:r>
      <w:r>
        <w:rPr>
          <w:rFonts w:hint="eastAsia"/>
        </w:rPr>
        <w:t>字</w:t>
      </w:r>
      <w:r w:rsidRPr="005907A5">
        <w:rPr>
          <w:rFonts w:hint="eastAsia"/>
        </w:rPr>
        <w:t>第96號</w:t>
      </w:r>
      <w:proofErr w:type="gramEnd"/>
      <w:r w:rsidRPr="005907A5">
        <w:rPr>
          <w:rFonts w:hint="eastAsia"/>
        </w:rPr>
        <w:t>刑事判決之承審法官，於案件審結後，已將裁判書正本函送移送機關並送達被告、被害人等人，自無再行告發</w:t>
      </w:r>
      <w:r w:rsidR="0087410D">
        <w:rPr>
          <w:rFonts w:hint="eastAsia"/>
        </w:rPr>
        <w:t>A少年</w:t>
      </w:r>
      <w:r w:rsidRPr="005907A5">
        <w:rPr>
          <w:rFonts w:hint="eastAsia"/>
        </w:rPr>
        <w:t>移送</w:t>
      </w:r>
      <w:r>
        <w:rPr>
          <w:rFonts w:hint="eastAsia"/>
        </w:rPr>
        <w:t>少</w:t>
      </w:r>
      <w:r w:rsidRPr="005907A5">
        <w:rPr>
          <w:rFonts w:hint="eastAsia"/>
        </w:rPr>
        <w:t>年法庭之必要等語。</w:t>
      </w:r>
    </w:p>
    <w:p w:rsidR="00947589" w:rsidRDefault="00947589" w:rsidP="00D52C81">
      <w:pPr>
        <w:pStyle w:val="3"/>
      </w:pPr>
      <w:r w:rsidRPr="00A41A9B">
        <w:rPr>
          <w:rFonts w:hint="eastAsia"/>
        </w:rPr>
        <w:t>經查，少事法第</w:t>
      </w:r>
      <w:r w:rsidRPr="00A41A9B">
        <w:t>18</w:t>
      </w:r>
      <w:r w:rsidRPr="00A41A9B">
        <w:rPr>
          <w:rFonts w:hint="eastAsia"/>
        </w:rPr>
        <w:t>條第</w:t>
      </w:r>
      <w:r w:rsidRPr="00A41A9B">
        <w:t>1</w:t>
      </w:r>
      <w:r w:rsidRPr="00A41A9B">
        <w:rPr>
          <w:rFonts w:hint="eastAsia"/>
        </w:rPr>
        <w:t>項固規定檢察官、司法警察官或法院於執行職務時，「知有少年非行時」應移送</w:t>
      </w:r>
      <w:r w:rsidRPr="00A41A9B">
        <w:rPr>
          <w:rFonts w:hint="eastAsia"/>
        </w:rPr>
        <w:lastRenderedPageBreak/>
        <w:t>少年法院，但司法院及法務部均認為，依審理細則及「司法警察機關處理少年事件聯繫辦法」，</w:t>
      </w:r>
      <w:r>
        <w:rPr>
          <w:rFonts w:hint="eastAsia"/>
        </w:rPr>
        <w:t>檢警</w:t>
      </w:r>
      <w:r w:rsidRPr="00A41A9B">
        <w:rPr>
          <w:rFonts w:hint="eastAsia"/>
        </w:rPr>
        <w:t>「知有犯罪嫌疑者」應依刑事訴訟法開始調查或偵查，透過若干</w:t>
      </w:r>
      <w:proofErr w:type="gramStart"/>
      <w:r w:rsidRPr="00A41A9B">
        <w:rPr>
          <w:rFonts w:hint="eastAsia"/>
        </w:rPr>
        <w:t>偵</w:t>
      </w:r>
      <w:proofErr w:type="gramEnd"/>
      <w:r w:rsidRPr="00A41A9B">
        <w:rPr>
          <w:rFonts w:hint="eastAsia"/>
        </w:rPr>
        <w:t>（調）查作為</w:t>
      </w:r>
      <w:r>
        <w:rPr>
          <w:rFonts w:hint="eastAsia"/>
        </w:rPr>
        <w:t>「</w:t>
      </w:r>
      <w:proofErr w:type="gramStart"/>
      <w:r w:rsidRPr="00A41A9B">
        <w:rPr>
          <w:rFonts w:hint="eastAsia"/>
        </w:rPr>
        <w:t>釐</w:t>
      </w:r>
      <w:proofErr w:type="gramEnd"/>
      <w:r w:rsidRPr="00A41A9B">
        <w:rPr>
          <w:rFonts w:hint="eastAsia"/>
        </w:rPr>
        <w:t>清</w:t>
      </w:r>
      <w:r>
        <w:rPr>
          <w:rFonts w:hint="eastAsia"/>
        </w:rPr>
        <w:t>」</w:t>
      </w:r>
      <w:r w:rsidRPr="00A41A9B">
        <w:rPr>
          <w:rFonts w:hint="eastAsia"/>
        </w:rPr>
        <w:t>後，始得依移送少年法庭，司法院並將檢警偵辦之階段稱為「（固有）偵查階段」。姑不論此一見解是否符合少事</w:t>
      </w:r>
      <w:proofErr w:type="gramStart"/>
      <w:r w:rsidRPr="00A41A9B">
        <w:rPr>
          <w:rFonts w:hint="eastAsia"/>
        </w:rPr>
        <w:t>法全件移送</w:t>
      </w:r>
      <w:proofErr w:type="gramEnd"/>
      <w:r w:rsidRPr="00A41A9B">
        <w:rPr>
          <w:rFonts w:hint="eastAsia"/>
        </w:rPr>
        <w:t>之精神，然確屬司法實務之運作現況。卷查桃園地院</w:t>
      </w:r>
      <w:proofErr w:type="gramStart"/>
      <w:r w:rsidRPr="00A41A9B">
        <w:t>103</w:t>
      </w:r>
      <w:r w:rsidRPr="00A41A9B">
        <w:rPr>
          <w:rFonts w:hint="eastAsia"/>
        </w:rPr>
        <w:t>年度訴字第</w:t>
      </w:r>
      <w:r w:rsidRPr="00A41A9B">
        <w:t>96</w:t>
      </w:r>
      <w:r w:rsidRPr="00A41A9B">
        <w:rPr>
          <w:rFonts w:hint="eastAsia"/>
        </w:rPr>
        <w:t>號</w:t>
      </w:r>
      <w:proofErr w:type="gramEnd"/>
      <w:r w:rsidRPr="00A41A9B">
        <w:rPr>
          <w:rFonts w:hint="eastAsia"/>
        </w:rPr>
        <w:t>刑事案件係檢察官偵辦温進正等詐欺集團成年共犯之犯罪行為，並未釐清</w:t>
      </w:r>
      <w:r w:rsidR="0087410D">
        <w:rPr>
          <w:rFonts w:hint="eastAsia"/>
        </w:rPr>
        <w:t>A</w:t>
      </w:r>
      <w:r w:rsidRPr="00A41A9B">
        <w:rPr>
          <w:rFonts w:hint="eastAsia"/>
        </w:rPr>
        <w:t>少年之觸法事實。起訴書附表內雖記載被告</w:t>
      </w:r>
      <w:r w:rsidR="00FF3F3B">
        <w:rPr>
          <w:rFonts w:hint="eastAsia"/>
        </w:rPr>
        <w:t>溫○○</w:t>
      </w:r>
      <w:r w:rsidRPr="00A41A9B">
        <w:rPr>
          <w:rFonts w:hint="eastAsia"/>
        </w:rPr>
        <w:t>、</w:t>
      </w:r>
      <w:proofErr w:type="gramStart"/>
      <w:r w:rsidR="00FF3F3B">
        <w:rPr>
          <w:rFonts w:hint="eastAsia"/>
        </w:rPr>
        <w:t>鍾</w:t>
      </w:r>
      <w:proofErr w:type="gramEnd"/>
      <w:r w:rsidR="00FF3F3B">
        <w:rPr>
          <w:rFonts w:hint="eastAsia"/>
        </w:rPr>
        <w:t>○○</w:t>
      </w:r>
      <w:r w:rsidRPr="00A41A9B">
        <w:rPr>
          <w:rFonts w:hint="eastAsia"/>
        </w:rPr>
        <w:t>等人於102年9月24日指揮</w:t>
      </w:r>
      <w:r w:rsidR="007E03FE">
        <w:rPr>
          <w:rFonts w:hint="eastAsia"/>
        </w:rPr>
        <w:t>A少年</w:t>
      </w:r>
      <w:r w:rsidRPr="00A41A9B">
        <w:rPr>
          <w:rFonts w:hint="eastAsia"/>
        </w:rPr>
        <w:t>詐騙被害人</w:t>
      </w:r>
      <w:r w:rsidR="00FF3F3B">
        <w:rPr>
          <w:rFonts w:hint="eastAsia"/>
        </w:rPr>
        <w:t>唐○○</w:t>
      </w:r>
      <w:r w:rsidRPr="00A41A9B">
        <w:rPr>
          <w:rFonts w:hint="eastAsia"/>
        </w:rPr>
        <w:t>，但該附表備註欄已分別註明涉案少年已否移送少年法庭，是</w:t>
      </w:r>
      <w:r>
        <w:rPr>
          <w:rFonts w:hint="eastAsia"/>
        </w:rPr>
        <w:t>以</w:t>
      </w:r>
      <w:r w:rsidRPr="00A41A9B">
        <w:rPr>
          <w:rFonts w:hint="eastAsia"/>
        </w:rPr>
        <w:t>尚難認定檢</w:t>
      </w:r>
      <w:r w:rsidR="00707CD2">
        <w:rPr>
          <w:rFonts w:hint="eastAsia"/>
        </w:rPr>
        <w:t>察官</w:t>
      </w:r>
      <w:r w:rsidRPr="00A41A9B">
        <w:rPr>
          <w:rFonts w:hint="eastAsia"/>
        </w:rPr>
        <w:t>未</w:t>
      </w:r>
      <w:r w:rsidR="00707CD2">
        <w:rPr>
          <w:rFonts w:hint="eastAsia"/>
        </w:rPr>
        <w:t>將A少年</w:t>
      </w:r>
      <w:proofErr w:type="gramStart"/>
      <w:r w:rsidR="00707CD2">
        <w:rPr>
          <w:rFonts w:hint="eastAsia"/>
        </w:rPr>
        <w:t>上開觸法</w:t>
      </w:r>
      <w:proofErr w:type="gramEnd"/>
      <w:r w:rsidR="00707CD2">
        <w:rPr>
          <w:rFonts w:hint="eastAsia"/>
        </w:rPr>
        <w:t>行為</w:t>
      </w:r>
      <w:r w:rsidRPr="00A41A9B">
        <w:rPr>
          <w:rFonts w:hint="eastAsia"/>
        </w:rPr>
        <w:t>移送少年法庭</w:t>
      </w:r>
      <w:r w:rsidR="00707CD2">
        <w:rPr>
          <w:rFonts w:hint="eastAsia"/>
        </w:rPr>
        <w:t>，</w:t>
      </w:r>
      <w:proofErr w:type="gramStart"/>
      <w:r w:rsidRPr="00A41A9B">
        <w:rPr>
          <w:rFonts w:hint="eastAsia"/>
        </w:rPr>
        <w:t>有何違失</w:t>
      </w:r>
      <w:proofErr w:type="gramEnd"/>
      <w:r w:rsidRPr="00A41A9B">
        <w:rPr>
          <w:rFonts w:hint="eastAsia"/>
        </w:rPr>
        <w:t>。至於桃園地院刑事庭審理後既已認定</w:t>
      </w:r>
      <w:r w:rsidR="0087410D">
        <w:rPr>
          <w:rFonts w:hint="eastAsia"/>
        </w:rPr>
        <w:t>A</w:t>
      </w:r>
      <w:r w:rsidRPr="00A41A9B">
        <w:rPr>
          <w:rFonts w:hint="eastAsia"/>
        </w:rPr>
        <w:t>少年涉有共同詐欺</w:t>
      </w:r>
      <w:r w:rsidR="00FF3F3B">
        <w:rPr>
          <w:rFonts w:hint="eastAsia"/>
        </w:rPr>
        <w:t>唐○○</w:t>
      </w:r>
      <w:r w:rsidRPr="00A41A9B">
        <w:rPr>
          <w:rFonts w:hint="eastAsia"/>
        </w:rPr>
        <w:t>之行為，</w:t>
      </w:r>
      <w:proofErr w:type="gramStart"/>
      <w:r>
        <w:rPr>
          <w:rFonts w:hint="eastAsia"/>
        </w:rPr>
        <w:t>自</w:t>
      </w:r>
      <w:r w:rsidRPr="00A41A9B">
        <w:rPr>
          <w:rFonts w:hint="eastAsia"/>
        </w:rPr>
        <w:t>屬少事</w:t>
      </w:r>
      <w:proofErr w:type="gramEnd"/>
      <w:r w:rsidRPr="00A41A9B">
        <w:rPr>
          <w:rFonts w:hint="eastAsia"/>
        </w:rPr>
        <w:t>法第18條第1項「知有少年非行」，</w:t>
      </w:r>
      <w:r>
        <w:rPr>
          <w:rFonts w:hint="eastAsia"/>
        </w:rPr>
        <w:t>對照</w:t>
      </w:r>
      <w:r w:rsidRPr="00A41A9B">
        <w:rPr>
          <w:rFonts w:hint="eastAsia"/>
        </w:rPr>
        <w:t>檢察官起訴書亦可知悉</w:t>
      </w:r>
      <w:r w:rsidR="0087410D">
        <w:rPr>
          <w:rFonts w:hint="eastAsia"/>
        </w:rPr>
        <w:t>A</w:t>
      </w:r>
      <w:r>
        <w:rPr>
          <w:rFonts w:hint="eastAsia"/>
        </w:rPr>
        <w:t>少年</w:t>
      </w:r>
      <w:r w:rsidR="0087410D">
        <w:rPr>
          <w:rFonts w:hint="eastAsia"/>
        </w:rPr>
        <w:t>所涉</w:t>
      </w:r>
      <w:proofErr w:type="gramStart"/>
      <w:r w:rsidR="0087410D">
        <w:rPr>
          <w:rFonts w:hint="eastAsia"/>
        </w:rPr>
        <w:t>之</w:t>
      </w:r>
      <w:r w:rsidRPr="00A41A9B">
        <w:rPr>
          <w:rFonts w:hint="eastAsia"/>
        </w:rPr>
        <w:t>該非行</w:t>
      </w:r>
      <w:proofErr w:type="gramEnd"/>
      <w:r w:rsidRPr="00A41A9B">
        <w:rPr>
          <w:rFonts w:hint="eastAsia"/>
        </w:rPr>
        <w:t>尚未移送少年法庭。</w:t>
      </w:r>
      <w:r>
        <w:rPr>
          <w:rFonts w:hint="eastAsia"/>
        </w:rPr>
        <w:t>惟本件</w:t>
      </w:r>
      <w:r w:rsidR="0087410D">
        <w:rPr>
          <w:rFonts w:hint="eastAsia"/>
        </w:rPr>
        <w:t>A</w:t>
      </w:r>
      <w:r w:rsidRPr="006606B4">
        <w:rPr>
          <w:rFonts w:hint="eastAsia"/>
        </w:rPr>
        <w:t>少年早已就</w:t>
      </w:r>
      <w:r>
        <w:rPr>
          <w:rFonts w:hint="eastAsia"/>
        </w:rPr>
        <w:t>其詐騙</w:t>
      </w:r>
      <w:r w:rsidR="00FF3F3B">
        <w:rPr>
          <w:rFonts w:hint="eastAsia"/>
        </w:rPr>
        <w:t>唐○○</w:t>
      </w:r>
      <w:r>
        <w:rPr>
          <w:rFonts w:hint="eastAsia"/>
        </w:rPr>
        <w:t>之</w:t>
      </w:r>
      <w:r w:rsidRPr="006606B4">
        <w:rPr>
          <w:rFonts w:hint="eastAsia"/>
        </w:rPr>
        <w:t>觸法</w:t>
      </w:r>
      <w:r>
        <w:rPr>
          <w:rFonts w:hint="eastAsia"/>
        </w:rPr>
        <w:t>行為</w:t>
      </w:r>
      <w:r w:rsidRPr="006606B4">
        <w:rPr>
          <w:rFonts w:hint="eastAsia"/>
        </w:rPr>
        <w:t>向少年法</w:t>
      </w:r>
      <w:r>
        <w:rPr>
          <w:rFonts w:hint="eastAsia"/>
        </w:rPr>
        <w:t>庭</w:t>
      </w:r>
      <w:r w:rsidRPr="006606B4">
        <w:rPr>
          <w:rFonts w:hint="eastAsia"/>
        </w:rPr>
        <w:t>自</w:t>
      </w:r>
      <w:r>
        <w:rPr>
          <w:rFonts w:hint="eastAsia"/>
        </w:rPr>
        <w:t>白，故關鍵仍在少年法庭獲知少年觸法行為卻未立案調查</w:t>
      </w:r>
      <w:r w:rsidRPr="006606B4">
        <w:rPr>
          <w:rFonts w:hint="eastAsia"/>
        </w:rPr>
        <w:t>，</w:t>
      </w:r>
      <w:r>
        <w:rPr>
          <w:rFonts w:hint="eastAsia"/>
        </w:rPr>
        <w:t>而不宜苛責刑事庭未依法移送。</w:t>
      </w:r>
    </w:p>
    <w:p w:rsidR="00947589" w:rsidRPr="00947589" w:rsidRDefault="00947589" w:rsidP="00947589">
      <w:pPr>
        <w:pStyle w:val="2"/>
        <w:rPr>
          <w:b/>
        </w:rPr>
      </w:pPr>
      <w:bookmarkStart w:id="63" w:name="_Toc535915339"/>
      <w:r w:rsidRPr="00947589">
        <w:rPr>
          <w:rFonts w:hint="eastAsia"/>
          <w:b/>
        </w:rPr>
        <w:t>桃園市警局於102年間偵辦</w:t>
      </w:r>
      <w:r w:rsidR="00FF3F3B">
        <w:rPr>
          <w:rFonts w:hint="eastAsia"/>
          <w:b/>
        </w:rPr>
        <w:t>唐○○</w:t>
      </w:r>
      <w:r w:rsidRPr="00947589">
        <w:rPr>
          <w:rFonts w:hint="eastAsia"/>
          <w:b/>
        </w:rPr>
        <w:t>遭詐欺案，雖緝獲成年詐欺共犯</w:t>
      </w:r>
      <w:r w:rsidR="00FF3F3B">
        <w:rPr>
          <w:rFonts w:hint="eastAsia"/>
          <w:b/>
        </w:rPr>
        <w:t>溫○○</w:t>
      </w:r>
      <w:r w:rsidRPr="00947589">
        <w:rPr>
          <w:rFonts w:hint="eastAsia"/>
          <w:b/>
        </w:rPr>
        <w:t>、</w:t>
      </w:r>
      <w:proofErr w:type="gramStart"/>
      <w:r w:rsidR="00FF3F3B">
        <w:rPr>
          <w:rFonts w:hint="eastAsia"/>
          <w:b/>
        </w:rPr>
        <w:t>鍾</w:t>
      </w:r>
      <w:proofErr w:type="gramEnd"/>
      <w:r w:rsidR="00FF3F3B">
        <w:rPr>
          <w:rFonts w:hint="eastAsia"/>
          <w:b/>
        </w:rPr>
        <w:t>○○</w:t>
      </w:r>
      <w:r w:rsidRPr="00947589">
        <w:rPr>
          <w:rFonts w:hint="eastAsia"/>
          <w:b/>
        </w:rPr>
        <w:t>等人，然當時欠缺積極證據足以</w:t>
      </w:r>
      <w:proofErr w:type="gramStart"/>
      <w:r w:rsidRPr="00947589">
        <w:rPr>
          <w:rFonts w:hint="eastAsia"/>
          <w:b/>
        </w:rPr>
        <w:t>釐</w:t>
      </w:r>
      <w:proofErr w:type="gramEnd"/>
      <w:r w:rsidRPr="00947589">
        <w:rPr>
          <w:rFonts w:hint="eastAsia"/>
          <w:b/>
        </w:rPr>
        <w:t>清</w:t>
      </w:r>
      <w:r w:rsidR="0087410D">
        <w:rPr>
          <w:rFonts w:hint="eastAsia"/>
          <w:b/>
        </w:rPr>
        <w:t>A</w:t>
      </w:r>
      <w:r w:rsidRPr="00947589">
        <w:rPr>
          <w:rFonts w:hint="eastAsia"/>
          <w:b/>
        </w:rPr>
        <w:t>少年是否涉案；</w:t>
      </w:r>
      <w:r>
        <w:rPr>
          <w:rFonts w:hint="eastAsia"/>
          <w:b/>
        </w:rPr>
        <w:t>又該局</w:t>
      </w:r>
      <w:r w:rsidRPr="00947589">
        <w:rPr>
          <w:rFonts w:hint="eastAsia"/>
          <w:b/>
        </w:rPr>
        <w:t>於104年偵辦及移送</w:t>
      </w:r>
      <w:r w:rsidR="00707CD2">
        <w:rPr>
          <w:rFonts w:hint="eastAsia"/>
          <w:b/>
        </w:rPr>
        <w:t>A</w:t>
      </w:r>
      <w:r w:rsidRPr="00947589">
        <w:rPr>
          <w:rFonts w:hint="eastAsia"/>
          <w:b/>
        </w:rPr>
        <w:t>少年涉嫌詐欺被害人</w:t>
      </w:r>
      <w:r w:rsidR="00FF3F3B">
        <w:rPr>
          <w:rFonts w:hint="eastAsia"/>
          <w:b/>
        </w:rPr>
        <w:t>唐○○</w:t>
      </w:r>
      <w:r w:rsidRPr="00947589">
        <w:rPr>
          <w:rFonts w:hint="eastAsia"/>
          <w:b/>
        </w:rPr>
        <w:t>，及該局將相關證物送請鑑定之過程，尚無違失。</w:t>
      </w:r>
      <w:bookmarkEnd w:id="63"/>
    </w:p>
    <w:p w:rsidR="00947589" w:rsidRDefault="00947589" w:rsidP="00707CD2">
      <w:pPr>
        <w:pStyle w:val="3"/>
      </w:pPr>
      <w:r>
        <w:rPr>
          <w:rFonts w:hint="eastAsia"/>
        </w:rPr>
        <w:t>陳訴人指稱：</w:t>
      </w:r>
      <w:proofErr w:type="gramStart"/>
      <w:r w:rsidRPr="0052798E">
        <w:rPr>
          <w:rFonts w:hint="eastAsia"/>
        </w:rPr>
        <w:t>蘆竹</w:t>
      </w:r>
      <w:r>
        <w:rPr>
          <w:rFonts w:hint="eastAsia"/>
        </w:rPr>
        <w:t>警</w:t>
      </w:r>
      <w:r w:rsidRPr="0052798E">
        <w:rPr>
          <w:rFonts w:hint="eastAsia"/>
        </w:rPr>
        <w:t>分局</w:t>
      </w:r>
      <w:proofErr w:type="gramEnd"/>
      <w:r w:rsidRPr="0052798E">
        <w:rPr>
          <w:rFonts w:hint="eastAsia"/>
        </w:rPr>
        <w:t>南竹派出所於102年10月9日接獲民眾</w:t>
      </w:r>
      <w:r w:rsidR="00FF3F3B">
        <w:rPr>
          <w:rFonts w:hint="eastAsia"/>
        </w:rPr>
        <w:t>唐○○</w:t>
      </w:r>
      <w:r w:rsidRPr="0052798E">
        <w:rPr>
          <w:rFonts w:hint="eastAsia"/>
        </w:rPr>
        <w:t>女士報案，稱其遭人於同年9月17日、24日、30日分別被騙取48萬、38萬、30萬元。</w:t>
      </w:r>
      <w:proofErr w:type="gramStart"/>
      <w:r w:rsidRPr="0052798E">
        <w:rPr>
          <w:rFonts w:hint="eastAsia"/>
        </w:rPr>
        <w:t>迄</w:t>
      </w:r>
      <w:proofErr w:type="gramEnd"/>
      <w:r w:rsidRPr="0052798E">
        <w:rPr>
          <w:rFonts w:hint="eastAsia"/>
        </w:rPr>
        <w:t>104年7月蘆竹分局以當年</w:t>
      </w:r>
      <w:r w:rsidR="00FF3F3B">
        <w:rPr>
          <w:rFonts w:hint="eastAsia"/>
        </w:rPr>
        <w:t>唐○○</w:t>
      </w:r>
      <w:r w:rsidRPr="0052798E">
        <w:rPr>
          <w:rFonts w:hint="eastAsia"/>
        </w:rPr>
        <w:t>報案時提供之</w:t>
      </w:r>
      <w:r w:rsidRPr="0052798E">
        <w:rPr>
          <w:rFonts w:hint="eastAsia"/>
        </w:rPr>
        <w:lastRenderedPageBreak/>
        <w:t>偽造收據上比對出</w:t>
      </w:r>
      <w:r w:rsidR="0087410D">
        <w:rPr>
          <w:rFonts w:hint="eastAsia"/>
        </w:rPr>
        <w:t>A</w:t>
      </w:r>
      <w:r w:rsidRPr="0052798E">
        <w:rPr>
          <w:rFonts w:hint="eastAsia"/>
        </w:rPr>
        <w:t>少年之指紋為由，隱匿102</w:t>
      </w:r>
      <w:proofErr w:type="gramStart"/>
      <w:r w:rsidRPr="0052798E">
        <w:rPr>
          <w:rFonts w:hint="eastAsia"/>
        </w:rPr>
        <w:t>年初始案號</w:t>
      </w:r>
      <w:proofErr w:type="gramEnd"/>
      <w:r w:rsidRPr="0052798E">
        <w:rPr>
          <w:rFonts w:hint="eastAsia"/>
        </w:rPr>
        <w:t>，另立新案件編號呈報，將舊案重新移送以賺取績效核分，致該少年被桃園地院再次裁定感化教育處分</w:t>
      </w:r>
      <w:r>
        <w:rPr>
          <w:rFonts w:hint="eastAsia"/>
        </w:rPr>
        <w:t>等情</w:t>
      </w:r>
      <w:r w:rsidRPr="0052798E">
        <w:rPr>
          <w:rFonts w:hint="eastAsia"/>
        </w:rPr>
        <w:t>。</w:t>
      </w:r>
    </w:p>
    <w:p w:rsidR="00707CD2" w:rsidRDefault="00707CD2" w:rsidP="00707CD2">
      <w:pPr>
        <w:pStyle w:val="3"/>
      </w:pPr>
      <w:proofErr w:type="gramStart"/>
      <w:r>
        <w:rPr>
          <w:rFonts w:hint="eastAsia"/>
        </w:rPr>
        <w:t>詢</w:t>
      </w:r>
      <w:proofErr w:type="gramEnd"/>
      <w:r>
        <w:rPr>
          <w:rFonts w:hint="eastAsia"/>
        </w:rPr>
        <w:t>據</w:t>
      </w:r>
      <w:r w:rsidR="00D311C5">
        <w:rPr>
          <w:rFonts w:hint="eastAsia"/>
        </w:rPr>
        <w:t>桃園市警局</w:t>
      </w:r>
      <w:r>
        <w:rPr>
          <w:rFonts w:hint="eastAsia"/>
        </w:rPr>
        <w:t>承辦員警表示，102年偵辦</w:t>
      </w:r>
      <w:r w:rsidR="0087410D">
        <w:rPr>
          <w:rFonts w:hint="eastAsia"/>
        </w:rPr>
        <w:t>A</w:t>
      </w:r>
      <w:r>
        <w:rPr>
          <w:rFonts w:hint="eastAsia"/>
        </w:rPr>
        <w:t>少年詐欺事件時，</w:t>
      </w:r>
      <w:r w:rsidR="0087410D">
        <w:rPr>
          <w:rFonts w:hint="eastAsia"/>
        </w:rPr>
        <w:t>A</w:t>
      </w:r>
      <w:r>
        <w:rPr>
          <w:rFonts w:hint="eastAsia"/>
        </w:rPr>
        <w:t>少年並未提供可供溯源被害人的資料；嗣後警方偵辦</w:t>
      </w:r>
      <w:r w:rsidR="00FF3F3B">
        <w:rPr>
          <w:rFonts w:hint="eastAsia"/>
        </w:rPr>
        <w:t>唐○○</w:t>
      </w:r>
      <w:r>
        <w:rPr>
          <w:rFonts w:hint="eastAsia"/>
        </w:rPr>
        <w:t>遭詐騙案時，亦未認定</w:t>
      </w:r>
      <w:r w:rsidR="007E03FE">
        <w:rPr>
          <w:rFonts w:hint="eastAsia"/>
        </w:rPr>
        <w:t>A少年</w:t>
      </w:r>
      <w:r>
        <w:rPr>
          <w:rFonts w:hint="eastAsia"/>
        </w:rPr>
        <w:t>涉案，警方移送書中係認定由</w:t>
      </w:r>
      <w:proofErr w:type="gramStart"/>
      <w:r w:rsidR="00FF3F3B">
        <w:rPr>
          <w:rFonts w:hint="eastAsia"/>
        </w:rPr>
        <w:t>鍾</w:t>
      </w:r>
      <w:proofErr w:type="gramEnd"/>
      <w:r w:rsidR="00FF3F3B">
        <w:rPr>
          <w:rFonts w:hint="eastAsia"/>
        </w:rPr>
        <w:t>○○</w:t>
      </w:r>
      <w:r>
        <w:rPr>
          <w:rFonts w:hint="eastAsia"/>
        </w:rPr>
        <w:t>與劉姓少年向</w:t>
      </w:r>
      <w:r w:rsidR="00FF3F3B">
        <w:rPr>
          <w:rFonts w:hint="eastAsia"/>
        </w:rPr>
        <w:t>唐○○</w:t>
      </w:r>
      <w:r>
        <w:rPr>
          <w:rFonts w:hint="eastAsia"/>
        </w:rPr>
        <w:t>取款，已將劉姓少年移送少年法庭等語。</w:t>
      </w:r>
    </w:p>
    <w:p w:rsidR="00947589" w:rsidRDefault="00947589" w:rsidP="00F4008A">
      <w:pPr>
        <w:pStyle w:val="3"/>
      </w:pPr>
      <w:r>
        <w:rPr>
          <w:rFonts w:hint="eastAsia"/>
        </w:rPr>
        <w:t>經查，</w:t>
      </w:r>
      <w:r w:rsidRPr="006C4D9A">
        <w:rPr>
          <w:rFonts w:hint="eastAsia"/>
        </w:rPr>
        <w:t>被害人</w:t>
      </w:r>
      <w:r w:rsidR="00FF3F3B">
        <w:rPr>
          <w:rFonts w:hint="eastAsia"/>
        </w:rPr>
        <w:t>唐○○</w:t>
      </w:r>
      <w:r w:rsidRPr="006C4D9A">
        <w:rPr>
          <w:rFonts w:hint="eastAsia"/>
        </w:rPr>
        <w:t>女士</w:t>
      </w:r>
      <w:r>
        <w:rPr>
          <w:rFonts w:hint="eastAsia"/>
        </w:rPr>
        <w:t>於102年10月9日</w:t>
      </w:r>
      <w:proofErr w:type="gramStart"/>
      <w:r w:rsidRPr="006C4D9A">
        <w:rPr>
          <w:rFonts w:hint="eastAsia"/>
        </w:rPr>
        <w:t>向蘆竹警</w:t>
      </w:r>
      <w:proofErr w:type="gramEnd"/>
      <w:r w:rsidRPr="006C4D9A">
        <w:rPr>
          <w:rFonts w:hint="eastAsia"/>
        </w:rPr>
        <w:t>分局報案，提供詐騙集團持以取信被害人之</w:t>
      </w:r>
      <w:r>
        <w:rPr>
          <w:rFonts w:hint="eastAsia"/>
        </w:rPr>
        <w:t>偽造公文書</w:t>
      </w:r>
      <w:proofErr w:type="gramStart"/>
      <w:r>
        <w:rPr>
          <w:rFonts w:hint="eastAsia"/>
        </w:rPr>
        <w:t>（</w:t>
      </w:r>
      <w:proofErr w:type="gramEnd"/>
      <w:r>
        <w:rPr>
          <w:rFonts w:hint="eastAsia"/>
        </w:rPr>
        <w:t>共3張，</w:t>
      </w:r>
      <w:r w:rsidRPr="006C4D9A">
        <w:rPr>
          <w:rFonts w:hint="eastAsia"/>
        </w:rPr>
        <w:t>記載日期分別為</w:t>
      </w:r>
      <w:r>
        <w:rPr>
          <w:rFonts w:hint="eastAsia"/>
        </w:rPr>
        <w:t>同年</w:t>
      </w:r>
      <w:r w:rsidRPr="006C4D9A">
        <w:rPr>
          <w:rFonts w:hint="eastAsia"/>
        </w:rPr>
        <w:t>9</w:t>
      </w:r>
      <w:r>
        <w:rPr>
          <w:rFonts w:hint="eastAsia"/>
        </w:rPr>
        <w:t>月</w:t>
      </w:r>
      <w:r w:rsidRPr="006C4D9A">
        <w:rPr>
          <w:rFonts w:hint="eastAsia"/>
        </w:rPr>
        <w:t>17日、24日、30日；記載金額分別為48萬、38萬、40萬元</w:t>
      </w:r>
      <w:proofErr w:type="gramStart"/>
      <w:r>
        <w:rPr>
          <w:rFonts w:hint="eastAsia"/>
        </w:rPr>
        <w:t>）</w:t>
      </w:r>
      <w:proofErr w:type="gramEnd"/>
      <w:r>
        <w:rPr>
          <w:rFonts w:hint="eastAsia"/>
        </w:rPr>
        <w:t>。同年10月21日</w:t>
      </w:r>
      <w:proofErr w:type="gramStart"/>
      <w:r w:rsidRPr="006C4D9A">
        <w:rPr>
          <w:rFonts w:hint="eastAsia"/>
        </w:rPr>
        <w:t>蘆竹</w:t>
      </w:r>
      <w:r>
        <w:rPr>
          <w:rFonts w:hint="eastAsia"/>
        </w:rPr>
        <w:t>警</w:t>
      </w:r>
      <w:r w:rsidRPr="006C4D9A">
        <w:rPr>
          <w:rFonts w:hint="eastAsia"/>
        </w:rPr>
        <w:t>分局</w:t>
      </w:r>
      <w:proofErr w:type="gramEnd"/>
      <w:r w:rsidRPr="006C4D9A">
        <w:rPr>
          <w:rFonts w:hint="eastAsia"/>
        </w:rPr>
        <w:t>員警在102年9月17日</w:t>
      </w:r>
      <w:r>
        <w:rPr>
          <w:rFonts w:hint="eastAsia"/>
        </w:rPr>
        <w:t>之偽造公文書</w:t>
      </w:r>
      <w:r w:rsidRPr="006C4D9A">
        <w:rPr>
          <w:rFonts w:hint="eastAsia"/>
        </w:rPr>
        <w:t>「台北地檢署監管科收據」背面採獲指紋一枚，送請刑事警察局比對。</w:t>
      </w:r>
      <w:r>
        <w:rPr>
          <w:rFonts w:hint="eastAsia"/>
        </w:rPr>
        <w:t>然因同年11月12日</w:t>
      </w:r>
      <w:r w:rsidRPr="00B8076B">
        <w:rPr>
          <w:rFonts w:hint="eastAsia"/>
        </w:rPr>
        <w:t>刑事警察局</w:t>
      </w:r>
      <w:r>
        <w:rPr>
          <w:rFonts w:hint="eastAsia"/>
        </w:rPr>
        <w:t>始</w:t>
      </w:r>
      <w:r w:rsidRPr="00B8076B">
        <w:rPr>
          <w:rFonts w:hint="eastAsia"/>
        </w:rPr>
        <w:t>就大溪警分局檢送之</w:t>
      </w:r>
      <w:r w:rsidR="007E03FE">
        <w:rPr>
          <w:rFonts w:hint="eastAsia"/>
        </w:rPr>
        <w:t>A少年</w:t>
      </w:r>
      <w:proofErr w:type="gramStart"/>
      <w:r w:rsidRPr="00B8076B">
        <w:rPr>
          <w:rFonts w:hint="eastAsia"/>
        </w:rPr>
        <w:t>指紋卡建檔</w:t>
      </w:r>
      <w:proofErr w:type="gramEnd"/>
      <w:r w:rsidRPr="00B8076B">
        <w:rPr>
          <w:rFonts w:hint="eastAsia"/>
        </w:rPr>
        <w:t>完成</w:t>
      </w:r>
      <w:r>
        <w:rPr>
          <w:rFonts w:hint="eastAsia"/>
        </w:rPr>
        <w:t>，故同年10月30日刑事局進行比對時，查無與檔存指紋相符。</w:t>
      </w:r>
      <w:r w:rsidR="00707CD2">
        <w:rPr>
          <w:rFonts w:hint="eastAsia"/>
        </w:rPr>
        <w:t>而</w:t>
      </w:r>
      <w:r w:rsidR="00D311C5">
        <w:rPr>
          <w:rFonts w:hint="eastAsia"/>
        </w:rPr>
        <w:t>桃園市警局</w:t>
      </w:r>
      <w:r w:rsidR="00707CD2" w:rsidRPr="00A41A9B">
        <w:rPr>
          <w:rFonts w:hint="eastAsia"/>
        </w:rPr>
        <w:t>蘆竹警分局</w:t>
      </w:r>
      <w:r w:rsidR="00707CD2">
        <w:rPr>
          <w:rFonts w:hint="eastAsia"/>
        </w:rPr>
        <w:t>102年偵辦</w:t>
      </w:r>
      <w:r w:rsidR="00FF3F3B">
        <w:rPr>
          <w:rFonts w:hint="eastAsia"/>
        </w:rPr>
        <w:t>溫○○</w:t>
      </w:r>
      <w:r w:rsidR="00707CD2">
        <w:rPr>
          <w:rFonts w:hint="eastAsia"/>
        </w:rPr>
        <w:t>等詐騙集團</w:t>
      </w:r>
      <w:r w:rsidR="00707CD2" w:rsidRPr="00A41A9B">
        <w:rPr>
          <w:rFonts w:hint="eastAsia"/>
        </w:rPr>
        <w:t>之移送書內，並無</w:t>
      </w:r>
      <w:r w:rsidR="0087410D">
        <w:rPr>
          <w:rFonts w:hint="eastAsia"/>
        </w:rPr>
        <w:t>A</w:t>
      </w:r>
      <w:r w:rsidR="00707CD2" w:rsidRPr="00A41A9B">
        <w:rPr>
          <w:rFonts w:hint="eastAsia"/>
        </w:rPr>
        <w:t>少年共同詐騙被害人</w:t>
      </w:r>
      <w:r w:rsidR="00FF3F3B">
        <w:rPr>
          <w:rFonts w:hint="eastAsia"/>
        </w:rPr>
        <w:t>唐○○</w:t>
      </w:r>
      <w:r w:rsidR="00707CD2" w:rsidRPr="00A41A9B">
        <w:rPr>
          <w:rFonts w:hint="eastAsia"/>
        </w:rPr>
        <w:t>之記載，核與承辦員警所述相符</w:t>
      </w:r>
      <w:r w:rsidR="00707CD2">
        <w:rPr>
          <w:rFonts w:hint="eastAsia"/>
        </w:rPr>
        <w:t>。</w:t>
      </w:r>
      <w:proofErr w:type="gramStart"/>
      <w:r>
        <w:rPr>
          <w:rFonts w:hint="eastAsia"/>
        </w:rPr>
        <w:t>嗣</w:t>
      </w:r>
      <w:proofErr w:type="gramEnd"/>
      <w:r>
        <w:rPr>
          <w:rFonts w:hint="eastAsia"/>
        </w:rPr>
        <w:t>104年間，</w:t>
      </w:r>
      <w:proofErr w:type="gramStart"/>
      <w:r w:rsidRPr="00B8076B">
        <w:rPr>
          <w:rFonts w:hint="eastAsia"/>
        </w:rPr>
        <w:t>蘆竹</w:t>
      </w:r>
      <w:r>
        <w:rPr>
          <w:rFonts w:hint="eastAsia"/>
        </w:rPr>
        <w:t>警</w:t>
      </w:r>
      <w:r w:rsidRPr="00B8076B">
        <w:rPr>
          <w:rFonts w:hint="eastAsia"/>
        </w:rPr>
        <w:t>分局</w:t>
      </w:r>
      <w:proofErr w:type="gramEnd"/>
      <w:r w:rsidRPr="00B8076B">
        <w:rPr>
          <w:rFonts w:hint="eastAsia"/>
        </w:rPr>
        <w:t>將未破案之現場指紋資料庫送刑事警察局與新建檔之少年犯指紋資料進行比對</w:t>
      </w:r>
      <w:r>
        <w:rPr>
          <w:rFonts w:hint="eastAsia"/>
        </w:rPr>
        <w:t>，104年7月27日刑事警察局比對發現，該枚指</w:t>
      </w:r>
      <w:r w:rsidR="004974BF">
        <w:rPr>
          <w:rFonts w:hint="eastAsia"/>
        </w:rPr>
        <w:t>紋</w:t>
      </w:r>
      <w:r>
        <w:rPr>
          <w:rFonts w:hint="eastAsia"/>
        </w:rPr>
        <w:t>與檔存</w:t>
      </w:r>
      <w:r w:rsidR="007E03FE">
        <w:rPr>
          <w:rFonts w:hint="eastAsia"/>
        </w:rPr>
        <w:t>A少年</w:t>
      </w:r>
      <w:proofErr w:type="gramStart"/>
      <w:r>
        <w:rPr>
          <w:rFonts w:hint="eastAsia"/>
        </w:rPr>
        <w:t>指紋卡右食指</w:t>
      </w:r>
      <w:proofErr w:type="gramEnd"/>
      <w:r>
        <w:rPr>
          <w:rFonts w:hint="eastAsia"/>
        </w:rPr>
        <w:t>指紋相符。案</w:t>
      </w:r>
      <w:proofErr w:type="gramStart"/>
      <w:r>
        <w:rPr>
          <w:rFonts w:hint="eastAsia"/>
        </w:rPr>
        <w:t>經蘆竹警</w:t>
      </w:r>
      <w:proofErr w:type="gramEnd"/>
      <w:r>
        <w:rPr>
          <w:rFonts w:hint="eastAsia"/>
        </w:rPr>
        <w:t>分局偵辦後，於104年8月25日以</w:t>
      </w:r>
      <w:r w:rsidR="007E03FE">
        <w:rPr>
          <w:rFonts w:hint="eastAsia"/>
        </w:rPr>
        <w:t>A少年</w:t>
      </w:r>
      <w:r w:rsidRPr="00B8076B">
        <w:rPr>
          <w:rFonts w:hint="eastAsia"/>
        </w:rPr>
        <w:t>於102</w:t>
      </w:r>
      <w:r>
        <w:rPr>
          <w:rFonts w:hint="eastAsia"/>
        </w:rPr>
        <w:t>年</w:t>
      </w:r>
      <w:r w:rsidRPr="00B8076B">
        <w:rPr>
          <w:rFonts w:hint="eastAsia"/>
        </w:rPr>
        <w:t>9</w:t>
      </w:r>
      <w:r>
        <w:rPr>
          <w:rFonts w:hint="eastAsia"/>
        </w:rPr>
        <w:t>月</w:t>
      </w:r>
      <w:r w:rsidRPr="00B8076B">
        <w:rPr>
          <w:rFonts w:hint="eastAsia"/>
        </w:rPr>
        <w:t>17日涉嫌詐欺被害人</w:t>
      </w:r>
      <w:r w:rsidR="00FF3F3B">
        <w:rPr>
          <w:rFonts w:hint="eastAsia"/>
        </w:rPr>
        <w:t>唐○○</w:t>
      </w:r>
      <w:r w:rsidRPr="00B8076B">
        <w:rPr>
          <w:rFonts w:hint="eastAsia"/>
        </w:rPr>
        <w:t>，移送桃園地院少年法庭</w:t>
      </w:r>
      <w:r>
        <w:rPr>
          <w:rFonts w:hint="eastAsia"/>
        </w:rPr>
        <w:t>，此有</w:t>
      </w:r>
      <w:r w:rsidR="00D311C5">
        <w:rPr>
          <w:rFonts w:hint="eastAsia"/>
        </w:rPr>
        <w:t>桃園市警局</w:t>
      </w:r>
      <w:r w:rsidRPr="00D21CBC">
        <w:rPr>
          <w:rFonts w:hint="eastAsia"/>
        </w:rPr>
        <w:t>102年10月9日、104年7月27日桃警</w:t>
      </w:r>
      <w:proofErr w:type="gramStart"/>
      <w:r w:rsidRPr="00D21CBC">
        <w:rPr>
          <w:rFonts w:hint="eastAsia"/>
        </w:rPr>
        <w:t>鑑</w:t>
      </w:r>
      <w:proofErr w:type="gramEnd"/>
      <w:r w:rsidRPr="00D21CBC">
        <w:rPr>
          <w:rFonts w:hint="eastAsia"/>
        </w:rPr>
        <w:t>字第1021092008號刑事案件</w:t>
      </w:r>
      <w:proofErr w:type="gramStart"/>
      <w:r w:rsidRPr="00D21CBC">
        <w:rPr>
          <w:rFonts w:hint="eastAsia"/>
        </w:rPr>
        <w:t>採</w:t>
      </w:r>
      <w:proofErr w:type="gramEnd"/>
      <w:r w:rsidRPr="00D21CBC">
        <w:rPr>
          <w:rFonts w:hint="eastAsia"/>
        </w:rPr>
        <w:t>驗紀錄表、蘆竹分局勘察</w:t>
      </w:r>
      <w:proofErr w:type="gramStart"/>
      <w:r w:rsidRPr="00D21CBC">
        <w:rPr>
          <w:rFonts w:hint="eastAsia"/>
        </w:rPr>
        <w:t>採</w:t>
      </w:r>
      <w:proofErr w:type="gramEnd"/>
      <w:r w:rsidRPr="00D21CBC">
        <w:rPr>
          <w:rFonts w:hint="eastAsia"/>
        </w:rPr>
        <w:t>證報告及</w:t>
      </w:r>
      <w:proofErr w:type="gramStart"/>
      <w:r w:rsidRPr="00D21CBC">
        <w:rPr>
          <w:rFonts w:hint="eastAsia"/>
        </w:rPr>
        <w:t>採</w:t>
      </w:r>
      <w:proofErr w:type="gramEnd"/>
      <w:r w:rsidRPr="00D21CBC">
        <w:rPr>
          <w:rFonts w:hint="eastAsia"/>
        </w:rPr>
        <w:t>證照片（10張）、刑事警</w:t>
      </w:r>
      <w:r w:rsidRPr="00D21CBC">
        <w:rPr>
          <w:rFonts w:hint="eastAsia"/>
        </w:rPr>
        <w:lastRenderedPageBreak/>
        <w:t>察局104年7月27日</w:t>
      </w:r>
      <w:proofErr w:type="gramStart"/>
      <w:r w:rsidRPr="00D21CBC">
        <w:rPr>
          <w:rFonts w:hint="eastAsia"/>
        </w:rPr>
        <w:t>刑紋字</w:t>
      </w:r>
      <w:proofErr w:type="gramEnd"/>
      <w:r w:rsidRPr="00D21CBC">
        <w:rPr>
          <w:rFonts w:hint="eastAsia"/>
        </w:rPr>
        <w:t>第1040071139號指紋鑑定書</w:t>
      </w:r>
      <w:r>
        <w:rPr>
          <w:rFonts w:hint="eastAsia"/>
        </w:rPr>
        <w:t>，</w:t>
      </w:r>
      <w:r w:rsidRPr="00D21CBC">
        <w:rPr>
          <w:rFonts w:hint="eastAsia"/>
        </w:rPr>
        <w:t>及送</w:t>
      </w:r>
      <w:proofErr w:type="gramStart"/>
      <w:r w:rsidRPr="00D21CBC">
        <w:rPr>
          <w:rFonts w:hint="eastAsia"/>
        </w:rPr>
        <w:t>鑑</w:t>
      </w:r>
      <w:proofErr w:type="gramEnd"/>
      <w:r w:rsidRPr="00D21CBC">
        <w:rPr>
          <w:rFonts w:hint="eastAsia"/>
        </w:rPr>
        <w:t>指紋交接管制流程之相關</w:t>
      </w:r>
      <w:r w:rsidR="004974BF">
        <w:rPr>
          <w:rFonts w:hint="eastAsia"/>
        </w:rPr>
        <w:t>紀</w:t>
      </w:r>
      <w:r w:rsidRPr="00D21CBC">
        <w:rPr>
          <w:rFonts w:hint="eastAsia"/>
        </w:rPr>
        <w:t>錄在卷可</w:t>
      </w:r>
      <w:proofErr w:type="gramStart"/>
      <w:r w:rsidRPr="00D21CBC">
        <w:rPr>
          <w:rFonts w:hint="eastAsia"/>
        </w:rPr>
        <w:t>稽</w:t>
      </w:r>
      <w:proofErr w:type="gramEnd"/>
      <w:r>
        <w:rPr>
          <w:rFonts w:hint="eastAsia"/>
        </w:rPr>
        <w:t>。至於送</w:t>
      </w:r>
      <w:proofErr w:type="gramStart"/>
      <w:r>
        <w:rPr>
          <w:rFonts w:hint="eastAsia"/>
        </w:rPr>
        <w:t>鑑</w:t>
      </w:r>
      <w:proofErr w:type="gramEnd"/>
      <w:r>
        <w:rPr>
          <w:rFonts w:hint="eastAsia"/>
        </w:rPr>
        <w:t>案件編號及現場勘察紀錄表上被害人欄是否由</w:t>
      </w:r>
      <w:r w:rsidR="00FF3F3B">
        <w:rPr>
          <w:rFonts w:hint="eastAsia"/>
        </w:rPr>
        <w:t>唐○○</w:t>
      </w:r>
      <w:r>
        <w:rPr>
          <w:rFonts w:hint="eastAsia"/>
        </w:rPr>
        <w:t>女士</w:t>
      </w:r>
      <w:proofErr w:type="gramStart"/>
      <w:r>
        <w:rPr>
          <w:rFonts w:hint="eastAsia"/>
        </w:rPr>
        <w:t>親簽等情</w:t>
      </w:r>
      <w:proofErr w:type="gramEnd"/>
      <w:r>
        <w:rPr>
          <w:rFonts w:hint="eastAsia"/>
        </w:rPr>
        <w:t>，經刑事警察局查復表示，本案</w:t>
      </w:r>
      <w:r w:rsidR="00D311C5">
        <w:rPr>
          <w:rFonts w:hint="eastAsia"/>
        </w:rPr>
        <w:t>桃園市警局</w:t>
      </w:r>
      <w:r w:rsidRPr="00D21CBC">
        <w:rPr>
          <w:rFonts w:hint="eastAsia"/>
        </w:rPr>
        <w:t>前後送</w:t>
      </w:r>
      <w:proofErr w:type="gramStart"/>
      <w:r w:rsidRPr="00D21CBC">
        <w:rPr>
          <w:rFonts w:hint="eastAsia"/>
        </w:rPr>
        <w:t>鑑</w:t>
      </w:r>
      <w:proofErr w:type="gramEnd"/>
      <w:r w:rsidRPr="00D21CBC">
        <w:rPr>
          <w:rFonts w:hint="eastAsia"/>
        </w:rPr>
        <w:t>之指紋</w:t>
      </w:r>
      <w:r w:rsidR="00707CD2">
        <w:rPr>
          <w:rFonts w:hint="eastAsia"/>
        </w:rPr>
        <w:t>2</w:t>
      </w:r>
      <w:r w:rsidRPr="00D21CBC">
        <w:rPr>
          <w:rFonts w:hint="eastAsia"/>
        </w:rPr>
        <w:t>次，雖案由相同，</w:t>
      </w:r>
      <w:r>
        <w:rPr>
          <w:rFonts w:hint="eastAsia"/>
        </w:rPr>
        <w:t>但</w:t>
      </w:r>
      <w:r w:rsidRPr="00D21CBC">
        <w:rPr>
          <w:rFonts w:hint="eastAsia"/>
        </w:rPr>
        <w:t>為區別為不同次送</w:t>
      </w:r>
      <w:proofErr w:type="gramStart"/>
      <w:r w:rsidRPr="00D21CBC">
        <w:rPr>
          <w:rFonts w:hint="eastAsia"/>
        </w:rPr>
        <w:t>鑑</w:t>
      </w:r>
      <w:proofErr w:type="gramEnd"/>
      <w:r w:rsidRPr="00D21CBC">
        <w:rPr>
          <w:rFonts w:hint="eastAsia"/>
        </w:rPr>
        <w:t>，</w:t>
      </w:r>
      <w:r>
        <w:rPr>
          <w:rFonts w:hint="eastAsia"/>
        </w:rPr>
        <w:t>故</w:t>
      </w:r>
      <w:r w:rsidRPr="00D21CBC">
        <w:rPr>
          <w:rFonts w:hint="eastAsia"/>
        </w:rPr>
        <w:t>該署刑事警察局公文管理系統仍會對第2次送</w:t>
      </w:r>
      <w:proofErr w:type="gramStart"/>
      <w:r w:rsidRPr="00D21CBC">
        <w:rPr>
          <w:rFonts w:hint="eastAsia"/>
        </w:rPr>
        <w:t>鑑</w:t>
      </w:r>
      <w:proofErr w:type="gramEnd"/>
      <w:r w:rsidRPr="00D21CBC">
        <w:rPr>
          <w:rFonts w:hint="eastAsia"/>
        </w:rPr>
        <w:t>公文另取案件編號以便管理，原則上會於第2次鑑定書上註明相關前案文號供備查</w:t>
      </w:r>
      <w:r>
        <w:rPr>
          <w:rFonts w:hint="eastAsia"/>
        </w:rPr>
        <w:t>。至於</w:t>
      </w:r>
      <w:r w:rsidRPr="00D21CBC">
        <w:rPr>
          <w:rFonts w:hint="eastAsia"/>
        </w:rPr>
        <w:t>被害人</w:t>
      </w:r>
      <w:r w:rsidR="00FF3F3B">
        <w:rPr>
          <w:rFonts w:hint="eastAsia"/>
        </w:rPr>
        <w:t>唐○○</w:t>
      </w:r>
      <w:r w:rsidRPr="00D21CBC">
        <w:rPr>
          <w:rFonts w:hint="eastAsia"/>
        </w:rPr>
        <w:t>所提供之「台北地檢署監管科收據」，</w:t>
      </w:r>
      <w:proofErr w:type="gramStart"/>
      <w:r w:rsidRPr="00D21CBC">
        <w:rPr>
          <w:rFonts w:hint="eastAsia"/>
        </w:rPr>
        <w:t>係渠報案</w:t>
      </w:r>
      <w:proofErr w:type="gramEnd"/>
      <w:r w:rsidRPr="00D21CBC">
        <w:rPr>
          <w:rFonts w:hint="eastAsia"/>
        </w:rPr>
        <w:t>時親自交付，並簽具勘察</w:t>
      </w:r>
      <w:proofErr w:type="gramStart"/>
      <w:r w:rsidRPr="00D21CBC">
        <w:rPr>
          <w:rFonts w:hint="eastAsia"/>
        </w:rPr>
        <w:t>採</w:t>
      </w:r>
      <w:proofErr w:type="gramEnd"/>
      <w:r w:rsidRPr="00D21CBC">
        <w:rPr>
          <w:rFonts w:hint="eastAsia"/>
        </w:rPr>
        <w:t>證同意書，同意員警進行</w:t>
      </w:r>
      <w:proofErr w:type="gramStart"/>
      <w:r w:rsidRPr="00D21CBC">
        <w:rPr>
          <w:rFonts w:hint="eastAsia"/>
        </w:rPr>
        <w:t>採</w:t>
      </w:r>
      <w:proofErr w:type="gramEnd"/>
      <w:r w:rsidRPr="00D21CBC">
        <w:rPr>
          <w:rFonts w:hint="eastAsia"/>
        </w:rPr>
        <w:t>證，尚查無員警</w:t>
      </w:r>
      <w:proofErr w:type="gramStart"/>
      <w:r w:rsidRPr="00D21CBC">
        <w:rPr>
          <w:rFonts w:hint="eastAsia"/>
        </w:rPr>
        <w:t>偽簽其簽名</w:t>
      </w:r>
      <w:proofErr w:type="gramEnd"/>
      <w:r w:rsidRPr="00D21CBC">
        <w:rPr>
          <w:rFonts w:hint="eastAsia"/>
        </w:rPr>
        <w:t>之事實。</w:t>
      </w:r>
      <w:r>
        <w:rPr>
          <w:rFonts w:hint="eastAsia"/>
        </w:rPr>
        <w:t>另</w:t>
      </w:r>
      <w:r w:rsidRPr="00D21CBC">
        <w:rPr>
          <w:rFonts w:hint="eastAsia"/>
        </w:rPr>
        <w:t>桃園縣政府警察局刑案現場勘察紀錄表係屬內部陳核文書，無偽簽之必要</w:t>
      </w:r>
      <w:r>
        <w:rPr>
          <w:rFonts w:hint="eastAsia"/>
        </w:rPr>
        <w:t>等語，又</w:t>
      </w:r>
      <w:proofErr w:type="gramStart"/>
      <w:r>
        <w:rPr>
          <w:rFonts w:hint="eastAsia"/>
        </w:rPr>
        <w:t>詢</w:t>
      </w:r>
      <w:proofErr w:type="gramEnd"/>
      <w:r>
        <w:rPr>
          <w:rFonts w:hint="eastAsia"/>
        </w:rPr>
        <w:t>據承辦員警</w:t>
      </w:r>
      <w:r w:rsidRPr="00AD268C">
        <w:rPr>
          <w:rFonts w:hint="eastAsia"/>
        </w:rPr>
        <w:t>邱威盛警務員</w:t>
      </w:r>
      <w:r>
        <w:rPr>
          <w:rFonts w:hint="eastAsia"/>
        </w:rPr>
        <w:t>及</w:t>
      </w:r>
      <w:r w:rsidRPr="00AD268C">
        <w:rPr>
          <w:rFonts w:hint="eastAsia"/>
        </w:rPr>
        <w:t>洪建宏小隊長</w:t>
      </w:r>
      <w:r>
        <w:rPr>
          <w:rFonts w:hint="eastAsia"/>
        </w:rPr>
        <w:t>表示，警方於104年移送</w:t>
      </w:r>
      <w:r w:rsidR="007E03FE">
        <w:rPr>
          <w:rFonts w:hint="eastAsia"/>
        </w:rPr>
        <w:t>A少年</w:t>
      </w:r>
      <w:r>
        <w:rPr>
          <w:rFonts w:hint="eastAsia"/>
        </w:rPr>
        <w:t>前，查詢</w:t>
      </w:r>
      <w:r w:rsidRPr="00AD268C">
        <w:rPr>
          <w:rFonts w:hint="eastAsia"/>
        </w:rPr>
        <w:t>102年9月17</w:t>
      </w:r>
      <w:r>
        <w:rPr>
          <w:rFonts w:hint="eastAsia"/>
        </w:rPr>
        <w:t>日</w:t>
      </w:r>
      <w:r w:rsidRPr="00AD268C">
        <w:rPr>
          <w:rFonts w:hint="eastAsia"/>
        </w:rPr>
        <w:t>、24</w:t>
      </w:r>
      <w:r>
        <w:rPr>
          <w:rFonts w:hint="eastAsia"/>
        </w:rPr>
        <w:t>日</w:t>
      </w:r>
      <w:r w:rsidRPr="00AD268C">
        <w:rPr>
          <w:rFonts w:hint="eastAsia"/>
        </w:rPr>
        <w:t>、30日</w:t>
      </w:r>
      <w:r>
        <w:rPr>
          <w:rFonts w:hint="eastAsia"/>
        </w:rPr>
        <w:t>、</w:t>
      </w:r>
      <w:r w:rsidRPr="00AD268C">
        <w:rPr>
          <w:rFonts w:hint="eastAsia"/>
        </w:rPr>
        <w:t>少年移送書及被害人資料</w:t>
      </w:r>
      <w:r>
        <w:rPr>
          <w:rFonts w:hint="eastAsia"/>
        </w:rPr>
        <w:t>均顯示尚未移送等語，足見警方並無</w:t>
      </w:r>
      <w:r w:rsidRPr="00D21CBC">
        <w:rPr>
          <w:rFonts w:hint="eastAsia"/>
        </w:rPr>
        <w:t>隱匿102</w:t>
      </w:r>
      <w:proofErr w:type="gramStart"/>
      <w:r w:rsidRPr="00D21CBC">
        <w:rPr>
          <w:rFonts w:hint="eastAsia"/>
        </w:rPr>
        <w:t>年初始案號</w:t>
      </w:r>
      <w:proofErr w:type="gramEnd"/>
      <w:r w:rsidRPr="00D21CBC">
        <w:rPr>
          <w:rFonts w:hint="eastAsia"/>
        </w:rPr>
        <w:t>，另立新案件編號呈報，將舊案重新移送以賺取績效核分</w:t>
      </w:r>
      <w:r>
        <w:rPr>
          <w:rFonts w:hint="eastAsia"/>
        </w:rPr>
        <w:t>等情事等語，核與卷內事證相符。故陳訴人指稱各節，容有誤會。</w:t>
      </w:r>
    </w:p>
    <w:p w:rsidR="003D0DA7" w:rsidRDefault="0007495F" w:rsidP="003D0DA7">
      <w:pPr>
        <w:widowControl/>
        <w:overflowPunct/>
        <w:autoSpaceDE/>
        <w:autoSpaceDN/>
      </w:pPr>
      <w:bookmarkStart w:id="64" w:name="_Toc524895648"/>
      <w:bookmarkStart w:id="65" w:name="_Toc524896194"/>
      <w:bookmarkStart w:id="66" w:name="_Toc524896224"/>
      <w:bookmarkStart w:id="67" w:name="_Toc524902734"/>
      <w:bookmarkStart w:id="68" w:name="_Toc525066148"/>
      <w:bookmarkStart w:id="69" w:name="_Toc525070839"/>
      <w:bookmarkStart w:id="70" w:name="_Toc525938379"/>
      <w:bookmarkStart w:id="71" w:name="_Toc525939227"/>
      <w:bookmarkStart w:id="72" w:name="_Toc525939732"/>
      <w:bookmarkStart w:id="73" w:name="_Toc529218272"/>
      <w:r>
        <w:br w:type="page"/>
      </w:r>
    </w:p>
    <w:p w:rsidR="00F775A5" w:rsidRDefault="00F775A5" w:rsidP="0007495F">
      <w:pPr>
        <w:pStyle w:val="1"/>
      </w:pPr>
      <w:bookmarkStart w:id="74" w:name="_Toc529222689"/>
      <w:bookmarkStart w:id="75" w:name="_Toc529223111"/>
      <w:bookmarkStart w:id="76" w:name="_Toc529223862"/>
      <w:bookmarkStart w:id="77" w:name="_Toc529228265"/>
      <w:bookmarkStart w:id="78" w:name="_Toc2400395"/>
      <w:bookmarkStart w:id="79" w:name="_Toc4316189"/>
      <w:bookmarkStart w:id="80" w:name="_Toc4473330"/>
      <w:bookmarkStart w:id="81" w:name="_Toc69556897"/>
      <w:bookmarkStart w:id="82" w:name="_Toc69556946"/>
      <w:bookmarkStart w:id="83" w:name="_Toc69609820"/>
      <w:bookmarkStart w:id="84" w:name="_Toc70241816"/>
      <w:bookmarkStart w:id="85" w:name="_Toc70242205"/>
      <w:bookmarkStart w:id="86" w:name="_Toc535915340"/>
      <w:r>
        <w:rPr>
          <w:rFonts w:hint="eastAsia"/>
        </w:rPr>
        <w:lastRenderedPageBreak/>
        <w:t>處理辦法：</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F775A5" w:rsidRDefault="00F775A5" w:rsidP="00F775A5">
      <w:pPr>
        <w:pStyle w:val="2"/>
        <w:numPr>
          <w:ilvl w:val="1"/>
          <w:numId w:val="1"/>
        </w:numPr>
        <w:kinsoku w:val="0"/>
        <w:overflowPunct/>
        <w:autoSpaceDE/>
        <w:autoSpaceDN/>
        <w:ind w:left="1020" w:hanging="680"/>
      </w:pPr>
      <w:bookmarkStart w:id="87" w:name="_Toc524895649"/>
      <w:bookmarkStart w:id="88" w:name="_Toc524896195"/>
      <w:bookmarkStart w:id="89" w:name="_Toc524896225"/>
      <w:bookmarkStart w:id="90" w:name="_Toc2400396"/>
      <w:bookmarkStart w:id="91" w:name="_Toc4316190"/>
      <w:bookmarkStart w:id="92" w:name="_Toc4473331"/>
      <w:bookmarkStart w:id="93" w:name="_Toc69556898"/>
      <w:bookmarkStart w:id="94" w:name="_Toc69556947"/>
      <w:bookmarkStart w:id="95" w:name="_Toc69609821"/>
      <w:bookmarkStart w:id="96" w:name="_Toc70241817"/>
      <w:bookmarkStart w:id="97" w:name="_Toc70242206"/>
      <w:bookmarkStart w:id="98" w:name="_Toc532478437"/>
      <w:bookmarkStart w:id="99" w:name="_Toc535574723"/>
      <w:bookmarkStart w:id="100" w:name="_Toc535915341"/>
      <w:bookmarkStart w:id="101" w:name="_Toc524902735"/>
      <w:bookmarkStart w:id="102" w:name="_Toc525066149"/>
      <w:bookmarkStart w:id="103" w:name="_Toc525070840"/>
      <w:bookmarkStart w:id="104" w:name="_Toc525938380"/>
      <w:bookmarkStart w:id="105" w:name="_Toc525939228"/>
      <w:bookmarkStart w:id="106" w:name="_Toc525939733"/>
      <w:bookmarkStart w:id="107" w:name="_Toc529218273"/>
      <w:bookmarkStart w:id="108" w:name="_Toc529222690"/>
      <w:bookmarkStart w:id="109" w:name="_Toc529223112"/>
      <w:bookmarkStart w:id="110" w:name="_Toc529223863"/>
      <w:bookmarkStart w:id="111" w:name="_Toc529228266"/>
      <w:bookmarkEnd w:id="87"/>
      <w:bookmarkEnd w:id="88"/>
      <w:bookmarkEnd w:id="89"/>
      <w:r>
        <w:rPr>
          <w:rFonts w:hint="eastAsia"/>
        </w:rPr>
        <w:t>調查意見，函請</w:t>
      </w:r>
      <w:r w:rsidR="00B962D1">
        <w:rPr>
          <w:rFonts w:hint="eastAsia"/>
        </w:rPr>
        <w:t>司法院</w:t>
      </w:r>
      <w:r>
        <w:rPr>
          <w:rFonts w:hint="eastAsia"/>
        </w:rPr>
        <w:t>確實檢討改進</w:t>
      </w:r>
      <w:proofErr w:type="gramStart"/>
      <w:r>
        <w:rPr>
          <w:rFonts w:hint="eastAsia"/>
        </w:rPr>
        <w:t>見復</w:t>
      </w:r>
      <w:bookmarkEnd w:id="90"/>
      <w:bookmarkEnd w:id="91"/>
      <w:bookmarkEnd w:id="92"/>
      <w:bookmarkEnd w:id="93"/>
      <w:bookmarkEnd w:id="94"/>
      <w:bookmarkEnd w:id="95"/>
      <w:bookmarkEnd w:id="96"/>
      <w:bookmarkEnd w:id="97"/>
      <w:r w:rsidR="00EA7294" w:rsidRPr="00EA7294">
        <w:rPr>
          <w:rFonts w:hint="eastAsia"/>
        </w:rPr>
        <w:t>。</w:t>
      </w:r>
      <w:bookmarkEnd w:id="98"/>
      <w:bookmarkEnd w:id="99"/>
      <w:bookmarkEnd w:id="100"/>
      <w:proofErr w:type="gramEnd"/>
    </w:p>
    <w:p w:rsidR="00EA7294" w:rsidRDefault="00EA7294" w:rsidP="00F775A5">
      <w:pPr>
        <w:pStyle w:val="2"/>
        <w:numPr>
          <w:ilvl w:val="1"/>
          <w:numId w:val="1"/>
        </w:numPr>
        <w:kinsoku w:val="0"/>
        <w:overflowPunct/>
        <w:autoSpaceDE/>
        <w:autoSpaceDN/>
        <w:ind w:left="1020" w:hanging="680"/>
      </w:pPr>
      <w:bookmarkStart w:id="112" w:name="_Toc532478438"/>
      <w:bookmarkStart w:id="113" w:name="_Toc535574724"/>
      <w:bookmarkStart w:id="114" w:name="_Toc535915342"/>
      <w:r>
        <w:rPr>
          <w:rFonts w:hint="eastAsia"/>
        </w:rPr>
        <w:t>調查意見</w:t>
      </w:r>
      <w:proofErr w:type="gramStart"/>
      <w:r w:rsidR="009F7E5A">
        <w:rPr>
          <w:rFonts w:hint="eastAsia"/>
        </w:rPr>
        <w:t>一</w:t>
      </w:r>
      <w:proofErr w:type="gramEnd"/>
      <w:r w:rsidR="009F7E5A">
        <w:rPr>
          <w:rFonts w:hint="eastAsia"/>
        </w:rPr>
        <w:t>（二）、二</w:t>
      </w:r>
      <w:r>
        <w:rPr>
          <w:rFonts w:hint="eastAsia"/>
        </w:rPr>
        <w:t>，函請臺灣桃園地方法院確實檢討改進</w:t>
      </w:r>
      <w:proofErr w:type="gramStart"/>
      <w:r>
        <w:rPr>
          <w:rFonts w:hint="eastAsia"/>
        </w:rPr>
        <w:t>見復。</w:t>
      </w:r>
      <w:bookmarkEnd w:id="112"/>
      <w:bookmarkEnd w:id="113"/>
      <w:bookmarkEnd w:id="114"/>
      <w:proofErr w:type="gramEnd"/>
    </w:p>
    <w:p w:rsidR="00F775A5" w:rsidRDefault="0087410D" w:rsidP="00F775A5">
      <w:pPr>
        <w:pStyle w:val="2"/>
        <w:numPr>
          <w:ilvl w:val="1"/>
          <w:numId w:val="1"/>
        </w:numPr>
        <w:kinsoku w:val="0"/>
        <w:overflowPunct/>
        <w:autoSpaceDE/>
        <w:autoSpaceDN/>
        <w:ind w:left="1020" w:hanging="680"/>
      </w:pPr>
      <w:bookmarkStart w:id="115" w:name="_Toc70241819"/>
      <w:bookmarkStart w:id="116" w:name="_Toc70242208"/>
      <w:bookmarkStart w:id="117" w:name="_Toc532478439"/>
      <w:bookmarkStart w:id="118" w:name="_Toc535574725"/>
      <w:bookmarkStart w:id="119" w:name="_Toc535915343"/>
      <w:bookmarkStart w:id="120" w:name="_Toc69556899"/>
      <w:bookmarkStart w:id="121" w:name="_Toc69556948"/>
      <w:bookmarkStart w:id="122" w:name="_Toc69609822"/>
      <w:r>
        <w:rPr>
          <w:rFonts w:hint="eastAsia"/>
        </w:rPr>
        <w:t>調</w:t>
      </w:r>
      <w:r w:rsidR="00F775A5">
        <w:rPr>
          <w:rFonts w:hint="eastAsia"/>
        </w:rPr>
        <w:t>查意見，</w:t>
      </w:r>
      <w:proofErr w:type="gramStart"/>
      <w:r w:rsidR="00F775A5">
        <w:rPr>
          <w:rFonts w:hint="eastAsia"/>
        </w:rPr>
        <w:t>函</w:t>
      </w:r>
      <w:r w:rsidR="00BB7DB8">
        <w:rPr>
          <w:rFonts w:hint="eastAsia"/>
        </w:rPr>
        <w:t>復</w:t>
      </w:r>
      <w:r w:rsidR="00F775A5">
        <w:rPr>
          <w:rFonts w:hint="eastAsia"/>
        </w:rPr>
        <w:t>本案</w:t>
      </w:r>
      <w:proofErr w:type="gramEnd"/>
      <w:r w:rsidR="00F775A5">
        <w:rPr>
          <w:rFonts w:hint="eastAsia"/>
        </w:rPr>
        <w:t>陳訴人。</w:t>
      </w:r>
      <w:bookmarkEnd w:id="115"/>
      <w:bookmarkEnd w:id="116"/>
      <w:bookmarkEnd w:id="117"/>
      <w:bookmarkEnd w:id="118"/>
      <w:bookmarkEnd w:id="119"/>
    </w:p>
    <w:p w:rsidR="00B14229" w:rsidRDefault="0087410D" w:rsidP="003D0DA7">
      <w:pPr>
        <w:pStyle w:val="2"/>
        <w:numPr>
          <w:ilvl w:val="1"/>
          <w:numId w:val="1"/>
        </w:numPr>
        <w:kinsoku w:val="0"/>
        <w:overflowPunct/>
        <w:autoSpaceDE/>
        <w:autoSpaceDN/>
        <w:ind w:left="1020" w:hanging="680"/>
      </w:pPr>
      <w:bookmarkStart w:id="123" w:name="_Toc2400397"/>
      <w:bookmarkStart w:id="124" w:name="_Toc4316191"/>
      <w:bookmarkStart w:id="125" w:name="_Toc4473332"/>
      <w:bookmarkStart w:id="126" w:name="_Toc69556901"/>
      <w:bookmarkStart w:id="127" w:name="_Toc69556950"/>
      <w:bookmarkStart w:id="128" w:name="_Toc69609824"/>
      <w:bookmarkStart w:id="129" w:name="_Toc70241822"/>
      <w:bookmarkStart w:id="130" w:name="_Toc70242211"/>
      <w:bookmarkStart w:id="131" w:name="_Toc532478440"/>
      <w:bookmarkStart w:id="132" w:name="_Toc535574726"/>
      <w:bookmarkStart w:id="133" w:name="_Toc535915344"/>
      <w:bookmarkEnd w:id="101"/>
      <w:bookmarkEnd w:id="102"/>
      <w:bookmarkEnd w:id="103"/>
      <w:bookmarkEnd w:id="104"/>
      <w:bookmarkEnd w:id="105"/>
      <w:bookmarkEnd w:id="106"/>
      <w:bookmarkEnd w:id="107"/>
      <w:bookmarkEnd w:id="108"/>
      <w:bookmarkEnd w:id="109"/>
      <w:bookmarkEnd w:id="110"/>
      <w:bookmarkEnd w:id="111"/>
      <w:bookmarkEnd w:id="120"/>
      <w:bookmarkEnd w:id="121"/>
      <w:bookmarkEnd w:id="122"/>
      <w:r>
        <w:rPr>
          <w:rFonts w:hint="eastAsia"/>
        </w:rPr>
        <w:t>調查報告送請本院人權保障委員會參考。</w:t>
      </w:r>
      <w:bookmarkEnd w:id="123"/>
      <w:bookmarkEnd w:id="124"/>
      <w:bookmarkEnd w:id="125"/>
      <w:bookmarkEnd w:id="126"/>
      <w:bookmarkEnd w:id="127"/>
      <w:bookmarkEnd w:id="128"/>
      <w:bookmarkEnd w:id="129"/>
      <w:bookmarkEnd w:id="130"/>
      <w:bookmarkEnd w:id="131"/>
      <w:bookmarkEnd w:id="132"/>
      <w:bookmarkEnd w:id="133"/>
    </w:p>
    <w:p w:rsidR="00CC288B" w:rsidRDefault="00CC288B" w:rsidP="00CC288B">
      <w:pPr>
        <w:pStyle w:val="1"/>
        <w:numPr>
          <w:ilvl w:val="0"/>
          <w:numId w:val="0"/>
        </w:numPr>
        <w:ind w:left="2381" w:hanging="2381"/>
      </w:pPr>
    </w:p>
    <w:p w:rsidR="00CC288B" w:rsidRPr="00BB7DB8" w:rsidRDefault="00CC288B" w:rsidP="00CC288B">
      <w:pPr>
        <w:pStyle w:val="1"/>
        <w:numPr>
          <w:ilvl w:val="0"/>
          <w:numId w:val="0"/>
        </w:numPr>
        <w:ind w:left="2381" w:firstLine="1588"/>
        <w:jc w:val="center"/>
        <w:rPr>
          <w:rFonts w:hint="eastAsia"/>
        </w:rPr>
      </w:pPr>
      <w:r w:rsidRPr="00B91B3D">
        <w:rPr>
          <w:rFonts w:hAnsi="標楷體" w:hint="eastAsia"/>
          <w:color w:val="000000" w:themeColor="text1"/>
          <w:spacing w:val="12"/>
          <w:kern w:val="0"/>
          <w:sz w:val="40"/>
        </w:rPr>
        <w:t>調查委員：</w:t>
      </w:r>
      <w:r w:rsidRPr="00B91B3D">
        <w:rPr>
          <w:rFonts w:hAnsi="標楷體" w:hint="eastAsia"/>
          <w:sz w:val="40"/>
          <w:szCs w:val="40"/>
        </w:rPr>
        <w:t>林雅鋒</w:t>
      </w:r>
    </w:p>
    <w:sectPr w:rsidR="00CC288B" w:rsidRPr="00BB7DB8" w:rsidSect="001019F8">
      <w:footerReference w:type="default" r:id="rId9"/>
      <w:type w:val="oddPage"/>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11D" w:rsidRDefault="00E8011D">
      <w:r>
        <w:separator/>
      </w:r>
    </w:p>
  </w:endnote>
  <w:endnote w:type="continuationSeparator" w:id="0">
    <w:p w:rsidR="00E8011D" w:rsidRDefault="00E80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243" w:rsidRDefault="00660243">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5609DA">
      <w:rPr>
        <w:rStyle w:val="ad"/>
        <w:noProof/>
        <w:sz w:val="24"/>
      </w:rPr>
      <w:t>44</w:t>
    </w:r>
    <w:r>
      <w:rPr>
        <w:rStyle w:val="ad"/>
        <w:sz w:val="24"/>
      </w:rPr>
      <w:fldChar w:fldCharType="end"/>
    </w:r>
  </w:p>
  <w:p w:rsidR="00660243" w:rsidRDefault="0066024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11D" w:rsidRDefault="00E8011D">
      <w:r>
        <w:separator/>
      </w:r>
    </w:p>
  </w:footnote>
  <w:footnote w:type="continuationSeparator" w:id="0">
    <w:p w:rsidR="00E8011D" w:rsidRDefault="00E8011D">
      <w:r>
        <w:continuationSeparator/>
      </w:r>
    </w:p>
  </w:footnote>
  <w:footnote w:id="1">
    <w:p w:rsidR="00660243" w:rsidRPr="005A7896" w:rsidRDefault="00660243" w:rsidP="005A7896">
      <w:pPr>
        <w:pStyle w:val="afd"/>
      </w:pPr>
      <w:r>
        <w:rPr>
          <w:rStyle w:val="aff"/>
        </w:rPr>
        <w:footnoteRef/>
      </w:r>
      <w:r w:rsidRPr="005A7896">
        <w:rPr>
          <w:rFonts w:hint="eastAsia"/>
        </w:rPr>
        <w:t>少事法第24條規定：刑事訴訟法關於人證、鑑定、通譯、勘驗、證據保全、搜索及扣押之規定，於少年保護事件性質不相違反者</w:t>
      </w:r>
      <w:proofErr w:type="gramStart"/>
      <w:r w:rsidRPr="005A7896">
        <w:rPr>
          <w:rFonts w:hint="eastAsia"/>
        </w:rPr>
        <w:t>準</w:t>
      </w:r>
      <w:proofErr w:type="gramEnd"/>
      <w:r w:rsidRPr="005A7896">
        <w:rPr>
          <w:rFonts w:hint="eastAsia"/>
        </w:rPr>
        <w:t>用之。</w:t>
      </w:r>
    </w:p>
  </w:footnote>
  <w:footnote w:id="2">
    <w:p w:rsidR="00660243" w:rsidRPr="00B20E3A" w:rsidRDefault="00660243" w:rsidP="00F775A5">
      <w:pPr>
        <w:pStyle w:val="afd"/>
        <w:rPr>
          <w:sz w:val="24"/>
          <w:szCs w:val="24"/>
        </w:rPr>
      </w:pPr>
      <w:r>
        <w:rPr>
          <w:rStyle w:val="aff"/>
        </w:rPr>
        <w:footnoteRef/>
      </w:r>
      <w:r w:rsidRPr="00B20E3A">
        <w:rPr>
          <w:rFonts w:hint="eastAsia"/>
          <w:sz w:val="24"/>
          <w:szCs w:val="24"/>
        </w:rPr>
        <w:t>該集團之分工模式略</w:t>
      </w:r>
      <w:proofErr w:type="gramStart"/>
      <w:r w:rsidRPr="00B20E3A">
        <w:rPr>
          <w:rFonts w:hint="eastAsia"/>
          <w:sz w:val="24"/>
          <w:szCs w:val="24"/>
        </w:rPr>
        <w:t>以</w:t>
      </w:r>
      <w:proofErr w:type="gramEnd"/>
      <w:r w:rsidRPr="00B20E3A">
        <w:rPr>
          <w:rFonts w:hint="eastAsia"/>
          <w:sz w:val="24"/>
          <w:szCs w:val="24"/>
        </w:rPr>
        <w:t>：由集團機房成員（設於大陸地區）自稱醫院、刑警隊、地檢署等機關之公務員，撥打電話給被害人，偽稱其身分證遭冒用涉及刑事案件為由，要求被害人提領現金交付保管，再由擔任車手頭之集團成員溫進正（已成年）指派車手前往約定地點取款</w:t>
      </w:r>
      <w:proofErr w:type="gramStart"/>
      <w:r w:rsidRPr="00B20E3A">
        <w:rPr>
          <w:rFonts w:hint="eastAsia"/>
          <w:sz w:val="24"/>
          <w:szCs w:val="24"/>
        </w:rPr>
        <w:t>（</w:t>
      </w:r>
      <w:proofErr w:type="gramEnd"/>
      <w:r w:rsidRPr="00B20E3A">
        <w:rPr>
          <w:rFonts w:hint="eastAsia"/>
          <w:sz w:val="24"/>
          <w:szCs w:val="24"/>
        </w:rPr>
        <w:t>每次取款之車手有2名，其分工為：1人為「專員」假冒公務員出面取款；1人為「照水」負責把風及監視取款車手是否私吞贜款。同一集團中有數組車手負責取款，同一被害人可能由不同組合前往</w:t>
      </w:r>
      <w:proofErr w:type="gramStart"/>
      <w:r w:rsidRPr="00B20E3A">
        <w:rPr>
          <w:rFonts w:hint="eastAsia"/>
          <w:sz w:val="24"/>
          <w:szCs w:val="24"/>
        </w:rPr>
        <w:t>）</w:t>
      </w:r>
      <w:proofErr w:type="gramEnd"/>
      <w:r w:rsidRPr="00B20E3A">
        <w:rPr>
          <w:rFonts w:hint="eastAsia"/>
          <w:sz w:val="24"/>
          <w:szCs w:val="24"/>
        </w:rPr>
        <w:t>，取款過程由「</w:t>
      </w:r>
      <w:proofErr w:type="gramStart"/>
      <w:r w:rsidRPr="00B20E3A">
        <w:rPr>
          <w:rFonts w:hint="eastAsia"/>
          <w:sz w:val="24"/>
          <w:szCs w:val="24"/>
        </w:rPr>
        <w:t>掌機</w:t>
      </w:r>
      <w:proofErr w:type="gramEnd"/>
      <w:r w:rsidRPr="00B20E3A">
        <w:rPr>
          <w:rFonts w:hint="eastAsia"/>
          <w:sz w:val="24"/>
          <w:szCs w:val="24"/>
        </w:rPr>
        <w:t>」居中聯絡車手、把風人員及對岸機房。車手收取詐得之款項後，交由「</w:t>
      </w:r>
      <w:proofErr w:type="gramStart"/>
      <w:r w:rsidRPr="00B20E3A">
        <w:rPr>
          <w:rFonts w:hint="eastAsia"/>
          <w:sz w:val="24"/>
          <w:szCs w:val="24"/>
        </w:rPr>
        <w:t>收水</w:t>
      </w:r>
      <w:proofErr w:type="gramEnd"/>
      <w:r w:rsidRPr="00B20E3A">
        <w:rPr>
          <w:rFonts w:hint="eastAsia"/>
          <w:sz w:val="24"/>
          <w:szCs w:val="24"/>
        </w:rPr>
        <w:t>」，「</w:t>
      </w:r>
      <w:proofErr w:type="gramStart"/>
      <w:r w:rsidRPr="00B20E3A">
        <w:rPr>
          <w:rFonts w:hint="eastAsia"/>
          <w:sz w:val="24"/>
          <w:szCs w:val="24"/>
        </w:rPr>
        <w:t>收水</w:t>
      </w:r>
      <w:proofErr w:type="gramEnd"/>
      <w:r w:rsidRPr="00B20E3A">
        <w:rPr>
          <w:rFonts w:hint="eastAsia"/>
          <w:sz w:val="24"/>
          <w:szCs w:val="24"/>
        </w:rPr>
        <w:t>」再交由「</w:t>
      </w:r>
      <w:proofErr w:type="gramStart"/>
      <w:r w:rsidRPr="00B20E3A">
        <w:rPr>
          <w:rFonts w:hint="eastAsia"/>
          <w:sz w:val="24"/>
          <w:szCs w:val="24"/>
        </w:rPr>
        <w:t>匯</w:t>
      </w:r>
      <w:proofErr w:type="gramEnd"/>
      <w:r w:rsidRPr="00B20E3A">
        <w:rPr>
          <w:rFonts w:hint="eastAsia"/>
          <w:sz w:val="24"/>
          <w:szCs w:val="24"/>
        </w:rPr>
        <w:t>水」透過地下匯兌管道</w:t>
      </w:r>
      <w:proofErr w:type="gramStart"/>
      <w:r w:rsidRPr="00B20E3A">
        <w:rPr>
          <w:rFonts w:hint="eastAsia"/>
          <w:sz w:val="24"/>
          <w:szCs w:val="24"/>
        </w:rPr>
        <w:t>匯</w:t>
      </w:r>
      <w:proofErr w:type="gramEnd"/>
      <w:r w:rsidRPr="00B20E3A">
        <w:rPr>
          <w:rFonts w:hint="eastAsia"/>
          <w:sz w:val="24"/>
          <w:szCs w:val="24"/>
        </w:rPr>
        <w:t>往大陸地區。</w:t>
      </w:r>
    </w:p>
  </w:footnote>
  <w:footnote w:id="3">
    <w:p w:rsidR="00660243" w:rsidRPr="00A20BB2" w:rsidRDefault="00660243" w:rsidP="00A20BB2">
      <w:pPr>
        <w:pStyle w:val="afd"/>
        <w:rPr>
          <w:sz w:val="24"/>
          <w:szCs w:val="24"/>
        </w:rPr>
      </w:pPr>
      <w:r>
        <w:rPr>
          <w:rStyle w:val="aff"/>
        </w:rPr>
        <w:footnoteRef/>
      </w:r>
      <w:r w:rsidRPr="00A20BB2">
        <w:rPr>
          <w:rFonts w:hint="eastAsia"/>
          <w:sz w:val="24"/>
          <w:szCs w:val="24"/>
        </w:rPr>
        <w:t>少事法第19條規定：（第1項）少年法院接受第</w:t>
      </w:r>
      <w:r>
        <w:rPr>
          <w:rFonts w:hint="eastAsia"/>
          <w:sz w:val="24"/>
          <w:szCs w:val="24"/>
        </w:rPr>
        <w:t>15</w:t>
      </w:r>
      <w:r w:rsidRPr="00A20BB2">
        <w:rPr>
          <w:rFonts w:hint="eastAsia"/>
          <w:sz w:val="24"/>
          <w:szCs w:val="24"/>
        </w:rPr>
        <w:t>條、第</w:t>
      </w:r>
      <w:r>
        <w:rPr>
          <w:rFonts w:hint="eastAsia"/>
          <w:sz w:val="24"/>
          <w:szCs w:val="24"/>
        </w:rPr>
        <w:t>17</w:t>
      </w:r>
      <w:r w:rsidRPr="00A20BB2">
        <w:rPr>
          <w:rFonts w:hint="eastAsia"/>
          <w:sz w:val="24"/>
          <w:szCs w:val="24"/>
        </w:rPr>
        <w:t>條及前條之移送、請求或報告事件後，應先由少年調查官調查該少年與事件有關之行為、其人之品格、經歷、身心狀況、家庭情形、社會環境、教育程度以及其他必要之事項，提出報告，並附具建議。（第2項）少年調查官調查之結果，不得</w:t>
      </w:r>
      <w:proofErr w:type="gramStart"/>
      <w:r w:rsidRPr="00A20BB2">
        <w:rPr>
          <w:rFonts w:hint="eastAsia"/>
          <w:sz w:val="24"/>
          <w:szCs w:val="24"/>
        </w:rPr>
        <w:t>採</w:t>
      </w:r>
      <w:proofErr w:type="gramEnd"/>
      <w:r w:rsidRPr="00A20BB2">
        <w:rPr>
          <w:rFonts w:hint="eastAsia"/>
          <w:sz w:val="24"/>
          <w:szCs w:val="24"/>
        </w:rPr>
        <w:t>為認定事實之唯一證據。（第3項）少年法院訊問關係人時，書記官應製作筆錄。</w:t>
      </w:r>
    </w:p>
  </w:footnote>
  <w:footnote w:id="4">
    <w:p w:rsidR="00660243" w:rsidRPr="00B20E3A" w:rsidRDefault="00660243" w:rsidP="00963504">
      <w:pPr>
        <w:pStyle w:val="afd"/>
        <w:rPr>
          <w:sz w:val="24"/>
          <w:szCs w:val="24"/>
        </w:rPr>
      </w:pPr>
      <w:r>
        <w:rPr>
          <w:rStyle w:val="aff"/>
        </w:rPr>
        <w:footnoteRef/>
      </w:r>
      <w:r w:rsidRPr="00B20E3A">
        <w:rPr>
          <w:rFonts w:hint="eastAsia"/>
          <w:sz w:val="24"/>
          <w:szCs w:val="24"/>
        </w:rPr>
        <w:t>有關兒童權利的發展，始於1924年國際聯盟的《日內瓦宣言》，聯合國大會繼而於1959年11月20日通過《兒童權利宣言》，因該二份宣言對簽署國不具國際法的拘束力，1979年波蘭提出為兒童制定國際公約的構想，公約協商過程中，因各國對於兒童各項權利的內涵及保障範圍存有諸多歧見，以至於公約自開啟草案協商10年後，方於1989年11月24獲聯合國大會第44／25號決議通過。因此，不論各國的文化背景或是對於兒童的傳統觀念為何，兒童權利公約係代表國際的共識，也是兒童權利保障的最低標準。請參見兒童福利聯盟文教基金會-兒童少年權益網之介紹。</w:t>
      </w:r>
    </w:p>
  </w:footnote>
  <w:footnote w:id="5">
    <w:p w:rsidR="00660243" w:rsidRPr="003F77CE" w:rsidRDefault="00660243" w:rsidP="00963504">
      <w:pPr>
        <w:pStyle w:val="afd"/>
      </w:pPr>
      <w:r>
        <w:rPr>
          <w:rStyle w:val="aff"/>
        </w:rPr>
        <w:footnoteRef/>
      </w:r>
      <w:r w:rsidRPr="00B20E3A">
        <w:rPr>
          <w:rFonts w:hint="eastAsia"/>
          <w:sz w:val="24"/>
          <w:szCs w:val="24"/>
        </w:rPr>
        <w:t>少事法第32條第1項規定：「少年法院審理事件應定審理期日。審理期日應傳喚少年、少年之法定代理人或現在保護少年之人，並通知少年之輔佐人。」第36條規定：「審理期日訊問少年時，應予少年之法定代理人或現在保護少年之人及輔佐人陳述意見之機會。」</w:t>
      </w:r>
    </w:p>
  </w:footnote>
  <w:footnote w:id="6">
    <w:p w:rsidR="00660243" w:rsidRPr="00E41FA6" w:rsidRDefault="00660243" w:rsidP="00F775A5">
      <w:pPr>
        <w:pStyle w:val="afd"/>
      </w:pPr>
      <w:r>
        <w:rPr>
          <w:rStyle w:val="aff"/>
        </w:rPr>
        <w:footnoteRef/>
      </w:r>
      <w:r w:rsidRPr="00B20E3A">
        <w:rPr>
          <w:rFonts w:hint="eastAsia"/>
          <w:sz w:val="24"/>
          <w:szCs w:val="24"/>
        </w:rPr>
        <w:t>司法院88年3月5日88院</w:t>
      </w:r>
      <w:proofErr w:type="gramStart"/>
      <w:r w:rsidRPr="00B20E3A">
        <w:rPr>
          <w:rFonts w:hint="eastAsia"/>
          <w:sz w:val="24"/>
          <w:szCs w:val="24"/>
        </w:rPr>
        <w:t>台廳刑</w:t>
      </w:r>
      <w:proofErr w:type="gramEnd"/>
      <w:r w:rsidRPr="00B20E3A">
        <w:rPr>
          <w:rFonts w:hint="eastAsia"/>
          <w:sz w:val="24"/>
          <w:szCs w:val="24"/>
        </w:rPr>
        <w:t>二字第05335號函</w:t>
      </w:r>
    </w:p>
  </w:footnote>
  <w:footnote w:id="7">
    <w:p w:rsidR="00660243" w:rsidRPr="00B20E3A" w:rsidRDefault="00660243" w:rsidP="00F775A5">
      <w:pPr>
        <w:pStyle w:val="afd"/>
        <w:rPr>
          <w:sz w:val="24"/>
          <w:szCs w:val="24"/>
        </w:rPr>
      </w:pPr>
      <w:r>
        <w:rPr>
          <w:rStyle w:val="aff"/>
        </w:rPr>
        <w:footnoteRef/>
      </w:r>
      <w:r w:rsidRPr="00B20E3A">
        <w:rPr>
          <w:rFonts w:hint="eastAsia"/>
          <w:sz w:val="24"/>
          <w:szCs w:val="24"/>
        </w:rPr>
        <w:t>本院88年少年保護制度成效之檢討專案調查研究</w:t>
      </w:r>
      <w:r>
        <w:rPr>
          <w:rFonts w:hint="eastAsia"/>
          <w:sz w:val="24"/>
          <w:szCs w:val="24"/>
        </w:rPr>
        <w:t>。</w:t>
      </w:r>
    </w:p>
  </w:footnote>
  <w:footnote w:id="8">
    <w:p w:rsidR="00660243" w:rsidRPr="00B20E3A" w:rsidRDefault="00660243" w:rsidP="00F775A5">
      <w:pPr>
        <w:pStyle w:val="afd"/>
        <w:rPr>
          <w:sz w:val="24"/>
          <w:szCs w:val="24"/>
        </w:rPr>
      </w:pPr>
      <w:r>
        <w:rPr>
          <w:rStyle w:val="aff"/>
        </w:rPr>
        <w:footnoteRef/>
      </w:r>
      <w:r>
        <w:rPr>
          <w:rFonts w:hint="eastAsia"/>
          <w:sz w:val="24"/>
          <w:szCs w:val="24"/>
        </w:rPr>
        <w:t>「</w:t>
      </w:r>
      <w:r w:rsidRPr="00B749CA">
        <w:rPr>
          <w:rFonts w:hint="eastAsia"/>
          <w:sz w:val="24"/>
          <w:szCs w:val="24"/>
        </w:rPr>
        <w:t>少年保護事件審理細則</w:t>
      </w:r>
      <w:r>
        <w:rPr>
          <w:rFonts w:hint="eastAsia"/>
          <w:sz w:val="24"/>
          <w:szCs w:val="24"/>
        </w:rPr>
        <w:t>」</w:t>
      </w:r>
      <w:r w:rsidRPr="00B20E3A">
        <w:rPr>
          <w:rFonts w:hint="eastAsia"/>
          <w:sz w:val="24"/>
          <w:szCs w:val="24"/>
        </w:rPr>
        <w:t>第19條規定：</w:t>
      </w:r>
      <w:r>
        <w:rPr>
          <w:rFonts w:hint="eastAsia"/>
          <w:sz w:val="24"/>
          <w:szCs w:val="24"/>
        </w:rPr>
        <w:t>「</w:t>
      </w:r>
      <w:r w:rsidRPr="00B20E3A">
        <w:rPr>
          <w:rFonts w:hint="eastAsia"/>
          <w:sz w:val="24"/>
          <w:szCs w:val="24"/>
        </w:rPr>
        <w:t>（第1項）少年法院對於少年調查官提出之處遇意見之建議，經徵詢少年、少年之法定代理人或現在保護少年之人及輔佐人之同意，依本法第29條第1項為不付審理之裁定並當場宣示者，得僅由書記官將主文記載於筆錄，</w:t>
      </w:r>
      <w:proofErr w:type="gramStart"/>
      <w:r w:rsidRPr="00B20E3A">
        <w:rPr>
          <w:rFonts w:hint="eastAsia"/>
          <w:sz w:val="24"/>
          <w:szCs w:val="24"/>
        </w:rPr>
        <w:t>不</w:t>
      </w:r>
      <w:proofErr w:type="gramEnd"/>
      <w:r w:rsidRPr="00B20E3A">
        <w:rPr>
          <w:rFonts w:hint="eastAsia"/>
          <w:sz w:val="24"/>
          <w:szCs w:val="24"/>
        </w:rPr>
        <w:t>另作裁定書。但認定之事實與報告、移送或請求之內容不同者，應於宣示時一併告知事實及理由要旨，並記載於筆錄。（第2項）前項筆錄正本或節本之送達，</w:t>
      </w:r>
      <w:proofErr w:type="gramStart"/>
      <w:r w:rsidRPr="00B20E3A">
        <w:rPr>
          <w:rFonts w:hint="eastAsia"/>
          <w:sz w:val="24"/>
          <w:szCs w:val="24"/>
        </w:rPr>
        <w:t>準</w:t>
      </w:r>
      <w:proofErr w:type="gramEnd"/>
      <w:r w:rsidRPr="00B20E3A">
        <w:rPr>
          <w:rFonts w:hint="eastAsia"/>
          <w:sz w:val="24"/>
          <w:szCs w:val="24"/>
        </w:rPr>
        <w:t>用本法第48條之規定，並與裁定正本之送達，有同一之效力。</w:t>
      </w:r>
      <w:r>
        <w:rPr>
          <w:rFonts w:hint="eastAsia"/>
          <w:sz w:val="24"/>
          <w:szCs w:val="24"/>
        </w:rPr>
        <w:t>」</w:t>
      </w:r>
    </w:p>
    <w:p w:rsidR="00660243" w:rsidRPr="00B20E3A" w:rsidRDefault="00660243" w:rsidP="00F775A5">
      <w:pPr>
        <w:pStyle w:val="afd"/>
        <w:rPr>
          <w:sz w:val="24"/>
          <w:szCs w:val="24"/>
        </w:rPr>
      </w:pPr>
      <w:r w:rsidRPr="00B20E3A">
        <w:rPr>
          <w:rFonts w:hint="eastAsia"/>
          <w:sz w:val="24"/>
          <w:szCs w:val="24"/>
        </w:rPr>
        <w:t>第40條規定：</w:t>
      </w:r>
      <w:r>
        <w:rPr>
          <w:rFonts w:hint="eastAsia"/>
          <w:sz w:val="24"/>
          <w:szCs w:val="24"/>
        </w:rPr>
        <w:t>「</w:t>
      </w:r>
      <w:r w:rsidRPr="00B20E3A">
        <w:rPr>
          <w:rFonts w:hint="eastAsia"/>
          <w:sz w:val="24"/>
          <w:szCs w:val="24"/>
        </w:rPr>
        <w:t>（第1項）保護處分之裁定書，應分別記載主文、事實與理由。（第2項）第19條之規定，於前項為保護處分之裁定時</w:t>
      </w:r>
      <w:proofErr w:type="gramStart"/>
      <w:r w:rsidRPr="00B20E3A">
        <w:rPr>
          <w:rFonts w:hint="eastAsia"/>
          <w:sz w:val="24"/>
          <w:szCs w:val="24"/>
        </w:rPr>
        <w:t>準</w:t>
      </w:r>
      <w:proofErr w:type="gramEnd"/>
      <w:r w:rsidRPr="00B20E3A">
        <w:rPr>
          <w:rFonts w:hint="eastAsia"/>
          <w:sz w:val="24"/>
          <w:szCs w:val="24"/>
        </w:rPr>
        <w:t>用之。</w:t>
      </w:r>
      <w:r>
        <w:rPr>
          <w:rFonts w:hint="eastAsia"/>
          <w:sz w:val="24"/>
          <w:szCs w:val="24"/>
        </w:rPr>
        <w:t>」</w:t>
      </w:r>
    </w:p>
    <w:p w:rsidR="00660243" w:rsidRPr="00B20E3A" w:rsidRDefault="00660243" w:rsidP="00F775A5">
      <w:pPr>
        <w:pStyle w:val="afd"/>
        <w:rPr>
          <w:sz w:val="24"/>
          <w:szCs w:val="24"/>
        </w:rPr>
      </w:pPr>
      <w:r w:rsidRPr="00B20E3A">
        <w:rPr>
          <w:rFonts w:hint="eastAsia"/>
          <w:sz w:val="24"/>
          <w:szCs w:val="24"/>
        </w:rPr>
        <w:t>第43條規定：</w:t>
      </w:r>
      <w:r>
        <w:rPr>
          <w:rFonts w:hint="eastAsia"/>
          <w:sz w:val="24"/>
          <w:szCs w:val="24"/>
        </w:rPr>
        <w:t>「</w:t>
      </w:r>
      <w:r w:rsidRPr="00B20E3A">
        <w:rPr>
          <w:rFonts w:hint="eastAsia"/>
          <w:sz w:val="24"/>
          <w:szCs w:val="24"/>
        </w:rPr>
        <w:t>（第1項）</w:t>
      </w:r>
      <w:proofErr w:type="gramStart"/>
      <w:r w:rsidRPr="00B20E3A">
        <w:rPr>
          <w:rFonts w:hint="eastAsia"/>
          <w:sz w:val="24"/>
          <w:szCs w:val="24"/>
        </w:rPr>
        <w:t>諭知親</w:t>
      </w:r>
      <w:proofErr w:type="gramEnd"/>
      <w:r w:rsidRPr="00B20E3A">
        <w:rPr>
          <w:rFonts w:hint="eastAsia"/>
          <w:sz w:val="24"/>
          <w:szCs w:val="24"/>
        </w:rPr>
        <w:t>職教育輔導處分之裁定書，應於主文中指明其執行之時數。（第2項）第19條之規定，於為前項親職教育輔導處分之裁定時</w:t>
      </w:r>
      <w:proofErr w:type="gramStart"/>
      <w:r w:rsidRPr="00B20E3A">
        <w:rPr>
          <w:rFonts w:hint="eastAsia"/>
          <w:sz w:val="24"/>
          <w:szCs w:val="24"/>
        </w:rPr>
        <w:t>準</w:t>
      </w:r>
      <w:proofErr w:type="gramEnd"/>
      <w:r w:rsidRPr="00B20E3A">
        <w:rPr>
          <w:rFonts w:hint="eastAsia"/>
          <w:sz w:val="24"/>
          <w:szCs w:val="24"/>
        </w:rPr>
        <w:t>用之。</w:t>
      </w:r>
      <w:r>
        <w:rPr>
          <w:rFonts w:hint="eastAsia"/>
          <w:sz w:val="24"/>
          <w:szCs w:val="24"/>
        </w:rPr>
        <w:t>」</w:t>
      </w:r>
    </w:p>
    <w:p w:rsidR="00660243" w:rsidRPr="00B20E3A" w:rsidRDefault="00660243" w:rsidP="00F775A5">
      <w:pPr>
        <w:pStyle w:val="afd"/>
        <w:rPr>
          <w:sz w:val="24"/>
          <w:szCs w:val="24"/>
        </w:rPr>
      </w:pPr>
      <w:r w:rsidRPr="00B20E3A">
        <w:rPr>
          <w:rFonts w:hint="eastAsia"/>
          <w:sz w:val="24"/>
          <w:szCs w:val="24"/>
        </w:rPr>
        <w:t>第46條規定：</w:t>
      </w:r>
      <w:r>
        <w:rPr>
          <w:rFonts w:hint="eastAsia"/>
          <w:sz w:val="24"/>
          <w:szCs w:val="24"/>
        </w:rPr>
        <w:t>「</w:t>
      </w:r>
      <w:r w:rsidRPr="00B20E3A">
        <w:rPr>
          <w:rFonts w:hint="eastAsia"/>
          <w:sz w:val="24"/>
          <w:szCs w:val="24"/>
        </w:rPr>
        <w:t>（第1項）本法第61條及第62條規定得為抗告之人，對於少年法院依第19條第1項、第40條第2項及第43條第2項規定製作筆錄之事件提起合法抗告者，原裁定法院應於7日內補行製作理由書，送達於少年及其他關係人。</w:t>
      </w:r>
      <w:r>
        <w:rPr>
          <w:rFonts w:hint="eastAsia"/>
          <w:sz w:val="24"/>
          <w:szCs w:val="24"/>
        </w:rPr>
        <w:t>」</w:t>
      </w:r>
    </w:p>
  </w:footnote>
  <w:footnote w:id="9">
    <w:p w:rsidR="00660243" w:rsidRPr="00B20E3A" w:rsidRDefault="00660243" w:rsidP="00F775A5">
      <w:pPr>
        <w:pStyle w:val="afd"/>
        <w:rPr>
          <w:sz w:val="24"/>
          <w:szCs w:val="24"/>
        </w:rPr>
      </w:pPr>
      <w:r>
        <w:rPr>
          <w:rStyle w:val="aff"/>
        </w:rPr>
        <w:footnoteRef/>
      </w:r>
      <w:r w:rsidRPr="00B20E3A">
        <w:rPr>
          <w:rFonts w:hint="eastAsia"/>
          <w:sz w:val="24"/>
          <w:szCs w:val="24"/>
        </w:rPr>
        <w:t>李茂生，我國少年事件處理法的檢討與展望-以刑事司法與福利行政兩系統的交錯為論點，第344頁以下</w:t>
      </w:r>
    </w:p>
  </w:footnote>
  <w:footnote w:id="10">
    <w:p w:rsidR="00660243" w:rsidRPr="00520AB6" w:rsidRDefault="00660243" w:rsidP="00F775A5">
      <w:pPr>
        <w:pStyle w:val="afd"/>
      </w:pPr>
      <w:r>
        <w:rPr>
          <w:rStyle w:val="aff"/>
        </w:rPr>
        <w:footnoteRef/>
      </w:r>
      <w:r w:rsidRPr="00195E40">
        <w:rPr>
          <w:rFonts w:hint="eastAsia"/>
          <w:sz w:val="24"/>
          <w:szCs w:val="24"/>
        </w:rPr>
        <w:t>黎文德，少年保護事件之協商審理與處遇，月</w:t>
      </w:r>
      <w:proofErr w:type="gramStart"/>
      <w:r w:rsidRPr="00195E40">
        <w:rPr>
          <w:rFonts w:hint="eastAsia"/>
          <w:sz w:val="24"/>
          <w:szCs w:val="24"/>
        </w:rPr>
        <w:t>旦</w:t>
      </w:r>
      <w:proofErr w:type="gramEnd"/>
      <w:r w:rsidRPr="00195E40">
        <w:rPr>
          <w:rFonts w:hint="eastAsia"/>
          <w:sz w:val="24"/>
          <w:szCs w:val="24"/>
        </w:rPr>
        <w:t>法學雜誌，74期，2001年7月，第72頁以下。</w:t>
      </w:r>
    </w:p>
  </w:footnote>
  <w:footnote w:id="11">
    <w:p w:rsidR="00660243" w:rsidRPr="00B20E3A" w:rsidRDefault="00660243" w:rsidP="00F775A5">
      <w:pPr>
        <w:pStyle w:val="afd"/>
        <w:rPr>
          <w:sz w:val="24"/>
          <w:szCs w:val="24"/>
        </w:rPr>
      </w:pPr>
      <w:r>
        <w:rPr>
          <w:rStyle w:val="aff"/>
        </w:rPr>
        <w:footnoteRef/>
      </w:r>
      <w:r w:rsidRPr="00B20E3A">
        <w:rPr>
          <w:rFonts w:hint="eastAsia"/>
          <w:sz w:val="24"/>
          <w:szCs w:val="24"/>
        </w:rPr>
        <w:t>司法院第1期少年法院（庭）觀護人業務研討會，見司法院第二（一）期少年法院（庭）庭長、法官（觀護人）業務研討會研究合輯（93年12月版）第504-508頁</w:t>
      </w:r>
    </w:p>
  </w:footnote>
  <w:footnote w:id="12">
    <w:p w:rsidR="00660243" w:rsidRPr="00D874DC" w:rsidRDefault="00660243" w:rsidP="00F775A5">
      <w:pPr>
        <w:pStyle w:val="afd"/>
      </w:pPr>
      <w:r>
        <w:rPr>
          <w:rStyle w:val="aff"/>
        </w:rPr>
        <w:footnoteRef/>
      </w:r>
      <w:r w:rsidRPr="00D30B21">
        <w:rPr>
          <w:rFonts w:hint="eastAsia"/>
          <w:sz w:val="24"/>
          <w:szCs w:val="24"/>
        </w:rPr>
        <w:t>施慧玲，</w:t>
      </w:r>
      <w:r w:rsidRPr="00D30B21">
        <w:rPr>
          <w:sz w:val="24"/>
          <w:szCs w:val="24"/>
        </w:rPr>
        <w:t>從福利觀點論我國少年事件處理法之修正，收錄於</w:t>
      </w:r>
      <w:proofErr w:type="gramStart"/>
      <w:r w:rsidRPr="00D30B21">
        <w:rPr>
          <w:sz w:val="24"/>
          <w:szCs w:val="24"/>
        </w:rPr>
        <w:t>於氏著</w:t>
      </w:r>
      <w:proofErr w:type="gramEnd"/>
      <w:r w:rsidRPr="00D30B21">
        <w:rPr>
          <w:sz w:val="24"/>
          <w:szCs w:val="24"/>
        </w:rPr>
        <w:t>「家庭、法律、福利國家」</w:t>
      </w:r>
      <w:r w:rsidRPr="00D30B21">
        <w:rPr>
          <w:rFonts w:hint="eastAsia"/>
          <w:sz w:val="24"/>
          <w:szCs w:val="24"/>
        </w:rPr>
        <w:t>332-333頁；</w:t>
      </w:r>
      <w:r w:rsidRPr="00D30B21">
        <w:rPr>
          <w:sz w:val="24"/>
          <w:szCs w:val="24"/>
        </w:rPr>
        <w:t>黎文德，少年保護事件之協商審理與處遇，月</w:t>
      </w:r>
      <w:proofErr w:type="gramStart"/>
      <w:r w:rsidRPr="00D30B21">
        <w:rPr>
          <w:sz w:val="24"/>
          <w:szCs w:val="24"/>
        </w:rPr>
        <w:t>旦</w:t>
      </w:r>
      <w:proofErr w:type="gramEnd"/>
      <w:r w:rsidRPr="00D30B21">
        <w:rPr>
          <w:sz w:val="24"/>
          <w:szCs w:val="24"/>
        </w:rPr>
        <w:t>法學第 74 期，2001 年 7 月， 72頁以下</w:t>
      </w:r>
    </w:p>
  </w:footnote>
  <w:footnote w:id="13">
    <w:p w:rsidR="00660243" w:rsidRPr="00A5399A" w:rsidRDefault="00660243" w:rsidP="00F775A5">
      <w:pPr>
        <w:pStyle w:val="afd"/>
        <w:rPr>
          <w:sz w:val="24"/>
          <w:szCs w:val="24"/>
        </w:rPr>
      </w:pPr>
      <w:r>
        <w:rPr>
          <w:rStyle w:val="aff"/>
        </w:rPr>
        <w:footnoteRef/>
      </w:r>
      <w:r w:rsidRPr="00A5399A">
        <w:rPr>
          <w:rFonts w:hint="eastAsia"/>
          <w:sz w:val="24"/>
          <w:szCs w:val="24"/>
        </w:rPr>
        <w:t>依</w:t>
      </w:r>
      <w:r>
        <w:rPr>
          <w:rFonts w:hint="eastAsia"/>
          <w:sz w:val="24"/>
          <w:szCs w:val="24"/>
        </w:rPr>
        <w:t>本</w:t>
      </w:r>
      <w:r w:rsidRPr="00A5399A">
        <w:rPr>
          <w:rFonts w:hint="eastAsia"/>
          <w:sz w:val="24"/>
          <w:szCs w:val="24"/>
        </w:rPr>
        <w:t>院於88年少年保護制度成效之檢討專案調查研究，實務上協商式審理運作有下列實益：(１)開庭之形式，改變民眾向來對法院的刻板印象，可降低敵對防備心態，提供一個法官、少年調查官、被害人與少年及法定代理人溝通的機會，以促成和解。此種以教育啟發方式代替威權審訊方式，擺脫法院</w:t>
      </w:r>
      <w:proofErr w:type="gramStart"/>
      <w:r w:rsidRPr="00A5399A">
        <w:rPr>
          <w:rFonts w:hint="eastAsia"/>
          <w:sz w:val="24"/>
          <w:szCs w:val="24"/>
        </w:rPr>
        <w:t>刑事糾問色彩</w:t>
      </w:r>
      <w:proofErr w:type="gramEnd"/>
      <w:r w:rsidRPr="00A5399A">
        <w:rPr>
          <w:rFonts w:hint="eastAsia"/>
          <w:sz w:val="24"/>
          <w:szCs w:val="24"/>
        </w:rPr>
        <w:t>，有助法官發現事實真相及少年生長環境背景，</w:t>
      </w:r>
      <w:proofErr w:type="gramStart"/>
      <w:r w:rsidRPr="00A5399A">
        <w:rPr>
          <w:rFonts w:hint="eastAsia"/>
          <w:sz w:val="24"/>
          <w:szCs w:val="24"/>
        </w:rPr>
        <w:t>進而妥</w:t>
      </w:r>
      <w:proofErr w:type="gramEnd"/>
      <w:r w:rsidRPr="00A5399A">
        <w:rPr>
          <w:rFonts w:hint="eastAsia"/>
          <w:sz w:val="24"/>
          <w:szCs w:val="24"/>
        </w:rPr>
        <w:t>適尋求適合少年的處遇方式。(２)從程式之經濟，在協商式審理下所得到的處遇結論，係經由少年及其法定代理人與法官、少年調查官溝通協議下所達共識之結果，此經由法官口頭宣示裁定，以宣示筆錄代替裁判書類的製作，可節省裁定書的製作時間，並經由少年及家長參與瞭解保護處分之用意及目的，並非處罰制裁，藉以減少無謂的爭執抗告，避免</w:t>
      </w:r>
      <w:proofErr w:type="gramStart"/>
      <w:r w:rsidRPr="00A5399A">
        <w:rPr>
          <w:rFonts w:hint="eastAsia"/>
          <w:sz w:val="24"/>
          <w:szCs w:val="24"/>
        </w:rPr>
        <w:t>訟</w:t>
      </w:r>
      <w:proofErr w:type="gramEnd"/>
      <w:r w:rsidRPr="00A5399A">
        <w:rPr>
          <w:rFonts w:hint="eastAsia"/>
          <w:sz w:val="24"/>
          <w:szCs w:val="24"/>
        </w:rPr>
        <w:t>累及減少司法資源的浪費。(３)從保護處分的執行成效，在少年及其法定代理人親身參與之下，由法官及少年調查官提出</w:t>
      </w:r>
      <w:proofErr w:type="gramStart"/>
      <w:r w:rsidRPr="00A5399A">
        <w:rPr>
          <w:rFonts w:hint="eastAsia"/>
          <w:sz w:val="24"/>
          <w:szCs w:val="24"/>
        </w:rPr>
        <w:t>法律上處遇</w:t>
      </w:r>
      <w:proofErr w:type="gramEnd"/>
      <w:r w:rsidRPr="00A5399A">
        <w:rPr>
          <w:rFonts w:hint="eastAsia"/>
          <w:sz w:val="24"/>
          <w:szCs w:val="24"/>
        </w:rPr>
        <w:t>意見，經充分溝通下瞭解未來執行之法律程序及違反效果。</w:t>
      </w:r>
    </w:p>
  </w:footnote>
  <w:footnote w:id="14">
    <w:p w:rsidR="00660243" w:rsidRPr="00370A39" w:rsidRDefault="00660243">
      <w:pPr>
        <w:pStyle w:val="afd"/>
      </w:pPr>
      <w:r>
        <w:rPr>
          <w:rStyle w:val="aff"/>
        </w:rPr>
        <w:footnoteRef/>
      </w:r>
      <w:r w:rsidRPr="00370A39">
        <w:rPr>
          <w:rFonts w:hint="eastAsia"/>
          <w:sz w:val="24"/>
          <w:szCs w:val="24"/>
        </w:rPr>
        <w:t>李茂生，</w:t>
      </w:r>
      <w:r w:rsidRPr="00107C39">
        <w:rPr>
          <w:rFonts w:hint="eastAsia"/>
          <w:sz w:val="24"/>
          <w:szCs w:val="24"/>
        </w:rPr>
        <w:t>我國少年事件處理法的檢討與展望-以刑事司法與福利行政兩系統的交錯為論點</w:t>
      </w:r>
      <w:r>
        <w:rPr>
          <w:rFonts w:hint="eastAsia"/>
          <w:sz w:val="24"/>
          <w:szCs w:val="24"/>
        </w:rPr>
        <w:t>，</w:t>
      </w:r>
      <w:r w:rsidRPr="00370A39">
        <w:rPr>
          <w:rFonts w:hint="eastAsia"/>
          <w:sz w:val="24"/>
          <w:szCs w:val="24"/>
        </w:rPr>
        <w:t>第283頁</w:t>
      </w:r>
      <w:r>
        <w:rPr>
          <w:rFonts w:hint="eastAsia"/>
          <w:sz w:val="24"/>
          <w:szCs w:val="24"/>
        </w:rPr>
        <w:t>以</w:t>
      </w:r>
      <w:r w:rsidRPr="00370A39">
        <w:rPr>
          <w:rFonts w:hint="eastAsia"/>
          <w:sz w:val="24"/>
          <w:szCs w:val="24"/>
        </w:rPr>
        <w:t>下；施慧玲，「少年非行防治對策之新福利法制觀-以責任取向的少年發展權為中心」，國立中正大學法學集刊創刊號。</w:t>
      </w:r>
    </w:p>
  </w:footnote>
  <w:footnote w:id="15">
    <w:p w:rsidR="00660243" w:rsidRPr="00532338" w:rsidRDefault="00660243">
      <w:pPr>
        <w:pStyle w:val="afd"/>
      </w:pPr>
      <w:r>
        <w:rPr>
          <w:rStyle w:val="aff"/>
        </w:rPr>
        <w:footnoteRef/>
      </w:r>
      <w:r w:rsidRPr="00B20E3A">
        <w:rPr>
          <w:rFonts w:hint="eastAsia"/>
          <w:sz w:val="24"/>
          <w:szCs w:val="24"/>
        </w:rPr>
        <w:t>李茂生，我國少年事件處理法的檢討與展望-以刑事司法與福利行政兩系統的交錯為論點，第339頁以下。</w:t>
      </w:r>
    </w:p>
  </w:footnote>
  <w:footnote w:id="16">
    <w:p w:rsidR="00660243" w:rsidRPr="00CA6116" w:rsidRDefault="00660243" w:rsidP="00F775A5">
      <w:pPr>
        <w:pStyle w:val="afd"/>
      </w:pPr>
      <w:r>
        <w:rPr>
          <w:rStyle w:val="aff"/>
        </w:rPr>
        <w:footnoteRef/>
      </w:r>
      <w:r w:rsidRPr="00B20E3A">
        <w:rPr>
          <w:rFonts w:hint="eastAsia"/>
          <w:sz w:val="24"/>
          <w:szCs w:val="24"/>
        </w:rPr>
        <w:t>陳美燕院長，《少年法院與社會資源之應用》，司法院研究年報第22輯第11篇第198頁以下。</w:t>
      </w:r>
    </w:p>
  </w:footnote>
  <w:footnote w:id="17">
    <w:p w:rsidR="00660243" w:rsidRDefault="00660243" w:rsidP="00F775A5">
      <w:pPr>
        <w:pStyle w:val="afd"/>
      </w:pPr>
      <w:r>
        <w:rPr>
          <w:rStyle w:val="aff"/>
        </w:rPr>
        <w:footnoteRef/>
      </w:r>
      <w:r w:rsidRPr="00B20E3A">
        <w:rPr>
          <w:rFonts w:hint="eastAsia"/>
          <w:sz w:val="24"/>
          <w:szCs w:val="24"/>
        </w:rPr>
        <w:t>立法院公報第89卷第9期18頁。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8CEFC9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694" w:hanging="850"/>
      </w:pPr>
      <w:rPr>
        <w:rFonts w:ascii="標楷體" w:eastAsia="標楷體" w:hint="eastAsia"/>
        <w:b w:val="0"/>
        <w:i w:val="0"/>
        <w:snapToGrid/>
        <w:color w:val="000000" w:themeColor="text1"/>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2"/>
    <w:lvlOverride w:ilvl="0">
      <w:startOverride w:val="1"/>
    </w:lvlOverride>
  </w:num>
  <w:num w:numId="22">
    <w:abstractNumId w:val="1"/>
  </w:num>
  <w:num w:numId="23">
    <w:abstractNumId w:val="1"/>
  </w:num>
  <w:num w:numId="24">
    <w:abstractNumId w:val="1"/>
  </w:num>
  <w:num w:numId="25">
    <w:abstractNumId w:val="1"/>
  </w:num>
  <w:num w:numId="26">
    <w:abstractNumId w:val="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6D9"/>
    <w:rsid w:val="0000143B"/>
    <w:rsid w:val="00001B19"/>
    <w:rsid w:val="00002EEB"/>
    <w:rsid w:val="0000403C"/>
    <w:rsid w:val="00005AFA"/>
    <w:rsid w:val="0000657F"/>
    <w:rsid w:val="00006961"/>
    <w:rsid w:val="00007952"/>
    <w:rsid w:val="000112BF"/>
    <w:rsid w:val="00011EA7"/>
    <w:rsid w:val="00012233"/>
    <w:rsid w:val="00012B7B"/>
    <w:rsid w:val="00016502"/>
    <w:rsid w:val="00017318"/>
    <w:rsid w:val="00017CA4"/>
    <w:rsid w:val="00017DF0"/>
    <w:rsid w:val="00020D62"/>
    <w:rsid w:val="0002124B"/>
    <w:rsid w:val="000219B3"/>
    <w:rsid w:val="000236E7"/>
    <w:rsid w:val="000246F7"/>
    <w:rsid w:val="00030DC9"/>
    <w:rsid w:val="00030E87"/>
    <w:rsid w:val="0003114D"/>
    <w:rsid w:val="00033DF9"/>
    <w:rsid w:val="00035E7D"/>
    <w:rsid w:val="00036D76"/>
    <w:rsid w:val="00042808"/>
    <w:rsid w:val="00043CF9"/>
    <w:rsid w:val="000468DB"/>
    <w:rsid w:val="00055323"/>
    <w:rsid w:val="00055722"/>
    <w:rsid w:val="00057F32"/>
    <w:rsid w:val="000603B7"/>
    <w:rsid w:val="00062A25"/>
    <w:rsid w:val="000633F5"/>
    <w:rsid w:val="00063FEF"/>
    <w:rsid w:val="00070AC3"/>
    <w:rsid w:val="00070D00"/>
    <w:rsid w:val="000713DB"/>
    <w:rsid w:val="00073CB5"/>
    <w:rsid w:val="0007425C"/>
    <w:rsid w:val="0007495F"/>
    <w:rsid w:val="00075EF5"/>
    <w:rsid w:val="00076BB7"/>
    <w:rsid w:val="000772DB"/>
    <w:rsid w:val="00077553"/>
    <w:rsid w:val="000777D0"/>
    <w:rsid w:val="000815A6"/>
    <w:rsid w:val="00082F53"/>
    <w:rsid w:val="000851A2"/>
    <w:rsid w:val="0008782B"/>
    <w:rsid w:val="00090275"/>
    <w:rsid w:val="0009352E"/>
    <w:rsid w:val="00096B96"/>
    <w:rsid w:val="000A0EBB"/>
    <w:rsid w:val="000A2F3F"/>
    <w:rsid w:val="000B0B4A"/>
    <w:rsid w:val="000B1EC5"/>
    <w:rsid w:val="000B279A"/>
    <w:rsid w:val="000B2F2A"/>
    <w:rsid w:val="000B61D2"/>
    <w:rsid w:val="000B6D92"/>
    <w:rsid w:val="000B70A7"/>
    <w:rsid w:val="000B73DD"/>
    <w:rsid w:val="000C495F"/>
    <w:rsid w:val="000D1C40"/>
    <w:rsid w:val="000D292A"/>
    <w:rsid w:val="000D2D55"/>
    <w:rsid w:val="000D6F63"/>
    <w:rsid w:val="000E4C51"/>
    <w:rsid w:val="000E53BD"/>
    <w:rsid w:val="000E6431"/>
    <w:rsid w:val="000E6625"/>
    <w:rsid w:val="000F0177"/>
    <w:rsid w:val="000F07EC"/>
    <w:rsid w:val="000F21A5"/>
    <w:rsid w:val="000F3320"/>
    <w:rsid w:val="000F64E5"/>
    <w:rsid w:val="000F705A"/>
    <w:rsid w:val="000F75B3"/>
    <w:rsid w:val="001019F8"/>
    <w:rsid w:val="00102B9F"/>
    <w:rsid w:val="001043B9"/>
    <w:rsid w:val="00105E90"/>
    <w:rsid w:val="00107C39"/>
    <w:rsid w:val="00112637"/>
    <w:rsid w:val="00112ABC"/>
    <w:rsid w:val="00112F24"/>
    <w:rsid w:val="0012001E"/>
    <w:rsid w:val="00122262"/>
    <w:rsid w:val="001256AD"/>
    <w:rsid w:val="0012605D"/>
    <w:rsid w:val="001269A0"/>
    <w:rsid w:val="00126A55"/>
    <w:rsid w:val="00131F4E"/>
    <w:rsid w:val="00133F08"/>
    <w:rsid w:val="001345E6"/>
    <w:rsid w:val="001376C0"/>
    <w:rsid w:val="001378B0"/>
    <w:rsid w:val="00142E00"/>
    <w:rsid w:val="00143A4F"/>
    <w:rsid w:val="00144714"/>
    <w:rsid w:val="001460A7"/>
    <w:rsid w:val="00146F1C"/>
    <w:rsid w:val="00147671"/>
    <w:rsid w:val="00152793"/>
    <w:rsid w:val="00153B7E"/>
    <w:rsid w:val="001545A9"/>
    <w:rsid w:val="001550F8"/>
    <w:rsid w:val="001617AB"/>
    <w:rsid w:val="001617EF"/>
    <w:rsid w:val="001634B0"/>
    <w:rsid w:val="001637C7"/>
    <w:rsid w:val="00163C55"/>
    <w:rsid w:val="00163F87"/>
    <w:rsid w:val="0016480E"/>
    <w:rsid w:val="001675FD"/>
    <w:rsid w:val="00172075"/>
    <w:rsid w:val="0017338E"/>
    <w:rsid w:val="00173E3D"/>
    <w:rsid w:val="00174297"/>
    <w:rsid w:val="001744B0"/>
    <w:rsid w:val="001747A8"/>
    <w:rsid w:val="00180E06"/>
    <w:rsid w:val="001817B3"/>
    <w:rsid w:val="0018200E"/>
    <w:rsid w:val="00183014"/>
    <w:rsid w:val="0018327F"/>
    <w:rsid w:val="001846B1"/>
    <w:rsid w:val="001852E9"/>
    <w:rsid w:val="00187A8D"/>
    <w:rsid w:val="001910AA"/>
    <w:rsid w:val="001959C2"/>
    <w:rsid w:val="00195E40"/>
    <w:rsid w:val="001A19CE"/>
    <w:rsid w:val="001A2A29"/>
    <w:rsid w:val="001A51E3"/>
    <w:rsid w:val="001A56DD"/>
    <w:rsid w:val="001A7968"/>
    <w:rsid w:val="001B2E98"/>
    <w:rsid w:val="001B3483"/>
    <w:rsid w:val="001B3C1E"/>
    <w:rsid w:val="001B4494"/>
    <w:rsid w:val="001B4721"/>
    <w:rsid w:val="001C0D8B"/>
    <w:rsid w:val="001C0DA8"/>
    <w:rsid w:val="001C4D56"/>
    <w:rsid w:val="001C7244"/>
    <w:rsid w:val="001D304A"/>
    <w:rsid w:val="001D4604"/>
    <w:rsid w:val="001D466D"/>
    <w:rsid w:val="001D4AD7"/>
    <w:rsid w:val="001D5607"/>
    <w:rsid w:val="001D5BEC"/>
    <w:rsid w:val="001D6456"/>
    <w:rsid w:val="001D7819"/>
    <w:rsid w:val="001E0D62"/>
    <w:rsid w:val="001E0D8A"/>
    <w:rsid w:val="001E42EC"/>
    <w:rsid w:val="001E6529"/>
    <w:rsid w:val="001E67BA"/>
    <w:rsid w:val="001E74C2"/>
    <w:rsid w:val="001F3CF3"/>
    <w:rsid w:val="001F4F82"/>
    <w:rsid w:val="001F5A48"/>
    <w:rsid w:val="001F5F73"/>
    <w:rsid w:val="001F6260"/>
    <w:rsid w:val="00200007"/>
    <w:rsid w:val="002030A5"/>
    <w:rsid w:val="00203131"/>
    <w:rsid w:val="00207CE4"/>
    <w:rsid w:val="00212E88"/>
    <w:rsid w:val="00213C9C"/>
    <w:rsid w:val="0022009E"/>
    <w:rsid w:val="002206F0"/>
    <w:rsid w:val="00222687"/>
    <w:rsid w:val="00223241"/>
    <w:rsid w:val="0022425C"/>
    <w:rsid w:val="002246DE"/>
    <w:rsid w:val="002267D0"/>
    <w:rsid w:val="002267D9"/>
    <w:rsid w:val="002323DC"/>
    <w:rsid w:val="002350FE"/>
    <w:rsid w:val="00236D1B"/>
    <w:rsid w:val="00237E0D"/>
    <w:rsid w:val="0024088C"/>
    <w:rsid w:val="00241A2E"/>
    <w:rsid w:val="002456DA"/>
    <w:rsid w:val="00247459"/>
    <w:rsid w:val="00251A05"/>
    <w:rsid w:val="0025290B"/>
    <w:rsid w:val="00252BC4"/>
    <w:rsid w:val="00254014"/>
    <w:rsid w:val="00254B39"/>
    <w:rsid w:val="00263433"/>
    <w:rsid w:val="0026504D"/>
    <w:rsid w:val="00267476"/>
    <w:rsid w:val="00273A2F"/>
    <w:rsid w:val="00277228"/>
    <w:rsid w:val="00277F3A"/>
    <w:rsid w:val="00280983"/>
    <w:rsid w:val="00280986"/>
    <w:rsid w:val="00281CB8"/>
    <w:rsid w:val="00281ECE"/>
    <w:rsid w:val="0028307D"/>
    <w:rsid w:val="002831C7"/>
    <w:rsid w:val="002840C6"/>
    <w:rsid w:val="00285FC6"/>
    <w:rsid w:val="00290600"/>
    <w:rsid w:val="002908E8"/>
    <w:rsid w:val="00291426"/>
    <w:rsid w:val="002917FF"/>
    <w:rsid w:val="00295174"/>
    <w:rsid w:val="00295181"/>
    <w:rsid w:val="002953CC"/>
    <w:rsid w:val="00296172"/>
    <w:rsid w:val="00296B92"/>
    <w:rsid w:val="00297AD3"/>
    <w:rsid w:val="002A2C22"/>
    <w:rsid w:val="002A4339"/>
    <w:rsid w:val="002A54E0"/>
    <w:rsid w:val="002A7833"/>
    <w:rsid w:val="002B02EB"/>
    <w:rsid w:val="002B107E"/>
    <w:rsid w:val="002B1302"/>
    <w:rsid w:val="002B2DA7"/>
    <w:rsid w:val="002B3070"/>
    <w:rsid w:val="002B3476"/>
    <w:rsid w:val="002B485B"/>
    <w:rsid w:val="002C0602"/>
    <w:rsid w:val="002D4593"/>
    <w:rsid w:val="002D5C16"/>
    <w:rsid w:val="002D7C0E"/>
    <w:rsid w:val="002E051D"/>
    <w:rsid w:val="002E15DF"/>
    <w:rsid w:val="002F2476"/>
    <w:rsid w:val="002F3DFF"/>
    <w:rsid w:val="002F5E05"/>
    <w:rsid w:val="00306A7B"/>
    <w:rsid w:val="00307A76"/>
    <w:rsid w:val="00315020"/>
    <w:rsid w:val="00315A16"/>
    <w:rsid w:val="00316526"/>
    <w:rsid w:val="00317053"/>
    <w:rsid w:val="0032109C"/>
    <w:rsid w:val="00321A36"/>
    <w:rsid w:val="00321CA8"/>
    <w:rsid w:val="003225F0"/>
    <w:rsid w:val="00322B45"/>
    <w:rsid w:val="00323809"/>
    <w:rsid w:val="00323D41"/>
    <w:rsid w:val="00325414"/>
    <w:rsid w:val="00327031"/>
    <w:rsid w:val="0033022B"/>
    <w:rsid w:val="003302F1"/>
    <w:rsid w:val="003310D1"/>
    <w:rsid w:val="003312DC"/>
    <w:rsid w:val="00331E78"/>
    <w:rsid w:val="0034322F"/>
    <w:rsid w:val="0034470E"/>
    <w:rsid w:val="003463AB"/>
    <w:rsid w:val="003466E3"/>
    <w:rsid w:val="00346F10"/>
    <w:rsid w:val="003474D8"/>
    <w:rsid w:val="00347F13"/>
    <w:rsid w:val="0035214F"/>
    <w:rsid w:val="00352DB0"/>
    <w:rsid w:val="00356E13"/>
    <w:rsid w:val="00357AFC"/>
    <w:rsid w:val="00361063"/>
    <w:rsid w:val="00361C19"/>
    <w:rsid w:val="00362BEF"/>
    <w:rsid w:val="003640E9"/>
    <w:rsid w:val="0036768C"/>
    <w:rsid w:val="0037094A"/>
    <w:rsid w:val="00370A39"/>
    <w:rsid w:val="00371ED3"/>
    <w:rsid w:val="00372FFC"/>
    <w:rsid w:val="0037398B"/>
    <w:rsid w:val="0037728A"/>
    <w:rsid w:val="00380B7D"/>
    <w:rsid w:val="00380C11"/>
    <w:rsid w:val="00381A99"/>
    <w:rsid w:val="003829C2"/>
    <w:rsid w:val="003830B2"/>
    <w:rsid w:val="00384724"/>
    <w:rsid w:val="00385825"/>
    <w:rsid w:val="0039011A"/>
    <w:rsid w:val="003919B7"/>
    <w:rsid w:val="00391D57"/>
    <w:rsid w:val="00392292"/>
    <w:rsid w:val="0039424D"/>
    <w:rsid w:val="003944AD"/>
    <w:rsid w:val="00394F45"/>
    <w:rsid w:val="0039788C"/>
    <w:rsid w:val="003A5927"/>
    <w:rsid w:val="003A7E0F"/>
    <w:rsid w:val="003B1017"/>
    <w:rsid w:val="003B210F"/>
    <w:rsid w:val="003B3C07"/>
    <w:rsid w:val="003B3F67"/>
    <w:rsid w:val="003B4887"/>
    <w:rsid w:val="003B6081"/>
    <w:rsid w:val="003B6775"/>
    <w:rsid w:val="003B726E"/>
    <w:rsid w:val="003C24E1"/>
    <w:rsid w:val="003C5FE2"/>
    <w:rsid w:val="003D05FB"/>
    <w:rsid w:val="003D0DA7"/>
    <w:rsid w:val="003D1B16"/>
    <w:rsid w:val="003D3D3D"/>
    <w:rsid w:val="003D45BF"/>
    <w:rsid w:val="003D508A"/>
    <w:rsid w:val="003D537F"/>
    <w:rsid w:val="003D6D66"/>
    <w:rsid w:val="003D7B15"/>
    <w:rsid w:val="003D7B75"/>
    <w:rsid w:val="003E0208"/>
    <w:rsid w:val="003E0434"/>
    <w:rsid w:val="003E0E62"/>
    <w:rsid w:val="003E4B57"/>
    <w:rsid w:val="003F0340"/>
    <w:rsid w:val="003F08E5"/>
    <w:rsid w:val="003F27E1"/>
    <w:rsid w:val="003F437A"/>
    <w:rsid w:val="003F44BE"/>
    <w:rsid w:val="003F4809"/>
    <w:rsid w:val="003F4E2B"/>
    <w:rsid w:val="003F59DD"/>
    <w:rsid w:val="003F5C2B"/>
    <w:rsid w:val="003F7187"/>
    <w:rsid w:val="004019DC"/>
    <w:rsid w:val="00402240"/>
    <w:rsid w:val="004023E9"/>
    <w:rsid w:val="00402729"/>
    <w:rsid w:val="0040454A"/>
    <w:rsid w:val="00410579"/>
    <w:rsid w:val="00410F4B"/>
    <w:rsid w:val="00413F83"/>
    <w:rsid w:val="00414906"/>
    <w:rsid w:val="0041490C"/>
    <w:rsid w:val="00416191"/>
    <w:rsid w:val="00416721"/>
    <w:rsid w:val="0041706C"/>
    <w:rsid w:val="004200B5"/>
    <w:rsid w:val="00421EF0"/>
    <w:rsid w:val="004224FA"/>
    <w:rsid w:val="00423D07"/>
    <w:rsid w:val="00424DCE"/>
    <w:rsid w:val="00425B97"/>
    <w:rsid w:val="00427936"/>
    <w:rsid w:val="00430CEF"/>
    <w:rsid w:val="00433F5D"/>
    <w:rsid w:val="00435D32"/>
    <w:rsid w:val="00437740"/>
    <w:rsid w:val="00441512"/>
    <w:rsid w:val="004415F2"/>
    <w:rsid w:val="0044346F"/>
    <w:rsid w:val="00444294"/>
    <w:rsid w:val="00453FF6"/>
    <w:rsid w:val="004551D7"/>
    <w:rsid w:val="004556E4"/>
    <w:rsid w:val="004569F7"/>
    <w:rsid w:val="00456D7A"/>
    <w:rsid w:val="00457522"/>
    <w:rsid w:val="00460391"/>
    <w:rsid w:val="004634E8"/>
    <w:rsid w:val="0046520A"/>
    <w:rsid w:val="004672AB"/>
    <w:rsid w:val="004714FE"/>
    <w:rsid w:val="00477BAA"/>
    <w:rsid w:val="0048145A"/>
    <w:rsid w:val="00484D24"/>
    <w:rsid w:val="00485533"/>
    <w:rsid w:val="00486DE0"/>
    <w:rsid w:val="00495053"/>
    <w:rsid w:val="00495B36"/>
    <w:rsid w:val="00496ABA"/>
    <w:rsid w:val="004974BF"/>
    <w:rsid w:val="004A1F59"/>
    <w:rsid w:val="004A2632"/>
    <w:rsid w:val="004A29BE"/>
    <w:rsid w:val="004A2B3C"/>
    <w:rsid w:val="004A3225"/>
    <w:rsid w:val="004A33EE"/>
    <w:rsid w:val="004A3AA8"/>
    <w:rsid w:val="004A5014"/>
    <w:rsid w:val="004B0507"/>
    <w:rsid w:val="004B0F22"/>
    <w:rsid w:val="004B13C7"/>
    <w:rsid w:val="004B778F"/>
    <w:rsid w:val="004C0609"/>
    <w:rsid w:val="004C1468"/>
    <w:rsid w:val="004C16C8"/>
    <w:rsid w:val="004C6913"/>
    <w:rsid w:val="004D12ED"/>
    <w:rsid w:val="004D141F"/>
    <w:rsid w:val="004D2742"/>
    <w:rsid w:val="004D5249"/>
    <w:rsid w:val="004D6310"/>
    <w:rsid w:val="004D7496"/>
    <w:rsid w:val="004E0062"/>
    <w:rsid w:val="004E05A1"/>
    <w:rsid w:val="004E0FB4"/>
    <w:rsid w:val="004E130A"/>
    <w:rsid w:val="004F472A"/>
    <w:rsid w:val="004F5E57"/>
    <w:rsid w:val="004F6710"/>
    <w:rsid w:val="00500C3E"/>
    <w:rsid w:val="00502849"/>
    <w:rsid w:val="00504334"/>
    <w:rsid w:val="0050498D"/>
    <w:rsid w:val="00505B35"/>
    <w:rsid w:val="00506515"/>
    <w:rsid w:val="005104D7"/>
    <w:rsid w:val="00510B9E"/>
    <w:rsid w:val="005145E3"/>
    <w:rsid w:val="005173DA"/>
    <w:rsid w:val="0052099A"/>
    <w:rsid w:val="00523FA0"/>
    <w:rsid w:val="00530615"/>
    <w:rsid w:val="00530E4A"/>
    <w:rsid w:val="00532338"/>
    <w:rsid w:val="00532981"/>
    <w:rsid w:val="00532CD1"/>
    <w:rsid w:val="00533FD9"/>
    <w:rsid w:val="005348FF"/>
    <w:rsid w:val="00536BC2"/>
    <w:rsid w:val="0054011B"/>
    <w:rsid w:val="005425E1"/>
    <w:rsid w:val="005427C5"/>
    <w:rsid w:val="00542CF6"/>
    <w:rsid w:val="005444C1"/>
    <w:rsid w:val="00544702"/>
    <w:rsid w:val="00547212"/>
    <w:rsid w:val="00553C03"/>
    <w:rsid w:val="00556220"/>
    <w:rsid w:val="005602D5"/>
    <w:rsid w:val="005609DA"/>
    <w:rsid w:val="00563692"/>
    <w:rsid w:val="00563BC5"/>
    <w:rsid w:val="005714E2"/>
    <w:rsid w:val="00571679"/>
    <w:rsid w:val="00576C9B"/>
    <w:rsid w:val="00577B81"/>
    <w:rsid w:val="00577D59"/>
    <w:rsid w:val="005826D9"/>
    <w:rsid w:val="00582846"/>
    <w:rsid w:val="005844E7"/>
    <w:rsid w:val="005850DB"/>
    <w:rsid w:val="005908B8"/>
    <w:rsid w:val="00591ADD"/>
    <w:rsid w:val="0059512E"/>
    <w:rsid w:val="0059612C"/>
    <w:rsid w:val="005A0290"/>
    <w:rsid w:val="005A17B3"/>
    <w:rsid w:val="005A36FF"/>
    <w:rsid w:val="005A6DD2"/>
    <w:rsid w:val="005A7896"/>
    <w:rsid w:val="005B41FD"/>
    <w:rsid w:val="005B4775"/>
    <w:rsid w:val="005B7135"/>
    <w:rsid w:val="005C0941"/>
    <w:rsid w:val="005C1B12"/>
    <w:rsid w:val="005C1C36"/>
    <w:rsid w:val="005C2B9E"/>
    <w:rsid w:val="005C385D"/>
    <w:rsid w:val="005C4290"/>
    <w:rsid w:val="005C5FAB"/>
    <w:rsid w:val="005D0F55"/>
    <w:rsid w:val="005D1CB4"/>
    <w:rsid w:val="005D1FA4"/>
    <w:rsid w:val="005D3A72"/>
    <w:rsid w:val="005D3B20"/>
    <w:rsid w:val="005D7FEA"/>
    <w:rsid w:val="005E4759"/>
    <w:rsid w:val="005E575A"/>
    <w:rsid w:val="005E5C68"/>
    <w:rsid w:val="005E65C0"/>
    <w:rsid w:val="005E6A84"/>
    <w:rsid w:val="005E7AB7"/>
    <w:rsid w:val="005F0390"/>
    <w:rsid w:val="005F3916"/>
    <w:rsid w:val="005F6A79"/>
    <w:rsid w:val="00605BED"/>
    <w:rsid w:val="00605E44"/>
    <w:rsid w:val="006072CD"/>
    <w:rsid w:val="00612023"/>
    <w:rsid w:val="00614190"/>
    <w:rsid w:val="00614387"/>
    <w:rsid w:val="006148BA"/>
    <w:rsid w:val="00620037"/>
    <w:rsid w:val="00621DE6"/>
    <w:rsid w:val="00622A7C"/>
    <w:rsid w:val="00622A99"/>
    <w:rsid w:val="00622E67"/>
    <w:rsid w:val="0062326C"/>
    <w:rsid w:val="00626B57"/>
    <w:rsid w:val="00626EDC"/>
    <w:rsid w:val="00627870"/>
    <w:rsid w:val="00631FBA"/>
    <w:rsid w:val="00633722"/>
    <w:rsid w:val="00641323"/>
    <w:rsid w:val="00641F97"/>
    <w:rsid w:val="006429C7"/>
    <w:rsid w:val="00645D67"/>
    <w:rsid w:val="00645D8D"/>
    <w:rsid w:val="006464FC"/>
    <w:rsid w:val="006470EC"/>
    <w:rsid w:val="00651537"/>
    <w:rsid w:val="006542D6"/>
    <w:rsid w:val="0065598E"/>
    <w:rsid w:val="00655AF2"/>
    <w:rsid w:val="00655BC5"/>
    <w:rsid w:val="006568BE"/>
    <w:rsid w:val="00657F7C"/>
    <w:rsid w:val="00660243"/>
    <w:rsid w:val="0066025D"/>
    <w:rsid w:val="0066091A"/>
    <w:rsid w:val="0066216A"/>
    <w:rsid w:val="00666F45"/>
    <w:rsid w:val="00667B3C"/>
    <w:rsid w:val="00670FA7"/>
    <w:rsid w:val="00672382"/>
    <w:rsid w:val="006726BF"/>
    <w:rsid w:val="00672EA7"/>
    <w:rsid w:val="0067379F"/>
    <w:rsid w:val="00676443"/>
    <w:rsid w:val="006773EC"/>
    <w:rsid w:val="00680093"/>
    <w:rsid w:val="00680504"/>
    <w:rsid w:val="00681CD9"/>
    <w:rsid w:val="00681E4B"/>
    <w:rsid w:val="00683E30"/>
    <w:rsid w:val="00687024"/>
    <w:rsid w:val="006871A2"/>
    <w:rsid w:val="00695E22"/>
    <w:rsid w:val="0069709D"/>
    <w:rsid w:val="006A4246"/>
    <w:rsid w:val="006B1EB9"/>
    <w:rsid w:val="006B2CBA"/>
    <w:rsid w:val="006B7093"/>
    <w:rsid w:val="006B7417"/>
    <w:rsid w:val="006C35B8"/>
    <w:rsid w:val="006C4014"/>
    <w:rsid w:val="006C47D4"/>
    <w:rsid w:val="006C4DF7"/>
    <w:rsid w:val="006D0C86"/>
    <w:rsid w:val="006D275B"/>
    <w:rsid w:val="006D3691"/>
    <w:rsid w:val="006D4F89"/>
    <w:rsid w:val="006E1968"/>
    <w:rsid w:val="006E2EFC"/>
    <w:rsid w:val="006E4B21"/>
    <w:rsid w:val="006E5EF0"/>
    <w:rsid w:val="006E61B6"/>
    <w:rsid w:val="006E6B8D"/>
    <w:rsid w:val="006F0EE8"/>
    <w:rsid w:val="006F1E53"/>
    <w:rsid w:val="006F3563"/>
    <w:rsid w:val="006F42B9"/>
    <w:rsid w:val="006F6103"/>
    <w:rsid w:val="007040F0"/>
    <w:rsid w:val="00704A73"/>
    <w:rsid w:val="00704E00"/>
    <w:rsid w:val="00706BC9"/>
    <w:rsid w:val="00707CD2"/>
    <w:rsid w:val="00710EB5"/>
    <w:rsid w:val="00713C62"/>
    <w:rsid w:val="007209E7"/>
    <w:rsid w:val="007233A3"/>
    <w:rsid w:val="007248C5"/>
    <w:rsid w:val="00726182"/>
    <w:rsid w:val="00727635"/>
    <w:rsid w:val="00732329"/>
    <w:rsid w:val="007337CA"/>
    <w:rsid w:val="00734CE4"/>
    <w:rsid w:val="00735123"/>
    <w:rsid w:val="00741837"/>
    <w:rsid w:val="007424C1"/>
    <w:rsid w:val="00742796"/>
    <w:rsid w:val="00745049"/>
    <w:rsid w:val="007453E6"/>
    <w:rsid w:val="0074550E"/>
    <w:rsid w:val="00753B0A"/>
    <w:rsid w:val="00755C21"/>
    <w:rsid w:val="0076137C"/>
    <w:rsid w:val="00770EA6"/>
    <w:rsid w:val="0077309D"/>
    <w:rsid w:val="007737A0"/>
    <w:rsid w:val="00774BD2"/>
    <w:rsid w:val="007774EE"/>
    <w:rsid w:val="00781822"/>
    <w:rsid w:val="00782372"/>
    <w:rsid w:val="0078338C"/>
    <w:rsid w:val="00783F21"/>
    <w:rsid w:val="00787159"/>
    <w:rsid w:val="0078797B"/>
    <w:rsid w:val="0079043A"/>
    <w:rsid w:val="00791668"/>
    <w:rsid w:val="00791AA1"/>
    <w:rsid w:val="00797F8A"/>
    <w:rsid w:val="007A0121"/>
    <w:rsid w:val="007A0717"/>
    <w:rsid w:val="007A1452"/>
    <w:rsid w:val="007A3793"/>
    <w:rsid w:val="007A4906"/>
    <w:rsid w:val="007A641A"/>
    <w:rsid w:val="007A7A60"/>
    <w:rsid w:val="007B0DBE"/>
    <w:rsid w:val="007B347F"/>
    <w:rsid w:val="007B37B8"/>
    <w:rsid w:val="007B3FC0"/>
    <w:rsid w:val="007C1BA2"/>
    <w:rsid w:val="007C20FD"/>
    <w:rsid w:val="007C25AC"/>
    <w:rsid w:val="007C2B48"/>
    <w:rsid w:val="007C4C8D"/>
    <w:rsid w:val="007D20E9"/>
    <w:rsid w:val="007D7881"/>
    <w:rsid w:val="007D7E3A"/>
    <w:rsid w:val="007E03FE"/>
    <w:rsid w:val="007E0E10"/>
    <w:rsid w:val="007E0FE5"/>
    <w:rsid w:val="007E1FD9"/>
    <w:rsid w:val="007E330B"/>
    <w:rsid w:val="007E4768"/>
    <w:rsid w:val="007E6832"/>
    <w:rsid w:val="007E777B"/>
    <w:rsid w:val="007F0083"/>
    <w:rsid w:val="007F1033"/>
    <w:rsid w:val="007F1446"/>
    <w:rsid w:val="007F1E61"/>
    <w:rsid w:val="007F2070"/>
    <w:rsid w:val="007F48F5"/>
    <w:rsid w:val="00801F2C"/>
    <w:rsid w:val="00804C3E"/>
    <w:rsid w:val="008053F5"/>
    <w:rsid w:val="00805E4A"/>
    <w:rsid w:val="00807AF7"/>
    <w:rsid w:val="00807C54"/>
    <w:rsid w:val="00810198"/>
    <w:rsid w:val="00810226"/>
    <w:rsid w:val="008106C1"/>
    <w:rsid w:val="00810BC8"/>
    <w:rsid w:val="0081308B"/>
    <w:rsid w:val="00815600"/>
    <w:rsid w:val="0081588F"/>
    <w:rsid w:val="00815DA8"/>
    <w:rsid w:val="0082194D"/>
    <w:rsid w:val="00821EA7"/>
    <w:rsid w:val="008221F9"/>
    <w:rsid w:val="00825897"/>
    <w:rsid w:val="00826EF5"/>
    <w:rsid w:val="00830727"/>
    <w:rsid w:val="00831693"/>
    <w:rsid w:val="008346ED"/>
    <w:rsid w:val="00840104"/>
    <w:rsid w:val="00840C1F"/>
    <w:rsid w:val="00841FC5"/>
    <w:rsid w:val="00845709"/>
    <w:rsid w:val="008479A6"/>
    <w:rsid w:val="00847E2D"/>
    <w:rsid w:val="00851597"/>
    <w:rsid w:val="00852FED"/>
    <w:rsid w:val="00854D73"/>
    <w:rsid w:val="0085652B"/>
    <w:rsid w:val="0085697F"/>
    <w:rsid w:val="008576BD"/>
    <w:rsid w:val="00860463"/>
    <w:rsid w:val="00864357"/>
    <w:rsid w:val="0086760B"/>
    <w:rsid w:val="00872DD5"/>
    <w:rsid w:val="008733DA"/>
    <w:rsid w:val="0087410D"/>
    <w:rsid w:val="008752F9"/>
    <w:rsid w:val="00875E8D"/>
    <w:rsid w:val="00876A7A"/>
    <w:rsid w:val="00880B64"/>
    <w:rsid w:val="00882B6B"/>
    <w:rsid w:val="00883C13"/>
    <w:rsid w:val="00885008"/>
    <w:rsid w:val="008850E4"/>
    <w:rsid w:val="0089046A"/>
    <w:rsid w:val="0089098A"/>
    <w:rsid w:val="008926F5"/>
    <w:rsid w:val="008939AB"/>
    <w:rsid w:val="008965EF"/>
    <w:rsid w:val="008978FD"/>
    <w:rsid w:val="008A0A0D"/>
    <w:rsid w:val="008A12F5"/>
    <w:rsid w:val="008A2E29"/>
    <w:rsid w:val="008A653C"/>
    <w:rsid w:val="008B08DC"/>
    <w:rsid w:val="008B1587"/>
    <w:rsid w:val="008B1B01"/>
    <w:rsid w:val="008B3BCD"/>
    <w:rsid w:val="008B615A"/>
    <w:rsid w:val="008B6DF8"/>
    <w:rsid w:val="008C106C"/>
    <w:rsid w:val="008C10F1"/>
    <w:rsid w:val="008C1926"/>
    <w:rsid w:val="008C1E99"/>
    <w:rsid w:val="008C3F10"/>
    <w:rsid w:val="008C40C7"/>
    <w:rsid w:val="008C411B"/>
    <w:rsid w:val="008C421A"/>
    <w:rsid w:val="008D1A29"/>
    <w:rsid w:val="008D2B0D"/>
    <w:rsid w:val="008D45A3"/>
    <w:rsid w:val="008D4BA2"/>
    <w:rsid w:val="008D4FDD"/>
    <w:rsid w:val="008D7107"/>
    <w:rsid w:val="008E0085"/>
    <w:rsid w:val="008E2AA6"/>
    <w:rsid w:val="008E311B"/>
    <w:rsid w:val="008E4DE6"/>
    <w:rsid w:val="008E4E12"/>
    <w:rsid w:val="008E66F5"/>
    <w:rsid w:val="008F25B8"/>
    <w:rsid w:val="008F46E7"/>
    <w:rsid w:val="008F6F0B"/>
    <w:rsid w:val="00900328"/>
    <w:rsid w:val="0090219F"/>
    <w:rsid w:val="00903745"/>
    <w:rsid w:val="00903D41"/>
    <w:rsid w:val="00907BA7"/>
    <w:rsid w:val="00907C90"/>
    <w:rsid w:val="0091064E"/>
    <w:rsid w:val="00910BB1"/>
    <w:rsid w:val="00911327"/>
    <w:rsid w:val="00911FC5"/>
    <w:rsid w:val="00912F23"/>
    <w:rsid w:val="0091318B"/>
    <w:rsid w:val="00915B92"/>
    <w:rsid w:val="00916DFD"/>
    <w:rsid w:val="00917CE8"/>
    <w:rsid w:val="00925D53"/>
    <w:rsid w:val="00927E12"/>
    <w:rsid w:val="00931A10"/>
    <w:rsid w:val="00935749"/>
    <w:rsid w:val="00935883"/>
    <w:rsid w:val="0093596F"/>
    <w:rsid w:val="00936A69"/>
    <w:rsid w:val="00936D2E"/>
    <w:rsid w:val="00937B25"/>
    <w:rsid w:val="00942A44"/>
    <w:rsid w:val="00942C21"/>
    <w:rsid w:val="0094652E"/>
    <w:rsid w:val="00947589"/>
    <w:rsid w:val="00947967"/>
    <w:rsid w:val="0095036A"/>
    <w:rsid w:val="009507C1"/>
    <w:rsid w:val="00951744"/>
    <w:rsid w:val="00951E09"/>
    <w:rsid w:val="00955201"/>
    <w:rsid w:val="009558A8"/>
    <w:rsid w:val="00961972"/>
    <w:rsid w:val="00963504"/>
    <w:rsid w:val="00964B5E"/>
    <w:rsid w:val="00965200"/>
    <w:rsid w:val="009668B3"/>
    <w:rsid w:val="00970C05"/>
    <w:rsid w:val="00971471"/>
    <w:rsid w:val="00972F99"/>
    <w:rsid w:val="00974E4C"/>
    <w:rsid w:val="00984101"/>
    <w:rsid w:val="0098419B"/>
    <w:rsid w:val="009849C2"/>
    <w:rsid w:val="00984D24"/>
    <w:rsid w:val="009858EB"/>
    <w:rsid w:val="009A3F47"/>
    <w:rsid w:val="009B0046"/>
    <w:rsid w:val="009B45B1"/>
    <w:rsid w:val="009B576A"/>
    <w:rsid w:val="009B7179"/>
    <w:rsid w:val="009C1440"/>
    <w:rsid w:val="009C2107"/>
    <w:rsid w:val="009C4498"/>
    <w:rsid w:val="009C5D9E"/>
    <w:rsid w:val="009D2C3E"/>
    <w:rsid w:val="009E0625"/>
    <w:rsid w:val="009E20A5"/>
    <w:rsid w:val="009E26D0"/>
    <w:rsid w:val="009E3021"/>
    <w:rsid w:val="009E3034"/>
    <w:rsid w:val="009E549F"/>
    <w:rsid w:val="009E5877"/>
    <w:rsid w:val="009E6545"/>
    <w:rsid w:val="009F1DE6"/>
    <w:rsid w:val="009F1EE3"/>
    <w:rsid w:val="009F28A8"/>
    <w:rsid w:val="009F473E"/>
    <w:rsid w:val="009F682A"/>
    <w:rsid w:val="009F7E5A"/>
    <w:rsid w:val="00A00A08"/>
    <w:rsid w:val="00A022BE"/>
    <w:rsid w:val="00A05349"/>
    <w:rsid w:val="00A060EE"/>
    <w:rsid w:val="00A073E5"/>
    <w:rsid w:val="00A07B4B"/>
    <w:rsid w:val="00A11164"/>
    <w:rsid w:val="00A13BD0"/>
    <w:rsid w:val="00A15739"/>
    <w:rsid w:val="00A16B3F"/>
    <w:rsid w:val="00A170A0"/>
    <w:rsid w:val="00A20BB2"/>
    <w:rsid w:val="00A2243B"/>
    <w:rsid w:val="00A22C58"/>
    <w:rsid w:val="00A23AE4"/>
    <w:rsid w:val="00A24C95"/>
    <w:rsid w:val="00A2599A"/>
    <w:rsid w:val="00A26094"/>
    <w:rsid w:val="00A278E0"/>
    <w:rsid w:val="00A27B86"/>
    <w:rsid w:val="00A301BF"/>
    <w:rsid w:val="00A302B2"/>
    <w:rsid w:val="00A306F0"/>
    <w:rsid w:val="00A32284"/>
    <w:rsid w:val="00A331B4"/>
    <w:rsid w:val="00A3484E"/>
    <w:rsid w:val="00A356D3"/>
    <w:rsid w:val="00A36ADA"/>
    <w:rsid w:val="00A438D8"/>
    <w:rsid w:val="00A43D96"/>
    <w:rsid w:val="00A44FF5"/>
    <w:rsid w:val="00A46F1C"/>
    <w:rsid w:val="00A46FAB"/>
    <w:rsid w:val="00A473F5"/>
    <w:rsid w:val="00A51F9D"/>
    <w:rsid w:val="00A5416A"/>
    <w:rsid w:val="00A54194"/>
    <w:rsid w:val="00A560C0"/>
    <w:rsid w:val="00A560C7"/>
    <w:rsid w:val="00A60D4F"/>
    <w:rsid w:val="00A639F4"/>
    <w:rsid w:val="00A65615"/>
    <w:rsid w:val="00A664B7"/>
    <w:rsid w:val="00A77C51"/>
    <w:rsid w:val="00A81A32"/>
    <w:rsid w:val="00A83515"/>
    <w:rsid w:val="00A835BD"/>
    <w:rsid w:val="00A83EA8"/>
    <w:rsid w:val="00A8668E"/>
    <w:rsid w:val="00A86B92"/>
    <w:rsid w:val="00A92ED0"/>
    <w:rsid w:val="00A92FDB"/>
    <w:rsid w:val="00A960F6"/>
    <w:rsid w:val="00A97687"/>
    <w:rsid w:val="00A97B15"/>
    <w:rsid w:val="00AA42D5"/>
    <w:rsid w:val="00AA5198"/>
    <w:rsid w:val="00AA5CCF"/>
    <w:rsid w:val="00AA72C7"/>
    <w:rsid w:val="00AB2FAB"/>
    <w:rsid w:val="00AB3D82"/>
    <w:rsid w:val="00AB5C14"/>
    <w:rsid w:val="00AC1921"/>
    <w:rsid w:val="00AC1E16"/>
    <w:rsid w:val="00AC1EE7"/>
    <w:rsid w:val="00AC333F"/>
    <w:rsid w:val="00AC5225"/>
    <w:rsid w:val="00AC585C"/>
    <w:rsid w:val="00AC5BB6"/>
    <w:rsid w:val="00AC5E78"/>
    <w:rsid w:val="00AC74F8"/>
    <w:rsid w:val="00AD1925"/>
    <w:rsid w:val="00AD7E5D"/>
    <w:rsid w:val="00AE002B"/>
    <w:rsid w:val="00AE067D"/>
    <w:rsid w:val="00AE0851"/>
    <w:rsid w:val="00AE1EBA"/>
    <w:rsid w:val="00AE238B"/>
    <w:rsid w:val="00AE4EC6"/>
    <w:rsid w:val="00AE5013"/>
    <w:rsid w:val="00AF109B"/>
    <w:rsid w:val="00AF1181"/>
    <w:rsid w:val="00AF250F"/>
    <w:rsid w:val="00AF2F79"/>
    <w:rsid w:val="00AF3A5E"/>
    <w:rsid w:val="00AF4653"/>
    <w:rsid w:val="00AF7DB7"/>
    <w:rsid w:val="00B061BD"/>
    <w:rsid w:val="00B10D02"/>
    <w:rsid w:val="00B11655"/>
    <w:rsid w:val="00B14229"/>
    <w:rsid w:val="00B14C4C"/>
    <w:rsid w:val="00B15167"/>
    <w:rsid w:val="00B1521A"/>
    <w:rsid w:val="00B157C2"/>
    <w:rsid w:val="00B15C97"/>
    <w:rsid w:val="00B16B24"/>
    <w:rsid w:val="00B1742A"/>
    <w:rsid w:val="00B201E2"/>
    <w:rsid w:val="00B20E3A"/>
    <w:rsid w:val="00B21A1A"/>
    <w:rsid w:val="00B23C4D"/>
    <w:rsid w:val="00B26812"/>
    <w:rsid w:val="00B30478"/>
    <w:rsid w:val="00B3091E"/>
    <w:rsid w:val="00B3374B"/>
    <w:rsid w:val="00B34502"/>
    <w:rsid w:val="00B37D65"/>
    <w:rsid w:val="00B443E4"/>
    <w:rsid w:val="00B51698"/>
    <w:rsid w:val="00B5249B"/>
    <w:rsid w:val="00B52785"/>
    <w:rsid w:val="00B546B6"/>
    <w:rsid w:val="00B5484D"/>
    <w:rsid w:val="00B55A0B"/>
    <w:rsid w:val="00B563EA"/>
    <w:rsid w:val="00B56CDF"/>
    <w:rsid w:val="00B609BA"/>
    <w:rsid w:val="00B60E51"/>
    <w:rsid w:val="00B628C8"/>
    <w:rsid w:val="00B63A54"/>
    <w:rsid w:val="00B73975"/>
    <w:rsid w:val="00B742B1"/>
    <w:rsid w:val="00B749CA"/>
    <w:rsid w:val="00B77D18"/>
    <w:rsid w:val="00B80783"/>
    <w:rsid w:val="00B82393"/>
    <w:rsid w:val="00B8313A"/>
    <w:rsid w:val="00B858BC"/>
    <w:rsid w:val="00B86C3B"/>
    <w:rsid w:val="00B87514"/>
    <w:rsid w:val="00B87560"/>
    <w:rsid w:val="00B93503"/>
    <w:rsid w:val="00B962D1"/>
    <w:rsid w:val="00B97BE6"/>
    <w:rsid w:val="00B97EC4"/>
    <w:rsid w:val="00BA19AE"/>
    <w:rsid w:val="00BA31E8"/>
    <w:rsid w:val="00BA55E0"/>
    <w:rsid w:val="00BA6521"/>
    <w:rsid w:val="00BA6BD4"/>
    <w:rsid w:val="00BA6C7A"/>
    <w:rsid w:val="00BA7088"/>
    <w:rsid w:val="00BA7568"/>
    <w:rsid w:val="00BB1396"/>
    <w:rsid w:val="00BB17D1"/>
    <w:rsid w:val="00BB3752"/>
    <w:rsid w:val="00BB6688"/>
    <w:rsid w:val="00BB732E"/>
    <w:rsid w:val="00BB7DB8"/>
    <w:rsid w:val="00BC26D4"/>
    <w:rsid w:val="00BD0BE6"/>
    <w:rsid w:val="00BD313B"/>
    <w:rsid w:val="00BD3FBF"/>
    <w:rsid w:val="00BE0C80"/>
    <w:rsid w:val="00BE229A"/>
    <w:rsid w:val="00BE3133"/>
    <w:rsid w:val="00BE7CB2"/>
    <w:rsid w:val="00BF0944"/>
    <w:rsid w:val="00BF2A42"/>
    <w:rsid w:val="00BF6AF1"/>
    <w:rsid w:val="00C03D8C"/>
    <w:rsid w:val="00C04CA1"/>
    <w:rsid w:val="00C055EC"/>
    <w:rsid w:val="00C10DC9"/>
    <w:rsid w:val="00C12FB3"/>
    <w:rsid w:val="00C1371C"/>
    <w:rsid w:val="00C14DDB"/>
    <w:rsid w:val="00C1631B"/>
    <w:rsid w:val="00C17341"/>
    <w:rsid w:val="00C2019E"/>
    <w:rsid w:val="00C2399D"/>
    <w:rsid w:val="00C2495B"/>
    <w:rsid w:val="00C24EEF"/>
    <w:rsid w:val="00C251FB"/>
    <w:rsid w:val="00C25CF6"/>
    <w:rsid w:val="00C25DE7"/>
    <w:rsid w:val="00C26C36"/>
    <w:rsid w:val="00C274AD"/>
    <w:rsid w:val="00C27E46"/>
    <w:rsid w:val="00C30170"/>
    <w:rsid w:val="00C32768"/>
    <w:rsid w:val="00C32EF5"/>
    <w:rsid w:val="00C33FCC"/>
    <w:rsid w:val="00C340AD"/>
    <w:rsid w:val="00C427D7"/>
    <w:rsid w:val="00C431D8"/>
    <w:rsid w:val="00C431DF"/>
    <w:rsid w:val="00C435A5"/>
    <w:rsid w:val="00C452CB"/>
    <w:rsid w:val="00C456BD"/>
    <w:rsid w:val="00C45A16"/>
    <w:rsid w:val="00C45AB0"/>
    <w:rsid w:val="00C50F69"/>
    <w:rsid w:val="00C530DC"/>
    <w:rsid w:val="00C5350D"/>
    <w:rsid w:val="00C56464"/>
    <w:rsid w:val="00C56F69"/>
    <w:rsid w:val="00C60B43"/>
    <w:rsid w:val="00C6123C"/>
    <w:rsid w:val="00C615C0"/>
    <w:rsid w:val="00C6311A"/>
    <w:rsid w:val="00C65279"/>
    <w:rsid w:val="00C7084D"/>
    <w:rsid w:val="00C72117"/>
    <w:rsid w:val="00C7315E"/>
    <w:rsid w:val="00C75895"/>
    <w:rsid w:val="00C83C9F"/>
    <w:rsid w:val="00C93E89"/>
    <w:rsid w:val="00C94840"/>
    <w:rsid w:val="00C9495A"/>
    <w:rsid w:val="00CA08AA"/>
    <w:rsid w:val="00CA19D2"/>
    <w:rsid w:val="00CA3095"/>
    <w:rsid w:val="00CA4EE3"/>
    <w:rsid w:val="00CA7D42"/>
    <w:rsid w:val="00CB027F"/>
    <w:rsid w:val="00CB2B60"/>
    <w:rsid w:val="00CB403E"/>
    <w:rsid w:val="00CC016B"/>
    <w:rsid w:val="00CC0482"/>
    <w:rsid w:val="00CC0EBB"/>
    <w:rsid w:val="00CC25F8"/>
    <w:rsid w:val="00CC288B"/>
    <w:rsid w:val="00CC4778"/>
    <w:rsid w:val="00CC5A63"/>
    <w:rsid w:val="00CC6001"/>
    <w:rsid w:val="00CC6297"/>
    <w:rsid w:val="00CC68E1"/>
    <w:rsid w:val="00CC7690"/>
    <w:rsid w:val="00CD13E4"/>
    <w:rsid w:val="00CD149F"/>
    <w:rsid w:val="00CD1986"/>
    <w:rsid w:val="00CD2107"/>
    <w:rsid w:val="00CD54BF"/>
    <w:rsid w:val="00CD590E"/>
    <w:rsid w:val="00CD642D"/>
    <w:rsid w:val="00CE0FEB"/>
    <w:rsid w:val="00CE27A2"/>
    <w:rsid w:val="00CE4D5C"/>
    <w:rsid w:val="00CF05DA"/>
    <w:rsid w:val="00CF187C"/>
    <w:rsid w:val="00CF5381"/>
    <w:rsid w:val="00CF58EB"/>
    <w:rsid w:val="00CF6FEC"/>
    <w:rsid w:val="00D0106E"/>
    <w:rsid w:val="00D05530"/>
    <w:rsid w:val="00D05821"/>
    <w:rsid w:val="00D06383"/>
    <w:rsid w:val="00D06615"/>
    <w:rsid w:val="00D10A27"/>
    <w:rsid w:val="00D118C2"/>
    <w:rsid w:val="00D14EEE"/>
    <w:rsid w:val="00D20E85"/>
    <w:rsid w:val="00D23EAD"/>
    <w:rsid w:val="00D24615"/>
    <w:rsid w:val="00D30B21"/>
    <w:rsid w:val="00D311C5"/>
    <w:rsid w:val="00D32F5A"/>
    <w:rsid w:val="00D33593"/>
    <w:rsid w:val="00D33E06"/>
    <w:rsid w:val="00D34BA5"/>
    <w:rsid w:val="00D35AD4"/>
    <w:rsid w:val="00D360D7"/>
    <w:rsid w:val="00D37842"/>
    <w:rsid w:val="00D40161"/>
    <w:rsid w:val="00D42DC2"/>
    <w:rsid w:val="00D42F36"/>
    <w:rsid w:val="00D4302B"/>
    <w:rsid w:val="00D45A7E"/>
    <w:rsid w:val="00D52C81"/>
    <w:rsid w:val="00D537E1"/>
    <w:rsid w:val="00D55BB2"/>
    <w:rsid w:val="00D56F6E"/>
    <w:rsid w:val="00D56FF3"/>
    <w:rsid w:val="00D6091A"/>
    <w:rsid w:val="00D61605"/>
    <w:rsid w:val="00D61898"/>
    <w:rsid w:val="00D64552"/>
    <w:rsid w:val="00D6474D"/>
    <w:rsid w:val="00D65252"/>
    <w:rsid w:val="00D6605A"/>
    <w:rsid w:val="00D6695F"/>
    <w:rsid w:val="00D66FA4"/>
    <w:rsid w:val="00D700D3"/>
    <w:rsid w:val="00D70A05"/>
    <w:rsid w:val="00D714C6"/>
    <w:rsid w:val="00D73444"/>
    <w:rsid w:val="00D75612"/>
    <w:rsid w:val="00D75644"/>
    <w:rsid w:val="00D80795"/>
    <w:rsid w:val="00D814F9"/>
    <w:rsid w:val="00D81656"/>
    <w:rsid w:val="00D83D87"/>
    <w:rsid w:val="00D84A6D"/>
    <w:rsid w:val="00D85237"/>
    <w:rsid w:val="00D85DEB"/>
    <w:rsid w:val="00D86A30"/>
    <w:rsid w:val="00D90048"/>
    <w:rsid w:val="00D90ED7"/>
    <w:rsid w:val="00D93EFC"/>
    <w:rsid w:val="00D94955"/>
    <w:rsid w:val="00D97CB4"/>
    <w:rsid w:val="00D97DD4"/>
    <w:rsid w:val="00DA0DF9"/>
    <w:rsid w:val="00DA5879"/>
    <w:rsid w:val="00DA5A8A"/>
    <w:rsid w:val="00DA6CCA"/>
    <w:rsid w:val="00DA7292"/>
    <w:rsid w:val="00DB1170"/>
    <w:rsid w:val="00DB26CD"/>
    <w:rsid w:val="00DB441C"/>
    <w:rsid w:val="00DB44AF"/>
    <w:rsid w:val="00DB5AC8"/>
    <w:rsid w:val="00DB60B4"/>
    <w:rsid w:val="00DB6EFC"/>
    <w:rsid w:val="00DB7CCE"/>
    <w:rsid w:val="00DC136D"/>
    <w:rsid w:val="00DC1F58"/>
    <w:rsid w:val="00DC339B"/>
    <w:rsid w:val="00DC54B7"/>
    <w:rsid w:val="00DC5D40"/>
    <w:rsid w:val="00DC69A7"/>
    <w:rsid w:val="00DC6BBF"/>
    <w:rsid w:val="00DD30E9"/>
    <w:rsid w:val="00DD38BB"/>
    <w:rsid w:val="00DD4F47"/>
    <w:rsid w:val="00DD7FBB"/>
    <w:rsid w:val="00DE0348"/>
    <w:rsid w:val="00DE0B9F"/>
    <w:rsid w:val="00DE18D1"/>
    <w:rsid w:val="00DE2A9E"/>
    <w:rsid w:val="00DE4238"/>
    <w:rsid w:val="00DE62EF"/>
    <w:rsid w:val="00DE657F"/>
    <w:rsid w:val="00DF1218"/>
    <w:rsid w:val="00DF13D2"/>
    <w:rsid w:val="00DF3D76"/>
    <w:rsid w:val="00DF6462"/>
    <w:rsid w:val="00DF7AFF"/>
    <w:rsid w:val="00DF7B4E"/>
    <w:rsid w:val="00E01072"/>
    <w:rsid w:val="00E02FA0"/>
    <w:rsid w:val="00E036DC"/>
    <w:rsid w:val="00E03C13"/>
    <w:rsid w:val="00E03DDE"/>
    <w:rsid w:val="00E04113"/>
    <w:rsid w:val="00E0533D"/>
    <w:rsid w:val="00E07C58"/>
    <w:rsid w:val="00E10454"/>
    <w:rsid w:val="00E112E5"/>
    <w:rsid w:val="00E122D8"/>
    <w:rsid w:val="00E12CC8"/>
    <w:rsid w:val="00E14852"/>
    <w:rsid w:val="00E15352"/>
    <w:rsid w:val="00E21CC7"/>
    <w:rsid w:val="00E24D9E"/>
    <w:rsid w:val="00E25849"/>
    <w:rsid w:val="00E25AC2"/>
    <w:rsid w:val="00E27473"/>
    <w:rsid w:val="00E27903"/>
    <w:rsid w:val="00E3197E"/>
    <w:rsid w:val="00E342F8"/>
    <w:rsid w:val="00E351ED"/>
    <w:rsid w:val="00E408C1"/>
    <w:rsid w:val="00E43D79"/>
    <w:rsid w:val="00E554FD"/>
    <w:rsid w:val="00E6034B"/>
    <w:rsid w:val="00E61898"/>
    <w:rsid w:val="00E64BB1"/>
    <w:rsid w:val="00E6549E"/>
    <w:rsid w:val="00E65EDE"/>
    <w:rsid w:val="00E67378"/>
    <w:rsid w:val="00E70200"/>
    <w:rsid w:val="00E70F81"/>
    <w:rsid w:val="00E72A0B"/>
    <w:rsid w:val="00E72D9F"/>
    <w:rsid w:val="00E75B86"/>
    <w:rsid w:val="00E75BD8"/>
    <w:rsid w:val="00E76D5B"/>
    <w:rsid w:val="00E77055"/>
    <w:rsid w:val="00E77460"/>
    <w:rsid w:val="00E77898"/>
    <w:rsid w:val="00E8011D"/>
    <w:rsid w:val="00E8154E"/>
    <w:rsid w:val="00E827F2"/>
    <w:rsid w:val="00E83ABC"/>
    <w:rsid w:val="00E8403B"/>
    <w:rsid w:val="00E844F2"/>
    <w:rsid w:val="00E874ED"/>
    <w:rsid w:val="00E90AD0"/>
    <w:rsid w:val="00E92D3F"/>
    <w:rsid w:val="00E92FCB"/>
    <w:rsid w:val="00E96144"/>
    <w:rsid w:val="00E971F1"/>
    <w:rsid w:val="00EA0859"/>
    <w:rsid w:val="00EA147F"/>
    <w:rsid w:val="00EA2264"/>
    <w:rsid w:val="00EA3934"/>
    <w:rsid w:val="00EA496C"/>
    <w:rsid w:val="00EA4A27"/>
    <w:rsid w:val="00EA4FA6"/>
    <w:rsid w:val="00EA699F"/>
    <w:rsid w:val="00EA7294"/>
    <w:rsid w:val="00EB197A"/>
    <w:rsid w:val="00EB1A25"/>
    <w:rsid w:val="00EB53E3"/>
    <w:rsid w:val="00EC3AA4"/>
    <w:rsid w:val="00EC4417"/>
    <w:rsid w:val="00EC527D"/>
    <w:rsid w:val="00EC5544"/>
    <w:rsid w:val="00EC58BA"/>
    <w:rsid w:val="00EC5E9B"/>
    <w:rsid w:val="00EC6094"/>
    <w:rsid w:val="00EC662F"/>
    <w:rsid w:val="00EC7363"/>
    <w:rsid w:val="00ED0015"/>
    <w:rsid w:val="00ED03AB"/>
    <w:rsid w:val="00ED10C3"/>
    <w:rsid w:val="00ED1963"/>
    <w:rsid w:val="00ED1CD4"/>
    <w:rsid w:val="00ED1D2B"/>
    <w:rsid w:val="00ED1D60"/>
    <w:rsid w:val="00ED23D0"/>
    <w:rsid w:val="00ED2755"/>
    <w:rsid w:val="00ED64B5"/>
    <w:rsid w:val="00ED6720"/>
    <w:rsid w:val="00ED7BC1"/>
    <w:rsid w:val="00EE057A"/>
    <w:rsid w:val="00EE3151"/>
    <w:rsid w:val="00EE7CCA"/>
    <w:rsid w:val="00EF2D29"/>
    <w:rsid w:val="00EF63F8"/>
    <w:rsid w:val="00EF6E73"/>
    <w:rsid w:val="00F01D35"/>
    <w:rsid w:val="00F10285"/>
    <w:rsid w:val="00F12533"/>
    <w:rsid w:val="00F1532D"/>
    <w:rsid w:val="00F15F27"/>
    <w:rsid w:val="00F16A14"/>
    <w:rsid w:val="00F172B1"/>
    <w:rsid w:val="00F178A2"/>
    <w:rsid w:val="00F2032B"/>
    <w:rsid w:val="00F20552"/>
    <w:rsid w:val="00F27535"/>
    <w:rsid w:val="00F27750"/>
    <w:rsid w:val="00F306B9"/>
    <w:rsid w:val="00F3254D"/>
    <w:rsid w:val="00F34049"/>
    <w:rsid w:val="00F362D7"/>
    <w:rsid w:val="00F3765A"/>
    <w:rsid w:val="00F37D7B"/>
    <w:rsid w:val="00F4008A"/>
    <w:rsid w:val="00F408C8"/>
    <w:rsid w:val="00F43F9F"/>
    <w:rsid w:val="00F450B3"/>
    <w:rsid w:val="00F46428"/>
    <w:rsid w:val="00F46C69"/>
    <w:rsid w:val="00F470E9"/>
    <w:rsid w:val="00F473A6"/>
    <w:rsid w:val="00F5314C"/>
    <w:rsid w:val="00F55C71"/>
    <w:rsid w:val="00F5688C"/>
    <w:rsid w:val="00F60048"/>
    <w:rsid w:val="00F61AF6"/>
    <w:rsid w:val="00F635DD"/>
    <w:rsid w:val="00F64EF0"/>
    <w:rsid w:val="00F6627B"/>
    <w:rsid w:val="00F7336E"/>
    <w:rsid w:val="00F734F2"/>
    <w:rsid w:val="00F75052"/>
    <w:rsid w:val="00F754D6"/>
    <w:rsid w:val="00F775A5"/>
    <w:rsid w:val="00F804D3"/>
    <w:rsid w:val="00F80872"/>
    <w:rsid w:val="00F816CB"/>
    <w:rsid w:val="00F81CD2"/>
    <w:rsid w:val="00F81F9F"/>
    <w:rsid w:val="00F82641"/>
    <w:rsid w:val="00F85675"/>
    <w:rsid w:val="00F85C42"/>
    <w:rsid w:val="00F86A7B"/>
    <w:rsid w:val="00F9037C"/>
    <w:rsid w:val="00F90E35"/>
    <w:rsid w:val="00F90F18"/>
    <w:rsid w:val="00F92F95"/>
    <w:rsid w:val="00F937E4"/>
    <w:rsid w:val="00F948D3"/>
    <w:rsid w:val="00F95EE7"/>
    <w:rsid w:val="00FA14BF"/>
    <w:rsid w:val="00FA2694"/>
    <w:rsid w:val="00FA39E6"/>
    <w:rsid w:val="00FA7BC9"/>
    <w:rsid w:val="00FB08ED"/>
    <w:rsid w:val="00FB2A3D"/>
    <w:rsid w:val="00FB378E"/>
    <w:rsid w:val="00FB37F1"/>
    <w:rsid w:val="00FB47C0"/>
    <w:rsid w:val="00FB501B"/>
    <w:rsid w:val="00FB507E"/>
    <w:rsid w:val="00FB6C9F"/>
    <w:rsid w:val="00FB70F2"/>
    <w:rsid w:val="00FB7770"/>
    <w:rsid w:val="00FC21BE"/>
    <w:rsid w:val="00FC386C"/>
    <w:rsid w:val="00FC3BE2"/>
    <w:rsid w:val="00FD016F"/>
    <w:rsid w:val="00FD310C"/>
    <w:rsid w:val="00FD3B91"/>
    <w:rsid w:val="00FD4A58"/>
    <w:rsid w:val="00FD576B"/>
    <w:rsid w:val="00FD579E"/>
    <w:rsid w:val="00FD6845"/>
    <w:rsid w:val="00FE0613"/>
    <w:rsid w:val="00FE3BD8"/>
    <w:rsid w:val="00FE4516"/>
    <w:rsid w:val="00FE492E"/>
    <w:rsid w:val="00FE59B2"/>
    <w:rsid w:val="00FE64C8"/>
    <w:rsid w:val="00FE6D01"/>
    <w:rsid w:val="00FF045B"/>
    <w:rsid w:val="00FF2DB7"/>
    <w:rsid w:val="00FF3F3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3DD423-C89E-48A2-AE75-0863582A0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aliases w:val="標題110/111"/>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aliases w:val="表格"/>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ind w:left="2041"/>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link w:val="ac"/>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6"/>
    <w:link w:val="afe"/>
    <w:uiPriority w:val="99"/>
    <w:unhideWhenUsed/>
    <w:rsid w:val="00C9495A"/>
    <w:pPr>
      <w:snapToGrid w:val="0"/>
      <w:jc w:val="left"/>
    </w:pPr>
    <w:rPr>
      <w:sz w:val="20"/>
    </w:rPr>
  </w:style>
  <w:style w:type="character" w:customStyle="1" w:styleId="afe">
    <w:name w:val="註腳文字 字元"/>
    <w:basedOn w:val="a7"/>
    <w:link w:val="afd"/>
    <w:uiPriority w:val="99"/>
    <w:rsid w:val="00C9495A"/>
    <w:rPr>
      <w:rFonts w:ascii="標楷體" w:eastAsia="標楷體"/>
      <w:kern w:val="2"/>
    </w:rPr>
  </w:style>
  <w:style w:type="character" w:styleId="aff">
    <w:name w:val="footnote reference"/>
    <w:aliases w:val="FR"/>
    <w:basedOn w:val="a7"/>
    <w:uiPriority w:val="99"/>
    <w:semiHidden/>
    <w:unhideWhenUsed/>
    <w:rsid w:val="00C9495A"/>
    <w:rPr>
      <w:vertAlign w:val="superscript"/>
    </w:rPr>
  </w:style>
  <w:style w:type="character" w:customStyle="1" w:styleId="20">
    <w:name w:val="標題 2 字元"/>
    <w:aliases w:val="標題110/111 字元"/>
    <w:basedOn w:val="a7"/>
    <w:link w:val="2"/>
    <w:rsid w:val="0076137C"/>
    <w:rPr>
      <w:rFonts w:ascii="標楷體" w:eastAsia="標楷體" w:hAnsi="Arial"/>
      <w:bCs/>
      <w:kern w:val="32"/>
      <w:sz w:val="32"/>
      <w:szCs w:val="48"/>
    </w:rPr>
  </w:style>
  <w:style w:type="character" w:customStyle="1" w:styleId="30">
    <w:name w:val="標題 3 字元"/>
    <w:basedOn w:val="a7"/>
    <w:link w:val="3"/>
    <w:rsid w:val="0076137C"/>
    <w:rPr>
      <w:rFonts w:ascii="標楷體" w:eastAsia="標楷體" w:hAnsi="Arial"/>
      <w:bCs/>
      <w:kern w:val="32"/>
      <w:sz w:val="32"/>
      <w:szCs w:val="36"/>
    </w:rPr>
  </w:style>
  <w:style w:type="character" w:customStyle="1" w:styleId="40">
    <w:name w:val="標題 4 字元"/>
    <w:aliases w:val="表格 字元"/>
    <w:basedOn w:val="a7"/>
    <w:link w:val="4"/>
    <w:rsid w:val="0076137C"/>
    <w:rPr>
      <w:rFonts w:ascii="標楷體" w:eastAsia="標楷體" w:hAnsi="Arial"/>
      <w:kern w:val="32"/>
      <w:sz w:val="32"/>
      <w:szCs w:val="36"/>
    </w:rPr>
  </w:style>
  <w:style w:type="character" w:customStyle="1" w:styleId="50">
    <w:name w:val="標題 5 字元"/>
    <w:basedOn w:val="a7"/>
    <w:link w:val="5"/>
    <w:rsid w:val="0076137C"/>
    <w:rPr>
      <w:rFonts w:ascii="標楷體" w:eastAsia="標楷體" w:hAnsi="Arial"/>
      <w:bCs/>
      <w:kern w:val="32"/>
      <w:sz w:val="32"/>
      <w:szCs w:val="36"/>
    </w:rPr>
  </w:style>
  <w:style w:type="paragraph" w:customStyle="1" w:styleId="Default">
    <w:name w:val="Default"/>
    <w:rsid w:val="00EA0859"/>
    <w:pPr>
      <w:widowControl w:val="0"/>
      <w:autoSpaceDE w:val="0"/>
      <w:autoSpaceDN w:val="0"/>
      <w:adjustRightInd w:val="0"/>
    </w:pPr>
    <w:rPr>
      <w:rFonts w:ascii="標楷體" w:eastAsia="標楷體" w:cs="標楷體"/>
      <w:color w:val="000000"/>
      <w:sz w:val="24"/>
      <w:szCs w:val="24"/>
    </w:rPr>
  </w:style>
  <w:style w:type="paragraph" w:customStyle="1" w:styleId="aff0">
    <w:name w:val="表樣式"/>
    <w:basedOn w:val="a6"/>
    <w:next w:val="a6"/>
    <w:rsid w:val="00F775A5"/>
    <w:pPr>
      <w:tabs>
        <w:tab w:val="num" w:pos="1440"/>
      </w:tabs>
      <w:overflowPunct/>
      <w:autoSpaceDE/>
      <w:autoSpaceDN/>
      <w:ind w:left="695" w:hanging="695"/>
    </w:pPr>
    <w:rPr>
      <w:kern w:val="0"/>
    </w:rPr>
  </w:style>
  <w:style w:type="paragraph" w:customStyle="1" w:styleId="aff1">
    <w:name w:val="圖樣式"/>
    <w:basedOn w:val="a6"/>
    <w:next w:val="a6"/>
    <w:rsid w:val="00F775A5"/>
    <w:pPr>
      <w:overflowPunct/>
      <w:autoSpaceDE/>
      <w:autoSpaceDN/>
      <w:ind w:left="400" w:hangingChars="400" w:hanging="400"/>
    </w:pPr>
  </w:style>
  <w:style w:type="paragraph" w:styleId="aff2">
    <w:name w:val="TOC Heading"/>
    <w:basedOn w:val="1"/>
    <w:next w:val="a6"/>
    <w:uiPriority w:val="39"/>
    <w:semiHidden/>
    <w:unhideWhenUsed/>
    <w:qFormat/>
    <w:rsid w:val="00BB7DB8"/>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character" w:customStyle="1" w:styleId="ac">
    <w:name w:val="章節附註文字 字元"/>
    <w:basedOn w:val="a7"/>
    <w:link w:val="ab"/>
    <w:semiHidden/>
    <w:rsid w:val="00BB7DB8"/>
    <w:rPr>
      <w:rFonts w:ascii="標楷體" w:eastAsia="標楷體"/>
      <w:snapToGrid w:val="0"/>
      <w:spacing w:val="10"/>
      <w:kern w:val="2"/>
      <w:sz w:val="32"/>
    </w:rPr>
  </w:style>
  <w:style w:type="paragraph" w:styleId="HTML">
    <w:name w:val="HTML Preformatted"/>
    <w:basedOn w:val="a6"/>
    <w:link w:val="HTML0"/>
    <w:uiPriority w:val="99"/>
    <w:unhideWhenUsed/>
    <w:rsid w:val="005A78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5A7896"/>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6883">
      <w:bodyDiv w:val="1"/>
      <w:marLeft w:val="0"/>
      <w:marRight w:val="0"/>
      <w:marTop w:val="0"/>
      <w:marBottom w:val="0"/>
      <w:divBdr>
        <w:top w:val="none" w:sz="0" w:space="0" w:color="auto"/>
        <w:left w:val="none" w:sz="0" w:space="0" w:color="auto"/>
        <w:bottom w:val="none" w:sz="0" w:space="0" w:color="auto"/>
        <w:right w:val="none" w:sz="0" w:space="0" w:color="auto"/>
      </w:divBdr>
    </w:div>
    <w:div w:id="65495610">
      <w:bodyDiv w:val="1"/>
      <w:marLeft w:val="0"/>
      <w:marRight w:val="0"/>
      <w:marTop w:val="0"/>
      <w:marBottom w:val="0"/>
      <w:divBdr>
        <w:top w:val="none" w:sz="0" w:space="0" w:color="auto"/>
        <w:left w:val="none" w:sz="0" w:space="0" w:color="auto"/>
        <w:bottom w:val="none" w:sz="0" w:space="0" w:color="auto"/>
        <w:right w:val="none" w:sz="0" w:space="0" w:color="auto"/>
      </w:divBdr>
    </w:div>
    <w:div w:id="351150513">
      <w:bodyDiv w:val="1"/>
      <w:marLeft w:val="0"/>
      <w:marRight w:val="0"/>
      <w:marTop w:val="0"/>
      <w:marBottom w:val="0"/>
      <w:divBdr>
        <w:top w:val="none" w:sz="0" w:space="0" w:color="auto"/>
        <w:left w:val="none" w:sz="0" w:space="0" w:color="auto"/>
        <w:bottom w:val="none" w:sz="0" w:space="0" w:color="auto"/>
        <w:right w:val="none" w:sz="0" w:space="0" w:color="auto"/>
      </w:divBdr>
    </w:div>
    <w:div w:id="79622069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143280805">
      <w:bodyDiv w:val="1"/>
      <w:marLeft w:val="0"/>
      <w:marRight w:val="0"/>
      <w:marTop w:val="0"/>
      <w:marBottom w:val="0"/>
      <w:divBdr>
        <w:top w:val="none" w:sz="0" w:space="0" w:color="auto"/>
        <w:left w:val="none" w:sz="0" w:space="0" w:color="auto"/>
        <w:bottom w:val="none" w:sz="0" w:space="0" w:color="auto"/>
        <w:right w:val="none" w:sz="0" w:space="0" w:color="auto"/>
      </w:divBdr>
    </w:div>
    <w:div w:id="1499342693">
      <w:bodyDiv w:val="1"/>
      <w:marLeft w:val="0"/>
      <w:marRight w:val="0"/>
      <w:marTop w:val="0"/>
      <w:marBottom w:val="0"/>
      <w:divBdr>
        <w:top w:val="none" w:sz="0" w:space="0" w:color="auto"/>
        <w:left w:val="none" w:sz="0" w:space="0" w:color="auto"/>
        <w:bottom w:val="none" w:sz="0" w:space="0" w:color="auto"/>
        <w:right w:val="none" w:sz="0" w:space="0" w:color="auto"/>
      </w:divBdr>
    </w:div>
    <w:div w:id="1854762560">
      <w:bodyDiv w:val="1"/>
      <w:marLeft w:val="0"/>
      <w:marRight w:val="0"/>
      <w:marTop w:val="0"/>
      <w:marBottom w:val="0"/>
      <w:divBdr>
        <w:top w:val="none" w:sz="0" w:space="0" w:color="auto"/>
        <w:left w:val="none" w:sz="0" w:space="0" w:color="auto"/>
        <w:bottom w:val="none" w:sz="0" w:space="0" w:color="auto"/>
        <w:right w:val="none" w:sz="0" w:space="0" w:color="auto"/>
      </w:divBdr>
    </w:div>
    <w:div w:id="194557504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819CF-7A0D-459B-B413-B96A0A5CE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10</TotalTime>
  <Pages>44</Pages>
  <Words>3904</Words>
  <Characters>22257</Characters>
  <Application>Microsoft Office Word</Application>
  <DocSecurity>0</DocSecurity>
  <Lines>185</Lines>
  <Paragraphs>52</Paragraphs>
  <ScaleCrop>false</ScaleCrop>
  <Company>cy</Company>
  <LinksUpToDate>false</LinksUpToDate>
  <CharactersWithSpaces>26109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嚴祖照</dc:creator>
  <cp:lastModifiedBy>林秀珍</cp:lastModifiedBy>
  <cp:revision>9</cp:revision>
  <cp:lastPrinted>2019-01-25T06:16:00Z</cp:lastPrinted>
  <dcterms:created xsi:type="dcterms:W3CDTF">2019-04-03T03:18:00Z</dcterms:created>
  <dcterms:modified xsi:type="dcterms:W3CDTF">2019-04-03T03:32:00Z</dcterms:modified>
</cp:coreProperties>
</file>