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9834D6" w:rsidRDefault="00D75644" w:rsidP="00F37D7B">
      <w:pPr>
        <w:pStyle w:val="af2"/>
      </w:pPr>
      <w:r w:rsidRPr="009834D6">
        <w:rPr>
          <w:rFonts w:hint="eastAsia"/>
        </w:rPr>
        <w:t>調查報告</w:t>
      </w:r>
    </w:p>
    <w:p w:rsidR="00E25849" w:rsidRPr="009834D6" w:rsidRDefault="00E25849" w:rsidP="00B712D4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9834D6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B6712A" w:rsidRPr="009834D6">
        <w:t>據訴</w:t>
      </w:r>
      <w:proofErr w:type="gramEnd"/>
      <w:r w:rsidR="00B6712A" w:rsidRPr="009834D6">
        <w:t>，為臺灣</w:t>
      </w:r>
      <w:proofErr w:type="gramStart"/>
      <w:r w:rsidR="00B6712A" w:rsidRPr="009834D6">
        <w:t>臺</w:t>
      </w:r>
      <w:proofErr w:type="gramEnd"/>
      <w:r w:rsidR="00B6712A" w:rsidRPr="009834D6">
        <w:t>北地方檢察署偵辦</w:t>
      </w:r>
      <w:proofErr w:type="gramStart"/>
      <w:r w:rsidR="00B6712A" w:rsidRPr="009834D6">
        <w:t>105</w:t>
      </w:r>
      <w:proofErr w:type="gramEnd"/>
      <w:r w:rsidR="00B6712A" w:rsidRPr="009834D6">
        <w:t>年度他字第9752號、</w:t>
      </w:r>
      <w:proofErr w:type="gramStart"/>
      <w:r w:rsidR="00B6712A" w:rsidRPr="009834D6">
        <w:t>106</w:t>
      </w:r>
      <w:proofErr w:type="gramEnd"/>
      <w:r w:rsidR="00B6712A" w:rsidRPr="009834D6">
        <w:t>年度他字第5691號渠告訴</w:t>
      </w:r>
      <w:r w:rsidR="00436A3C">
        <w:t>許</w:t>
      </w:r>
      <w:proofErr w:type="gramStart"/>
      <w:r w:rsidR="00436A3C">
        <w:rPr>
          <w:rFonts w:hAnsi="標楷體" w:hint="eastAsia"/>
        </w:rPr>
        <w:t>○○</w:t>
      </w:r>
      <w:r w:rsidR="00B6712A" w:rsidRPr="009834D6">
        <w:t>等背信</w:t>
      </w:r>
      <w:proofErr w:type="gramEnd"/>
      <w:r w:rsidR="00B6712A" w:rsidRPr="009834D6">
        <w:t>案件，未詳</w:t>
      </w:r>
      <w:proofErr w:type="gramStart"/>
      <w:r w:rsidR="00B6712A" w:rsidRPr="009834D6">
        <w:t>予審酌渠所</w:t>
      </w:r>
      <w:proofErr w:type="gramEnd"/>
      <w:r w:rsidR="00B6712A" w:rsidRPr="009834D6">
        <w:t>提新事實、新證據是否符合再行起訴要件，率予簽結。究該署偵辦本案是否已善盡調查職責？該署未依刑事訴訟法第260條第1款之規定再行起訴，承辦檢察官認事用法是否涉有違誤？相關</w:t>
      </w:r>
      <w:proofErr w:type="gramStart"/>
      <w:r w:rsidR="00B6712A" w:rsidRPr="009834D6">
        <w:t>問題均有查明</w:t>
      </w:r>
      <w:proofErr w:type="gramEnd"/>
      <w:r w:rsidR="00B6712A" w:rsidRPr="009834D6">
        <w:t>之必要案</w:t>
      </w:r>
      <w:r w:rsidR="00B6712A" w:rsidRPr="009834D6">
        <w:rPr>
          <w:rFonts w:hint="eastAsia"/>
        </w:rPr>
        <w:t>。</w:t>
      </w:r>
    </w:p>
    <w:p w:rsidR="00E25849" w:rsidRPr="009834D6" w:rsidRDefault="00AE1DD0" w:rsidP="00B712D4">
      <w:pPr>
        <w:pStyle w:val="1"/>
        <w:ind w:left="2380" w:hanging="2380"/>
        <w:jc w:val="left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9834D6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3C1CB7" w:rsidRPr="009834D6" w:rsidRDefault="00222023" w:rsidP="00895E6A">
      <w:pPr>
        <w:pStyle w:val="10"/>
        <w:ind w:left="680" w:firstLine="680"/>
      </w:pPr>
      <w:bookmarkStart w:id="49" w:name="_Toc524902730"/>
      <w:proofErr w:type="gramStart"/>
      <w:r w:rsidRPr="009834D6">
        <w:rPr>
          <w:rFonts w:hAnsi="標楷體" w:hint="eastAsia"/>
        </w:rPr>
        <w:t>陳訴人</w:t>
      </w:r>
      <w:r w:rsidR="00B712D4">
        <w:rPr>
          <w:rFonts w:hint="eastAsia"/>
        </w:rPr>
        <w:t>北</w:t>
      </w:r>
      <w:proofErr w:type="gramEnd"/>
      <w:r w:rsidR="00B712D4">
        <w:rPr>
          <w:rFonts w:hint="eastAsia"/>
        </w:rPr>
        <w:t>○</w:t>
      </w:r>
      <w:r w:rsidRPr="009834D6">
        <w:rPr>
          <w:rFonts w:hint="eastAsia"/>
        </w:rPr>
        <w:t>營造</w:t>
      </w:r>
      <w:r w:rsidR="00EC1B06" w:rsidRPr="009834D6">
        <w:rPr>
          <w:rFonts w:hint="eastAsia"/>
        </w:rPr>
        <w:t>工程</w:t>
      </w:r>
      <w:r w:rsidRPr="009834D6">
        <w:rPr>
          <w:rFonts w:hint="eastAsia"/>
        </w:rPr>
        <w:t>有限公司</w:t>
      </w:r>
      <w:r w:rsidRPr="009834D6">
        <w:rPr>
          <w:rFonts w:hAnsi="標楷體" w:hint="eastAsia"/>
        </w:rPr>
        <w:t xml:space="preserve"> (</w:t>
      </w:r>
      <w:r w:rsidRPr="009834D6">
        <w:rPr>
          <w:rFonts w:hint="eastAsia"/>
        </w:rPr>
        <w:t>下稱</w:t>
      </w:r>
      <w:r w:rsidR="00B712D4">
        <w:rPr>
          <w:rFonts w:hint="eastAsia"/>
        </w:rPr>
        <w:t>北○</w:t>
      </w:r>
      <w:r w:rsidRPr="009834D6">
        <w:rPr>
          <w:rFonts w:hint="eastAsia"/>
        </w:rPr>
        <w:t>公司</w:t>
      </w:r>
      <w:r w:rsidRPr="009834D6">
        <w:rPr>
          <w:rFonts w:hAnsi="標楷體" w:hint="eastAsia"/>
        </w:rPr>
        <w:t>)</w:t>
      </w:r>
      <w:r w:rsidR="003D0243" w:rsidRPr="009834D6">
        <w:rPr>
          <w:rFonts w:hAnsi="標楷體" w:hint="eastAsia"/>
        </w:rPr>
        <w:t>代表人</w:t>
      </w:r>
      <w:proofErr w:type="gramStart"/>
      <w:r w:rsidR="00436A3C">
        <w:rPr>
          <w:rFonts w:hAnsi="標楷體" w:hint="eastAsia"/>
        </w:rPr>
        <w:t>廖○○</w:t>
      </w:r>
      <w:r w:rsidRPr="009834D6">
        <w:rPr>
          <w:rFonts w:hAnsi="標楷體" w:hint="eastAsia"/>
        </w:rPr>
        <w:t>與</w:t>
      </w:r>
      <w:r w:rsidR="00B712D4">
        <w:rPr>
          <w:rFonts w:hint="eastAsia"/>
        </w:rPr>
        <w:t>響</w:t>
      </w:r>
      <w:proofErr w:type="gramEnd"/>
      <w:r w:rsidR="00B712D4">
        <w:rPr>
          <w:rFonts w:hint="eastAsia"/>
        </w:rPr>
        <w:t>○</w:t>
      </w:r>
      <w:r w:rsidRPr="009834D6">
        <w:rPr>
          <w:rFonts w:hint="eastAsia"/>
        </w:rPr>
        <w:t>工程顧問有限公司(</w:t>
      </w:r>
      <w:proofErr w:type="gramStart"/>
      <w:r w:rsidRPr="009834D6">
        <w:rPr>
          <w:rFonts w:hint="eastAsia"/>
        </w:rPr>
        <w:t>下稱</w:t>
      </w:r>
      <w:r w:rsidR="00B712D4">
        <w:rPr>
          <w:rFonts w:hint="eastAsia"/>
        </w:rPr>
        <w:t>響</w:t>
      </w:r>
      <w:proofErr w:type="gramEnd"/>
      <w:r w:rsidR="00B712D4">
        <w:rPr>
          <w:rFonts w:hint="eastAsia"/>
        </w:rPr>
        <w:t>○</w:t>
      </w:r>
      <w:r w:rsidRPr="009834D6">
        <w:rPr>
          <w:rFonts w:hint="eastAsia"/>
        </w:rPr>
        <w:t>公司)</w:t>
      </w:r>
      <w:r w:rsidRPr="009834D6">
        <w:rPr>
          <w:rFonts w:hAnsi="標楷體" w:hint="eastAsia"/>
        </w:rPr>
        <w:t>，於民國(下同)86年間</w:t>
      </w:r>
      <w:r w:rsidR="003D0243" w:rsidRPr="009834D6">
        <w:rPr>
          <w:rFonts w:hAnsi="標楷體" w:hint="eastAsia"/>
        </w:rPr>
        <w:t>經法院</w:t>
      </w:r>
      <w:r w:rsidRPr="009834D6">
        <w:rPr>
          <w:rFonts w:hAnsi="標楷體" w:hint="eastAsia"/>
        </w:rPr>
        <w:t>標得</w:t>
      </w:r>
      <w:r w:rsidR="00240300" w:rsidRPr="009834D6">
        <w:rPr>
          <w:rFonts w:hint="eastAsia"/>
        </w:rPr>
        <w:t>臺北縣新店市(現改制為新北市新店區，下同)</w:t>
      </w:r>
      <w:r w:rsidR="006E4612">
        <w:rPr>
          <w:rFonts w:hAnsi="標楷體" w:hint="eastAsia"/>
        </w:rPr>
        <w:t>寶</w:t>
      </w:r>
      <w:r w:rsidR="006E4612">
        <w:rPr>
          <w:rFonts w:hint="eastAsia"/>
        </w:rPr>
        <w:t>○</w:t>
      </w:r>
      <w:r w:rsidR="00240300" w:rsidRPr="009834D6">
        <w:rPr>
          <w:rFonts w:hAnsi="標楷體" w:hint="eastAsia"/>
        </w:rPr>
        <w:t>路</w:t>
      </w:r>
      <w:r w:rsidR="00ED2157">
        <w:rPr>
          <w:rFonts w:hint="eastAsia"/>
        </w:rPr>
        <w:t>○</w:t>
      </w:r>
      <w:r w:rsidR="00240300" w:rsidRPr="009834D6">
        <w:rPr>
          <w:rFonts w:hAnsi="標楷體" w:hint="eastAsia"/>
        </w:rPr>
        <w:t>號地下2、3、4層建物</w:t>
      </w:r>
      <w:r w:rsidRPr="009834D6">
        <w:rPr>
          <w:rFonts w:hAnsi="標楷體" w:hint="eastAsia"/>
        </w:rPr>
        <w:t>，</w:t>
      </w:r>
      <w:r w:rsidR="003D0243" w:rsidRPr="009834D6">
        <w:rPr>
          <w:rFonts w:hAnsi="標楷體" w:hint="eastAsia"/>
        </w:rPr>
        <w:t>由</w:t>
      </w:r>
      <w:r w:rsidR="00B712D4">
        <w:rPr>
          <w:rFonts w:hint="eastAsia"/>
        </w:rPr>
        <w:t>北○</w:t>
      </w:r>
      <w:proofErr w:type="gramStart"/>
      <w:r w:rsidRPr="009834D6">
        <w:rPr>
          <w:rFonts w:hint="eastAsia"/>
        </w:rPr>
        <w:t>公司與</w:t>
      </w:r>
      <w:r w:rsidR="00B712D4">
        <w:rPr>
          <w:rFonts w:hint="eastAsia"/>
        </w:rPr>
        <w:t>響</w:t>
      </w:r>
      <w:proofErr w:type="gramEnd"/>
      <w:r w:rsidR="00B712D4">
        <w:rPr>
          <w:rFonts w:hint="eastAsia"/>
        </w:rPr>
        <w:t>○</w:t>
      </w:r>
      <w:r w:rsidRPr="009834D6">
        <w:rPr>
          <w:rFonts w:hint="eastAsia"/>
        </w:rPr>
        <w:t>公司</w:t>
      </w:r>
      <w:r w:rsidRPr="009834D6">
        <w:rPr>
          <w:rFonts w:hAnsi="標楷體" w:hint="eastAsia"/>
        </w:rPr>
        <w:t>分別以56％、44</w:t>
      </w:r>
      <w:r w:rsidR="003D0243" w:rsidRPr="009834D6">
        <w:rPr>
          <w:rFonts w:hAnsi="標楷體" w:hint="eastAsia"/>
        </w:rPr>
        <w:t>％共同取得</w:t>
      </w:r>
      <w:r w:rsidRPr="009834D6">
        <w:rPr>
          <w:rFonts w:hAnsi="標楷體" w:hint="eastAsia"/>
        </w:rPr>
        <w:t>權</w:t>
      </w:r>
      <w:r w:rsidR="003D0243" w:rsidRPr="009834D6">
        <w:rPr>
          <w:rFonts w:hAnsi="標楷體" w:hint="eastAsia"/>
        </w:rPr>
        <w:t>利</w:t>
      </w:r>
      <w:r w:rsidRPr="009834D6">
        <w:rPr>
          <w:rFonts w:hAnsi="標楷體" w:hint="eastAsia"/>
        </w:rPr>
        <w:t>。</w:t>
      </w:r>
      <w:r w:rsidR="005B7133" w:rsidRPr="009834D6">
        <w:rPr>
          <w:rFonts w:hAnsi="標楷體" w:hint="eastAsia"/>
        </w:rPr>
        <w:t>陳訴人</w:t>
      </w:r>
      <w:proofErr w:type="gramStart"/>
      <w:r w:rsidR="00436A3C">
        <w:rPr>
          <w:rFonts w:hAnsi="標楷體" w:hint="eastAsia"/>
        </w:rPr>
        <w:t>廖</w:t>
      </w:r>
      <w:proofErr w:type="gramEnd"/>
      <w:r w:rsidR="00436A3C">
        <w:rPr>
          <w:rFonts w:hAnsi="標楷體" w:hint="eastAsia"/>
        </w:rPr>
        <w:t>○○</w:t>
      </w:r>
      <w:r w:rsidR="005B7133" w:rsidRPr="009834D6">
        <w:rPr>
          <w:rFonts w:hAnsi="標楷體" w:hint="eastAsia"/>
        </w:rPr>
        <w:t>於88年間委任</w:t>
      </w:r>
      <w:r w:rsidR="00436A3C">
        <w:rPr>
          <w:rFonts w:hAnsi="標楷體" w:hint="eastAsia"/>
        </w:rPr>
        <w:t>許○○</w:t>
      </w:r>
      <w:r w:rsidR="005B7133" w:rsidRPr="009834D6">
        <w:rPr>
          <w:rFonts w:hAnsi="標楷體" w:hint="eastAsia"/>
        </w:rPr>
        <w:t>處分該建物買賣事宜，惟該建物歷經多次輾轉買賣，陳訴人並未收到預期之建物買賣價金，</w:t>
      </w:r>
      <w:proofErr w:type="gramStart"/>
      <w:r w:rsidR="005B7133" w:rsidRPr="009834D6">
        <w:rPr>
          <w:rFonts w:hint="eastAsia"/>
        </w:rPr>
        <w:t>爰</w:t>
      </w:r>
      <w:proofErr w:type="gramEnd"/>
      <w:r w:rsidR="005B7133" w:rsidRPr="009834D6">
        <w:rPr>
          <w:rFonts w:hAnsi="標楷體" w:hint="eastAsia"/>
        </w:rPr>
        <w:t>於98年間對</w:t>
      </w:r>
      <w:r w:rsidR="00436A3C">
        <w:rPr>
          <w:rFonts w:hAnsi="標楷體" w:hint="eastAsia"/>
        </w:rPr>
        <w:t>許○○</w:t>
      </w:r>
      <w:r w:rsidR="005B7133" w:rsidRPr="009834D6">
        <w:rPr>
          <w:rFonts w:hAnsi="標楷體" w:hint="eastAsia"/>
        </w:rPr>
        <w:t>等人提出背信告訴，</w:t>
      </w:r>
      <w:r w:rsidR="005B7133" w:rsidRPr="009834D6">
        <w:rPr>
          <w:rFonts w:hint="eastAsia"/>
        </w:rPr>
        <w:t>臺灣</w:t>
      </w:r>
      <w:r w:rsidR="005B7133" w:rsidRPr="009834D6">
        <w:rPr>
          <w:rFonts w:hAnsi="標楷體" w:hint="eastAsia"/>
        </w:rPr>
        <w:t>板橋地方檢察署(</w:t>
      </w:r>
      <w:r w:rsidR="00DC33C0" w:rsidRPr="009834D6">
        <w:rPr>
          <w:rFonts w:hAnsi="標楷體" w:hint="eastAsia"/>
        </w:rPr>
        <w:t>自102年1月1日起，更名為臺灣新北地方法院檢察署，</w:t>
      </w:r>
      <w:r w:rsidR="005B7133" w:rsidRPr="009834D6">
        <w:rPr>
          <w:rFonts w:hAnsi="標楷體" w:hint="eastAsia"/>
        </w:rPr>
        <w:t>以下簡稱板橋地檢署)於99年7月15日以</w:t>
      </w:r>
      <w:r w:rsidR="00D54FDD" w:rsidRPr="009834D6">
        <w:rPr>
          <w:rFonts w:hAnsi="標楷體" w:hint="eastAsia"/>
        </w:rPr>
        <w:t>99年度</w:t>
      </w:r>
      <w:proofErr w:type="gramStart"/>
      <w:r w:rsidR="00D54FDD" w:rsidRPr="009834D6">
        <w:rPr>
          <w:rFonts w:hAnsi="標楷體" w:hint="eastAsia"/>
        </w:rPr>
        <w:t>偵</w:t>
      </w:r>
      <w:proofErr w:type="gramEnd"/>
      <w:r w:rsidR="005B7133" w:rsidRPr="009834D6">
        <w:rPr>
          <w:rFonts w:hAnsi="標楷體" w:hint="eastAsia"/>
        </w:rPr>
        <w:t>字第19544號作出不起訴處分在案。</w:t>
      </w:r>
      <w:r w:rsidR="00AF0EB0" w:rsidRPr="009834D6">
        <w:rPr>
          <w:rFonts w:hAnsi="標楷體" w:hint="eastAsia"/>
        </w:rPr>
        <w:t>105年5月間陳訴人為被告</w:t>
      </w:r>
      <w:r w:rsidR="00436A3C">
        <w:rPr>
          <w:rFonts w:hAnsi="標楷體" w:hint="eastAsia"/>
        </w:rPr>
        <w:t>許○○</w:t>
      </w:r>
      <w:r w:rsidR="00AF0EB0" w:rsidRPr="009834D6">
        <w:rPr>
          <w:rFonts w:hAnsi="標楷體" w:hint="eastAsia"/>
        </w:rPr>
        <w:t>等涉嫌背信一案，再向</w:t>
      </w:r>
      <w:r w:rsidR="00AF0EB0" w:rsidRPr="009834D6">
        <w:rPr>
          <w:rFonts w:hint="eastAsia"/>
        </w:rPr>
        <w:t>臺灣</w:t>
      </w:r>
      <w:proofErr w:type="gramStart"/>
      <w:r w:rsidR="00AF0EB0" w:rsidRPr="009834D6">
        <w:rPr>
          <w:rFonts w:hAnsi="標楷體" w:hint="eastAsia"/>
        </w:rPr>
        <w:t>臺</w:t>
      </w:r>
      <w:proofErr w:type="gramEnd"/>
      <w:r w:rsidR="00AF0EB0" w:rsidRPr="009834D6">
        <w:rPr>
          <w:rFonts w:hAnsi="標楷體" w:hint="eastAsia"/>
        </w:rPr>
        <w:t>北地方檢察署(以下簡稱</w:t>
      </w:r>
      <w:proofErr w:type="gramStart"/>
      <w:r w:rsidR="00AF0EB0" w:rsidRPr="009834D6">
        <w:rPr>
          <w:rFonts w:hAnsi="標楷體" w:hint="eastAsia"/>
        </w:rPr>
        <w:t>臺</w:t>
      </w:r>
      <w:proofErr w:type="gramEnd"/>
      <w:r w:rsidR="00AF0EB0" w:rsidRPr="009834D6">
        <w:rPr>
          <w:rFonts w:hAnsi="標楷體" w:hint="eastAsia"/>
        </w:rPr>
        <w:t>北地檢署)遞交刑事告訴狀(</w:t>
      </w:r>
      <w:proofErr w:type="gramStart"/>
      <w:r w:rsidR="00AF0EB0" w:rsidRPr="009834D6">
        <w:rPr>
          <w:rFonts w:hAnsi="標楷體" w:hint="eastAsia"/>
        </w:rPr>
        <w:t>臺</w:t>
      </w:r>
      <w:proofErr w:type="gramEnd"/>
      <w:r w:rsidR="00AF0EB0" w:rsidRPr="009834D6">
        <w:rPr>
          <w:rFonts w:hAnsi="標楷體" w:hint="eastAsia"/>
        </w:rPr>
        <w:t>北地檢署</w:t>
      </w:r>
      <w:proofErr w:type="gramStart"/>
      <w:r w:rsidR="00D54FDD" w:rsidRPr="009834D6">
        <w:rPr>
          <w:rFonts w:hAnsi="標楷體" w:hint="eastAsia"/>
        </w:rPr>
        <w:t>105</w:t>
      </w:r>
      <w:proofErr w:type="gramEnd"/>
      <w:r w:rsidR="00D54FDD" w:rsidRPr="009834D6">
        <w:rPr>
          <w:rFonts w:hAnsi="標楷體" w:hint="eastAsia"/>
        </w:rPr>
        <w:t>年度他字第5166</w:t>
      </w:r>
      <w:r w:rsidR="00AF0EB0" w:rsidRPr="009834D6">
        <w:rPr>
          <w:rFonts w:hAnsi="標楷體" w:hint="eastAsia"/>
        </w:rPr>
        <w:t>號)，惟</w:t>
      </w:r>
      <w:proofErr w:type="gramStart"/>
      <w:r w:rsidR="00AF0EB0" w:rsidRPr="009834D6">
        <w:rPr>
          <w:rFonts w:hAnsi="標楷體" w:hint="eastAsia"/>
        </w:rPr>
        <w:t>臺</w:t>
      </w:r>
      <w:proofErr w:type="gramEnd"/>
      <w:r w:rsidR="00AF0EB0" w:rsidRPr="009834D6">
        <w:rPr>
          <w:rFonts w:hAnsi="標楷體" w:hint="eastAsia"/>
        </w:rPr>
        <w:t>北地檢署認本案前經板橋地檢署不起訴處分、駁回再議確定等，又無新證據，而予以簽結。</w:t>
      </w:r>
      <w:proofErr w:type="gramStart"/>
      <w:r w:rsidR="00AF0EB0" w:rsidRPr="009834D6">
        <w:rPr>
          <w:rFonts w:hAnsi="標楷體" w:hint="eastAsia"/>
        </w:rPr>
        <w:t>嗣</w:t>
      </w:r>
      <w:proofErr w:type="gramEnd"/>
      <w:r w:rsidR="00AF0EB0" w:rsidRPr="009834D6">
        <w:rPr>
          <w:rFonts w:hAnsi="標楷體" w:hint="eastAsia"/>
        </w:rPr>
        <w:t>陳訴人為被告</w:t>
      </w:r>
      <w:r w:rsidR="00436A3C">
        <w:rPr>
          <w:rFonts w:hAnsi="標楷體" w:hint="eastAsia"/>
        </w:rPr>
        <w:t>許○○</w:t>
      </w:r>
      <w:r w:rsidR="00AF0EB0" w:rsidRPr="009834D6">
        <w:rPr>
          <w:rFonts w:hAnsi="標楷體" w:hint="eastAsia"/>
        </w:rPr>
        <w:t>等涉嫌背信一案，再以有新事實、新證據向</w:t>
      </w:r>
      <w:proofErr w:type="gramStart"/>
      <w:r w:rsidR="00AF0EB0" w:rsidRPr="009834D6">
        <w:rPr>
          <w:rFonts w:hAnsi="標楷體" w:hint="eastAsia"/>
        </w:rPr>
        <w:t>臺</w:t>
      </w:r>
      <w:proofErr w:type="gramEnd"/>
      <w:r w:rsidR="00AF0EB0" w:rsidRPr="009834D6">
        <w:rPr>
          <w:rFonts w:hAnsi="標楷體" w:hint="eastAsia"/>
        </w:rPr>
        <w:t>北地檢署遞交2次刑事告訴狀(</w:t>
      </w:r>
      <w:proofErr w:type="gramStart"/>
      <w:r w:rsidR="00AF0EB0" w:rsidRPr="009834D6">
        <w:rPr>
          <w:rFonts w:hAnsi="標楷體" w:hint="eastAsia"/>
        </w:rPr>
        <w:t>臺</w:t>
      </w:r>
      <w:proofErr w:type="gramEnd"/>
      <w:r w:rsidR="00AF0EB0" w:rsidRPr="009834D6">
        <w:rPr>
          <w:rFonts w:hAnsi="標楷體" w:hint="eastAsia"/>
        </w:rPr>
        <w:t>北地檢署</w:t>
      </w:r>
      <w:proofErr w:type="gramStart"/>
      <w:r w:rsidR="00D54FDD" w:rsidRPr="009834D6">
        <w:rPr>
          <w:rFonts w:hAnsi="標楷體" w:hint="eastAsia"/>
        </w:rPr>
        <w:t>105</w:t>
      </w:r>
      <w:proofErr w:type="gramEnd"/>
      <w:r w:rsidR="00D54FDD" w:rsidRPr="009834D6">
        <w:rPr>
          <w:rFonts w:hAnsi="標楷體" w:hint="eastAsia"/>
        </w:rPr>
        <w:t>年度他字第9752號</w:t>
      </w:r>
      <w:r w:rsidR="00AF0EB0" w:rsidRPr="009834D6">
        <w:rPr>
          <w:rFonts w:hAnsi="標楷體" w:hint="eastAsia"/>
        </w:rPr>
        <w:t>、</w:t>
      </w:r>
      <w:proofErr w:type="gramStart"/>
      <w:r w:rsidR="00D54FDD" w:rsidRPr="009834D6">
        <w:rPr>
          <w:rFonts w:hAnsi="標楷體" w:hint="eastAsia"/>
        </w:rPr>
        <w:t>106</w:t>
      </w:r>
      <w:proofErr w:type="gramEnd"/>
      <w:r w:rsidR="00D54FDD" w:rsidRPr="009834D6">
        <w:rPr>
          <w:rFonts w:hAnsi="標楷體" w:hint="eastAsia"/>
        </w:rPr>
        <w:t>年度他字第5691</w:t>
      </w:r>
      <w:r w:rsidR="00AF0EB0" w:rsidRPr="009834D6">
        <w:rPr>
          <w:rFonts w:hAnsi="標楷體" w:hint="eastAsia"/>
        </w:rPr>
        <w:t>號)，請求地檢署偵查起訴</w:t>
      </w:r>
      <w:r w:rsidR="00436A3C">
        <w:rPr>
          <w:rFonts w:hAnsi="標楷體" w:hint="eastAsia"/>
        </w:rPr>
        <w:t>許○</w:t>
      </w:r>
      <w:r w:rsidR="00436A3C">
        <w:rPr>
          <w:rFonts w:hAnsi="標楷體" w:hint="eastAsia"/>
        </w:rPr>
        <w:lastRenderedPageBreak/>
        <w:t>○</w:t>
      </w:r>
      <w:r w:rsidR="00AF0EB0" w:rsidRPr="009834D6">
        <w:rPr>
          <w:rFonts w:hAnsi="標楷體" w:hint="eastAsia"/>
        </w:rPr>
        <w:t>等人，惟</w:t>
      </w:r>
      <w:proofErr w:type="gramStart"/>
      <w:r w:rsidR="00AF0EB0" w:rsidRPr="009834D6">
        <w:rPr>
          <w:rFonts w:hAnsi="標楷體" w:hint="eastAsia"/>
        </w:rPr>
        <w:t>臺</w:t>
      </w:r>
      <w:proofErr w:type="gramEnd"/>
      <w:r w:rsidR="00AF0EB0" w:rsidRPr="009834D6">
        <w:rPr>
          <w:rFonts w:hAnsi="標楷體" w:hint="eastAsia"/>
        </w:rPr>
        <w:t>北地檢署認陳訴人</w:t>
      </w:r>
      <w:proofErr w:type="gramStart"/>
      <w:r w:rsidR="00AF0EB0" w:rsidRPr="009834D6">
        <w:rPr>
          <w:rFonts w:hAnsi="標楷體" w:hint="eastAsia"/>
        </w:rPr>
        <w:t>所提事證</w:t>
      </w:r>
      <w:proofErr w:type="gramEnd"/>
      <w:r w:rsidR="00AF0EB0" w:rsidRPr="009834D6">
        <w:rPr>
          <w:rFonts w:hAnsi="標楷體" w:hint="eastAsia"/>
        </w:rPr>
        <w:t>並非法定新事實、新證據，分別予以簽結。</w:t>
      </w:r>
      <w:r w:rsidR="005B7133" w:rsidRPr="009834D6">
        <w:rPr>
          <w:rFonts w:hAnsi="標楷體" w:hint="eastAsia"/>
        </w:rPr>
        <w:t>本案經調閱</w:t>
      </w:r>
      <w:proofErr w:type="gramStart"/>
      <w:r w:rsidR="005B7133" w:rsidRPr="009834D6">
        <w:rPr>
          <w:rFonts w:hAnsi="標楷體" w:hint="eastAsia"/>
        </w:rPr>
        <w:t>臺</w:t>
      </w:r>
      <w:proofErr w:type="gramEnd"/>
      <w:r w:rsidR="005B7133" w:rsidRPr="009834D6">
        <w:rPr>
          <w:rFonts w:hAnsi="標楷體" w:hint="eastAsia"/>
        </w:rPr>
        <w:t>北地檢署</w:t>
      </w:r>
      <w:proofErr w:type="gramStart"/>
      <w:r w:rsidR="00AF0EB0" w:rsidRPr="009834D6">
        <w:rPr>
          <w:rFonts w:hAnsi="標楷體" w:hint="eastAsia"/>
          <w:szCs w:val="32"/>
        </w:rPr>
        <w:t>105</w:t>
      </w:r>
      <w:proofErr w:type="gramEnd"/>
      <w:r w:rsidR="00AF0EB0" w:rsidRPr="009834D6">
        <w:rPr>
          <w:rFonts w:hAnsi="標楷體" w:hint="eastAsia"/>
          <w:szCs w:val="32"/>
        </w:rPr>
        <w:t>年度他字第5166號</w:t>
      </w:r>
      <w:r w:rsidR="005B7133" w:rsidRPr="009834D6">
        <w:rPr>
          <w:rFonts w:hAnsi="標楷體" w:hint="eastAsia"/>
          <w:szCs w:val="32"/>
        </w:rPr>
        <w:t>、</w:t>
      </w:r>
      <w:proofErr w:type="gramStart"/>
      <w:r w:rsidR="00AF0EB0" w:rsidRPr="009834D6">
        <w:rPr>
          <w:rFonts w:hAnsi="標楷體" w:hint="eastAsia"/>
          <w:szCs w:val="32"/>
        </w:rPr>
        <w:t>105</w:t>
      </w:r>
      <w:proofErr w:type="gramEnd"/>
      <w:r w:rsidR="00AF0EB0" w:rsidRPr="009834D6">
        <w:rPr>
          <w:rFonts w:hAnsi="標楷體" w:hint="eastAsia"/>
          <w:szCs w:val="32"/>
        </w:rPr>
        <w:t>年度他字第9752號</w:t>
      </w:r>
      <w:r w:rsidR="005B7133" w:rsidRPr="009834D6">
        <w:rPr>
          <w:rFonts w:hAnsi="標楷體" w:hint="eastAsia"/>
          <w:szCs w:val="32"/>
        </w:rPr>
        <w:t>及</w:t>
      </w:r>
      <w:proofErr w:type="gramStart"/>
      <w:r w:rsidR="005B7133" w:rsidRPr="009834D6">
        <w:rPr>
          <w:rFonts w:hAnsi="標楷體" w:hint="eastAsia"/>
          <w:szCs w:val="32"/>
        </w:rPr>
        <w:t>106</w:t>
      </w:r>
      <w:proofErr w:type="gramEnd"/>
      <w:r w:rsidR="005B7133" w:rsidRPr="009834D6">
        <w:rPr>
          <w:rFonts w:hAnsi="標楷體" w:hint="eastAsia"/>
          <w:szCs w:val="32"/>
        </w:rPr>
        <w:t>年度他字第5691號</w:t>
      </w:r>
      <w:r w:rsidR="005B7133" w:rsidRPr="009834D6">
        <w:rPr>
          <w:rFonts w:hAnsi="標楷體" w:hint="eastAsia"/>
        </w:rPr>
        <w:t>等</w:t>
      </w:r>
      <w:r w:rsidR="005B7133" w:rsidRPr="009834D6">
        <w:rPr>
          <w:rFonts w:hint="eastAsia"/>
        </w:rPr>
        <w:t>卷證資料</w:t>
      </w:r>
      <w:r w:rsidR="009E4C1B" w:rsidRPr="009834D6">
        <w:rPr>
          <w:rFonts w:hint="eastAsia"/>
        </w:rPr>
        <w:t>，且查閱</w:t>
      </w:r>
      <w:r w:rsidR="009E4C1B" w:rsidRPr="009834D6">
        <w:rPr>
          <w:rFonts w:hAnsi="標楷體" w:cs="新細明體" w:hint="eastAsia"/>
          <w:kern w:val="0"/>
          <w:szCs w:val="24"/>
        </w:rPr>
        <w:t>臺</w:t>
      </w:r>
      <w:r w:rsidR="009E4C1B" w:rsidRPr="009834D6">
        <w:rPr>
          <w:rFonts w:hint="eastAsia"/>
        </w:rPr>
        <w:t>灣高等檢察署(以下簡稱高檢署)相關函文內容</w:t>
      </w:r>
      <w:r w:rsidR="005B7133" w:rsidRPr="009834D6">
        <w:rPr>
          <w:rFonts w:hint="eastAsia"/>
        </w:rPr>
        <w:t>，並於107年8月6日詢問陳訴人，茲已調查</w:t>
      </w:r>
      <w:r w:rsidR="005B7133" w:rsidRPr="009834D6">
        <w:rPr>
          <w:rFonts w:hAnsi="標楷體" w:hint="eastAsia"/>
        </w:rPr>
        <w:t>完畢</w:t>
      </w:r>
      <w:r w:rsidR="00FB501B" w:rsidRPr="009834D6">
        <w:rPr>
          <w:rFonts w:hint="eastAsia"/>
        </w:rPr>
        <w:t>，</w:t>
      </w:r>
      <w:r w:rsidR="00307A76" w:rsidRPr="009834D6">
        <w:rPr>
          <w:rFonts w:hint="eastAsia"/>
        </w:rPr>
        <w:t>茲</w:t>
      </w:r>
      <w:proofErr w:type="gramStart"/>
      <w:r w:rsidR="00307A76" w:rsidRPr="009834D6">
        <w:rPr>
          <w:rFonts w:hint="eastAsia"/>
        </w:rPr>
        <w:t>臚</w:t>
      </w:r>
      <w:proofErr w:type="gramEnd"/>
      <w:r w:rsidR="00FB501B" w:rsidRPr="009834D6">
        <w:rPr>
          <w:rFonts w:hint="eastAsia"/>
        </w:rPr>
        <w:t>列調查意見如下：</w:t>
      </w:r>
    </w:p>
    <w:p w:rsidR="000E3211" w:rsidRPr="009834D6" w:rsidRDefault="00BE602D" w:rsidP="00895E6A">
      <w:pPr>
        <w:pStyle w:val="2"/>
      </w:pPr>
      <w:r w:rsidRPr="009834D6">
        <w:rPr>
          <w:rFonts w:hint="eastAsia"/>
          <w:b/>
          <w:noProof/>
        </w:rPr>
        <w:t>有關</w:t>
      </w:r>
      <w:r w:rsidR="00905871" w:rsidRPr="009834D6">
        <w:rPr>
          <w:rFonts w:hint="eastAsia"/>
          <w:b/>
        </w:rPr>
        <w:t>陳訴人告訴</w:t>
      </w:r>
      <w:r w:rsidR="00436A3C">
        <w:rPr>
          <w:rFonts w:hint="eastAsia"/>
          <w:b/>
        </w:rPr>
        <w:t>許</w:t>
      </w:r>
      <w:proofErr w:type="gramStart"/>
      <w:r w:rsidR="00436A3C">
        <w:rPr>
          <w:rFonts w:hint="eastAsia"/>
          <w:b/>
        </w:rPr>
        <w:t>○○</w:t>
      </w:r>
      <w:r w:rsidR="00905871" w:rsidRPr="009834D6">
        <w:rPr>
          <w:rFonts w:hint="eastAsia"/>
          <w:b/>
        </w:rPr>
        <w:t>等背信</w:t>
      </w:r>
      <w:proofErr w:type="gramEnd"/>
      <w:r w:rsidR="00905871" w:rsidRPr="009834D6">
        <w:rPr>
          <w:rFonts w:hint="eastAsia"/>
          <w:b/>
        </w:rPr>
        <w:t>案</w:t>
      </w:r>
      <w:r w:rsidR="00905871" w:rsidRPr="009834D6">
        <w:rPr>
          <w:rFonts w:hAnsi="標楷體" w:hint="eastAsia"/>
          <w:b/>
        </w:rPr>
        <w:t>，以有新事實、新證據請求</w:t>
      </w:r>
      <w:proofErr w:type="gramStart"/>
      <w:r w:rsidR="00905871" w:rsidRPr="009834D6">
        <w:rPr>
          <w:rFonts w:hAnsi="標楷體" w:hint="eastAsia"/>
          <w:b/>
        </w:rPr>
        <w:t>臺</w:t>
      </w:r>
      <w:proofErr w:type="gramEnd"/>
      <w:r w:rsidR="00905871" w:rsidRPr="009834D6">
        <w:rPr>
          <w:rFonts w:hAnsi="標楷體" w:hint="eastAsia"/>
          <w:b/>
        </w:rPr>
        <w:t>北地檢署偵查起訴</w:t>
      </w:r>
      <w:r w:rsidR="00436A3C">
        <w:rPr>
          <w:rFonts w:hAnsi="標楷體" w:hint="eastAsia"/>
          <w:b/>
        </w:rPr>
        <w:t>許○○</w:t>
      </w:r>
      <w:r w:rsidR="00905871" w:rsidRPr="009834D6">
        <w:rPr>
          <w:rFonts w:hAnsi="標楷體" w:hint="eastAsia"/>
          <w:b/>
        </w:rPr>
        <w:t>等人，</w:t>
      </w:r>
      <w:proofErr w:type="gramStart"/>
      <w:r w:rsidRPr="009834D6">
        <w:rPr>
          <w:rFonts w:hint="eastAsia"/>
          <w:b/>
        </w:rPr>
        <w:t>臺</w:t>
      </w:r>
      <w:proofErr w:type="gramEnd"/>
      <w:r w:rsidRPr="009834D6">
        <w:rPr>
          <w:rFonts w:hint="eastAsia"/>
          <w:b/>
        </w:rPr>
        <w:t>北地檢署</w:t>
      </w:r>
      <w:proofErr w:type="gramStart"/>
      <w:r w:rsidRPr="009834D6">
        <w:rPr>
          <w:rFonts w:hint="eastAsia"/>
          <w:b/>
        </w:rPr>
        <w:t>105</w:t>
      </w:r>
      <w:proofErr w:type="gramEnd"/>
      <w:r w:rsidRPr="009834D6">
        <w:rPr>
          <w:rFonts w:hint="eastAsia"/>
          <w:b/>
        </w:rPr>
        <w:t>年度他字第9752號、</w:t>
      </w:r>
      <w:proofErr w:type="gramStart"/>
      <w:r w:rsidRPr="009834D6">
        <w:rPr>
          <w:rFonts w:hint="eastAsia"/>
          <w:b/>
        </w:rPr>
        <w:t>106</w:t>
      </w:r>
      <w:proofErr w:type="gramEnd"/>
      <w:r w:rsidRPr="009834D6">
        <w:rPr>
          <w:rFonts w:hint="eastAsia"/>
          <w:b/>
        </w:rPr>
        <w:t>年度他字第5691號偵查結果部分，檢察機關</w:t>
      </w:r>
      <w:r w:rsidR="00C62100" w:rsidRPr="009834D6">
        <w:rPr>
          <w:rFonts w:hint="eastAsia"/>
          <w:b/>
        </w:rPr>
        <w:t>既</w:t>
      </w:r>
      <w:r w:rsidRPr="009834D6">
        <w:rPr>
          <w:rFonts w:hint="eastAsia"/>
          <w:b/>
        </w:rPr>
        <w:t>已</w:t>
      </w:r>
      <w:r w:rsidR="00C8060F" w:rsidRPr="009834D6">
        <w:rPr>
          <w:rFonts w:hint="eastAsia"/>
          <w:b/>
        </w:rPr>
        <w:t>調卷、比對勾</w:t>
      </w:r>
      <w:proofErr w:type="gramStart"/>
      <w:r w:rsidR="00C8060F" w:rsidRPr="009834D6">
        <w:rPr>
          <w:rFonts w:hint="eastAsia"/>
          <w:b/>
        </w:rPr>
        <w:t>稽</w:t>
      </w:r>
      <w:proofErr w:type="gramEnd"/>
      <w:r w:rsidR="00C8060F" w:rsidRPr="009834D6">
        <w:rPr>
          <w:rFonts w:hint="eastAsia"/>
          <w:b/>
        </w:rPr>
        <w:t>陳訴人所提</w:t>
      </w:r>
      <w:r w:rsidR="00806EC3" w:rsidRPr="009834D6">
        <w:rPr>
          <w:rFonts w:hint="eastAsia"/>
          <w:b/>
        </w:rPr>
        <w:t>相關</w:t>
      </w:r>
      <w:r w:rsidR="00C8060F" w:rsidRPr="009834D6">
        <w:rPr>
          <w:rFonts w:hint="eastAsia"/>
          <w:b/>
        </w:rPr>
        <w:t>事證</w:t>
      </w:r>
      <w:r w:rsidR="00D02673" w:rsidRPr="009834D6">
        <w:rPr>
          <w:rFonts w:hint="eastAsia"/>
          <w:b/>
        </w:rPr>
        <w:t>並函復陳訴人</w:t>
      </w:r>
      <w:r w:rsidR="00C62100" w:rsidRPr="009834D6">
        <w:rPr>
          <w:rFonts w:hint="eastAsia"/>
          <w:b/>
        </w:rPr>
        <w:t>在案，</w:t>
      </w:r>
      <w:r w:rsidR="00665372" w:rsidRPr="009834D6">
        <w:rPr>
          <w:rFonts w:hint="eastAsia"/>
          <w:b/>
        </w:rPr>
        <w:t>認為陳訴人</w:t>
      </w:r>
      <w:proofErr w:type="gramStart"/>
      <w:r w:rsidR="00665372" w:rsidRPr="009834D6">
        <w:rPr>
          <w:rFonts w:hint="eastAsia"/>
          <w:b/>
        </w:rPr>
        <w:t>所提事證</w:t>
      </w:r>
      <w:proofErr w:type="gramEnd"/>
      <w:r w:rsidR="00665372" w:rsidRPr="009834D6">
        <w:rPr>
          <w:rFonts w:hint="eastAsia"/>
          <w:b/>
        </w:rPr>
        <w:t>已</w:t>
      </w:r>
      <w:r w:rsidR="00665372" w:rsidRPr="009834D6">
        <w:rPr>
          <w:rFonts w:hint="eastAsia"/>
          <w:b/>
          <w:szCs w:val="36"/>
        </w:rPr>
        <w:t>經檢察官調查斟酌或非法定新事實、新證據，</w:t>
      </w:r>
      <w:r w:rsidR="008455C1" w:rsidRPr="009834D6">
        <w:rPr>
          <w:rFonts w:hint="eastAsia"/>
          <w:b/>
        </w:rPr>
        <w:t>基於檢察官獨立性</w:t>
      </w:r>
      <w:r w:rsidRPr="009834D6">
        <w:rPr>
          <w:rFonts w:hint="eastAsia"/>
          <w:b/>
        </w:rPr>
        <w:t>，就</w:t>
      </w:r>
      <w:proofErr w:type="gramStart"/>
      <w:r w:rsidR="00C77690" w:rsidRPr="009834D6">
        <w:rPr>
          <w:rFonts w:hint="eastAsia"/>
          <w:b/>
        </w:rPr>
        <w:t>臺</w:t>
      </w:r>
      <w:proofErr w:type="gramEnd"/>
      <w:r w:rsidR="00C77690" w:rsidRPr="009834D6">
        <w:rPr>
          <w:rFonts w:hint="eastAsia"/>
          <w:b/>
        </w:rPr>
        <w:t>北地檢署</w:t>
      </w:r>
      <w:r w:rsidR="00D36524" w:rsidRPr="009834D6">
        <w:rPr>
          <w:rFonts w:hint="eastAsia"/>
          <w:b/>
        </w:rPr>
        <w:t>認定陳訴人</w:t>
      </w:r>
      <w:proofErr w:type="gramStart"/>
      <w:r w:rsidR="00D36524" w:rsidRPr="009834D6">
        <w:rPr>
          <w:rFonts w:hint="eastAsia"/>
          <w:b/>
        </w:rPr>
        <w:t>所提事證</w:t>
      </w:r>
      <w:proofErr w:type="gramEnd"/>
      <w:r w:rsidR="00D36524" w:rsidRPr="009834D6">
        <w:rPr>
          <w:rFonts w:hint="eastAsia"/>
          <w:b/>
        </w:rPr>
        <w:t>不足以認定被告有犯罪嫌疑而</w:t>
      </w:r>
      <w:r w:rsidRPr="009834D6">
        <w:rPr>
          <w:rFonts w:hint="eastAsia"/>
          <w:b/>
        </w:rPr>
        <w:t>予以簽結之偵辦結果，本院予以尊重。</w:t>
      </w:r>
      <w:proofErr w:type="gramStart"/>
      <w:r w:rsidR="005B10AB" w:rsidRPr="009834D6">
        <w:rPr>
          <w:rFonts w:hint="eastAsia"/>
          <w:b/>
        </w:rPr>
        <w:t>惟</w:t>
      </w:r>
      <w:proofErr w:type="gramEnd"/>
      <w:r w:rsidR="005B10AB" w:rsidRPr="009834D6">
        <w:rPr>
          <w:rFonts w:hint="eastAsia"/>
          <w:b/>
        </w:rPr>
        <w:t>縱然實務上有眾多</w:t>
      </w:r>
      <w:r w:rsidR="005B10AB" w:rsidRPr="009834D6">
        <w:rPr>
          <w:b/>
        </w:rPr>
        <w:t>民事糾紛案件，其中大多數可能</w:t>
      </w:r>
      <w:r w:rsidR="005B10AB" w:rsidRPr="009834D6">
        <w:rPr>
          <w:rFonts w:hint="eastAsia"/>
          <w:b/>
        </w:rPr>
        <w:t>係</w:t>
      </w:r>
      <w:r w:rsidR="005B10AB" w:rsidRPr="009834D6">
        <w:rPr>
          <w:b/>
        </w:rPr>
        <w:t>以告詐欺、</w:t>
      </w:r>
      <w:r w:rsidR="005B10AB" w:rsidRPr="009834D6">
        <w:rPr>
          <w:rFonts w:hint="eastAsia"/>
          <w:b/>
        </w:rPr>
        <w:t>背信</w:t>
      </w:r>
      <w:r w:rsidR="005B10AB" w:rsidRPr="009834D6">
        <w:rPr>
          <w:b/>
        </w:rPr>
        <w:t>等為名</w:t>
      </w:r>
      <w:r w:rsidR="005B10AB" w:rsidRPr="009834D6">
        <w:rPr>
          <w:rFonts w:hint="eastAsia"/>
          <w:b/>
        </w:rPr>
        <w:t>之</w:t>
      </w:r>
      <w:r w:rsidR="005B10AB" w:rsidRPr="009834D6">
        <w:rPr>
          <w:b/>
        </w:rPr>
        <w:t>假性犯罪案件，</w:t>
      </w:r>
      <w:r w:rsidR="005B10AB" w:rsidRPr="009834D6">
        <w:rPr>
          <w:rFonts w:hint="eastAsia"/>
          <w:b/>
        </w:rPr>
        <w:t>私人間民事財產糾紛，基於權力分立原則，允由當事人依民事訴訟法等相關規定，循求民事救濟途徑，</w:t>
      </w:r>
      <w:r w:rsidR="007570B8">
        <w:rPr>
          <w:rFonts w:hint="eastAsia"/>
          <w:b/>
        </w:rPr>
        <w:t>然其中亦有民眾真正受到詐騙之可能性，故本院仍期許法務部</w:t>
      </w:r>
      <w:r w:rsidR="007570B8" w:rsidRPr="00ED2157">
        <w:rPr>
          <w:rFonts w:hint="eastAsia"/>
          <w:b/>
        </w:rPr>
        <w:t>轉知所屬</w:t>
      </w:r>
      <w:r w:rsidR="007570B8">
        <w:rPr>
          <w:rFonts w:hint="eastAsia"/>
          <w:b/>
        </w:rPr>
        <w:t>，強化偵查與</w:t>
      </w:r>
      <w:proofErr w:type="gramStart"/>
      <w:r w:rsidR="007570B8">
        <w:rPr>
          <w:rFonts w:hint="eastAsia"/>
          <w:b/>
        </w:rPr>
        <w:t>蒐</w:t>
      </w:r>
      <w:proofErr w:type="gramEnd"/>
      <w:r w:rsidR="007570B8">
        <w:rPr>
          <w:rFonts w:hint="eastAsia"/>
          <w:b/>
        </w:rPr>
        <w:t>證能量</w:t>
      </w:r>
      <w:r w:rsidR="005B10AB" w:rsidRPr="009834D6">
        <w:rPr>
          <w:rFonts w:hint="eastAsia"/>
          <w:b/>
        </w:rPr>
        <w:t>，深入</w:t>
      </w:r>
      <w:r w:rsidR="005B10AB" w:rsidRPr="009834D6">
        <w:rPr>
          <w:b/>
        </w:rPr>
        <w:t>查</w:t>
      </w:r>
      <w:r w:rsidR="005B10AB" w:rsidRPr="009834D6">
        <w:rPr>
          <w:rFonts w:hint="eastAsia"/>
          <w:b/>
        </w:rPr>
        <w:t>證</w:t>
      </w:r>
      <w:r w:rsidR="007570B8">
        <w:rPr>
          <w:rFonts w:hint="eastAsia"/>
          <w:b/>
        </w:rPr>
        <w:t>，以</w:t>
      </w:r>
      <w:r w:rsidR="005B10AB" w:rsidRPr="009834D6">
        <w:rPr>
          <w:rFonts w:hint="eastAsia"/>
          <w:b/>
        </w:rPr>
        <w:t>遏止詐騙歪風、保障民眾權益</w:t>
      </w:r>
      <w:r w:rsidR="00D033BC" w:rsidRPr="009834D6">
        <w:rPr>
          <w:rFonts w:hint="eastAsia"/>
          <w:b/>
        </w:rPr>
        <w:t>。</w:t>
      </w:r>
    </w:p>
    <w:p w:rsidR="00905871" w:rsidRPr="009834D6" w:rsidRDefault="00905871" w:rsidP="00905871">
      <w:pPr>
        <w:pStyle w:val="3"/>
      </w:pP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北地檢署檢察官承辦</w:t>
      </w:r>
      <w:proofErr w:type="gramStart"/>
      <w:r w:rsidR="00D54FDD" w:rsidRPr="009834D6">
        <w:rPr>
          <w:rFonts w:hint="eastAsia"/>
        </w:rPr>
        <w:t>105</w:t>
      </w:r>
      <w:proofErr w:type="gramEnd"/>
      <w:r w:rsidR="00D54FDD" w:rsidRPr="009834D6">
        <w:rPr>
          <w:rFonts w:hint="eastAsia"/>
        </w:rPr>
        <w:t>年度他字第9752號</w:t>
      </w:r>
      <w:r w:rsidRPr="009834D6">
        <w:rPr>
          <w:rFonts w:hint="eastAsia"/>
        </w:rPr>
        <w:t>被告</w:t>
      </w:r>
      <w:r w:rsidR="00436A3C">
        <w:rPr>
          <w:rFonts w:hint="eastAsia"/>
        </w:rPr>
        <w:t>許○○</w:t>
      </w:r>
      <w:r w:rsidRPr="009834D6">
        <w:rPr>
          <w:rFonts w:hint="eastAsia"/>
        </w:rPr>
        <w:t>等</w:t>
      </w:r>
      <w:proofErr w:type="gramStart"/>
      <w:r w:rsidRPr="009834D6">
        <w:rPr>
          <w:rFonts w:hint="eastAsia"/>
        </w:rPr>
        <w:t>涉犯背信</w:t>
      </w:r>
      <w:proofErr w:type="gramEnd"/>
      <w:r w:rsidRPr="009834D6">
        <w:rPr>
          <w:rFonts w:hint="eastAsia"/>
        </w:rPr>
        <w:t>案件，予以簽結之理由</w:t>
      </w:r>
      <w:r w:rsidR="00F53D44" w:rsidRPr="009834D6">
        <w:rPr>
          <w:rFonts w:hint="eastAsia"/>
        </w:rPr>
        <w:t>：</w:t>
      </w:r>
    </w:p>
    <w:p w:rsidR="00C8060F" w:rsidRPr="009834D6" w:rsidRDefault="00C8060F" w:rsidP="00C8060F">
      <w:pPr>
        <w:pStyle w:val="4"/>
      </w:pPr>
      <w:r w:rsidRPr="009834D6">
        <w:rPr>
          <w:rFonts w:hint="eastAsia"/>
        </w:rPr>
        <w:t>告訴人前於98年11月4日對被告2人提出背信告訴，業經板橋地檢署以</w:t>
      </w:r>
      <w:proofErr w:type="gramStart"/>
      <w:r w:rsidRPr="009834D6">
        <w:rPr>
          <w:rFonts w:hint="eastAsia"/>
        </w:rPr>
        <w:t>100</w:t>
      </w:r>
      <w:proofErr w:type="gramEnd"/>
      <w:r w:rsidRPr="009834D6">
        <w:rPr>
          <w:rFonts w:hint="eastAsia"/>
        </w:rPr>
        <w:t>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續一字第109號為不起訴處分確定。陳訴人</w:t>
      </w:r>
      <w:proofErr w:type="gramStart"/>
      <w:r w:rsidRPr="009834D6">
        <w:rPr>
          <w:rFonts w:hint="eastAsia"/>
        </w:rPr>
        <w:t>嗣</w:t>
      </w:r>
      <w:proofErr w:type="gramEnd"/>
      <w:r w:rsidRPr="009834D6">
        <w:rPr>
          <w:rFonts w:hint="eastAsia"/>
        </w:rPr>
        <w:t>仍對上開已確定之不起訴處分不服，並提出刑事告訴狀，稱本件經查有新</w:t>
      </w:r>
      <w:proofErr w:type="gramStart"/>
      <w:r w:rsidRPr="009834D6">
        <w:rPr>
          <w:rFonts w:hint="eastAsia"/>
        </w:rPr>
        <w:t>證據可佐被告</w:t>
      </w:r>
      <w:proofErr w:type="gramEnd"/>
      <w:r w:rsidRPr="009834D6">
        <w:rPr>
          <w:rFonts w:hint="eastAsia"/>
        </w:rPr>
        <w:t>2人犯行。檢察官認定本件並無刑事訴訟法第260條第1款所定「新事實、新證據」之情形。</w:t>
      </w:r>
    </w:p>
    <w:p w:rsidR="00C8060F" w:rsidRPr="009834D6" w:rsidRDefault="00C8060F" w:rsidP="00C8060F">
      <w:pPr>
        <w:pStyle w:val="4"/>
      </w:pPr>
      <w:proofErr w:type="gramStart"/>
      <w:r w:rsidRPr="009834D6">
        <w:rPr>
          <w:rFonts w:hint="eastAsia"/>
        </w:rPr>
        <w:lastRenderedPageBreak/>
        <w:t>臺</w:t>
      </w:r>
      <w:proofErr w:type="gramEnd"/>
      <w:r w:rsidRPr="009834D6">
        <w:rPr>
          <w:rFonts w:hint="eastAsia"/>
        </w:rPr>
        <w:t>北地檢署檢察官查閱全卷結果，經比對本件105年10月3日所提刑事告訴狀所附證據資料，與板橋地檢署</w:t>
      </w:r>
      <w:proofErr w:type="gramStart"/>
      <w:r w:rsidRPr="009834D6">
        <w:rPr>
          <w:rFonts w:hint="eastAsia"/>
        </w:rPr>
        <w:t>100</w:t>
      </w:r>
      <w:proofErr w:type="gramEnd"/>
      <w:r w:rsidRPr="009834D6">
        <w:rPr>
          <w:rFonts w:hint="eastAsia"/>
        </w:rPr>
        <w:t>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續一字</w:t>
      </w:r>
      <w:proofErr w:type="gramStart"/>
      <w:r w:rsidRPr="009834D6">
        <w:rPr>
          <w:rFonts w:hint="eastAsia"/>
        </w:rPr>
        <w:t>第109號卷</w:t>
      </w:r>
      <w:proofErr w:type="gramEnd"/>
      <w:r w:rsidRPr="009834D6">
        <w:rPr>
          <w:rFonts w:hint="eastAsia"/>
        </w:rPr>
        <w:t>(</w:t>
      </w:r>
      <w:proofErr w:type="gramStart"/>
      <w:r w:rsidRPr="009834D6">
        <w:rPr>
          <w:rFonts w:hint="eastAsia"/>
        </w:rPr>
        <w:t>含同署98年度</w:t>
      </w:r>
      <w:proofErr w:type="gramEnd"/>
      <w:r w:rsidRPr="009834D6">
        <w:rPr>
          <w:rFonts w:hint="eastAsia"/>
        </w:rPr>
        <w:t>他字第7239號、99年度他字第5714號、99年度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字第19544號、99年度</w:t>
      </w:r>
      <w:proofErr w:type="gramStart"/>
      <w:r w:rsidRPr="009834D6">
        <w:rPr>
          <w:rFonts w:hint="eastAsia"/>
        </w:rPr>
        <w:t>偵續字第729號卷</w:t>
      </w:r>
      <w:proofErr w:type="gramEnd"/>
      <w:r w:rsidRPr="009834D6">
        <w:rPr>
          <w:rFonts w:hint="eastAsia"/>
        </w:rPr>
        <w:t>)，及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年度他字第5166</w:t>
      </w:r>
      <w:r w:rsidR="0026392E" w:rsidRPr="009834D6">
        <w:rPr>
          <w:rFonts w:hint="eastAsia"/>
        </w:rPr>
        <w:t>號案卷，對照結果如</w:t>
      </w:r>
      <w:r w:rsidR="00CA7D78" w:rsidRPr="009834D6">
        <w:rPr>
          <w:rFonts w:hint="eastAsia"/>
        </w:rPr>
        <w:t>下</w:t>
      </w:r>
      <w:r w:rsidRPr="009834D6">
        <w:rPr>
          <w:rFonts w:hint="eastAsia"/>
        </w:rPr>
        <w:t>表</w:t>
      </w:r>
      <w:r w:rsidR="00772998" w:rsidRPr="009834D6">
        <w:rPr>
          <w:rFonts w:hint="eastAsia"/>
        </w:rPr>
        <w:t>1</w:t>
      </w:r>
      <w:r w:rsidRPr="009834D6">
        <w:rPr>
          <w:rFonts w:hint="eastAsia"/>
        </w:rPr>
        <w:t>。</w:t>
      </w:r>
    </w:p>
    <w:p w:rsidR="00C8060F" w:rsidRPr="009834D6" w:rsidRDefault="00C8060F" w:rsidP="007D1507">
      <w:pPr>
        <w:pStyle w:val="a3"/>
      </w:pPr>
      <w:bookmarkStart w:id="50" w:name="_Toc280712988"/>
      <w:bookmarkStart w:id="51" w:name="_Toc422732534"/>
      <w:r w:rsidRPr="009834D6">
        <w:rPr>
          <w:rFonts w:hint="eastAsia"/>
        </w:rPr>
        <w:t>【臺北地檢署</w:t>
      </w:r>
      <w:r w:rsidR="00772998" w:rsidRPr="009834D6">
        <w:rPr>
          <w:rFonts w:hint="eastAsia"/>
        </w:rPr>
        <w:t>承辦</w:t>
      </w:r>
      <w:r w:rsidRPr="009834D6">
        <w:rPr>
          <w:rFonts w:hint="eastAsia"/>
        </w:rPr>
        <w:t>檢察官逐一比對勾稽陳訴人所提事證】</w:t>
      </w:r>
      <w:bookmarkEnd w:id="50"/>
      <w:bookmarkEnd w:id="51"/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3544"/>
        <w:gridCol w:w="3689"/>
      </w:tblGrid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本件刑事告訴狀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367092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板橋地檢署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及</w:t>
            </w:r>
            <w:proofErr w:type="gramStart"/>
            <w:r w:rsidR="00F97911" w:rsidRPr="009834D6">
              <w:rPr>
                <w:rFonts w:hint="eastAsia"/>
                <w:sz w:val="28"/>
              </w:rPr>
              <w:t>臺</w:t>
            </w:r>
            <w:proofErr w:type="gramEnd"/>
            <w:r w:rsidR="00F97911" w:rsidRPr="009834D6">
              <w:rPr>
                <w:rFonts w:hint="eastAsia"/>
                <w:sz w:val="28"/>
              </w:rPr>
              <w:t>北地檢署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案卷出處、說明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證據名稱（依告訴人書狀所載）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5724AA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</w:t>
            </w: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一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（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板橋地檢署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98他7239第</w:t>
            </w:r>
            <w:r w:rsidR="002D4097" w:rsidRPr="009834D6">
              <w:rPr>
                <w:rFonts w:hAnsi="標楷體" w:cs="新細明體"/>
                <w:kern w:val="0"/>
                <w:sz w:val="28"/>
                <w:szCs w:val="28"/>
              </w:rPr>
              <w:t>12-13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DA1062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臺灣</w:t>
            </w:r>
            <w:proofErr w:type="gramStart"/>
            <w:r w:rsidR="00BE1AAC" w:rsidRPr="009834D6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="00BE1AAC" w:rsidRPr="009834D6">
              <w:rPr>
                <w:rFonts w:hAnsi="標楷體" w:cs="新細明體"/>
                <w:kern w:val="0"/>
                <w:sz w:val="28"/>
                <w:szCs w:val="28"/>
              </w:rPr>
              <w:t>北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地方法院不動產權利移轉證書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2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證二（同卷第14-15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權利移轉證明書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3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證三（同卷第16頁）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備忘錄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4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證四（同卷第17-20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436A3C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hAnsi="標楷體" w:cs="新細明體"/>
                <w:kern w:val="0"/>
                <w:sz w:val="28"/>
                <w:szCs w:val="28"/>
              </w:rPr>
              <w:t>邱</w:t>
            </w:r>
            <w:proofErr w:type="gramEnd"/>
            <w:r w:rsidRPr="00ED2157">
              <w:rPr>
                <w:rFonts w:hint="eastAsia"/>
                <w:sz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，不動產買賣契約書及權利移轉證明書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證五（同卷第21-24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436A3C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>
              <w:rPr>
                <w:rFonts w:hAnsi="標楷體" w:cs="新細明體"/>
                <w:kern w:val="0"/>
                <w:sz w:val="28"/>
                <w:szCs w:val="28"/>
              </w:rPr>
              <w:t>林</w:t>
            </w:r>
            <w:r w:rsidRPr="00ED2157">
              <w:rPr>
                <w:rFonts w:hint="eastAsia"/>
                <w:sz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，不動產買賣契約書及權利移轉證明書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6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證六（同卷第25-28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436A3C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hAnsi="標楷體" w:cs="新細明體"/>
                <w:kern w:val="0"/>
                <w:sz w:val="28"/>
                <w:szCs w:val="28"/>
              </w:rPr>
              <w:t>蔡</w:t>
            </w:r>
            <w:proofErr w:type="gramEnd"/>
            <w:r w:rsidRPr="00ED2157">
              <w:rPr>
                <w:rFonts w:hint="eastAsia"/>
                <w:sz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，不動產買賣契約書及權利移轉證明書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7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證七（同卷第29-32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436A3C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>
              <w:rPr>
                <w:rFonts w:hAnsi="標楷體" w:cs="新細明體"/>
                <w:kern w:val="0"/>
                <w:sz w:val="28"/>
                <w:szCs w:val="28"/>
              </w:rPr>
              <w:t>舒</w:t>
            </w:r>
            <w:r w:rsidRPr="00ED2157">
              <w:rPr>
                <w:rFonts w:hint="eastAsia"/>
                <w:sz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，不動產買賣契約書及權利移轉證明書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證八（同卷第33-38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BE1AAC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北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北門存證信函第4143號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證十六（同卷第77-79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436A3C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hAnsi="標楷體" w:cs="新細明體"/>
                <w:kern w:val="0"/>
                <w:sz w:val="28"/>
                <w:szCs w:val="28"/>
              </w:rPr>
              <w:t>邱</w:t>
            </w:r>
            <w:proofErr w:type="gramEnd"/>
            <w:r>
              <w:rPr>
                <w:rFonts w:hAnsi="標楷體" w:cs="新細明體"/>
                <w:kern w:val="0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，不動產買賣契約書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10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證十六（同卷第80-82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436A3C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>
              <w:rPr>
                <w:rFonts w:hAnsi="標楷體" w:cs="新細明體"/>
                <w:kern w:val="0"/>
                <w:sz w:val="28"/>
                <w:szCs w:val="28"/>
              </w:rPr>
              <w:t>林○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，不動產買賣契約書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11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證十六（同卷第83-85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436A3C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hAnsi="標楷體" w:cs="新細明體"/>
                <w:kern w:val="0"/>
                <w:sz w:val="28"/>
                <w:szCs w:val="28"/>
              </w:rPr>
              <w:t>蔡</w:t>
            </w:r>
            <w:proofErr w:type="gramEnd"/>
            <w:r>
              <w:rPr>
                <w:rFonts w:hAnsi="標楷體" w:cs="新細明體"/>
                <w:kern w:val="0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，不動產買賣契約書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12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證十六（同卷第86-88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436A3C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>
              <w:rPr>
                <w:rFonts w:hAnsi="標楷體" w:cs="新細明體"/>
                <w:kern w:val="0"/>
                <w:sz w:val="28"/>
                <w:szCs w:val="28"/>
              </w:rPr>
              <w:t>舒○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，不動產買賣契約書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lastRenderedPageBreak/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13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F97911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告證十一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（</w:t>
            </w:r>
            <w:proofErr w:type="gramStart"/>
            <w:r w:rsidRPr="009834D6">
              <w:rPr>
                <w:rFonts w:hint="eastAsia"/>
                <w:sz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</w:rPr>
              <w:t>北地檢署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105 他5166卷第29-33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367092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板橋地檢署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檢察官不起訴處分書99年度</w:t>
            </w:r>
            <w:proofErr w:type="gramStart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偵</w:t>
            </w:r>
            <w:proofErr w:type="gramEnd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字第19544號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14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F97911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告證十一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（</w:t>
            </w:r>
            <w:proofErr w:type="gramStart"/>
            <w:r w:rsidRPr="009834D6">
              <w:rPr>
                <w:rFonts w:hint="eastAsia"/>
                <w:sz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</w:rPr>
              <w:t>北地檢署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105 他5166卷第29-33 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367092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板橋地檢署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檢察官不起訴處分書99年度</w:t>
            </w:r>
            <w:proofErr w:type="gramStart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偵續字</w:t>
            </w:r>
            <w:proofErr w:type="gramEnd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第729號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15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非證據資料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367092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板橋地檢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署檢察官不起訴處分書</w:t>
            </w:r>
            <w:proofErr w:type="gramStart"/>
            <w:r w:rsidR="0009563F" w:rsidRPr="009834D6">
              <w:rPr>
                <w:rFonts w:hAnsi="標楷體" w:cs="新細明體"/>
                <w:kern w:val="0"/>
                <w:sz w:val="28"/>
                <w:szCs w:val="28"/>
              </w:rPr>
              <w:t>100</w:t>
            </w:r>
            <w:proofErr w:type="gramEnd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年度</w:t>
            </w:r>
            <w:proofErr w:type="gramStart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偵</w:t>
            </w:r>
            <w:proofErr w:type="gramEnd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續一字第109號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16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非證據資料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367092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高檢</w:t>
            </w:r>
            <w:r w:rsidR="00B140D2" w:rsidRPr="009834D6">
              <w:rPr>
                <w:rFonts w:hAnsi="標楷體" w:cs="新細明體"/>
                <w:kern w:val="0"/>
                <w:sz w:val="28"/>
                <w:szCs w:val="28"/>
              </w:rPr>
              <w:t>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處分書</w:t>
            </w:r>
            <w:proofErr w:type="gramStart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101</w:t>
            </w:r>
            <w:proofErr w:type="gramEnd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年度上聲議字第5784號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17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非證據資料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740F70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臺灣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 xml:space="preserve">新北地方法院刑事裁定101 </w:t>
            </w:r>
            <w:proofErr w:type="gramStart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年度聲判字</w:t>
            </w:r>
            <w:proofErr w:type="gramEnd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第100號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18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非證據資料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民事撤回訴訟聲請狀</w:t>
            </w:r>
            <w:proofErr w:type="gramStart"/>
            <w:r w:rsidR="00BE1AAC" w:rsidRPr="009834D6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="00BE1AAC" w:rsidRPr="009834D6">
              <w:rPr>
                <w:rFonts w:hAnsi="標楷體" w:cs="新細明體"/>
                <w:kern w:val="0"/>
                <w:sz w:val="28"/>
                <w:szCs w:val="28"/>
              </w:rPr>
              <w:t>北</w:t>
            </w: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地方法院</w:t>
            </w:r>
            <w:r w:rsidR="006F7B8C" w:rsidRPr="009834D6">
              <w:rPr>
                <w:rFonts w:hAnsi="標楷體" w:cs="新細明體"/>
                <w:kern w:val="0"/>
                <w:sz w:val="28"/>
                <w:szCs w:val="28"/>
              </w:rPr>
              <w:t>97年度</w:t>
            </w:r>
            <w:proofErr w:type="gramStart"/>
            <w:r w:rsidR="006F7B8C" w:rsidRPr="009834D6">
              <w:rPr>
                <w:rFonts w:hAnsi="標楷體" w:cs="新細明體"/>
                <w:kern w:val="0"/>
                <w:sz w:val="28"/>
                <w:szCs w:val="28"/>
              </w:rPr>
              <w:t>重訴字</w:t>
            </w:r>
            <w:proofErr w:type="gramEnd"/>
            <w:r w:rsidR="006F7B8C" w:rsidRPr="009834D6">
              <w:rPr>
                <w:rFonts w:hAnsi="標楷體" w:cs="新細明體"/>
                <w:kern w:val="0"/>
                <w:sz w:val="28"/>
                <w:szCs w:val="28"/>
              </w:rPr>
              <w:t>第</w:t>
            </w: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771號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19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F97911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告證十五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（</w:t>
            </w:r>
            <w:proofErr w:type="gramStart"/>
            <w:r w:rsidRPr="009834D6">
              <w:rPr>
                <w:rFonts w:hint="eastAsia"/>
                <w:sz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</w:rPr>
              <w:t>北地檢署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105 他5166卷第42頁）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「和解協議」及「建物所有權買賣協議書」正本之手抄本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內容與先前證述相同，非新事實新證據。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切結書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21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為告訴人陳述，內容與指訴情節相同，非新事實新證據。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BE1AAC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北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興安郵局第000994號存證信函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22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8D5C44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(1)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為</w:t>
            </w:r>
            <w:proofErr w:type="gramStart"/>
            <w:r w:rsidR="00ED2157">
              <w:rPr>
                <w:rFonts w:hAnsi="標楷體" w:cs="新細明體"/>
                <w:kern w:val="0"/>
                <w:sz w:val="28"/>
                <w:szCs w:val="28"/>
              </w:rPr>
              <w:t>薛</w:t>
            </w:r>
            <w:proofErr w:type="gramEnd"/>
            <w:r w:rsidR="00ED2157">
              <w:rPr>
                <w:rFonts w:hAnsi="標楷體" w:cs="新細明體"/>
                <w:kern w:val="0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所撰，惟內容與其先前證述相同，非新事實新證據。</w:t>
            </w:r>
          </w:p>
          <w:p w:rsidR="00C8060F" w:rsidRPr="009834D6" w:rsidRDefault="008D5C44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(2)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為告訴人所撰，惟內容</w:t>
            </w:r>
            <w:proofErr w:type="gramStart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僅敘明尚</w:t>
            </w:r>
            <w:proofErr w:type="gramEnd"/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有訴訟糾紛等情，非新事實新證據。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8D5C44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(1)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三重正義郵局第24142 號</w:t>
            </w:r>
          </w:p>
          <w:p w:rsidR="00C8060F" w:rsidRPr="009834D6" w:rsidRDefault="008D5C44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(2)</w:t>
            </w:r>
            <w:proofErr w:type="gramStart"/>
            <w:r w:rsidR="00BE1AAC" w:rsidRPr="009834D6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="00BE1AAC" w:rsidRPr="009834D6">
              <w:rPr>
                <w:rFonts w:hAnsi="標楷體" w:cs="新細明體"/>
                <w:kern w:val="0"/>
                <w:sz w:val="28"/>
                <w:szCs w:val="28"/>
              </w:rPr>
              <w:t>北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北門郵局第002773號存證信函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23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難認具關聯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性，非新事實新證據。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ED2157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>
              <w:rPr>
                <w:rFonts w:hAnsi="標楷體" w:cs="新細明體"/>
                <w:kern w:val="0"/>
                <w:sz w:val="28"/>
                <w:szCs w:val="28"/>
              </w:rPr>
              <w:t>合○</w:t>
            </w:r>
            <w:r w:rsidR="00C8060F" w:rsidRPr="009834D6">
              <w:rPr>
                <w:rFonts w:hAnsi="標楷體" w:cs="新細明體"/>
                <w:kern w:val="0"/>
                <w:sz w:val="28"/>
                <w:szCs w:val="28"/>
              </w:rPr>
              <w:t>公司辦理都市更新計畫資料</w:t>
            </w:r>
          </w:p>
        </w:tc>
      </w:tr>
      <w:tr w:rsidR="009834D6" w:rsidRPr="009834D6" w:rsidTr="0009563F">
        <w:tc>
          <w:tcPr>
            <w:tcW w:w="155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24</w:t>
            </w:r>
          </w:p>
        </w:tc>
        <w:tc>
          <w:tcPr>
            <w:tcW w:w="3544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非證據資料。</w:t>
            </w:r>
          </w:p>
        </w:tc>
        <w:tc>
          <w:tcPr>
            <w:tcW w:w="3689" w:type="dx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C8060F" w:rsidRPr="009834D6" w:rsidRDefault="00C8060F" w:rsidP="000E3211">
            <w:pPr>
              <w:widowControl/>
              <w:spacing w:line="34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最高法院判決及裁判</w:t>
            </w:r>
          </w:p>
        </w:tc>
      </w:tr>
    </w:tbl>
    <w:p w:rsidR="00C8060F" w:rsidRPr="009834D6" w:rsidRDefault="00C8060F" w:rsidP="008E796D">
      <w:pPr>
        <w:pStyle w:val="af5"/>
      </w:pPr>
      <w:r w:rsidRPr="009834D6">
        <w:rPr>
          <w:rFonts w:hint="eastAsia"/>
        </w:rPr>
        <w:t>資料來源：【臺北地檢署105年度他字第9752號卷</w:t>
      </w:r>
      <w:r w:rsidR="00F97911" w:rsidRPr="009834D6">
        <w:rPr>
          <w:rFonts w:hint="eastAsia"/>
        </w:rPr>
        <w:t>宗</w:t>
      </w:r>
      <w:r w:rsidRPr="009834D6">
        <w:rPr>
          <w:rFonts w:hint="eastAsia"/>
        </w:rPr>
        <w:t>】</w:t>
      </w:r>
    </w:p>
    <w:p w:rsidR="00C8060F" w:rsidRPr="009834D6" w:rsidRDefault="00C8060F" w:rsidP="00806EC3">
      <w:pPr>
        <w:pStyle w:val="4"/>
      </w:pPr>
      <w:r w:rsidRPr="009834D6">
        <w:rPr>
          <w:rFonts w:hint="eastAsia"/>
        </w:rPr>
        <w:t>告訴人以相同事實，業於105年5月17日向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</w:t>
      </w:r>
      <w:r w:rsidRPr="009834D6">
        <w:rPr>
          <w:rFonts w:hint="eastAsia"/>
        </w:rPr>
        <w:lastRenderedPageBreak/>
        <w:t>檢署遞交刑事告訴狀，經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北地檢署以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年度他字第5166號分案偵辦，後認無新事實、新證據等得再行起訴之情事，於105年8月25日簽結在案，告訴人另以被告2人涉偽造文書罪嫌提起自訴，亦經判決自訴不受理，有臺灣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北地方法院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年度自字第26號判決</w:t>
      </w:r>
      <w:proofErr w:type="gramStart"/>
      <w:r w:rsidRPr="009834D6">
        <w:rPr>
          <w:rFonts w:hint="eastAsia"/>
        </w:rPr>
        <w:t>附卷可參</w:t>
      </w:r>
      <w:proofErr w:type="gramEnd"/>
      <w:r w:rsidRPr="009834D6">
        <w:rPr>
          <w:rFonts w:hint="eastAsia"/>
        </w:rPr>
        <w:t>。本件告訴人</w:t>
      </w:r>
      <w:proofErr w:type="gramStart"/>
      <w:r w:rsidRPr="009834D6">
        <w:rPr>
          <w:rFonts w:hint="eastAsia"/>
        </w:rPr>
        <w:t>所提事證</w:t>
      </w:r>
      <w:proofErr w:type="gramEnd"/>
      <w:r w:rsidRPr="009834D6">
        <w:rPr>
          <w:rFonts w:hint="eastAsia"/>
        </w:rPr>
        <w:t>，非新發生事實及所憑證據，其於告訴狀所載內容，並陳明聲請調查證據部分(傳喚如告訴狀所載證人)，仍非得對同一案件再行起訴之依據。</w:t>
      </w:r>
    </w:p>
    <w:p w:rsidR="00806EC3" w:rsidRPr="009834D6" w:rsidRDefault="00C8060F" w:rsidP="00905871">
      <w:pPr>
        <w:pStyle w:val="3"/>
      </w:pP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北地檢署檢察官承辦</w:t>
      </w:r>
      <w:proofErr w:type="gramStart"/>
      <w:r w:rsidR="00D54FDD" w:rsidRPr="009834D6">
        <w:rPr>
          <w:rFonts w:hint="eastAsia"/>
        </w:rPr>
        <w:t>106</w:t>
      </w:r>
      <w:proofErr w:type="gramEnd"/>
      <w:r w:rsidR="00D54FDD" w:rsidRPr="009834D6">
        <w:rPr>
          <w:rFonts w:hint="eastAsia"/>
        </w:rPr>
        <w:t>年度他字第5691</w:t>
      </w:r>
      <w:r w:rsidR="00806EC3" w:rsidRPr="009834D6">
        <w:rPr>
          <w:rFonts w:hint="eastAsia"/>
        </w:rPr>
        <w:t>號</w:t>
      </w:r>
      <w:r w:rsidRPr="009834D6">
        <w:rPr>
          <w:rFonts w:hint="eastAsia"/>
        </w:rPr>
        <w:t>被告</w:t>
      </w:r>
      <w:r w:rsidR="00436A3C">
        <w:rPr>
          <w:rFonts w:hint="eastAsia"/>
        </w:rPr>
        <w:t>許○○</w:t>
      </w:r>
      <w:r w:rsidRPr="009834D6">
        <w:rPr>
          <w:rFonts w:hint="eastAsia"/>
        </w:rPr>
        <w:t>等</w:t>
      </w:r>
      <w:proofErr w:type="gramStart"/>
      <w:r w:rsidRPr="009834D6">
        <w:rPr>
          <w:rFonts w:hint="eastAsia"/>
        </w:rPr>
        <w:t>涉犯背信</w:t>
      </w:r>
      <w:proofErr w:type="gramEnd"/>
      <w:r w:rsidRPr="009834D6">
        <w:rPr>
          <w:rFonts w:hint="eastAsia"/>
        </w:rPr>
        <w:t>案件，予以簽結之理由</w:t>
      </w:r>
      <w:r w:rsidR="00F53D44" w:rsidRPr="009834D6">
        <w:rPr>
          <w:rFonts w:hint="eastAsia"/>
        </w:rPr>
        <w:t>：</w:t>
      </w:r>
      <w:r w:rsidR="00806EC3" w:rsidRPr="009834D6">
        <w:rPr>
          <w:rFonts w:hint="eastAsia"/>
        </w:rPr>
        <w:t xml:space="preserve"> </w:t>
      </w:r>
    </w:p>
    <w:p w:rsidR="00C8060F" w:rsidRPr="009834D6" w:rsidRDefault="00806EC3" w:rsidP="00806EC3">
      <w:pPr>
        <w:pStyle w:val="3"/>
        <w:numPr>
          <w:ilvl w:val="0"/>
          <w:numId w:val="0"/>
        </w:numPr>
        <w:ind w:left="1361"/>
      </w:pPr>
      <w:r w:rsidRPr="009834D6">
        <w:rPr>
          <w:rFonts w:hint="eastAsia"/>
        </w:rPr>
        <w:t xml:space="preserve">    按同一案件非有刑事訴訟法第260條各款規定之情形，不得再行起訴，刑事訴訟法第260條定有明文。經查，</w:t>
      </w:r>
      <w:proofErr w:type="gramStart"/>
      <w:r w:rsidRPr="009834D6">
        <w:rPr>
          <w:rFonts w:hint="eastAsia"/>
        </w:rPr>
        <w:t>告訴人</w:t>
      </w:r>
      <w:r w:rsidR="00B712D4">
        <w:rPr>
          <w:rFonts w:hint="eastAsia"/>
        </w:rPr>
        <w:t>北</w:t>
      </w:r>
      <w:proofErr w:type="gramEnd"/>
      <w:r w:rsidR="00B712D4">
        <w:rPr>
          <w:rFonts w:hint="eastAsia"/>
        </w:rPr>
        <w:t>○</w:t>
      </w:r>
      <w:r w:rsidRPr="009834D6">
        <w:rPr>
          <w:rFonts w:hint="eastAsia"/>
        </w:rPr>
        <w:t>公司就被告</w:t>
      </w:r>
      <w:r w:rsidR="00436A3C">
        <w:rPr>
          <w:rFonts w:hint="eastAsia"/>
        </w:rPr>
        <w:t>許○○</w:t>
      </w:r>
      <w:r w:rsidRPr="009834D6">
        <w:rPr>
          <w:rFonts w:hint="eastAsia"/>
        </w:rPr>
        <w:t>、</w:t>
      </w:r>
      <w:r w:rsidR="00ED2157">
        <w:rPr>
          <w:rFonts w:hint="eastAsia"/>
        </w:rPr>
        <w:t>何○</w:t>
      </w:r>
      <w:proofErr w:type="gramStart"/>
      <w:r w:rsidR="00ED2157">
        <w:rPr>
          <w:rFonts w:hint="eastAsia"/>
        </w:rPr>
        <w:t>虔</w:t>
      </w:r>
      <w:r w:rsidRPr="009834D6">
        <w:rPr>
          <w:rFonts w:hint="eastAsia"/>
        </w:rPr>
        <w:t>涉犯背信</w:t>
      </w:r>
      <w:proofErr w:type="gramEnd"/>
      <w:r w:rsidRPr="009834D6">
        <w:rPr>
          <w:rFonts w:hint="eastAsia"/>
        </w:rPr>
        <w:t>罪嫌</w:t>
      </w:r>
      <w:r w:rsidR="00083051" w:rsidRPr="009834D6">
        <w:rPr>
          <w:rFonts w:hint="eastAsia"/>
        </w:rPr>
        <w:t>部分</w:t>
      </w:r>
      <w:r w:rsidRPr="009834D6">
        <w:rPr>
          <w:rFonts w:hint="eastAsia"/>
        </w:rPr>
        <w:t>，前業經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</w:t>
      </w:r>
      <w:proofErr w:type="gramStart"/>
      <w:r w:rsidRPr="009834D6">
        <w:rPr>
          <w:rFonts w:hint="eastAsia"/>
        </w:rPr>
        <w:t>地檢署雨股檢察官</w:t>
      </w:r>
      <w:proofErr w:type="gramEnd"/>
      <w:r w:rsidRPr="009834D6">
        <w:rPr>
          <w:rFonts w:hint="eastAsia"/>
        </w:rPr>
        <w:t>於105年11月16日，以板橋地檢署</w:t>
      </w:r>
      <w:proofErr w:type="gramStart"/>
      <w:r w:rsidRPr="009834D6">
        <w:rPr>
          <w:rFonts w:hint="eastAsia"/>
        </w:rPr>
        <w:t>100</w:t>
      </w:r>
      <w:proofErr w:type="gramEnd"/>
      <w:r w:rsidRPr="009834D6">
        <w:rPr>
          <w:rFonts w:hint="eastAsia"/>
        </w:rPr>
        <w:t>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續一字第109號為不起訴處分確定為由而予以簽結在案(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北地檢署他字第9752號)。告訴人代表人</w:t>
      </w:r>
      <w:proofErr w:type="gramStart"/>
      <w:r w:rsidR="00436A3C">
        <w:rPr>
          <w:rFonts w:hint="eastAsia"/>
        </w:rPr>
        <w:t>廖</w:t>
      </w:r>
      <w:proofErr w:type="gramEnd"/>
      <w:r w:rsidR="00436A3C">
        <w:rPr>
          <w:rFonts w:hint="eastAsia"/>
        </w:rPr>
        <w:t>○○</w:t>
      </w:r>
      <w:r w:rsidRPr="009834D6">
        <w:rPr>
          <w:rFonts w:hint="eastAsia"/>
        </w:rPr>
        <w:t>稱尚有新</w:t>
      </w:r>
      <w:proofErr w:type="gramStart"/>
      <w:r w:rsidRPr="009834D6">
        <w:rPr>
          <w:rFonts w:hint="eastAsia"/>
        </w:rPr>
        <w:t>證據可佐被告</w:t>
      </w:r>
      <w:proofErr w:type="gramEnd"/>
      <w:r w:rsidRPr="009834D6">
        <w:rPr>
          <w:rFonts w:hint="eastAsia"/>
        </w:rPr>
        <w:t>2人犯行，惟</w:t>
      </w:r>
      <w:proofErr w:type="gramStart"/>
      <w:r w:rsidRPr="009834D6">
        <w:rPr>
          <w:rFonts w:hint="eastAsia"/>
        </w:rPr>
        <w:t>經核其所</w:t>
      </w:r>
      <w:proofErr w:type="gramEnd"/>
      <w:r w:rsidRPr="009834D6">
        <w:rPr>
          <w:rFonts w:hint="eastAsia"/>
        </w:rPr>
        <w:t>稱之新證據，亦已於板橋地檢署</w:t>
      </w:r>
      <w:proofErr w:type="gramStart"/>
      <w:r w:rsidRPr="009834D6">
        <w:rPr>
          <w:rFonts w:hint="eastAsia"/>
        </w:rPr>
        <w:t>100</w:t>
      </w:r>
      <w:proofErr w:type="gramEnd"/>
      <w:r w:rsidRPr="009834D6">
        <w:rPr>
          <w:rFonts w:hint="eastAsia"/>
        </w:rPr>
        <w:t>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續一字第109號案及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北地檢署他字第9752號案提出，是本件尚無刑事訴法第260條第1款所定新事實、新證據之情形，自不得再行起訴。</w:t>
      </w:r>
    </w:p>
    <w:p w:rsidR="00806EC3" w:rsidRPr="009834D6" w:rsidRDefault="00806EC3" w:rsidP="00806EC3">
      <w:pPr>
        <w:pStyle w:val="3"/>
      </w:pPr>
      <w:r w:rsidRPr="009834D6">
        <w:rPr>
          <w:rFonts w:hint="eastAsia"/>
          <w:noProof/>
        </w:rPr>
        <w:t>綜上，有關</w:t>
      </w:r>
      <w:r w:rsidRPr="009834D6">
        <w:rPr>
          <w:rFonts w:hint="eastAsia"/>
        </w:rPr>
        <w:t>陳訴人告訴</w:t>
      </w:r>
      <w:r w:rsidR="00436A3C">
        <w:rPr>
          <w:rFonts w:hint="eastAsia"/>
        </w:rPr>
        <w:t>許</w:t>
      </w:r>
      <w:proofErr w:type="gramStart"/>
      <w:r w:rsidR="00436A3C">
        <w:rPr>
          <w:rFonts w:hint="eastAsia"/>
        </w:rPr>
        <w:t>○○</w:t>
      </w:r>
      <w:r w:rsidRPr="009834D6">
        <w:rPr>
          <w:rFonts w:hint="eastAsia"/>
        </w:rPr>
        <w:t>等背信</w:t>
      </w:r>
      <w:proofErr w:type="gramEnd"/>
      <w:r w:rsidRPr="009834D6">
        <w:rPr>
          <w:rFonts w:hint="eastAsia"/>
        </w:rPr>
        <w:t>案</w:t>
      </w:r>
      <w:r w:rsidRPr="009834D6">
        <w:rPr>
          <w:rFonts w:hAnsi="標楷體" w:hint="eastAsia"/>
        </w:rPr>
        <w:t>，以有新事實、新證據請求</w:t>
      </w:r>
      <w:proofErr w:type="gramStart"/>
      <w:r w:rsidRPr="009834D6">
        <w:rPr>
          <w:rFonts w:hAnsi="標楷體" w:hint="eastAsia"/>
        </w:rPr>
        <w:t>臺</w:t>
      </w:r>
      <w:proofErr w:type="gramEnd"/>
      <w:r w:rsidRPr="009834D6">
        <w:rPr>
          <w:rFonts w:hAnsi="標楷體" w:hint="eastAsia"/>
        </w:rPr>
        <w:t>北地檢署偵查起訴</w:t>
      </w:r>
      <w:r w:rsidR="00436A3C">
        <w:rPr>
          <w:rFonts w:hAnsi="標楷體" w:hint="eastAsia"/>
        </w:rPr>
        <w:t>許○○</w:t>
      </w:r>
      <w:r w:rsidRPr="009834D6">
        <w:rPr>
          <w:rFonts w:hAnsi="標楷體" w:hint="eastAsia"/>
        </w:rPr>
        <w:t>等人，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年度他字第9752號、</w:t>
      </w:r>
      <w:proofErr w:type="gramStart"/>
      <w:r w:rsidRPr="009834D6">
        <w:rPr>
          <w:rFonts w:hint="eastAsia"/>
        </w:rPr>
        <w:t>106</w:t>
      </w:r>
      <w:proofErr w:type="gramEnd"/>
      <w:r w:rsidRPr="009834D6">
        <w:rPr>
          <w:rFonts w:hint="eastAsia"/>
        </w:rPr>
        <w:t>年度他字第5691號</w:t>
      </w:r>
      <w:r w:rsidR="00772998" w:rsidRPr="009834D6">
        <w:rPr>
          <w:rFonts w:hint="eastAsia"/>
        </w:rPr>
        <w:t>偵查結果部分，檢察機關既已調卷、比對勾</w:t>
      </w:r>
      <w:proofErr w:type="gramStart"/>
      <w:r w:rsidR="00772998" w:rsidRPr="009834D6">
        <w:rPr>
          <w:rFonts w:hint="eastAsia"/>
        </w:rPr>
        <w:t>稽</w:t>
      </w:r>
      <w:proofErr w:type="gramEnd"/>
      <w:r w:rsidR="00772998" w:rsidRPr="009834D6">
        <w:rPr>
          <w:rFonts w:hint="eastAsia"/>
        </w:rPr>
        <w:t>陳訴人所提相關事證在案，</w:t>
      </w:r>
      <w:r w:rsidR="00665372" w:rsidRPr="009834D6">
        <w:rPr>
          <w:rFonts w:hint="eastAsia"/>
        </w:rPr>
        <w:t>認為陳訴人</w:t>
      </w:r>
      <w:proofErr w:type="gramStart"/>
      <w:r w:rsidR="00665372" w:rsidRPr="009834D6">
        <w:rPr>
          <w:rFonts w:hint="eastAsia"/>
        </w:rPr>
        <w:t>所提事證</w:t>
      </w:r>
      <w:proofErr w:type="gramEnd"/>
      <w:r w:rsidR="00665372" w:rsidRPr="009834D6">
        <w:rPr>
          <w:rFonts w:hint="eastAsia"/>
        </w:rPr>
        <w:t>已經檢察官調查斟酌或非法定新事實、新證據，</w:t>
      </w:r>
      <w:r w:rsidRPr="009834D6">
        <w:rPr>
          <w:rFonts w:hint="eastAsia"/>
        </w:rPr>
        <w:t>基</w:t>
      </w:r>
      <w:r w:rsidRPr="009834D6">
        <w:rPr>
          <w:rFonts w:hint="eastAsia"/>
        </w:rPr>
        <w:lastRenderedPageBreak/>
        <w:t>於</w:t>
      </w:r>
      <w:r w:rsidR="008F5002" w:rsidRPr="009834D6">
        <w:rPr>
          <w:rFonts w:hint="eastAsia"/>
        </w:rPr>
        <w:t>檢察官獨立性</w:t>
      </w:r>
      <w:r w:rsidRPr="009834D6">
        <w:rPr>
          <w:rFonts w:hint="eastAsia"/>
        </w:rPr>
        <w:t>，就</w:t>
      </w:r>
      <w:r w:rsidR="00F729F1" w:rsidRPr="009834D6">
        <w:rPr>
          <w:rFonts w:hint="eastAsia"/>
        </w:rPr>
        <w:t>檢察官對本</w:t>
      </w:r>
      <w:r w:rsidR="00FE5D43" w:rsidRPr="009834D6">
        <w:rPr>
          <w:rFonts w:hint="eastAsia"/>
        </w:rPr>
        <w:t>案</w:t>
      </w:r>
      <w:r w:rsidR="00F729F1" w:rsidRPr="009834D6">
        <w:rPr>
          <w:rFonts w:hint="eastAsia"/>
        </w:rPr>
        <w:t>調查、證據分析過程、適用法律之見解及最終</w:t>
      </w:r>
      <w:r w:rsidRPr="009834D6">
        <w:rPr>
          <w:rFonts w:hint="eastAsia"/>
        </w:rPr>
        <w:t>予以簽結之偵辦結果，</w:t>
      </w:r>
      <w:r w:rsidRPr="009834D6">
        <w:rPr>
          <w:rFonts w:hint="eastAsia"/>
          <w:noProof/>
        </w:rPr>
        <w:t>本院予以尊重。</w:t>
      </w:r>
      <w:proofErr w:type="gramStart"/>
      <w:r w:rsidR="00E435E9" w:rsidRPr="009834D6">
        <w:rPr>
          <w:rFonts w:hint="eastAsia"/>
        </w:rPr>
        <w:t>惟</w:t>
      </w:r>
      <w:proofErr w:type="gramEnd"/>
      <w:r w:rsidR="00E435E9" w:rsidRPr="009834D6">
        <w:rPr>
          <w:rFonts w:hint="eastAsia"/>
        </w:rPr>
        <w:t>縱然實務上有眾多</w:t>
      </w:r>
      <w:r w:rsidR="00E435E9" w:rsidRPr="009834D6">
        <w:t>民事糾紛案件，其中大多數可能</w:t>
      </w:r>
      <w:r w:rsidR="00E435E9" w:rsidRPr="009834D6">
        <w:rPr>
          <w:rFonts w:hint="eastAsia"/>
        </w:rPr>
        <w:t>係</w:t>
      </w:r>
      <w:r w:rsidR="00E435E9" w:rsidRPr="009834D6">
        <w:t>以告詐欺、</w:t>
      </w:r>
      <w:r w:rsidR="00E435E9" w:rsidRPr="009834D6">
        <w:rPr>
          <w:rFonts w:hint="eastAsia"/>
        </w:rPr>
        <w:t>背信</w:t>
      </w:r>
      <w:r w:rsidR="00E435E9" w:rsidRPr="009834D6">
        <w:t>等為名</w:t>
      </w:r>
      <w:r w:rsidR="00E435E9" w:rsidRPr="009834D6">
        <w:rPr>
          <w:rFonts w:hint="eastAsia"/>
        </w:rPr>
        <w:t>之</w:t>
      </w:r>
      <w:r w:rsidR="00E435E9" w:rsidRPr="009834D6">
        <w:t>假性犯罪案件，</w:t>
      </w:r>
      <w:r w:rsidR="00B207A4" w:rsidRPr="009834D6">
        <w:rPr>
          <w:rFonts w:hint="eastAsia"/>
        </w:rPr>
        <w:t>私人間民事財產糾紛，基於權力分立原則，允由當事人依民事訴訟法等相關規定，循求民事救濟途徑，</w:t>
      </w:r>
      <w:r w:rsidR="00E435E9" w:rsidRPr="009834D6">
        <w:rPr>
          <w:rFonts w:hint="eastAsia"/>
        </w:rPr>
        <w:t>然其中亦有民眾真正受到詐騙之可能性，故</w:t>
      </w:r>
      <w:r w:rsidR="00ED2157" w:rsidRPr="00ED2157">
        <w:rPr>
          <w:rFonts w:hint="eastAsia"/>
        </w:rPr>
        <w:t>本院仍期許法務部轉知所屬，強化偵查與</w:t>
      </w:r>
      <w:proofErr w:type="gramStart"/>
      <w:r w:rsidR="00ED2157" w:rsidRPr="00ED2157">
        <w:rPr>
          <w:rFonts w:hint="eastAsia"/>
        </w:rPr>
        <w:t>蒐</w:t>
      </w:r>
      <w:proofErr w:type="gramEnd"/>
      <w:r w:rsidR="00ED2157" w:rsidRPr="00ED2157">
        <w:rPr>
          <w:rFonts w:hint="eastAsia"/>
        </w:rPr>
        <w:t>證能量，深入</w:t>
      </w:r>
      <w:r w:rsidR="00ED2157" w:rsidRPr="00ED2157">
        <w:t>查</w:t>
      </w:r>
      <w:r w:rsidR="00ED2157" w:rsidRPr="00ED2157">
        <w:rPr>
          <w:rFonts w:hint="eastAsia"/>
        </w:rPr>
        <w:t>證，以遏止詐騙歪風、保障民眾權益</w:t>
      </w:r>
      <w:r w:rsidR="008F5002" w:rsidRPr="00ED2157">
        <w:rPr>
          <w:rFonts w:hint="eastAsia"/>
        </w:rPr>
        <w:t>。</w:t>
      </w:r>
    </w:p>
    <w:p w:rsidR="00895E6A" w:rsidRPr="009834D6" w:rsidRDefault="00895E6A" w:rsidP="00895E6A">
      <w:pPr>
        <w:pStyle w:val="2"/>
        <w:rPr>
          <w:b/>
        </w:rPr>
      </w:pPr>
      <w:bookmarkStart w:id="52" w:name="_Toc421794873"/>
      <w:bookmarkStart w:id="53" w:name="_Toc422834158"/>
      <w:r w:rsidRPr="009834D6">
        <w:rPr>
          <w:rFonts w:hint="eastAsia"/>
          <w:b/>
          <w:noProof/>
        </w:rPr>
        <w:t>有關</w:t>
      </w:r>
      <w:r w:rsidRPr="009834D6">
        <w:rPr>
          <w:rFonts w:hint="eastAsia"/>
          <w:b/>
        </w:rPr>
        <w:t>陳訴人告訴</w:t>
      </w:r>
      <w:r w:rsidR="00436A3C">
        <w:rPr>
          <w:rFonts w:hint="eastAsia"/>
          <w:b/>
        </w:rPr>
        <w:t>許</w:t>
      </w:r>
      <w:proofErr w:type="gramStart"/>
      <w:r w:rsidR="00436A3C">
        <w:rPr>
          <w:rFonts w:hint="eastAsia"/>
          <w:b/>
        </w:rPr>
        <w:t>○○</w:t>
      </w:r>
      <w:r w:rsidRPr="009834D6">
        <w:rPr>
          <w:rFonts w:hint="eastAsia"/>
          <w:b/>
        </w:rPr>
        <w:t>等背信</w:t>
      </w:r>
      <w:proofErr w:type="gramEnd"/>
      <w:r w:rsidRPr="009834D6">
        <w:rPr>
          <w:rFonts w:hint="eastAsia"/>
          <w:b/>
        </w:rPr>
        <w:t>案，不服</w:t>
      </w:r>
      <w:proofErr w:type="gramStart"/>
      <w:r w:rsidRPr="009834D6">
        <w:rPr>
          <w:rFonts w:hint="eastAsia"/>
          <w:b/>
        </w:rPr>
        <w:t>臺</w:t>
      </w:r>
      <w:proofErr w:type="gramEnd"/>
      <w:r w:rsidRPr="009834D6">
        <w:rPr>
          <w:rFonts w:hint="eastAsia"/>
          <w:b/>
        </w:rPr>
        <w:t>北地檢署</w:t>
      </w:r>
      <w:proofErr w:type="gramStart"/>
      <w:r w:rsidRPr="009834D6">
        <w:rPr>
          <w:rFonts w:hint="eastAsia"/>
          <w:b/>
        </w:rPr>
        <w:t>105</w:t>
      </w:r>
      <w:proofErr w:type="gramEnd"/>
      <w:r w:rsidRPr="009834D6">
        <w:rPr>
          <w:rFonts w:hint="eastAsia"/>
          <w:b/>
        </w:rPr>
        <w:t>年度他字第9752號、</w:t>
      </w:r>
      <w:proofErr w:type="gramStart"/>
      <w:r w:rsidRPr="009834D6">
        <w:rPr>
          <w:rFonts w:hint="eastAsia"/>
          <w:b/>
        </w:rPr>
        <w:t>106</w:t>
      </w:r>
      <w:proofErr w:type="gramEnd"/>
      <w:r w:rsidRPr="009834D6">
        <w:rPr>
          <w:rFonts w:hint="eastAsia"/>
          <w:b/>
        </w:rPr>
        <w:t>年度他字第5691號偵查結果，並多次提出陳訴部分，檢察機關</w:t>
      </w:r>
      <w:r w:rsidR="001151A6" w:rsidRPr="009834D6">
        <w:rPr>
          <w:rFonts w:hint="eastAsia"/>
          <w:b/>
        </w:rPr>
        <w:t>既已</w:t>
      </w:r>
      <w:proofErr w:type="gramStart"/>
      <w:r w:rsidR="001151A6" w:rsidRPr="009834D6">
        <w:rPr>
          <w:rFonts w:hint="eastAsia"/>
          <w:b/>
        </w:rPr>
        <w:t>踐行</w:t>
      </w:r>
      <w:proofErr w:type="gramEnd"/>
      <w:r w:rsidR="001151A6" w:rsidRPr="009834D6">
        <w:rPr>
          <w:rFonts w:hint="eastAsia"/>
          <w:b/>
        </w:rPr>
        <w:t>必要法定程序，並函復陳訴人在案，又</w:t>
      </w:r>
      <w:proofErr w:type="gramStart"/>
      <w:r w:rsidR="000849FF" w:rsidRPr="009834D6">
        <w:rPr>
          <w:rFonts w:hint="eastAsia"/>
          <w:b/>
        </w:rPr>
        <w:t>臺</w:t>
      </w:r>
      <w:proofErr w:type="gramEnd"/>
      <w:r w:rsidR="000849FF" w:rsidRPr="009834D6">
        <w:rPr>
          <w:rFonts w:hint="eastAsia"/>
          <w:b/>
        </w:rPr>
        <w:t>北地檢署承辦檢察官已核對並調查相關事證，</w:t>
      </w:r>
      <w:r w:rsidR="001151A6" w:rsidRPr="009834D6">
        <w:rPr>
          <w:rFonts w:hint="eastAsia"/>
          <w:b/>
        </w:rPr>
        <w:t>且</w:t>
      </w:r>
      <w:r w:rsidRPr="009834D6">
        <w:rPr>
          <w:rFonts w:hint="eastAsia"/>
          <w:b/>
        </w:rPr>
        <w:t>基於</w:t>
      </w:r>
      <w:r w:rsidR="00C66F81" w:rsidRPr="009834D6">
        <w:rPr>
          <w:rFonts w:hint="eastAsia"/>
          <w:b/>
        </w:rPr>
        <w:t>檢察權行使之</w:t>
      </w:r>
      <w:r w:rsidR="0008353F" w:rsidRPr="009834D6">
        <w:rPr>
          <w:rFonts w:hint="eastAsia"/>
          <w:b/>
        </w:rPr>
        <w:t>獨立性</w:t>
      </w:r>
      <w:r w:rsidR="00571A88" w:rsidRPr="009834D6">
        <w:rPr>
          <w:rFonts w:hint="eastAsia"/>
          <w:b/>
        </w:rPr>
        <w:t>及偵查主體之精神</w:t>
      </w:r>
      <w:r w:rsidRPr="009834D6">
        <w:rPr>
          <w:rFonts w:hint="eastAsia"/>
          <w:b/>
        </w:rPr>
        <w:t>，就高</w:t>
      </w:r>
      <w:proofErr w:type="gramStart"/>
      <w:r w:rsidRPr="009834D6">
        <w:rPr>
          <w:rFonts w:hint="eastAsia"/>
          <w:b/>
        </w:rPr>
        <w:t>檢署函復</w:t>
      </w:r>
      <w:proofErr w:type="gramEnd"/>
      <w:r w:rsidRPr="009834D6">
        <w:rPr>
          <w:rFonts w:hint="eastAsia"/>
          <w:b/>
        </w:rPr>
        <w:t>陳訴人其所訴無據</w:t>
      </w:r>
      <w:r w:rsidR="001151A6" w:rsidRPr="009834D6">
        <w:rPr>
          <w:rFonts w:hint="eastAsia"/>
          <w:b/>
        </w:rPr>
        <w:t>、檢察官認定事實</w:t>
      </w:r>
      <w:r w:rsidR="00571A88" w:rsidRPr="009834D6">
        <w:rPr>
          <w:rFonts w:hint="eastAsia"/>
          <w:b/>
        </w:rPr>
        <w:t>及證據調查</w:t>
      </w:r>
      <w:r w:rsidRPr="009834D6">
        <w:rPr>
          <w:rFonts w:hint="eastAsia"/>
          <w:b/>
        </w:rPr>
        <w:t>等節，</w:t>
      </w:r>
      <w:r w:rsidRPr="009834D6">
        <w:rPr>
          <w:rFonts w:hint="eastAsia"/>
          <w:b/>
          <w:noProof/>
        </w:rPr>
        <w:t>本院予以尊重</w:t>
      </w:r>
      <w:bookmarkEnd w:id="52"/>
      <w:bookmarkEnd w:id="53"/>
      <w:r w:rsidR="008205B1" w:rsidRPr="009834D6">
        <w:rPr>
          <w:rFonts w:hint="eastAsia"/>
          <w:b/>
          <w:noProof/>
        </w:rPr>
        <w:t>。</w:t>
      </w:r>
    </w:p>
    <w:p w:rsidR="00895E6A" w:rsidRPr="009834D6" w:rsidRDefault="00895E6A" w:rsidP="00895E6A">
      <w:pPr>
        <w:pStyle w:val="3"/>
      </w:pPr>
      <w:r w:rsidRPr="009834D6">
        <w:rPr>
          <w:rFonts w:hint="eastAsia"/>
        </w:rPr>
        <w:t>高檢署以106年3月13</w:t>
      </w:r>
      <w:r w:rsidR="006F7B8C" w:rsidRPr="009834D6">
        <w:rPr>
          <w:rFonts w:hint="eastAsia"/>
        </w:rPr>
        <w:t>日</w:t>
      </w:r>
      <w:proofErr w:type="gramStart"/>
      <w:r w:rsidRPr="009834D6">
        <w:rPr>
          <w:rFonts w:hint="eastAsia"/>
        </w:rPr>
        <w:t>檢紀秋</w:t>
      </w:r>
      <w:proofErr w:type="gramEnd"/>
      <w:r w:rsidRPr="009834D6">
        <w:rPr>
          <w:rFonts w:hint="eastAsia"/>
        </w:rPr>
        <w:t>106調92字第1060000260號函</w:t>
      </w:r>
      <w:r w:rsidR="00E47928" w:rsidRPr="009834D6">
        <w:rPr>
          <w:rFonts w:hint="eastAsia"/>
        </w:rPr>
        <w:t>，</w:t>
      </w:r>
      <w:r w:rsidR="003D2A22" w:rsidRPr="009834D6">
        <w:rPr>
          <w:rFonts w:hint="eastAsia"/>
        </w:rPr>
        <w:t>函</w:t>
      </w:r>
      <w:r w:rsidRPr="009834D6">
        <w:rPr>
          <w:rFonts w:hint="eastAsia"/>
        </w:rPr>
        <w:t>復陳訴人其所訴無據之理由</w:t>
      </w:r>
      <w:r w:rsidR="00F53D44" w:rsidRPr="009834D6">
        <w:rPr>
          <w:rFonts w:hint="eastAsia"/>
        </w:rPr>
        <w:t>：</w:t>
      </w:r>
    </w:p>
    <w:p w:rsidR="00895E6A" w:rsidRPr="009834D6" w:rsidRDefault="00895E6A" w:rsidP="00895E6A">
      <w:pPr>
        <w:pStyle w:val="4"/>
      </w:pPr>
      <w:r w:rsidRPr="009834D6">
        <w:rPr>
          <w:rFonts w:hint="eastAsia"/>
        </w:rPr>
        <w:t>陳訴意旨略</w:t>
      </w:r>
      <w:proofErr w:type="gramStart"/>
      <w:r w:rsidRPr="009834D6">
        <w:rPr>
          <w:rFonts w:hint="eastAsia"/>
        </w:rPr>
        <w:t>以</w:t>
      </w:r>
      <w:proofErr w:type="gramEnd"/>
      <w:r w:rsidR="00F53D44" w:rsidRPr="009834D6">
        <w:rPr>
          <w:rFonts w:hint="eastAsia"/>
        </w:rPr>
        <w:t>：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北地檢署偵辦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年度他字第9752號陳訴人告訴</w:t>
      </w:r>
      <w:r w:rsidR="00436A3C">
        <w:rPr>
          <w:rFonts w:hint="eastAsia"/>
        </w:rPr>
        <w:t>許○○</w:t>
      </w:r>
      <w:r w:rsidRPr="009834D6">
        <w:rPr>
          <w:rFonts w:hint="eastAsia"/>
        </w:rPr>
        <w:t>等涉嫌背信案件，未確實了解刑事訴訟法第260條第1款與同法第420條第1項第6款所謂新事實、新證據之差異，且未對陳情人所提證人清單等</w:t>
      </w:r>
      <w:proofErr w:type="gramStart"/>
      <w:r w:rsidRPr="009834D6">
        <w:rPr>
          <w:rFonts w:hint="eastAsia"/>
        </w:rPr>
        <w:t>重要待證事實</w:t>
      </w:r>
      <w:proofErr w:type="gramEnd"/>
      <w:r w:rsidRPr="009834D6">
        <w:rPr>
          <w:rFonts w:hint="eastAsia"/>
        </w:rPr>
        <w:t>，予以調查，率予簽結，損及權益等情。</w:t>
      </w:r>
    </w:p>
    <w:p w:rsidR="00895E6A" w:rsidRPr="009834D6" w:rsidRDefault="00895E6A" w:rsidP="00895E6A">
      <w:pPr>
        <w:pStyle w:val="4"/>
      </w:pPr>
      <w:r w:rsidRPr="009834D6">
        <w:rPr>
          <w:rFonts w:hint="eastAsia"/>
        </w:rPr>
        <w:t>經調閱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北地檢署偵辦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年度他字第9752號全卷，原承辦</w:t>
      </w:r>
      <w:r w:rsidR="006F7B8C" w:rsidRPr="009834D6">
        <w:rPr>
          <w:rFonts w:hint="eastAsia"/>
        </w:rPr>
        <w:t>檢察官偵查時，業對陳訴人提告之犯罪事實，調閱板橋地檢</w:t>
      </w:r>
      <w:r w:rsidRPr="009834D6">
        <w:rPr>
          <w:rFonts w:hint="eastAsia"/>
        </w:rPr>
        <w:t>署</w:t>
      </w:r>
      <w:proofErr w:type="gramStart"/>
      <w:r w:rsidRPr="009834D6">
        <w:rPr>
          <w:rFonts w:hint="eastAsia"/>
        </w:rPr>
        <w:t>100</w:t>
      </w:r>
      <w:proofErr w:type="gramEnd"/>
      <w:r w:rsidRPr="009834D6">
        <w:rPr>
          <w:rFonts w:hint="eastAsia"/>
        </w:rPr>
        <w:t>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續一字第109號案件、臺灣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北地方法院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年度自字第26號案件等卷宗，即陳訴人先前提告之犯罪事實與此</w:t>
      </w:r>
      <w:r w:rsidRPr="009834D6">
        <w:rPr>
          <w:rFonts w:hint="eastAsia"/>
        </w:rPr>
        <w:lastRenderedPageBreak/>
        <w:t>次提告之犯罪事實逐一比對勾</w:t>
      </w:r>
      <w:proofErr w:type="gramStart"/>
      <w:r w:rsidRPr="009834D6">
        <w:rPr>
          <w:rFonts w:hint="eastAsia"/>
        </w:rPr>
        <w:t>稽</w:t>
      </w:r>
      <w:proofErr w:type="gramEnd"/>
      <w:r w:rsidRPr="009834D6">
        <w:rPr>
          <w:rFonts w:hint="eastAsia"/>
        </w:rPr>
        <w:t>，認陳訴人提告之事實，業經檢察官及法院為不起訴處分及判決自訴不受理等確定，</w:t>
      </w:r>
      <w:proofErr w:type="gramStart"/>
      <w:r w:rsidRPr="009834D6">
        <w:rPr>
          <w:rFonts w:hint="eastAsia"/>
        </w:rPr>
        <w:t>故認陳訴</w:t>
      </w:r>
      <w:proofErr w:type="gramEnd"/>
      <w:r w:rsidRPr="009834D6">
        <w:rPr>
          <w:rFonts w:hint="eastAsia"/>
        </w:rPr>
        <w:t>人提出之事證並不符合刑事訴訟法第260條第1款新事實、新證據之情形，</w:t>
      </w:r>
      <w:proofErr w:type="gramStart"/>
      <w:r w:rsidRPr="009834D6">
        <w:rPr>
          <w:rFonts w:hint="eastAsia"/>
        </w:rPr>
        <w:t>全卷在卷</w:t>
      </w:r>
      <w:proofErr w:type="gramEnd"/>
      <w:r w:rsidRPr="009834D6">
        <w:rPr>
          <w:rFonts w:hint="eastAsia"/>
        </w:rPr>
        <w:t>可</w:t>
      </w:r>
      <w:proofErr w:type="gramStart"/>
      <w:r w:rsidRPr="009834D6">
        <w:rPr>
          <w:rFonts w:hint="eastAsia"/>
        </w:rPr>
        <w:t>稽</w:t>
      </w:r>
      <w:proofErr w:type="gramEnd"/>
      <w:r w:rsidRPr="009834D6">
        <w:rPr>
          <w:rFonts w:hint="eastAsia"/>
        </w:rPr>
        <w:t>，原檢察官調卷結果核與卷證相符，是本件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北地檢署承辦檢察官並無陳訴人陳訴情事，</w:t>
      </w:r>
      <w:proofErr w:type="gramStart"/>
      <w:r w:rsidRPr="009834D6">
        <w:rPr>
          <w:rFonts w:hint="eastAsia"/>
        </w:rPr>
        <w:t>自難僅憑</w:t>
      </w:r>
      <w:proofErr w:type="gramEnd"/>
      <w:r w:rsidRPr="009834D6">
        <w:rPr>
          <w:rFonts w:hint="eastAsia"/>
        </w:rPr>
        <w:t>陳訴人空泛指陳，</w:t>
      </w:r>
      <w:proofErr w:type="gramStart"/>
      <w:r w:rsidRPr="009834D6">
        <w:rPr>
          <w:rFonts w:hint="eastAsia"/>
        </w:rPr>
        <w:t>即認承辦</w:t>
      </w:r>
      <w:proofErr w:type="gramEnd"/>
      <w:r w:rsidRPr="009834D6">
        <w:rPr>
          <w:rFonts w:hint="eastAsia"/>
        </w:rPr>
        <w:t>檢察官有何疏失。</w:t>
      </w:r>
    </w:p>
    <w:p w:rsidR="00895E6A" w:rsidRPr="009834D6" w:rsidRDefault="00895E6A" w:rsidP="00895E6A">
      <w:pPr>
        <w:pStyle w:val="3"/>
      </w:pPr>
      <w:r w:rsidRPr="009834D6">
        <w:rPr>
          <w:rFonts w:hint="eastAsia"/>
        </w:rPr>
        <w:t>高檢署以106年4月14</w:t>
      </w:r>
      <w:r w:rsidR="006F7B8C" w:rsidRPr="009834D6">
        <w:rPr>
          <w:rFonts w:hint="eastAsia"/>
        </w:rPr>
        <w:t>日</w:t>
      </w:r>
      <w:proofErr w:type="gramStart"/>
      <w:r w:rsidRPr="009834D6">
        <w:rPr>
          <w:rFonts w:hint="eastAsia"/>
        </w:rPr>
        <w:t>檢紀秋</w:t>
      </w:r>
      <w:proofErr w:type="gramEnd"/>
      <w:r w:rsidRPr="009834D6">
        <w:rPr>
          <w:rFonts w:hint="eastAsia"/>
        </w:rPr>
        <w:t>106年調171字第1060000392號</w:t>
      </w:r>
      <w:r w:rsidR="003D2A22" w:rsidRPr="009834D6">
        <w:rPr>
          <w:rFonts w:hint="eastAsia"/>
        </w:rPr>
        <w:t>函</w:t>
      </w:r>
      <w:r w:rsidR="00E47928" w:rsidRPr="009834D6">
        <w:rPr>
          <w:rFonts w:hint="eastAsia"/>
        </w:rPr>
        <w:t>，</w:t>
      </w:r>
      <w:r w:rsidR="003D2A22" w:rsidRPr="009834D6">
        <w:rPr>
          <w:rFonts w:hint="eastAsia"/>
        </w:rPr>
        <w:t>函</w:t>
      </w:r>
      <w:r w:rsidRPr="009834D6">
        <w:rPr>
          <w:rFonts w:hint="eastAsia"/>
        </w:rPr>
        <w:t>復陳訴人其所訴無據之理由</w:t>
      </w:r>
      <w:r w:rsidR="00F53D44" w:rsidRPr="009834D6">
        <w:rPr>
          <w:rFonts w:hint="eastAsia"/>
        </w:rPr>
        <w:t>：</w:t>
      </w:r>
    </w:p>
    <w:p w:rsidR="00895E6A" w:rsidRPr="009834D6" w:rsidRDefault="00895E6A" w:rsidP="00895E6A">
      <w:pPr>
        <w:pStyle w:val="4"/>
      </w:pPr>
      <w:r w:rsidRPr="009834D6">
        <w:rPr>
          <w:rFonts w:hint="eastAsia"/>
        </w:rPr>
        <w:t>陳訴意旨略</w:t>
      </w:r>
      <w:proofErr w:type="gramStart"/>
      <w:r w:rsidRPr="009834D6">
        <w:rPr>
          <w:rFonts w:hint="eastAsia"/>
        </w:rPr>
        <w:t>以</w:t>
      </w:r>
      <w:proofErr w:type="gramEnd"/>
      <w:r w:rsidR="00F53D44" w:rsidRPr="009834D6">
        <w:rPr>
          <w:rFonts w:hint="eastAsia"/>
        </w:rPr>
        <w:t>：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北地檢署偵辦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年度他字第9752號陳訴人告訴</w:t>
      </w:r>
      <w:r w:rsidR="00436A3C">
        <w:rPr>
          <w:rFonts w:hint="eastAsia"/>
        </w:rPr>
        <w:t>許○○</w:t>
      </w:r>
      <w:r w:rsidRPr="009834D6">
        <w:rPr>
          <w:rFonts w:hint="eastAsia"/>
        </w:rPr>
        <w:t>等涉嫌背信案件，未確實了解刑事訴訟法第260條第1款與同法第420條第1項第6款所謂新事實、新證據之差異，且未對陳情人所提證人清單等</w:t>
      </w:r>
      <w:proofErr w:type="gramStart"/>
      <w:r w:rsidRPr="009834D6">
        <w:rPr>
          <w:rFonts w:hint="eastAsia"/>
        </w:rPr>
        <w:t>重要待證事實</w:t>
      </w:r>
      <w:proofErr w:type="gramEnd"/>
      <w:r w:rsidRPr="009834D6">
        <w:rPr>
          <w:rFonts w:hint="eastAsia"/>
        </w:rPr>
        <w:t>，予以調查，率予簽結等情。</w:t>
      </w:r>
    </w:p>
    <w:p w:rsidR="00895E6A" w:rsidRPr="009834D6" w:rsidRDefault="00895E6A" w:rsidP="00895E6A">
      <w:pPr>
        <w:pStyle w:val="4"/>
      </w:pPr>
      <w:r w:rsidRPr="009834D6">
        <w:rPr>
          <w:rFonts w:hint="eastAsia"/>
        </w:rPr>
        <w:t>陳情人不服高檢署前106年3月13日以</w:t>
      </w:r>
      <w:proofErr w:type="gramStart"/>
      <w:r w:rsidRPr="009834D6">
        <w:rPr>
          <w:rFonts w:hint="eastAsia"/>
        </w:rPr>
        <w:t>檢紀秋</w:t>
      </w:r>
      <w:proofErr w:type="gramEnd"/>
      <w:r w:rsidRPr="009834D6">
        <w:rPr>
          <w:rFonts w:hint="eastAsia"/>
        </w:rPr>
        <w:t>106調92字第1060000260號函復內容，仍</w:t>
      </w:r>
      <w:proofErr w:type="gramStart"/>
      <w:r w:rsidRPr="009834D6">
        <w:rPr>
          <w:rFonts w:hint="eastAsia"/>
        </w:rPr>
        <w:t>執前詞</w:t>
      </w:r>
      <w:proofErr w:type="gramEnd"/>
      <w:r w:rsidRPr="009834D6">
        <w:rPr>
          <w:rFonts w:hint="eastAsia"/>
        </w:rPr>
        <w:t>，再度陳訴，高檢署認陳訴人之陳訴無證據佐證，</w:t>
      </w:r>
      <w:proofErr w:type="gramStart"/>
      <w:r w:rsidRPr="009834D6">
        <w:rPr>
          <w:rFonts w:hint="eastAsia"/>
        </w:rPr>
        <w:t>即謂原檢察官</w:t>
      </w:r>
      <w:proofErr w:type="gramEnd"/>
      <w:r w:rsidRPr="009834D6">
        <w:rPr>
          <w:rFonts w:hint="eastAsia"/>
        </w:rPr>
        <w:t>任意剝奪其權益等情，仍屬無據。</w:t>
      </w:r>
    </w:p>
    <w:p w:rsidR="00895E6A" w:rsidRPr="009834D6" w:rsidRDefault="00895E6A" w:rsidP="00895E6A">
      <w:pPr>
        <w:pStyle w:val="3"/>
      </w:pPr>
      <w:r w:rsidRPr="009834D6">
        <w:rPr>
          <w:rFonts w:hint="eastAsia"/>
        </w:rPr>
        <w:t>高檢署以107年4月23日</w:t>
      </w:r>
      <w:proofErr w:type="gramStart"/>
      <w:r w:rsidRPr="009834D6">
        <w:rPr>
          <w:rFonts w:hint="eastAsia"/>
        </w:rPr>
        <w:t>檢紀秋</w:t>
      </w:r>
      <w:proofErr w:type="gramEnd"/>
      <w:r w:rsidRPr="009834D6">
        <w:rPr>
          <w:rFonts w:hint="eastAsia"/>
        </w:rPr>
        <w:t>107調195字第1070000446號函</w:t>
      </w:r>
      <w:r w:rsidR="00E47928" w:rsidRPr="009834D6">
        <w:rPr>
          <w:rFonts w:hint="eastAsia"/>
        </w:rPr>
        <w:t>，</w:t>
      </w:r>
      <w:r w:rsidR="003D2A22" w:rsidRPr="009834D6">
        <w:rPr>
          <w:rFonts w:hint="eastAsia"/>
        </w:rPr>
        <w:t>函</w:t>
      </w:r>
      <w:r w:rsidRPr="009834D6">
        <w:rPr>
          <w:rFonts w:hint="eastAsia"/>
        </w:rPr>
        <w:t>復陳訴人其所訴無據之理由</w:t>
      </w:r>
      <w:r w:rsidR="00F53D44" w:rsidRPr="009834D6">
        <w:rPr>
          <w:rFonts w:hint="eastAsia"/>
        </w:rPr>
        <w:t>：</w:t>
      </w:r>
    </w:p>
    <w:p w:rsidR="00895E6A" w:rsidRPr="009834D6" w:rsidRDefault="00895E6A" w:rsidP="00895E6A">
      <w:pPr>
        <w:pStyle w:val="4"/>
      </w:pPr>
      <w:r w:rsidRPr="009834D6">
        <w:rPr>
          <w:rFonts w:hint="eastAsia"/>
        </w:rPr>
        <w:t>陳訴意旨及應敘明事項略</w:t>
      </w:r>
      <w:proofErr w:type="gramStart"/>
      <w:r w:rsidRPr="009834D6">
        <w:rPr>
          <w:rFonts w:hint="eastAsia"/>
        </w:rPr>
        <w:t>以</w:t>
      </w:r>
      <w:proofErr w:type="gramEnd"/>
      <w:r w:rsidR="00F53D44" w:rsidRPr="009834D6">
        <w:rPr>
          <w:rFonts w:hint="eastAsia"/>
        </w:rPr>
        <w:t>：</w:t>
      </w:r>
      <w:r w:rsidRPr="009834D6">
        <w:rPr>
          <w:rFonts w:hint="eastAsia"/>
        </w:rPr>
        <w:t>(1)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北地檢署受理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年度他字第9752號、</w:t>
      </w:r>
      <w:proofErr w:type="gramStart"/>
      <w:r w:rsidRPr="009834D6">
        <w:rPr>
          <w:rFonts w:hint="eastAsia"/>
        </w:rPr>
        <w:t>106</w:t>
      </w:r>
      <w:proofErr w:type="gramEnd"/>
      <w:r w:rsidRPr="009834D6">
        <w:rPr>
          <w:rFonts w:hint="eastAsia"/>
        </w:rPr>
        <w:t>年度他字第5691號案件之偵辦經過為何</w:t>
      </w:r>
      <w:r w:rsidR="00F53D44" w:rsidRPr="009834D6">
        <w:rPr>
          <w:rFonts w:hint="eastAsia"/>
        </w:rPr>
        <w:t>？</w:t>
      </w:r>
      <w:r w:rsidRPr="009834D6">
        <w:rPr>
          <w:rFonts w:hint="eastAsia"/>
        </w:rPr>
        <w:t>承辦檢察官</w:t>
      </w:r>
      <w:proofErr w:type="gramStart"/>
      <w:r w:rsidRPr="009834D6">
        <w:rPr>
          <w:rFonts w:hint="eastAsia"/>
        </w:rPr>
        <w:t>有無未詳查</w:t>
      </w:r>
      <w:proofErr w:type="gramEnd"/>
      <w:r w:rsidRPr="009834D6">
        <w:rPr>
          <w:rFonts w:hint="eastAsia"/>
        </w:rPr>
        <w:t>告訴內容及所附多項事證與前歷次訴狀之差異等違失</w:t>
      </w:r>
      <w:r w:rsidR="00F53D44" w:rsidRPr="009834D6">
        <w:rPr>
          <w:rFonts w:hint="eastAsia"/>
        </w:rPr>
        <w:t>？</w:t>
      </w:r>
      <w:r w:rsidRPr="009834D6">
        <w:rPr>
          <w:rFonts w:hint="eastAsia"/>
        </w:rPr>
        <w:t>(2)所提相關事證是否符合新事實或新事證之再行起訴要件</w:t>
      </w:r>
      <w:r w:rsidR="00F53D44" w:rsidRPr="009834D6">
        <w:rPr>
          <w:rFonts w:hint="eastAsia"/>
        </w:rPr>
        <w:t>？</w:t>
      </w:r>
    </w:p>
    <w:p w:rsidR="00895E6A" w:rsidRPr="009834D6" w:rsidRDefault="00895E6A" w:rsidP="00895E6A">
      <w:pPr>
        <w:pStyle w:val="4"/>
      </w:pPr>
      <w:r w:rsidRPr="009834D6">
        <w:rPr>
          <w:rFonts w:hint="eastAsia"/>
        </w:rPr>
        <w:t>陳訴人以同一事實多次陳訴，高檢署對於陳訴原檢察官未加詳查及有無新事實、新證據部分，前</w:t>
      </w:r>
      <w:r w:rsidRPr="009834D6">
        <w:rPr>
          <w:rFonts w:hint="eastAsia"/>
        </w:rPr>
        <w:lastRenderedPageBreak/>
        <w:t>於106年3月13日以</w:t>
      </w:r>
      <w:proofErr w:type="gramStart"/>
      <w:r w:rsidRPr="009834D6">
        <w:rPr>
          <w:rFonts w:hint="eastAsia"/>
        </w:rPr>
        <w:t>檢紀秋</w:t>
      </w:r>
      <w:proofErr w:type="gramEnd"/>
      <w:r w:rsidRPr="009834D6">
        <w:rPr>
          <w:rFonts w:hint="eastAsia"/>
        </w:rPr>
        <w:t>106調92字第1060000260號函，將調查結果「原承辦</w:t>
      </w:r>
      <w:r w:rsidR="006F7B8C" w:rsidRPr="009834D6">
        <w:rPr>
          <w:rFonts w:hint="eastAsia"/>
        </w:rPr>
        <w:t>檢察官偵查時，業對陳訴人提告之犯罪事實，調閱板橋地檢</w:t>
      </w:r>
      <w:r w:rsidRPr="009834D6">
        <w:rPr>
          <w:rFonts w:hint="eastAsia"/>
        </w:rPr>
        <w:t>署</w:t>
      </w:r>
      <w:proofErr w:type="gramStart"/>
      <w:r w:rsidRPr="009834D6">
        <w:rPr>
          <w:rFonts w:hint="eastAsia"/>
        </w:rPr>
        <w:t>100</w:t>
      </w:r>
      <w:proofErr w:type="gramEnd"/>
      <w:r w:rsidRPr="009834D6">
        <w:rPr>
          <w:rFonts w:hint="eastAsia"/>
        </w:rPr>
        <w:t>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續一字第109號案件、臺灣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北地方法院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年度自字第26號案件等卷宗，即陳訴人先前提告之犯罪事實與此次提告之犯罪事實逐一比對勾</w:t>
      </w:r>
      <w:proofErr w:type="gramStart"/>
      <w:r w:rsidRPr="009834D6">
        <w:rPr>
          <w:rFonts w:hint="eastAsia"/>
        </w:rPr>
        <w:t>稽</w:t>
      </w:r>
      <w:proofErr w:type="gramEnd"/>
      <w:r w:rsidRPr="009834D6">
        <w:rPr>
          <w:rFonts w:hint="eastAsia"/>
        </w:rPr>
        <w:t>，認陳訴人提告之事實，業經檢察官及法院為不起訴處分及判決自訴不受理等確定，</w:t>
      </w:r>
      <w:proofErr w:type="gramStart"/>
      <w:r w:rsidRPr="009834D6">
        <w:rPr>
          <w:rFonts w:hint="eastAsia"/>
        </w:rPr>
        <w:t>故認陳訴</w:t>
      </w:r>
      <w:proofErr w:type="gramEnd"/>
      <w:r w:rsidRPr="009834D6">
        <w:rPr>
          <w:rFonts w:hint="eastAsia"/>
        </w:rPr>
        <w:t>人提出之事證並不符合刑事訴訟法第260條第1款新事實、新證據之情形，</w:t>
      </w:r>
      <w:proofErr w:type="gramStart"/>
      <w:r w:rsidRPr="009834D6">
        <w:rPr>
          <w:rFonts w:hint="eastAsia"/>
        </w:rPr>
        <w:t>全卷在卷</w:t>
      </w:r>
      <w:proofErr w:type="gramEnd"/>
      <w:r w:rsidRPr="009834D6">
        <w:rPr>
          <w:rFonts w:hint="eastAsia"/>
        </w:rPr>
        <w:t>可</w:t>
      </w:r>
      <w:proofErr w:type="gramStart"/>
      <w:r w:rsidRPr="009834D6">
        <w:rPr>
          <w:rFonts w:hint="eastAsia"/>
        </w:rPr>
        <w:t>稽</w:t>
      </w:r>
      <w:proofErr w:type="gramEnd"/>
      <w:r w:rsidRPr="009834D6">
        <w:rPr>
          <w:rFonts w:hint="eastAsia"/>
        </w:rPr>
        <w:t>，原檢察官調卷結果核與卷證相符，是本件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北地檢署承辦檢察官並無陳訴人陳訴情事，</w:t>
      </w:r>
      <w:proofErr w:type="gramStart"/>
      <w:r w:rsidRPr="009834D6">
        <w:rPr>
          <w:rFonts w:hint="eastAsia"/>
        </w:rPr>
        <w:t>自難僅憑</w:t>
      </w:r>
      <w:proofErr w:type="gramEnd"/>
      <w:r w:rsidRPr="009834D6">
        <w:rPr>
          <w:rFonts w:hint="eastAsia"/>
        </w:rPr>
        <w:t>陳訴人空泛指陳，</w:t>
      </w:r>
      <w:proofErr w:type="gramStart"/>
      <w:r w:rsidRPr="009834D6">
        <w:rPr>
          <w:rFonts w:hint="eastAsia"/>
        </w:rPr>
        <w:t>即認承辦</w:t>
      </w:r>
      <w:proofErr w:type="gramEnd"/>
      <w:r w:rsidRPr="009834D6">
        <w:rPr>
          <w:rFonts w:hint="eastAsia"/>
        </w:rPr>
        <w:t>檢察官有何疏失」函復陳訴人在案。陳訴人再</w:t>
      </w:r>
      <w:proofErr w:type="gramStart"/>
      <w:r w:rsidRPr="009834D6">
        <w:rPr>
          <w:rFonts w:hint="eastAsia"/>
        </w:rPr>
        <w:t>執前詞</w:t>
      </w:r>
      <w:proofErr w:type="gramEnd"/>
      <w:r w:rsidRPr="009834D6">
        <w:rPr>
          <w:rFonts w:hint="eastAsia"/>
        </w:rPr>
        <w:t>，再度陳訴，高檢署</w:t>
      </w:r>
      <w:proofErr w:type="gramStart"/>
      <w:r w:rsidRPr="009834D6">
        <w:rPr>
          <w:rFonts w:hint="eastAsia"/>
        </w:rPr>
        <w:t>仍調閱相</w:t>
      </w:r>
      <w:proofErr w:type="gramEnd"/>
      <w:r w:rsidRPr="009834D6">
        <w:rPr>
          <w:rFonts w:hint="eastAsia"/>
        </w:rPr>
        <w:t>卷宗，再為詳查核閱後，認陳訴人之陳訴仍屬無據，並將調查結果於106年4月14日以</w:t>
      </w:r>
      <w:proofErr w:type="gramStart"/>
      <w:r w:rsidRPr="009834D6">
        <w:rPr>
          <w:rFonts w:hint="eastAsia"/>
        </w:rPr>
        <w:t>檢紀秋</w:t>
      </w:r>
      <w:proofErr w:type="gramEnd"/>
      <w:r w:rsidRPr="009834D6">
        <w:rPr>
          <w:rFonts w:hint="eastAsia"/>
        </w:rPr>
        <w:t>106年調171字第1060000392號函復陳訴人在案。綜上所述，陳訴人多次</w:t>
      </w:r>
      <w:proofErr w:type="gramStart"/>
      <w:r w:rsidRPr="009834D6">
        <w:rPr>
          <w:rFonts w:hint="eastAsia"/>
        </w:rPr>
        <w:t>陳述均屬無</w:t>
      </w:r>
      <w:proofErr w:type="gramEnd"/>
      <w:r w:rsidRPr="009834D6">
        <w:rPr>
          <w:rFonts w:hint="eastAsia"/>
        </w:rPr>
        <w:t>據。</w:t>
      </w:r>
    </w:p>
    <w:p w:rsidR="00895E6A" w:rsidRPr="009834D6" w:rsidRDefault="00895E6A" w:rsidP="00895E6A">
      <w:pPr>
        <w:pStyle w:val="3"/>
      </w:pPr>
      <w:r w:rsidRPr="009834D6">
        <w:rPr>
          <w:rFonts w:hint="eastAsia"/>
        </w:rPr>
        <w:t>綜上，</w:t>
      </w:r>
      <w:r w:rsidR="007A3388" w:rsidRPr="009834D6">
        <w:rPr>
          <w:rFonts w:hint="eastAsia"/>
          <w:noProof/>
        </w:rPr>
        <w:t>有關</w:t>
      </w:r>
      <w:r w:rsidR="007A3388" w:rsidRPr="009834D6">
        <w:rPr>
          <w:rFonts w:hint="eastAsia"/>
        </w:rPr>
        <w:t>陳訴人告訴</w:t>
      </w:r>
      <w:r w:rsidR="00436A3C">
        <w:rPr>
          <w:rFonts w:hint="eastAsia"/>
        </w:rPr>
        <w:t>許</w:t>
      </w:r>
      <w:proofErr w:type="gramStart"/>
      <w:r w:rsidR="00436A3C">
        <w:rPr>
          <w:rFonts w:hint="eastAsia"/>
        </w:rPr>
        <w:t>○○</w:t>
      </w:r>
      <w:r w:rsidR="007A3388" w:rsidRPr="009834D6">
        <w:rPr>
          <w:rFonts w:hint="eastAsia"/>
        </w:rPr>
        <w:t>等背信</w:t>
      </w:r>
      <w:proofErr w:type="gramEnd"/>
      <w:r w:rsidR="007A3388" w:rsidRPr="009834D6">
        <w:rPr>
          <w:rFonts w:hint="eastAsia"/>
        </w:rPr>
        <w:t>案，不服</w:t>
      </w:r>
      <w:proofErr w:type="gramStart"/>
      <w:r w:rsidR="007A3388" w:rsidRPr="009834D6">
        <w:rPr>
          <w:rFonts w:hint="eastAsia"/>
        </w:rPr>
        <w:t>臺</w:t>
      </w:r>
      <w:proofErr w:type="gramEnd"/>
      <w:r w:rsidR="007A3388" w:rsidRPr="009834D6">
        <w:rPr>
          <w:rFonts w:hint="eastAsia"/>
        </w:rPr>
        <w:t>北地檢署</w:t>
      </w:r>
      <w:proofErr w:type="gramStart"/>
      <w:r w:rsidR="007A3388" w:rsidRPr="009834D6">
        <w:rPr>
          <w:rFonts w:hint="eastAsia"/>
        </w:rPr>
        <w:t>105</w:t>
      </w:r>
      <w:proofErr w:type="gramEnd"/>
      <w:r w:rsidR="007A3388" w:rsidRPr="009834D6">
        <w:rPr>
          <w:rFonts w:hint="eastAsia"/>
        </w:rPr>
        <w:t>年度他字第9752號、</w:t>
      </w:r>
      <w:proofErr w:type="gramStart"/>
      <w:r w:rsidR="007A3388" w:rsidRPr="009834D6">
        <w:rPr>
          <w:rFonts w:hint="eastAsia"/>
        </w:rPr>
        <w:t>106</w:t>
      </w:r>
      <w:proofErr w:type="gramEnd"/>
      <w:r w:rsidR="007A3388" w:rsidRPr="009834D6">
        <w:rPr>
          <w:rFonts w:hint="eastAsia"/>
        </w:rPr>
        <w:t>年度他字第5691號偵查結果，並多次提出陳訴部分，檢察機關既已</w:t>
      </w:r>
      <w:proofErr w:type="gramStart"/>
      <w:r w:rsidR="007A3388" w:rsidRPr="009834D6">
        <w:rPr>
          <w:rFonts w:hint="eastAsia"/>
        </w:rPr>
        <w:t>踐行</w:t>
      </w:r>
      <w:proofErr w:type="gramEnd"/>
      <w:r w:rsidR="007A3388" w:rsidRPr="009834D6">
        <w:rPr>
          <w:rFonts w:hint="eastAsia"/>
        </w:rPr>
        <w:t>必要法定程序，並函復陳訴人在案，又</w:t>
      </w:r>
      <w:proofErr w:type="gramStart"/>
      <w:r w:rsidR="007A3388" w:rsidRPr="009834D6">
        <w:rPr>
          <w:rFonts w:hint="eastAsia"/>
        </w:rPr>
        <w:t>臺</w:t>
      </w:r>
      <w:proofErr w:type="gramEnd"/>
      <w:r w:rsidR="007A3388" w:rsidRPr="009834D6">
        <w:rPr>
          <w:rFonts w:hint="eastAsia"/>
        </w:rPr>
        <w:t>北地檢署承辦檢察官已核對並調查相關事證，且</w:t>
      </w:r>
      <w:r w:rsidR="00954D2F" w:rsidRPr="009834D6">
        <w:rPr>
          <w:rFonts w:hint="eastAsia"/>
        </w:rPr>
        <w:t>查無高檢署有何袒護</w:t>
      </w:r>
      <w:proofErr w:type="gramStart"/>
      <w:r w:rsidR="00954D2F" w:rsidRPr="009834D6">
        <w:rPr>
          <w:rFonts w:hint="eastAsia"/>
        </w:rPr>
        <w:t>臺</w:t>
      </w:r>
      <w:proofErr w:type="gramEnd"/>
      <w:r w:rsidR="00954D2F" w:rsidRPr="009834D6">
        <w:rPr>
          <w:rFonts w:hint="eastAsia"/>
        </w:rPr>
        <w:t>北地檢署之具體事證，故</w:t>
      </w:r>
      <w:r w:rsidR="007A3388" w:rsidRPr="009834D6">
        <w:rPr>
          <w:rFonts w:hint="eastAsia"/>
        </w:rPr>
        <w:t>基於</w:t>
      </w:r>
      <w:r w:rsidR="0058672A" w:rsidRPr="009834D6">
        <w:rPr>
          <w:rFonts w:hint="eastAsia"/>
        </w:rPr>
        <w:t>檢察權行使之</w:t>
      </w:r>
      <w:r w:rsidR="0008353F" w:rsidRPr="009834D6">
        <w:rPr>
          <w:rFonts w:hint="eastAsia"/>
        </w:rPr>
        <w:t>獨立性</w:t>
      </w:r>
      <w:r w:rsidR="00363DF9" w:rsidRPr="009834D6">
        <w:rPr>
          <w:rFonts w:hint="eastAsia"/>
        </w:rPr>
        <w:t>及偵查主體之精神</w:t>
      </w:r>
      <w:r w:rsidR="007A3388" w:rsidRPr="009834D6">
        <w:rPr>
          <w:rFonts w:hint="eastAsia"/>
        </w:rPr>
        <w:t>，就高</w:t>
      </w:r>
      <w:proofErr w:type="gramStart"/>
      <w:r w:rsidR="007A3388" w:rsidRPr="009834D6">
        <w:rPr>
          <w:rFonts w:hint="eastAsia"/>
        </w:rPr>
        <w:t>檢署函復</w:t>
      </w:r>
      <w:proofErr w:type="gramEnd"/>
      <w:r w:rsidR="007A3388" w:rsidRPr="009834D6">
        <w:rPr>
          <w:rFonts w:hint="eastAsia"/>
        </w:rPr>
        <w:t>陳訴人其所訴無據、檢察官認定事實</w:t>
      </w:r>
      <w:r w:rsidR="00363DF9" w:rsidRPr="009834D6">
        <w:rPr>
          <w:rFonts w:hint="eastAsia"/>
        </w:rPr>
        <w:t>及證據調查</w:t>
      </w:r>
      <w:r w:rsidR="007A3388" w:rsidRPr="009834D6">
        <w:rPr>
          <w:rFonts w:hint="eastAsia"/>
        </w:rPr>
        <w:t>等節，</w:t>
      </w:r>
      <w:r w:rsidR="007A3388" w:rsidRPr="009834D6">
        <w:rPr>
          <w:rFonts w:hint="eastAsia"/>
          <w:noProof/>
        </w:rPr>
        <w:t>本院予以尊重。</w:t>
      </w:r>
    </w:p>
    <w:p w:rsidR="00CC5179" w:rsidRPr="009834D6" w:rsidRDefault="00CC5179" w:rsidP="00895E6A">
      <w:pPr>
        <w:pStyle w:val="2"/>
      </w:pPr>
      <w:r w:rsidRPr="009834D6">
        <w:rPr>
          <w:rFonts w:hint="eastAsia"/>
          <w:b/>
        </w:rPr>
        <w:t>有關</w:t>
      </w:r>
      <w:proofErr w:type="gramStart"/>
      <w:r w:rsidRPr="009834D6">
        <w:rPr>
          <w:rFonts w:hint="eastAsia"/>
          <w:b/>
        </w:rPr>
        <w:t>臺</w:t>
      </w:r>
      <w:proofErr w:type="gramEnd"/>
      <w:r w:rsidRPr="009834D6">
        <w:rPr>
          <w:rFonts w:hint="eastAsia"/>
          <w:b/>
        </w:rPr>
        <w:t>北地檢署檢察官</w:t>
      </w:r>
      <w:r w:rsidR="007672DA" w:rsidRPr="009834D6">
        <w:rPr>
          <w:rFonts w:hint="eastAsia"/>
          <w:b/>
        </w:rPr>
        <w:t>承辦</w:t>
      </w:r>
      <w:proofErr w:type="gramStart"/>
      <w:r w:rsidR="007672DA" w:rsidRPr="009834D6">
        <w:rPr>
          <w:rFonts w:hint="eastAsia"/>
          <w:b/>
        </w:rPr>
        <w:t>105</w:t>
      </w:r>
      <w:proofErr w:type="gramEnd"/>
      <w:r w:rsidR="007672DA" w:rsidRPr="009834D6">
        <w:rPr>
          <w:rFonts w:hint="eastAsia"/>
          <w:b/>
        </w:rPr>
        <w:t>年</w:t>
      </w:r>
      <w:r w:rsidR="006255D5" w:rsidRPr="009834D6">
        <w:rPr>
          <w:rFonts w:hint="eastAsia"/>
          <w:b/>
        </w:rPr>
        <w:t>度</w:t>
      </w:r>
      <w:r w:rsidR="007672DA" w:rsidRPr="009834D6">
        <w:rPr>
          <w:rFonts w:hint="eastAsia"/>
          <w:b/>
        </w:rPr>
        <w:t>他字第9752號</w:t>
      </w:r>
      <w:r w:rsidR="00C77690" w:rsidRPr="009834D6">
        <w:rPr>
          <w:rFonts w:hint="eastAsia"/>
          <w:b/>
        </w:rPr>
        <w:t>、</w:t>
      </w:r>
      <w:proofErr w:type="gramStart"/>
      <w:r w:rsidR="00C77690" w:rsidRPr="009834D6">
        <w:rPr>
          <w:rFonts w:hint="eastAsia"/>
          <w:b/>
        </w:rPr>
        <w:t>106</w:t>
      </w:r>
      <w:proofErr w:type="gramEnd"/>
      <w:r w:rsidR="00C77690" w:rsidRPr="009834D6">
        <w:rPr>
          <w:rFonts w:hint="eastAsia"/>
          <w:b/>
        </w:rPr>
        <w:t>年</w:t>
      </w:r>
      <w:r w:rsidR="006255D5" w:rsidRPr="009834D6">
        <w:rPr>
          <w:rFonts w:hint="eastAsia"/>
          <w:b/>
        </w:rPr>
        <w:t>度</w:t>
      </w:r>
      <w:r w:rsidR="00C77690" w:rsidRPr="009834D6">
        <w:rPr>
          <w:rFonts w:hint="eastAsia"/>
          <w:b/>
        </w:rPr>
        <w:t>他字第5691號</w:t>
      </w:r>
      <w:r w:rsidR="007672DA" w:rsidRPr="009834D6">
        <w:rPr>
          <w:rFonts w:hint="eastAsia"/>
          <w:b/>
        </w:rPr>
        <w:t>被告</w:t>
      </w:r>
      <w:r w:rsidR="00436A3C">
        <w:rPr>
          <w:rFonts w:hint="eastAsia"/>
          <w:b/>
        </w:rPr>
        <w:t>許○○</w:t>
      </w:r>
      <w:r w:rsidR="007672DA" w:rsidRPr="009834D6">
        <w:rPr>
          <w:rFonts w:hint="eastAsia"/>
          <w:b/>
        </w:rPr>
        <w:t>等</w:t>
      </w:r>
      <w:proofErr w:type="gramStart"/>
      <w:r w:rsidR="007672DA" w:rsidRPr="009834D6">
        <w:rPr>
          <w:rFonts w:hint="eastAsia"/>
          <w:b/>
        </w:rPr>
        <w:t>涉犯背信</w:t>
      </w:r>
      <w:proofErr w:type="gramEnd"/>
      <w:r w:rsidR="007672DA" w:rsidRPr="009834D6">
        <w:rPr>
          <w:rFonts w:hint="eastAsia"/>
          <w:b/>
        </w:rPr>
        <w:t>案件，</w:t>
      </w:r>
      <w:r w:rsidR="007672DA" w:rsidRPr="009834D6">
        <w:rPr>
          <w:rFonts w:hint="eastAsia"/>
          <w:b/>
        </w:rPr>
        <w:lastRenderedPageBreak/>
        <w:t>予以簽結</w:t>
      </w:r>
      <w:r w:rsidR="006255D5" w:rsidRPr="009834D6">
        <w:rPr>
          <w:rFonts w:hint="eastAsia"/>
          <w:b/>
        </w:rPr>
        <w:t>一節</w:t>
      </w:r>
      <w:r w:rsidRPr="009834D6">
        <w:rPr>
          <w:rFonts w:hint="eastAsia"/>
          <w:b/>
        </w:rPr>
        <w:t>，本案承辦檢察官</w:t>
      </w:r>
      <w:r w:rsidR="006255D5" w:rsidRPr="009834D6">
        <w:rPr>
          <w:rFonts w:hint="eastAsia"/>
          <w:b/>
        </w:rPr>
        <w:t>依陳情人提供之相關事證</w:t>
      </w:r>
      <w:r w:rsidR="006255D5" w:rsidRPr="009834D6">
        <w:rPr>
          <w:rFonts w:ascii="新細明體" w:eastAsia="新細明體" w:hAnsi="新細明體" w:hint="eastAsia"/>
          <w:b/>
        </w:rPr>
        <w:t>，</w:t>
      </w:r>
      <w:r w:rsidRPr="009834D6">
        <w:rPr>
          <w:rFonts w:hint="eastAsia"/>
          <w:b/>
        </w:rPr>
        <w:t>經</w:t>
      </w:r>
      <w:r w:rsidR="006255D5" w:rsidRPr="009834D6">
        <w:rPr>
          <w:rFonts w:hint="eastAsia"/>
          <w:b/>
        </w:rPr>
        <w:t>調閱相關卷宗並</w:t>
      </w:r>
      <w:r w:rsidRPr="009834D6">
        <w:rPr>
          <w:rFonts w:hint="eastAsia"/>
          <w:b/>
        </w:rPr>
        <w:t>調查</w:t>
      </w:r>
      <w:r w:rsidR="006255D5" w:rsidRPr="009834D6">
        <w:rPr>
          <w:rFonts w:hint="eastAsia"/>
          <w:b/>
        </w:rPr>
        <w:t>審酌</w:t>
      </w:r>
      <w:r w:rsidRPr="009834D6">
        <w:rPr>
          <w:rFonts w:hint="eastAsia"/>
          <w:b/>
        </w:rPr>
        <w:t>後</w:t>
      </w:r>
      <w:r w:rsidR="006255D5" w:rsidRPr="009834D6">
        <w:rPr>
          <w:rFonts w:hint="eastAsia"/>
          <w:b/>
        </w:rPr>
        <w:t>，</w:t>
      </w:r>
      <w:r w:rsidRPr="009834D6">
        <w:rPr>
          <w:rFonts w:hint="eastAsia"/>
          <w:b/>
        </w:rPr>
        <w:t>認</w:t>
      </w:r>
      <w:r w:rsidR="007672DA" w:rsidRPr="009834D6">
        <w:rPr>
          <w:rFonts w:hint="eastAsia"/>
          <w:b/>
        </w:rPr>
        <w:t>陳訴人所</w:t>
      </w:r>
      <w:proofErr w:type="gramStart"/>
      <w:r w:rsidR="007672DA" w:rsidRPr="009834D6">
        <w:rPr>
          <w:rFonts w:hint="eastAsia"/>
          <w:b/>
        </w:rPr>
        <w:t>提事證非</w:t>
      </w:r>
      <w:proofErr w:type="gramEnd"/>
      <w:r w:rsidR="007672DA" w:rsidRPr="009834D6">
        <w:rPr>
          <w:rFonts w:hint="eastAsia"/>
          <w:b/>
        </w:rPr>
        <w:t>刑事訴訟法第</w:t>
      </w:r>
      <w:r w:rsidR="006255D5" w:rsidRPr="009834D6">
        <w:rPr>
          <w:rFonts w:hint="eastAsia"/>
          <w:b/>
        </w:rPr>
        <w:t>216</w:t>
      </w:r>
      <w:r w:rsidR="007672DA" w:rsidRPr="009834D6">
        <w:rPr>
          <w:rFonts w:hint="eastAsia"/>
          <w:b/>
        </w:rPr>
        <w:t>條第1款規定之新事實、新證據，</w:t>
      </w:r>
      <w:r w:rsidR="006255D5" w:rsidRPr="009834D6">
        <w:rPr>
          <w:rFonts w:hint="eastAsia"/>
          <w:b/>
        </w:rPr>
        <w:t>而予以簽結，已</w:t>
      </w:r>
      <w:r w:rsidR="007672DA" w:rsidRPr="009834D6">
        <w:rPr>
          <w:rFonts w:hint="eastAsia"/>
          <w:b/>
        </w:rPr>
        <w:t>將簽結</w:t>
      </w:r>
      <w:r w:rsidR="00C77690" w:rsidRPr="009834D6">
        <w:rPr>
          <w:rFonts w:hint="eastAsia"/>
          <w:b/>
        </w:rPr>
        <w:t>理由逐一</w:t>
      </w:r>
      <w:r w:rsidR="007672DA" w:rsidRPr="009834D6">
        <w:rPr>
          <w:rFonts w:hint="eastAsia"/>
          <w:b/>
        </w:rPr>
        <w:t>載</w:t>
      </w:r>
      <w:r w:rsidR="00C77690" w:rsidRPr="009834D6">
        <w:rPr>
          <w:rFonts w:hint="eastAsia"/>
          <w:b/>
        </w:rPr>
        <w:t>明</w:t>
      </w:r>
      <w:r w:rsidR="007672DA" w:rsidRPr="009834D6">
        <w:rPr>
          <w:rFonts w:hint="eastAsia"/>
          <w:b/>
        </w:rPr>
        <w:t>於公文</w:t>
      </w:r>
      <w:r w:rsidRPr="009834D6">
        <w:rPr>
          <w:rFonts w:hint="eastAsia"/>
          <w:b/>
        </w:rPr>
        <w:t>書，</w:t>
      </w:r>
      <w:r w:rsidR="00C77690" w:rsidRPr="009834D6">
        <w:rPr>
          <w:rFonts w:hint="eastAsia"/>
          <w:b/>
        </w:rPr>
        <w:t>並經高檢署</w:t>
      </w:r>
      <w:r w:rsidR="003A4990" w:rsidRPr="009834D6">
        <w:rPr>
          <w:rFonts w:hint="eastAsia"/>
          <w:b/>
        </w:rPr>
        <w:t>多次</w:t>
      </w:r>
      <w:r w:rsidR="00C77690" w:rsidRPr="009834D6">
        <w:rPr>
          <w:rFonts w:hint="eastAsia"/>
          <w:b/>
        </w:rPr>
        <w:t>查明回復在案，</w:t>
      </w:r>
      <w:r w:rsidRPr="009834D6">
        <w:rPr>
          <w:rFonts w:hint="eastAsia"/>
          <w:b/>
        </w:rPr>
        <w:t>尚難</w:t>
      </w:r>
      <w:r w:rsidRPr="009834D6">
        <w:rPr>
          <w:rFonts w:hint="eastAsia"/>
          <w:b/>
          <w:bCs w:val="0"/>
        </w:rPr>
        <w:t>認有未善</w:t>
      </w:r>
      <w:r w:rsidR="00EC44FB" w:rsidRPr="009834D6">
        <w:rPr>
          <w:rFonts w:hint="eastAsia"/>
          <w:b/>
        </w:rPr>
        <w:t>盡</w:t>
      </w:r>
      <w:r w:rsidRPr="009834D6">
        <w:rPr>
          <w:rFonts w:hint="eastAsia"/>
          <w:b/>
        </w:rPr>
        <w:t>調查</w:t>
      </w:r>
      <w:r w:rsidR="00EC44FB" w:rsidRPr="009834D6">
        <w:rPr>
          <w:rFonts w:hint="eastAsia"/>
          <w:b/>
        </w:rPr>
        <w:t>職責</w:t>
      </w:r>
      <w:r w:rsidRPr="009834D6">
        <w:rPr>
          <w:rFonts w:hint="eastAsia"/>
          <w:b/>
        </w:rPr>
        <w:t>之</w:t>
      </w:r>
      <w:r w:rsidRPr="009834D6">
        <w:rPr>
          <w:rFonts w:hint="eastAsia"/>
          <w:b/>
          <w:bCs w:val="0"/>
        </w:rPr>
        <w:t>違失</w:t>
      </w:r>
      <w:r w:rsidRPr="009834D6">
        <w:rPr>
          <w:rFonts w:ascii="新細明體" w:eastAsia="新細明體" w:hAnsi="新細明體" w:hint="eastAsia"/>
          <w:b/>
          <w:bCs w:val="0"/>
        </w:rPr>
        <w:t>。</w:t>
      </w:r>
    </w:p>
    <w:p w:rsidR="00D02673" w:rsidRPr="009834D6" w:rsidRDefault="00D02673" w:rsidP="00CC5179">
      <w:pPr>
        <w:pStyle w:val="3"/>
      </w:pPr>
      <w:r w:rsidRPr="009834D6">
        <w:rPr>
          <w:rFonts w:hint="eastAsia"/>
        </w:rPr>
        <w:t>經查閱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北地檢署檢察官承辦</w:t>
      </w:r>
      <w:proofErr w:type="gramStart"/>
      <w:r w:rsidR="00D54FDD" w:rsidRPr="009834D6">
        <w:rPr>
          <w:rFonts w:hint="eastAsia"/>
        </w:rPr>
        <w:t>105</w:t>
      </w:r>
      <w:proofErr w:type="gramEnd"/>
      <w:r w:rsidR="00D54FDD" w:rsidRPr="009834D6">
        <w:rPr>
          <w:rFonts w:hint="eastAsia"/>
        </w:rPr>
        <w:t>年度他字第9752號</w:t>
      </w:r>
      <w:r w:rsidRPr="009834D6">
        <w:rPr>
          <w:rFonts w:hint="eastAsia"/>
        </w:rPr>
        <w:t>被告</w:t>
      </w:r>
      <w:r w:rsidR="00436A3C">
        <w:rPr>
          <w:rFonts w:hint="eastAsia"/>
        </w:rPr>
        <w:t>許○○</w:t>
      </w:r>
      <w:r w:rsidRPr="009834D6">
        <w:rPr>
          <w:rFonts w:hint="eastAsia"/>
        </w:rPr>
        <w:t>等</w:t>
      </w:r>
      <w:proofErr w:type="gramStart"/>
      <w:r w:rsidRPr="009834D6">
        <w:rPr>
          <w:rFonts w:hint="eastAsia"/>
        </w:rPr>
        <w:t>涉犯背信</w:t>
      </w:r>
      <w:proofErr w:type="gramEnd"/>
      <w:r w:rsidRPr="009834D6">
        <w:rPr>
          <w:rFonts w:hint="eastAsia"/>
        </w:rPr>
        <w:t>案件卷宗資料，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北地檢署檢察官辦理陳訴人案件，有調閱</w:t>
      </w:r>
      <w:r w:rsidR="00FA79BD" w:rsidRPr="009834D6">
        <w:rPr>
          <w:rFonts w:hint="eastAsia"/>
        </w:rPr>
        <w:t>板橋地檢署</w:t>
      </w:r>
      <w:proofErr w:type="gramStart"/>
      <w:r w:rsidRPr="009834D6">
        <w:rPr>
          <w:rFonts w:hint="eastAsia"/>
        </w:rPr>
        <w:t>100</w:t>
      </w:r>
      <w:proofErr w:type="gramEnd"/>
      <w:r w:rsidRPr="009834D6">
        <w:rPr>
          <w:rFonts w:hint="eastAsia"/>
        </w:rPr>
        <w:t>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續一字第109</w:t>
      </w:r>
      <w:r w:rsidR="00F96C94" w:rsidRPr="009834D6">
        <w:rPr>
          <w:rFonts w:hint="eastAsia"/>
        </w:rPr>
        <w:t>號、同署</w:t>
      </w:r>
      <w:proofErr w:type="gramStart"/>
      <w:r w:rsidR="00F96C94" w:rsidRPr="009834D6">
        <w:rPr>
          <w:rFonts w:hint="eastAsia"/>
        </w:rPr>
        <w:t>105</w:t>
      </w:r>
      <w:proofErr w:type="gramEnd"/>
      <w:r w:rsidR="00F96C94" w:rsidRPr="009834D6">
        <w:rPr>
          <w:rFonts w:hint="eastAsia"/>
        </w:rPr>
        <w:t>年度他字</w:t>
      </w:r>
      <w:proofErr w:type="gramStart"/>
      <w:r w:rsidR="00F96C94" w:rsidRPr="009834D6">
        <w:rPr>
          <w:rFonts w:hint="eastAsia"/>
        </w:rPr>
        <w:t>第5166號</w:t>
      </w:r>
      <w:r w:rsidRPr="009834D6">
        <w:rPr>
          <w:rFonts w:hint="eastAsia"/>
        </w:rPr>
        <w:t>卷</w:t>
      </w:r>
      <w:proofErr w:type="gramEnd"/>
      <w:r w:rsidRPr="009834D6">
        <w:rPr>
          <w:rFonts w:hint="eastAsia"/>
        </w:rPr>
        <w:t>紀錄</w:t>
      </w:r>
      <w:r w:rsidR="00F96C94" w:rsidRPr="009834D6">
        <w:rPr>
          <w:rFonts w:hint="eastAsia"/>
        </w:rPr>
        <w:t>，此有辦案進行單、借調公文</w:t>
      </w:r>
      <w:r w:rsidRPr="009834D6">
        <w:rPr>
          <w:rFonts w:hint="eastAsia"/>
        </w:rPr>
        <w:t>附卷可</w:t>
      </w:r>
      <w:proofErr w:type="gramStart"/>
      <w:r w:rsidRPr="009834D6">
        <w:rPr>
          <w:rFonts w:hint="eastAsia"/>
        </w:rPr>
        <w:t>稽</w:t>
      </w:r>
      <w:proofErr w:type="gramEnd"/>
      <w:r w:rsidRPr="009834D6">
        <w:rPr>
          <w:rFonts w:hint="eastAsia"/>
        </w:rPr>
        <w:t>；另查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北地檢署檢察官承辦</w:t>
      </w:r>
      <w:proofErr w:type="gramStart"/>
      <w:r w:rsidR="00D54FDD" w:rsidRPr="009834D6">
        <w:rPr>
          <w:rFonts w:hint="eastAsia"/>
        </w:rPr>
        <w:t>106</w:t>
      </w:r>
      <w:proofErr w:type="gramEnd"/>
      <w:r w:rsidR="00D54FDD" w:rsidRPr="009834D6">
        <w:rPr>
          <w:rFonts w:hint="eastAsia"/>
        </w:rPr>
        <w:t>年度他字第5691</w:t>
      </w:r>
      <w:r w:rsidRPr="009834D6">
        <w:rPr>
          <w:rFonts w:hint="eastAsia"/>
        </w:rPr>
        <w:t>號被告</w:t>
      </w:r>
      <w:r w:rsidR="00436A3C">
        <w:rPr>
          <w:rFonts w:hint="eastAsia"/>
        </w:rPr>
        <w:t>許○○</w:t>
      </w:r>
      <w:r w:rsidRPr="009834D6">
        <w:rPr>
          <w:rFonts w:hint="eastAsia"/>
        </w:rPr>
        <w:t>等</w:t>
      </w:r>
      <w:proofErr w:type="gramStart"/>
      <w:r w:rsidRPr="009834D6">
        <w:rPr>
          <w:rFonts w:hint="eastAsia"/>
        </w:rPr>
        <w:t>涉犯背信</w:t>
      </w:r>
      <w:proofErr w:type="gramEnd"/>
      <w:r w:rsidRPr="009834D6">
        <w:rPr>
          <w:rFonts w:hint="eastAsia"/>
        </w:rPr>
        <w:t>案件卷宗資料，</w:t>
      </w:r>
      <w:proofErr w:type="gramStart"/>
      <w:r w:rsidRPr="009834D6">
        <w:rPr>
          <w:rFonts w:hint="eastAsia"/>
        </w:rPr>
        <w:t>臺</w:t>
      </w:r>
      <w:proofErr w:type="gramEnd"/>
      <w:r w:rsidRPr="009834D6">
        <w:rPr>
          <w:rFonts w:hint="eastAsia"/>
        </w:rPr>
        <w:t>北地檢署檢察官辦理陳訴人案件，有調閱</w:t>
      </w:r>
      <w:proofErr w:type="gramStart"/>
      <w:r w:rsidRPr="009834D6">
        <w:rPr>
          <w:rFonts w:hint="eastAsia"/>
        </w:rPr>
        <w:t>105</w:t>
      </w:r>
      <w:proofErr w:type="gramEnd"/>
      <w:r w:rsidRPr="009834D6">
        <w:rPr>
          <w:rFonts w:hint="eastAsia"/>
        </w:rPr>
        <w:t>年度他字第9752號、</w:t>
      </w:r>
      <w:proofErr w:type="gramStart"/>
      <w:r w:rsidRPr="009834D6">
        <w:rPr>
          <w:rFonts w:hint="eastAsia"/>
        </w:rPr>
        <w:t>100</w:t>
      </w:r>
      <w:proofErr w:type="gramEnd"/>
      <w:r w:rsidRPr="009834D6">
        <w:rPr>
          <w:rFonts w:hint="eastAsia"/>
        </w:rPr>
        <w:t>年度</w:t>
      </w:r>
      <w:proofErr w:type="gramStart"/>
      <w:r w:rsidRPr="009834D6">
        <w:rPr>
          <w:rFonts w:hint="eastAsia"/>
        </w:rPr>
        <w:t>偵</w:t>
      </w:r>
      <w:proofErr w:type="gramEnd"/>
      <w:r w:rsidRPr="009834D6">
        <w:rPr>
          <w:rFonts w:hint="eastAsia"/>
        </w:rPr>
        <w:t>續一字第109號案全卷紀錄，此有辦案進行單、調</w:t>
      </w:r>
      <w:proofErr w:type="gramStart"/>
      <w:r w:rsidRPr="009834D6">
        <w:rPr>
          <w:rFonts w:hint="eastAsia"/>
        </w:rPr>
        <w:t>卷單附</w:t>
      </w:r>
      <w:proofErr w:type="gramEnd"/>
      <w:r w:rsidRPr="009834D6">
        <w:rPr>
          <w:rFonts w:hint="eastAsia"/>
        </w:rPr>
        <w:t>卷可</w:t>
      </w:r>
      <w:proofErr w:type="gramStart"/>
      <w:r w:rsidRPr="009834D6">
        <w:rPr>
          <w:rFonts w:hint="eastAsia"/>
        </w:rPr>
        <w:t>稽</w:t>
      </w:r>
      <w:proofErr w:type="gramEnd"/>
      <w:r w:rsidRPr="009834D6">
        <w:rPr>
          <w:rFonts w:hint="eastAsia"/>
        </w:rPr>
        <w:t>。</w:t>
      </w:r>
    </w:p>
    <w:p w:rsidR="00CC5179" w:rsidRPr="009834D6" w:rsidRDefault="000D654A" w:rsidP="00CC5179">
      <w:pPr>
        <w:pStyle w:val="3"/>
      </w:pPr>
      <w:r w:rsidRPr="009834D6">
        <w:rPr>
          <w:rFonts w:hint="eastAsia"/>
        </w:rPr>
        <w:t>經查陳訴人所指5項新事實、新證據，</w:t>
      </w:r>
      <w:r w:rsidR="00FA0241" w:rsidRPr="009834D6">
        <w:rPr>
          <w:rFonts w:hint="eastAsia"/>
        </w:rPr>
        <w:t>分別為陳訴書附件</w:t>
      </w:r>
      <w:proofErr w:type="gramStart"/>
      <w:r w:rsidR="00FA0241" w:rsidRPr="009834D6">
        <w:rPr>
          <w:rFonts w:hint="eastAsia"/>
        </w:rPr>
        <w:t>之告證</w:t>
      </w:r>
      <w:proofErr w:type="gramEnd"/>
      <w:r w:rsidR="00FA0241" w:rsidRPr="009834D6">
        <w:rPr>
          <w:rFonts w:hint="eastAsia"/>
        </w:rPr>
        <w:t>19</w:t>
      </w:r>
      <w:r w:rsidR="00F53D44" w:rsidRPr="009834D6">
        <w:rPr>
          <w:rFonts w:hint="eastAsia"/>
        </w:rPr>
        <w:t>：</w:t>
      </w:r>
      <w:r w:rsidR="00FA0241" w:rsidRPr="009834D6">
        <w:rPr>
          <w:rFonts w:hint="eastAsia"/>
        </w:rPr>
        <w:t>和解協議及建物所有權買賣協議書正本之手抄本、</w:t>
      </w:r>
      <w:proofErr w:type="gramStart"/>
      <w:r w:rsidR="00FA0241" w:rsidRPr="009834D6">
        <w:rPr>
          <w:rFonts w:hint="eastAsia"/>
        </w:rPr>
        <w:t>告證</w:t>
      </w:r>
      <w:proofErr w:type="gramEnd"/>
      <w:r w:rsidR="00FA0241" w:rsidRPr="009834D6">
        <w:rPr>
          <w:rFonts w:hint="eastAsia"/>
        </w:rPr>
        <w:t>20</w:t>
      </w:r>
      <w:r w:rsidR="00F53D44" w:rsidRPr="009834D6">
        <w:rPr>
          <w:rFonts w:hint="eastAsia"/>
        </w:rPr>
        <w:t>：</w:t>
      </w:r>
      <w:r w:rsidR="00FA0241" w:rsidRPr="009834D6">
        <w:rPr>
          <w:rFonts w:hint="eastAsia"/>
        </w:rPr>
        <w:t>切結書</w:t>
      </w:r>
      <w:r w:rsidR="00FA0241" w:rsidRPr="009834D6">
        <w:rPr>
          <w:rFonts w:hAnsi="標楷體" w:cs="新細明體" w:hint="eastAsia"/>
          <w:kern w:val="0"/>
          <w:szCs w:val="24"/>
        </w:rPr>
        <w:t>、</w:t>
      </w:r>
      <w:proofErr w:type="gramStart"/>
      <w:r w:rsidR="00FA0241" w:rsidRPr="009834D6">
        <w:rPr>
          <w:rFonts w:hAnsi="標楷體" w:cs="新細明體" w:hint="eastAsia"/>
          <w:kern w:val="0"/>
          <w:szCs w:val="24"/>
        </w:rPr>
        <w:t>告證</w:t>
      </w:r>
      <w:proofErr w:type="gramEnd"/>
      <w:r w:rsidR="00FA0241" w:rsidRPr="009834D6">
        <w:rPr>
          <w:rFonts w:hAnsi="標楷體" w:cs="新細明體" w:hint="eastAsia"/>
          <w:kern w:val="0"/>
          <w:szCs w:val="24"/>
        </w:rPr>
        <w:t>21</w:t>
      </w:r>
      <w:r w:rsidR="00F53D44" w:rsidRPr="009834D6">
        <w:rPr>
          <w:rFonts w:hAnsi="標楷體" w:cs="新細明體" w:hint="eastAsia"/>
          <w:kern w:val="0"/>
          <w:szCs w:val="24"/>
        </w:rPr>
        <w:t>：</w:t>
      </w:r>
      <w:proofErr w:type="gramStart"/>
      <w:r w:rsidR="00FA0241" w:rsidRPr="009834D6">
        <w:rPr>
          <w:rFonts w:hAnsi="標楷體" w:cs="新細明體" w:hint="eastAsia"/>
          <w:kern w:val="0"/>
          <w:szCs w:val="24"/>
        </w:rPr>
        <w:t>臺</w:t>
      </w:r>
      <w:proofErr w:type="gramEnd"/>
      <w:r w:rsidR="00FA0241" w:rsidRPr="009834D6">
        <w:rPr>
          <w:rFonts w:hAnsi="標楷體" w:cs="新細明體"/>
          <w:kern w:val="0"/>
          <w:szCs w:val="24"/>
        </w:rPr>
        <w:t>北興安郵局第000994號存證信函</w:t>
      </w:r>
      <w:r w:rsidR="00FA0241" w:rsidRPr="009834D6">
        <w:rPr>
          <w:rFonts w:hint="eastAsia"/>
        </w:rPr>
        <w:t>、</w:t>
      </w:r>
      <w:proofErr w:type="gramStart"/>
      <w:r w:rsidR="00FA0241" w:rsidRPr="009834D6">
        <w:rPr>
          <w:rFonts w:hint="eastAsia"/>
        </w:rPr>
        <w:t>告證</w:t>
      </w:r>
      <w:proofErr w:type="gramEnd"/>
      <w:r w:rsidR="00FA0241" w:rsidRPr="009834D6">
        <w:rPr>
          <w:rFonts w:hint="eastAsia"/>
        </w:rPr>
        <w:t>22</w:t>
      </w:r>
      <w:r w:rsidR="00F53D44" w:rsidRPr="009834D6">
        <w:rPr>
          <w:rFonts w:hint="eastAsia"/>
        </w:rPr>
        <w:t>：</w:t>
      </w:r>
      <w:r w:rsidR="00FA0241" w:rsidRPr="009834D6">
        <w:rPr>
          <w:rFonts w:hAnsi="標楷體" w:cs="新細明體"/>
          <w:kern w:val="0"/>
          <w:szCs w:val="24"/>
        </w:rPr>
        <w:t>三重正義郵局第24142號</w:t>
      </w:r>
      <w:r w:rsidR="00FA0241" w:rsidRPr="009834D6">
        <w:rPr>
          <w:rFonts w:hAnsi="標楷體" w:cs="新細明體" w:hint="eastAsia"/>
          <w:kern w:val="0"/>
          <w:szCs w:val="24"/>
        </w:rPr>
        <w:t>及</w:t>
      </w:r>
      <w:proofErr w:type="gramStart"/>
      <w:r w:rsidR="00FA0241" w:rsidRPr="009834D6">
        <w:rPr>
          <w:rFonts w:hAnsi="標楷體" w:cs="新細明體" w:hint="eastAsia"/>
          <w:kern w:val="0"/>
          <w:szCs w:val="24"/>
        </w:rPr>
        <w:t>臺</w:t>
      </w:r>
      <w:proofErr w:type="gramEnd"/>
      <w:r w:rsidR="00FA0241" w:rsidRPr="009834D6">
        <w:rPr>
          <w:rFonts w:hAnsi="標楷體" w:cs="新細明體"/>
          <w:kern w:val="0"/>
          <w:szCs w:val="24"/>
        </w:rPr>
        <w:t>北北門郵局第002773號存證信函</w:t>
      </w:r>
      <w:r w:rsidR="00FA0241" w:rsidRPr="009834D6">
        <w:rPr>
          <w:rFonts w:hAnsi="標楷體" w:cs="新細明體" w:hint="eastAsia"/>
          <w:kern w:val="0"/>
          <w:szCs w:val="24"/>
        </w:rPr>
        <w:t>、</w:t>
      </w:r>
      <w:proofErr w:type="gramStart"/>
      <w:r w:rsidR="00FA0241" w:rsidRPr="009834D6">
        <w:rPr>
          <w:rFonts w:hAnsi="標楷體" w:cs="新細明體" w:hint="eastAsia"/>
          <w:kern w:val="0"/>
          <w:szCs w:val="24"/>
        </w:rPr>
        <w:t>告證</w:t>
      </w:r>
      <w:proofErr w:type="gramEnd"/>
      <w:r w:rsidR="00FA0241" w:rsidRPr="009834D6">
        <w:rPr>
          <w:rFonts w:hAnsi="標楷體" w:cs="新細明體" w:hint="eastAsia"/>
          <w:kern w:val="0"/>
          <w:szCs w:val="24"/>
        </w:rPr>
        <w:t>23</w:t>
      </w:r>
      <w:r w:rsidR="00F53D44" w:rsidRPr="009834D6">
        <w:rPr>
          <w:rFonts w:hAnsi="標楷體" w:cs="新細明體" w:hint="eastAsia"/>
          <w:kern w:val="0"/>
          <w:szCs w:val="24"/>
        </w:rPr>
        <w:t>：</w:t>
      </w:r>
      <w:r w:rsidR="00ED2157">
        <w:rPr>
          <w:rFonts w:hAnsi="標楷體" w:cs="新細明體"/>
          <w:kern w:val="0"/>
          <w:szCs w:val="24"/>
        </w:rPr>
        <w:t>合○</w:t>
      </w:r>
      <w:r w:rsidR="00FA0241" w:rsidRPr="009834D6">
        <w:rPr>
          <w:rFonts w:hAnsi="標楷體" w:cs="新細明體"/>
          <w:kern w:val="0"/>
          <w:szCs w:val="24"/>
        </w:rPr>
        <w:t>公司辦理都市更新計畫資料</w:t>
      </w:r>
      <w:r w:rsidR="0070405A" w:rsidRPr="009834D6">
        <w:rPr>
          <w:rFonts w:hAnsi="標楷體" w:cs="新細明體" w:hint="eastAsia"/>
          <w:kern w:val="0"/>
          <w:szCs w:val="24"/>
        </w:rPr>
        <w:t>。</w:t>
      </w:r>
      <w:r w:rsidR="00187A2D" w:rsidRPr="009834D6">
        <w:rPr>
          <w:rFonts w:hint="eastAsia"/>
        </w:rPr>
        <w:t>經本院審視5項事證</w:t>
      </w:r>
      <w:r w:rsidR="003B756E" w:rsidRPr="009834D6">
        <w:rPr>
          <w:rFonts w:hint="eastAsia"/>
        </w:rPr>
        <w:t>內容並與</w:t>
      </w:r>
      <w:proofErr w:type="gramStart"/>
      <w:r w:rsidR="003B756E" w:rsidRPr="009834D6">
        <w:rPr>
          <w:rFonts w:hint="eastAsia"/>
        </w:rPr>
        <w:t>臺</w:t>
      </w:r>
      <w:proofErr w:type="gramEnd"/>
      <w:r w:rsidR="003B756E" w:rsidRPr="009834D6">
        <w:rPr>
          <w:rFonts w:hint="eastAsia"/>
        </w:rPr>
        <w:t>北地檢署</w:t>
      </w:r>
      <w:proofErr w:type="gramStart"/>
      <w:r w:rsidR="00BF4436" w:rsidRPr="009834D6">
        <w:rPr>
          <w:rFonts w:hAnsi="標楷體" w:cs="新細明體" w:hint="eastAsia"/>
          <w:kern w:val="0"/>
          <w:szCs w:val="24"/>
        </w:rPr>
        <w:t>105</w:t>
      </w:r>
      <w:proofErr w:type="gramEnd"/>
      <w:r w:rsidR="00BF4436" w:rsidRPr="009834D6">
        <w:rPr>
          <w:rFonts w:hAnsi="標楷體" w:cs="新細明體" w:hint="eastAsia"/>
          <w:kern w:val="0"/>
          <w:szCs w:val="24"/>
        </w:rPr>
        <w:t>年度他字第5166號、</w:t>
      </w:r>
      <w:proofErr w:type="gramStart"/>
      <w:r w:rsidR="006255D5" w:rsidRPr="009834D6">
        <w:rPr>
          <w:rFonts w:hint="eastAsia"/>
        </w:rPr>
        <w:t>105</w:t>
      </w:r>
      <w:proofErr w:type="gramEnd"/>
      <w:r w:rsidR="006255D5" w:rsidRPr="009834D6">
        <w:rPr>
          <w:rFonts w:hint="eastAsia"/>
        </w:rPr>
        <w:t>年度他字第</w:t>
      </w:r>
      <w:r w:rsidR="004B22B0" w:rsidRPr="009834D6">
        <w:rPr>
          <w:rFonts w:hAnsi="標楷體" w:cs="新細明體" w:hint="eastAsia"/>
          <w:kern w:val="0"/>
          <w:szCs w:val="24"/>
        </w:rPr>
        <w:t>9752</w:t>
      </w:r>
      <w:r w:rsidR="00187A2D" w:rsidRPr="009834D6">
        <w:rPr>
          <w:rFonts w:hAnsi="標楷體" w:cs="新細明體" w:hint="eastAsia"/>
          <w:kern w:val="0"/>
          <w:szCs w:val="24"/>
        </w:rPr>
        <w:t>號</w:t>
      </w:r>
      <w:r w:rsidR="004B22B0" w:rsidRPr="009834D6">
        <w:rPr>
          <w:rFonts w:hAnsi="標楷體" w:cs="新細明體" w:hint="eastAsia"/>
          <w:kern w:val="0"/>
          <w:szCs w:val="24"/>
        </w:rPr>
        <w:t>、</w:t>
      </w:r>
      <w:proofErr w:type="gramStart"/>
      <w:r w:rsidR="006255D5" w:rsidRPr="009834D6">
        <w:rPr>
          <w:rFonts w:hAnsi="標楷體" w:cs="新細明體" w:hint="eastAsia"/>
          <w:kern w:val="0"/>
          <w:szCs w:val="24"/>
        </w:rPr>
        <w:t>106</w:t>
      </w:r>
      <w:proofErr w:type="gramEnd"/>
      <w:r w:rsidR="006255D5" w:rsidRPr="009834D6">
        <w:rPr>
          <w:rFonts w:hAnsi="標楷體" w:cs="新細明體" w:hint="eastAsia"/>
          <w:kern w:val="0"/>
          <w:szCs w:val="24"/>
        </w:rPr>
        <w:t>年度他字第</w:t>
      </w:r>
      <w:r w:rsidR="004B22B0" w:rsidRPr="009834D6">
        <w:rPr>
          <w:rFonts w:hAnsi="標楷體" w:cs="新細明體" w:hint="eastAsia"/>
          <w:kern w:val="0"/>
          <w:szCs w:val="24"/>
        </w:rPr>
        <w:t>5691</w:t>
      </w:r>
      <w:r w:rsidR="00BF4436" w:rsidRPr="009834D6">
        <w:rPr>
          <w:rFonts w:hAnsi="標楷體" w:cs="新細明體" w:hint="eastAsia"/>
          <w:kern w:val="0"/>
          <w:szCs w:val="24"/>
        </w:rPr>
        <w:t>號</w:t>
      </w:r>
      <w:r w:rsidR="004B22B0" w:rsidRPr="009834D6">
        <w:rPr>
          <w:rFonts w:hint="eastAsia"/>
        </w:rPr>
        <w:t>等</w:t>
      </w:r>
      <w:r w:rsidR="003C7CD1" w:rsidRPr="009834D6">
        <w:rPr>
          <w:rFonts w:hint="eastAsia"/>
        </w:rPr>
        <w:t>卷宗比對，分別</w:t>
      </w:r>
      <w:r w:rsidR="004B22B0" w:rsidRPr="009834D6">
        <w:rPr>
          <w:rFonts w:hint="eastAsia"/>
        </w:rPr>
        <w:t>敘明</w:t>
      </w:r>
      <w:r w:rsidR="003B756E" w:rsidRPr="009834D6">
        <w:rPr>
          <w:rFonts w:hint="eastAsia"/>
        </w:rPr>
        <w:t>如下表</w:t>
      </w:r>
      <w:r w:rsidR="00D76BE0" w:rsidRPr="009834D6">
        <w:rPr>
          <w:rFonts w:hint="eastAsia"/>
        </w:rPr>
        <w:t>2</w:t>
      </w:r>
      <w:r w:rsidR="00F53D44" w:rsidRPr="009834D6">
        <w:rPr>
          <w:rFonts w:hint="eastAsia"/>
        </w:rPr>
        <w:t>：</w:t>
      </w:r>
    </w:p>
    <w:p w:rsidR="00083C4E" w:rsidRPr="009834D6" w:rsidRDefault="00083C4E" w:rsidP="007D1507">
      <w:pPr>
        <w:pStyle w:val="a3"/>
      </w:pPr>
      <w:r w:rsidRPr="009834D6">
        <w:rPr>
          <w:rFonts w:hint="eastAsia"/>
        </w:rPr>
        <w:t>【本院逐一比對勾稽陳訴人所提事證】</w:t>
      </w:r>
    </w:p>
    <w:tbl>
      <w:tblPr>
        <w:tblStyle w:val="af6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559"/>
        <w:gridCol w:w="2552"/>
        <w:gridCol w:w="3118"/>
      </w:tblGrid>
      <w:tr w:rsidR="009834D6" w:rsidRPr="009834D6" w:rsidTr="0009563F">
        <w:tc>
          <w:tcPr>
            <w:tcW w:w="1276" w:type="dxa"/>
          </w:tcPr>
          <w:p w:rsidR="00641614" w:rsidRPr="009834D6" w:rsidRDefault="00641614" w:rsidP="003B756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9834D6">
              <w:rPr>
                <w:rFonts w:hint="eastAsia"/>
                <w:sz w:val="28"/>
                <w:szCs w:val="28"/>
              </w:rPr>
              <w:t>陳訴書</w:t>
            </w:r>
            <w:r w:rsidR="004B22B0" w:rsidRPr="009834D6">
              <w:rPr>
                <w:rFonts w:hint="eastAsia"/>
                <w:sz w:val="28"/>
                <w:szCs w:val="28"/>
              </w:rPr>
              <w:t>之</w:t>
            </w:r>
            <w:r w:rsidRPr="009834D6"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1559" w:type="dxa"/>
          </w:tcPr>
          <w:p w:rsidR="00641614" w:rsidRPr="009834D6" w:rsidRDefault="00641614" w:rsidP="003B756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9834D6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2552" w:type="dxa"/>
          </w:tcPr>
          <w:p w:rsidR="00641614" w:rsidRPr="009834D6" w:rsidRDefault="00641614" w:rsidP="003B756E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案卷出處、說明</w:t>
            </w:r>
          </w:p>
        </w:tc>
        <w:tc>
          <w:tcPr>
            <w:tcW w:w="3118" w:type="dxa"/>
          </w:tcPr>
          <w:p w:rsidR="00641614" w:rsidRPr="009834D6" w:rsidRDefault="003C7CD1" w:rsidP="00187A2D">
            <w:pPr>
              <w:widowControl/>
              <w:adjustRightInd w:val="0"/>
              <w:snapToGrid w:val="0"/>
              <w:spacing w:line="320" w:lineRule="exac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其他說明</w:t>
            </w:r>
          </w:p>
        </w:tc>
      </w:tr>
      <w:tr w:rsidR="009834D6" w:rsidRPr="009834D6" w:rsidTr="0009563F">
        <w:tc>
          <w:tcPr>
            <w:tcW w:w="1276" w:type="dxa"/>
          </w:tcPr>
          <w:p w:rsidR="00641614" w:rsidRPr="009834D6" w:rsidRDefault="00641614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641614" w:rsidRPr="009834D6" w:rsidRDefault="00B712D4" w:rsidP="00D640CC">
            <w:pPr>
              <w:widowControl/>
              <w:adjustRightInd w:val="0"/>
              <w:snapToGrid w:val="0"/>
              <w:spacing w:line="40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>
              <w:rPr>
                <w:rFonts w:hAnsi="標楷體" w:cs="新細明體" w:hint="eastAsia"/>
                <w:kern w:val="0"/>
                <w:sz w:val="28"/>
                <w:szCs w:val="28"/>
              </w:rPr>
              <w:t>響○</w:t>
            </w:r>
            <w:r w:rsidR="000020C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公司與5人</w:t>
            </w:r>
            <w:r w:rsidR="00F96C94" w:rsidRPr="009834D6">
              <w:rPr>
                <w:rFonts w:hAnsi="標楷體" w:cs="新細明體"/>
                <w:kern w:val="0"/>
                <w:sz w:val="28"/>
                <w:szCs w:val="28"/>
              </w:rPr>
              <w:t>「和</w:t>
            </w:r>
            <w:r w:rsidR="00F96C94" w:rsidRPr="009834D6">
              <w:rPr>
                <w:rFonts w:hAnsi="標楷體" w:cs="新細明體"/>
                <w:kern w:val="0"/>
                <w:sz w:val="28"/>
                <w:szCs w:val="28"/>
              </w:rPr>
              <w:lastRenderedPageBreak/>
              <w:t>解協議」及「建物所有權買賣協議書」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之手抄本</w:t>
            </w:r>
            <w:r w:rsidR="00E80768" w:rsidRPr="009834D6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</w:tcPr>
          <w:p w:rsidR="00641614" w:rsidRPr="009834D6" w:rsidRDefault="004A61B5" w:rsidP="00D640CC">
            <w:pPr>
              <w:widowControl/>
              <w:adjustRightInd w:val="0"/>
              <w:snapToGrid w:val="0"/>
              <w:spacing w:line="40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lastRenderedPageBreak/>
              <w:t>臺</w:t>
            </w:r>
            <w:proofErr w:type="gramEnd"/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北地檢署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 xml:space="preserve">105 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年</w:t>
            </w:r>
            <w:r w:rsidR="00D640C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度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他</w:t>
            </w:r>
            <w:r w:rsidR="00D640C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字第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5166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lastRenderedPageBreak/>
              <w:t>卷</w:t>
            </w:r>
            <w:proofErr w:type="gramStart"/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第42頁</w:t>
            </w:r>
            <w:r w:rsidR="003C7CD1"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="003C7CD1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15</w:t>
            </w:r>
            <w:r w:rsidR="00910A1D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118" w:type="dxa"/>
          </w:tcPr>
          <w:p w:rsidR="00D50B6B" w:rsidRPr="009834D6" w:rsidRDefault="00D50B6B" w:rsidP="00D50B6B">
            <w:pPr>
              <w:widowControl/>
              <w:adjustRightInd w:val="0"/>
              <w:snapToGrid w:val="0"/>
              <w:spacing w:line="400" w:lineRule="exact"/>
              <w:ind w:left="300" w:hangingChars="100" w:hanging="300"/>
              <w:rPr>
                <w:rFonts w:hAnsi="標楷體"/>
                <w:sz w:val="28"/>
                <w:szCs w:val="28"/>
              </w:rPr>
            </w:pPr>
            <w:r w:rsidRPr="009834D6">
              <w:rPr>
                <w:rFonts w:hAnsi="標楷體" w:hint="eastAsia"/>
                <w:sz w:val="28"/>
                <w:szCs w:val="28"/>
              </w:rPr>
              <w:lastRenderedPageBreak/>
              <w:t>1.</w:t>
            </w:r>
            <w:proofErr w:type="gramStart"/>
            <w:r w:rsidRPr="009834D6">
              <w:rPr>
                <w:rFonts w:hAnsi="標楷體" w:hint="eastAsia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hint="eastAsia"/>
                <w:sz w:val="28"/>
                <w:szCs w:val="28"/>
              </w:rPr>
              <w:t>19確實已於前案提出。</w:t>
            </w:r>
          </w:p>
          <w:p w:rsidR="000020C4" w:rsidRPr="009834D6" w:rsidRDefault="00D50B6B" w:rsidP="00D50B6B">
            <w:pPr>
              <w:widowControl/>
              <w:adjustRightInd w:val="0"/>
              <w:snapToGrid w:val="0"/>
              <w:spacing w:line="400" w:lineRule="exact"/>
              <w:ind w:left="300" w:hangingChars="100" w:hanging="300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hint="eastAsia"/>
                <w:sz w:val="28"/>
                <w:szCs w:val="28"/>
              </w:rPr>
              <w:lastRenderedPageBreak/>
              <w:t>2.</w:t>
            </w:r>
            <w:proofErr w:type="gramStart"/>
            <w:r w:rsidRPr="009834D6">
              <w:rPr>
                <w:rFonts w:hAnsi="標楷體" w:hint="eastAsia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hint="eastAsia"/>
                <w:sz w:val="28"/>
                <w:szCs w:val="28"/>
              </w:rPr>
              <w:t>19之</w:t>
            </w:r>
            <w:r w:rsidR="00083C4E" w:rsidRPr="009834D6">
              <w:rPr>
                <w:rFonts w:hAnsi="標楷體" w:hint="eastAsia"/>
                <w:sz w:val="28"/>
                <w:szCs w:val="28"/>
              </w:rPr>
              <w:t>內容為手寫，敘及</w:t>
            </w:r>
            <w:r w:rsidR="000020C4" w:rsidRPr="009834D6">
              <w:rPr>
                <w:rFonts w:hAnsi="標楷體" w:hint="eastAsia"/>
                <w:sz w:val="28"/>
                <w:szCs w:val="28"/>
              </w:rPr>
              <w:t>和解條件、出售價金</w:t>
            </w:r>
            <w:r w:rsidR="004A61B5" w:rsidRPr="009834D6">
              <w:rPr>
                <w:rFonts w:hAnsi="標楷體" w:hint="eastAsia"/>
                <w:sz w:val="28"/>
                <w:szCs w:val="28"/>
              </w:rPr>
              <w:t>及保證事項</w:t>
            </w:r>
            <w:r w:rsidR="00F96C94" w:rsidRPr="009834D6">
              <w:rPr>
                <w:rFonts w:hAnsi="標楷體" w:hint="eastAsia"/>
                <w:sz w:val="28"/>
                <w:szCs w:val="28"/>
              </w:rPr>
              <w:t>等，惟未見雙方任何署名、簽名或</w:t>
            </w:r>
            <w:r w:rsidR="000020C4" w:rsidRPr="009834D6">
              <w:rPr>
                <w:rFonts w:hAnsi="標楷體" w:hint="eastAsia"/>
                <w:sz w:val="28"/>
                <w:szCs w:val="28"/>
              </w:rPr>
              <w:t>蓋章。</w:t>
            </w:r>
          </w:p>
        </w:tc>
      </w:tr>
      <w:tr w:rsidR="009834D6" w:rsidRPr="009834D6" w:rsidTr="0009563F">
        <w:tc>
          <w:tcPr>
            <w:tcW w:w="1276" w:type="dxa"/>
          </w:tcPr>
          <w:p w:rsidR="00641614" w:rsidRPr="009834D6" w:rsidRDefault="00641614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lastRenderedPageBreak/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</w:t>
            </w:r>
            <w:r w:rsidRPr="009834D6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641614" w:rsidRPr="009834D6" w:rsidRDefault="00641614" w:rsidP="000E3211">
            <w:pPr>
              <w:widowControl/>
              <w:spacing w:line="540" w:lineRule="atLeast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切結書</w:t>
            </w:r>
            <w:r w:rsidR="00E80768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552" w:type="dxa"/>
          </w:tcPr>
          <w:p w:rsidR="00641614" w:rsidRPr="009834D6" w:rsidRDefault="006028A3" w:rsidP="00D640CC">
            <w:pPr>
              <w:widowControl/>
              <w:spacing w:line="400" w:lineRule="exact"/>
              <w:rPr>
                <w:rFonts w:hAnsi="標楷體"/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proofErr w:type="gramStart"/>
            <w:r w:rsidR="00D9600F" w:rsidRPr="009834D6">
              <w:rPr>
                <w:rFonts w:hint="eastAsia"/>
                <w:sz w:val="28"/>
                <w:szCs w:val="28"/>
              </w:rPr>
              <w:t>105</w:t>
            </w:r>
            <w:proofErr w:type="gramEnd"/>
            <w:r w:rsidR="00D9600F" w:rsidRPr="009834D6">
              <w:rPr>
                <w:rFonts w:hint="eastAsia"/>
                <w:sz w:val="28"/>
                <w:szCs w:val="28"/>
              </w:rPr>
              <w:t>年度他字第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9752號卷宗第94頁</w:t>
            </w:r>
            <w:r w:rsidR="00F53D4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：</w:t>
            </w:r>
            <w:r w:rsidR="00641614" w:rsidRPr="009834D6">
              <w:rPr>
                <w:rFonts w:hAnsi="標楷體"/>
                <w:sz w:val="28"/>
                <w:szCs w:val="28"/>
              </w:rPr>
              <w:t>內容與先前證述相同，非新事實新證據。</w:t>
            </w:r>
          </w:p>
          <w:p w:rsidR="006255D5" w:rsidRPr="009834D6" w:rsidRDefault="006255D5" w:rsidP="00D640CC">
            <w:pPr>
              <w:widowControl/>
              <w:spacing w:line="400" w:lineRule="exact"/>
              <w:rPr>
                <w:rFonts w:hAnsi="標楷體"/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proofErr w:type="gramStart"/>
            <w:r w:rsidR="00D54FDD" w:rsidRPr="009834D6">
              <w:rPr>
                <w:rFonts w:hint="eastAsia"/>
                <w:sz w:val="28"/>
                <w:szCs w:val="28"/>
              </w:rPr>
              <w:t>106</w:t>
            </w:r>
            <w:proofErr w:type="gramEnd"/>
            <w:r w:rsidR="00D54FDD" w:rsidRPr="009834D6">
              <w:rPr>
                <w:rFonts w:hint="eastAsia"/>
                <w:sz w:val="28"/>
                <w:szCs w:val="28"/>
              </w:rPr>
              <w:t>年度他字第5691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號卷宗第</w:t>
            </w:r>
            <w:r w:rsidR="0087588B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120-</w:t>
            </w:r>
            <w:r w:rsidR="00BE1AA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122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頁</w:t>
            </w:r>
            <w:r w:rsidR="00F53D4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：</w:t>
            </w:r>
            <w:r w:rsidR="00BE1AA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所稱新證據，已於板橋地檢署及</w:t>
            </w:r>
            <w:proofErr w:type="gramStart"/>
            <w:r w:rsidR="00BE1AAC"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="00BE1AAC" w:rsidRPr="009834D6">
              <w:rPr>
                <w:rFonts w:hint="eastAsia"/>
                <w:sz w:val="28"/>
                <w:szCs w:val="28"/>
              </w:rPr>
              <w:t>北地檢署</w:t>
            </w:r>
            <w:r w:rsidR="00BE1AA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前案提出。</w:t>
            </w:r>
          </w:p>
        </w:tc>
        <w:tc>
          <w:tcPr>
            <w:tcW w:w="3118" w:type="dxa"/>
          </w:tcPr>
          <w:p w:rsidR="00775525" w:rsidRPr="009834D6" w:rsidRDefault="00775525" w:rsidP="00775525">
            <w:pPr>
              <w:widowControl/>
              <w:adjustRightInd w:val="0"/>
              <w:snapToGrid w:val="0"/>
              <w:spacing w:line="400" w:lineRule="exact"/>
              <w:ind w:left="300" w:hangingChars="100" w:hanging="300"/>
              <w:rPr>
                <w:rFonts w:hAnsi="標楷體"/>
                <w:sz w:val="28"/>
                <w:szCs w:val="28"/>
              </w:rPr>
            </w:pP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1.</w:t>
            </w:r>
            <w:proofErr w:type="gramStart"/>
            <w:r w:rsidR="006255D5" w:rsidRPr="009834D6">
              <w:rPr>
                <w:rFonts w:hAnsi="標楷體" w:cs="新細明體"/>
                <w:kern w:val="0"/>
                <w:sz w:val="28"/>
                <w:szCs w:val="28"/>
              </w:rPr>
              <w:t>告證</w:t>
            </w:r>
            <w:proofErr w:type="gramEnd"/>
            <w:r w:rsidR="006255D5" w:rsidRPr="009834D6">
              <w:rPr>
                <w:rFonts w:hAnsi="標楷體" w:cs="新細明體"/>
                <w:kern w:val="0"/>
                <w:sz w:val="28"/>
                <w:szCs w:val="28"/>
              </w:rPr>
              <w:t>2</w:t>
            </w:r>
            <w:r w:rsidR="006255D5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0</w:t>
            </w:r>
            <w:r w:rsidR="00BE1AA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有2份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切結書</w:t>
            </w:r>
            <w:r w:rsidR="006255D5" w:rsidRPr="009834D6">
              <w:rPr>
                <w:rFonts w:hAnsi="標楷體" w:hint="eastAsia"/>
                <w:sz w:val="28"/>
                <w:szCs w:val="28"/>
              </w:rPr>
              <w:t>，</w:t>
            </w:r>
            <w:r w:rsidR="00BE1AAC" w:rsidRPr="009834D6">
              <w:rPr>
                <w:rFonts w:hAnsi="標楷體" w:hint="eastAsia"/>
                <w:sz w:val="28"/>
                <w:szCs w:val="28"/>
              </w:rPr>
              <w:t>第1份切結書</w:t>
            </w:r>
            <w:proofErr w:type="gramStart"/>
            <w:r w:rsidR="00910A1D" w:rsidRPr="009834D6">
              <w:rPr>
                <w:rFonts w:hAnsi="標楷體" w:hint="eastAsia"/>
                <w:sz w:val="28"/>
                <w:szCs w:val="28"/>
              </w:rPr>
              <w:t>立書人為</w:t>
            </w:r>
            <w:r w:rsidR="00436A3C">
              <w:rPr>
                <w:rFonts w:hAnsi="標楷體" w:hint="eastAsia"/>
                <w:sz w:val="28"/>
                <w:szCs w:val="28"/>
              </w:rPr>
              <w:t>廖</w:t>
            </w:r>
            <w:proofErr w:type="gramEnd"/>
            <w:r w:rsidR="00436A3C">
              <w:rPr>
                <w:rFonts w:hAnsi="標楷體" w:hint="eastAsia"/>
                <w:sz w:val="28"/>
                <w:szCs w:val="28"/>
              </w:rPr>
              <w:t>○○</w:t>
            </w:r>
            <w:r w:rsidR="00910A1D" w:rsidRPr="009834D6">
              <w:rPr>
                <w:rFonts w:hAnsi="標楷體" w:hint="eastAsia"/>
                <w:sz w:val="28"/>
                <w:szCs w:val="28"/>
              </w:rPr>
              <w:t>，</w:t>
            </w:r>
            <w:r w:rsidR="006255D5" w:rsidRPr="009834D6">
              <w:rPr>
                <w:rFonts w:hAnsi="標楷體" w:hint="eastAsia"/>
                <w:sz w:val="28"/>
                <w:szCs w:val="28"/>
              </w:rPr>
              <w:t>日期為98年11月5日，內容敘及</w:t>
            </w:r>
            <w:proofErr w:type="gramStart"/>
            <w:r w:rsidR="00436A3C">
              <w:rPr>
                <w:rFonts w:hAnsi="標楷體" w:hint="eastAsia"/>
                <w:sz w:val="28"/>
                <w:szCs w:val="28"/>
              </w:rPr>
              <w:t>廖</w:t>
            </w:r>
            <w:proofErr w:type="gramEnd"/>
            <w:r w:rsidR="00436A3C">
              <w:rPr>
                <w:rFonts w:hAnsi="標楷體" w:hint="eastAsia"/>
                <w:sz w:val="28"/>
                <w:szCs w:val="28"/>
              </w:rPr>
              <w:t>○○</w:t>
            </w:r>
            <w:proofErr w:type="gramStart"/>
            <w:r w:rsidR="00641614" w:rsidRPr="009834D6">
              <w:rPr>
                <w:rFonts w:hAnsi="標楷體" w:hint="eastAsia"/>
                <w:sz w:val="28"/>
                <w:szCs w:val="28"/>
              </w:rPr>
              <w:t>承諾與</w:t>
            </w:r>
            <w:r w:rsidR="00B712D4">
              <w:rPr>
                <w:rFonts w:hAnsi="標楷體" w:hint="eastAsia"/>
                <w:sz w:val="28"/>
                <w:szCs w:val="28"/>
              </w:rPr>
              <w:t>響</w:t>
            </w:r>
            <w:proofErr w:type="gramEnd"/>
            <w:r w:rsidR="00B712D4">
              <w:rPr>
                <w:rFonts w:hAnsi="標楷體" w:hint="eastAsia"/>
                <w:sz w:val="28"/>
                <w:szCs w:val="28"/>
              </w:rPr>
              <w:t>○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間之任何糾紛，由</w:t>
            </w:r>
            <w:proofErr w:type="gramStart"/>
            <w:r w:rsidR="00436A3C">
              <w:rPr>
                <w:rFonts w:hAnsi="標楷體" w:hint="eastAsia"/>
                <w:sz w:val="28"/>
                <w:szCs w:val="28"/>
              </w:rPr>
              <w:t>廖○○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與</w:t>
            </w:r>
            <w:r w:rsidR="00B712D4">
              <w:rPr>
                <w:rFonts w:hAnsi="標楷體" w:hint="eastAsia"/>
                <w:sz w:val="28"/>
                <w:szCs w:val="28"/>
              </w:rPr>
              <w:t>響</w:t>
            </w:r>
            <w:proofErr w:type="gramEnd"/>
            <w:r w:rsidR="00B712D4">
              <w:rPr>
                <w:rFonts w:hAnsi="標楷體" w:hint="eastAsia"/>
                <w:sz w:val="28"/>
                <w:szCs w:val="28"/>
              </w:rPr>
              <w:t>○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公司自行解決，與</w:t>
            </w:r>
            <w:proofErr w:type="gramStart"/>
            <w:r w:rsidR="00ED2157">
              <w:rPr>
                <w:rFonts w:hAnsi="標楷體" w:hint="eastAsia"/>
                <w:sz w:val="28"/>
                <w:szCs w:val="28"/>
              </w:rPr>
              <w:t>薛</w:t>
            </w:r>
            <w:proofErr w:type="gramEnd"/>
            <w:r w:rsidR="00ED2157">
              <w:rPr>
                <w:rFonts w:hAnsi="標楷體" w:hint="eastAsia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DA4ACF">
              <w:rPr>
                <w:rFonts w:hAnsi="標楷體" w:hint="eastAsia"/>
                <w:sz w:val="28"/>
                <w:szCs w:val="28"/>
              </w:rPr>
              <w:t>、黃○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DA4ACF">
              <w:rPr>
                <w:rFonts w:hAnsi="標楷體" w:hint="eastAsia"/>
                <w:sz w:val="28"/>
                <w:szCs w:val="28"/>
              </w:rPr>
              <w:t>及東○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公司無涉，且日後不得向</w:t>
            </w:r>
            <w:proofErr w:type="gramStart"/>
            <w:r w:rsidR="00ED2157">
              <w:rPr>
                <w:rFonts w:hAnsi="標楷體" w:hint="eastAsia"/>
                <w:sz w:val="28"/>
                <w:szCs w:val="28"/>
              </w:rPr>
              <w:t>薛</w:t>
            </w:r>
            <w:proofErr w:type="gramEnd"/>
            <w:r w:rsidR="00ED2157">
              <w:rPr>
                <w:rFonts w:hAnsi="標楷體" w:hint="eastAsia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DA4ACF">
              <w:rPr>
                <w:rFonts w:hAnsi="標楷體" w:hint="eastAsia"/>
                <w:sz w:val="28"/>
                <w:szCs w:val="28"/>
              </w:rPr>
              <w:t>、黃○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DA4ACF">
              <w:rPr>
                <w:rFonts w:hAnsi="標楷體" w:hint="eastAsia"/>
                <w:sz w:val="28"/>
                <w:szCs w:val="28"/>
              </w:rPr>
              <w:t>及東○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公司主張權利或提出訴訟、假扣押、假處分及強制執行。</w:t>
            </w:r>
          </w:p>
          <w:p w:rsidR="00641614" w:rsidRPr="009834D6" w:rsidRDefault="00775525" w:rsidP="00436A3C">
            <w:pPr>
              <w:widowControl/>
              <w:adjustRightInd w:val="0"/>
              <w:snapToGrid w:val="0"/>
              <w:spacing w:line="400" w:lineRule="exact"/>
              <w:ind w:left="300" w:hangingChars="100" w:hanging="300"/>
              <w:rPr>
                <w:rFonts w:hAnsi="標楷體"/>
                <w:sz w:val="28"/>
                <w:szCs w:val="28"/>
              </w:rPr>
            </w:pPr>
            <w:r w:rsidRPr="009834D6">
              <w:rPr>
                <w:rFonts w:hAnsi="標楷體" w:hint="eastAsia"/>
                <w:sz w:val="28"/>
                <w:szCs w:val="28"/>
              </w:rPr>
              <w:t>2.</w:t>
            </w:r>
            <w:r w:rsidR="00BE1AAC" w:rsidRPr="009834D6">
              <w:rPr>
                <w:rFonts w:hAnsi="標楷體" w:hint="eastAsia"/>
                <w:sz w:val="28"/>
                <w:szCs w:val="28"/>
              </w:rPr>
              <w:t>第2份切結書</w:t>
            </w:r>
            <w:r w:rsidR="00BE1AAC" w:rsidRPr="009834D6">
              <w:rPr>
                <w:rFonts w:hAnsi="標楷體"/>
                <w:sz w:val="28"/>
                <w:szCs w:val="28"/>
              </w:rPr>
              <w:t>為</w:t>
            </w:r>
            <w:proofErr w:type="gramStart"/>
            <w:r w:rsidR="00ED2157">
              <w:rPr>
                <w:rFonts w:hAnsi="標楷體"/>
                <w:sz w:val="28"/>
                <w:szCs w:val="28"/>
              </w:rPr>
              <w:t>薛</w:t>
            </w:r>
            <w:proofErr w:type="gramEnd"/>
            <w:r w:rsidR="00ED2157">
              <w:rPr>
                <w:rFonts w:hAnsi="標楷體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BE1AAC" w:rsidRPr="009834D6">
              <w:rPr>
                <w:rFonts w:hAnsi="標楷體"/>
                <w:sz w:val="28"/>
                <w:szCs w:val="28"/>
              </w:rPr>
              <w:t>所撰，</w:t>
            </w:r>
            <w:r w:rsidR="00437D27" w:rsidRPr="009834D6">
              <w:rPr>
                <w:rFonts w:hAnsi="標楷體"/>
                <w:sz w:val="28"/>
                <w:szCs w:val="28"/>
              </w:rPr>
              <w:t>內容</w:t>
            </w:r>
            <w:proofErr w:type="gramStart"/>
            <w:r w:rsidR="00DA4ACF">
              <w:rPr>
                <w:rFonts w:hAnsi="標楷體" w:hint="eastAsia"/>
                <w:sz w:val="28"/>
                <w:szCs w:val="28"/>
              </w:rPr>
              <w:t>敘及珍</w:t>
            </w:r>
            <w:proofErr w:type="gramEnd"/>
            <w:r w:rsidR="00DA4ACF">
              <w:rPr>
                <w:rFonts w:hAnsi="標楷體" w:hint="eastAsia"/>
                <w:sz w:val="28"/>
                <w:szCs w:val="28"/>
              </w:rPr>
              <w:t>○</w:t>
            </w:r>
            <w:proofErr w:type="gramStart"/>
            <w:r w:rsidR="00437D27" w:rsidRPr="009834D6">
              <w:rPr>
                <w:rFonts w:hAnsi="標楷體" w:hint="eastAsia"/>
                <w:sz w:val="28"/>
                <w:szCs w:val="28"/>
              </w:rPr>
              <w:t>公司與</w:t>
            </w:r>
            <w:r w:rsidR="00B712D4">
              <w:rPr>
                <w:rFonts w:hAnsi="標楷體" w:hint="eastAsia"/>
                <w:sz w:val="28"/>
                <w:szCs w:val="28"/>
              </w:rPr>
              <w:t>響</w:t>
            </w:r>
            <w:proofErr w:type="gramEnd"/>
            <w:r w:rsidR="00B712D4">
              <w:rPr>
                <w:rFonts w:hAnsi="標楷體" w:hint="eastAsia"/>
                <w:sz w:val="28"/>
                <w:szCs w:val="28"/>
              </w:rPr>
              <w:t>○</w:t>
            </w:r>
            <w:r w:rsidR="00437D27" w:rsidRPr="009834D6">
              <w:rPr>
                <w:rFonts w:hAnsi="標楷體" w:hint="eastAsia"/>
                <w:sz w:val="28"/>
                <w:szCs w:val="28"/>
              </w:rPr>
              <w:t>工程顧問之間糾紛，若涉及該建物訴訟、假扣押，願放棄先訴抗辯權。</w:t>
            </w:r>
          </w:p>
        </w:tc>
      </w:tr>
      <w:tr w:rsidR="009834D6" w:rsidRPr="009834D6" w:rsidTr="0009563F">
        <w:tc>
          <w:tcPr>
            <w:tcW w:w="1276" w:type="dxa"/>
          </w:tcPr>
          <w:p w:rsidR="00641614" w:rsidRPr="009834D6" w:rsidRDefault="00641614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</w:t>
            </w:r>
            <w:r w:rsidRPr="009834D6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41614" w:rsidRPr="009834D6" w:rsidRDefault="00BE1AAC" w:rsidP="00D640CC">
            <w:pPr>
              <w:widowControl/>
              <w:adjustRightInd w:val="0"/>
              <w:snapToGrid w:val="0"/>
              <w:spacing w:line="40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北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興安郵局第000994號存證信函</w:t>
            </w:r>
            <w:r w:rsidR="00E80768" w:rsidRPr="009834D6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</w:tcPr>
          <w:p w:rsidR="00641614" w:rsidRPr="009834D6" w:rsidRDefault="00D9600F" w:rsidP="00D640CC">
            <w:pPr>
              <w:widowControl/>
              <w:spacing w:line="400" w:lineRule="exact"/>
              <w:rPr>
                <w:rFonts w:hAnsi="標楷體"/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proofErr w:type="gramStart"/>
            <w:r w:rsidRPr="009834D6">
              <w:rPr>
                <w:rFonts w:hint="eastAsia"/>
                <w:sz w:val="28"/>
                <w:szCs w:val="28"/>
              </w:rPr>
              <w:t>105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年度他字第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9752號卷宗第94頁</w:t>
            </w:r>
            <w:r w:rsidR="00F53D4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：</w:t>
            </w:r>
            <w:r w:rsidR="00641614" w:rsidRPr="009834D6">
              <w:rPr>
                <w:rFonts w:hAnsi="標楷體"/>
                <w:sz w:val="28"/>
                <w:szCs w:val="28"/>
              </w:rPr>
              <w:t>為告訴人陳述，內容與指訴情節相同，非新事實新證據。</w:t>
            </w:r>
          </w:p>
          <w:p w:rsidR="00817A9A" w:rsidRPr="009834D6" w:rsidRDefault="00D9600F" w:rsidP="00D640CC">
            <w:pPr>
              <w:widowControl/>
              <w:spacing w:line="400" w:lineRule="exact"/>
              <w:rPr>
                <w:rFonts w:hAnsi="標楷體"/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lastRenderedPageBreak/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proofErr w:type="gramStart"/>
            <w:r w:rsidR="00D54FDD" w:rsidRPr="009834D6">
              <w:rPr>
                <w:rFonts w:hint="eastAsia"/>
                <w:sz w:val="28"/>
                <w:szCs w:val="28"/>
              </w:rPr>
              <w:t>106</w:t>
            </w:r>
            <w:proofErr w:type="gramEnd"/>
            <w:r w:rsidR="00D54FDD" w:rsidRPr="009834D6">
              <w:rPr>
                <w:rFonts w:hint="eastAsia"/>
                <w:sz w:val="28"/>
                <w:szCs w:val="28"/>
              </w:rPr>
              <w:t>年度他字第5691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號</w:t>
            </w:r>
            <w:r w:rsidR="00817A9A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卷宗第</w:t>
            </w:r>
            <w:r w:rsidR="0087588B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120-</w:t>
            </w:r>
            <w:r w:rsidR="009679D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122</w:t>
            </w:r>
            <w:r w:rsidR="00817A9A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頁</w:t>
            </w:r>
            <w:r w:rsidR="00F53D4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：</w:t>
            </w:r>
            <w:r w:rsidR="009679D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所稱新證據，已於板橋地檢署及</w:t>
            </w:r>
            <w:proofErr w:type="gramStart"/>
            <w:r w:rsidR="009679DC"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="009679DC" w:rsidRPr="009834D6">
              <w:rPr>
                <w:rFonts w:hint="eastAsia"/>
                <w:sz w:val="28"/>
                <w:szCs w:val="28"/>
              </w:rPr>
              <w:t>北地檢署</w:t>
            </w:r>
            <w:r w:rsidR="009679D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前案提出。</w:t>
            </w:r>
          </w:p>
        </w:tc>
        <w:tc>
          <w:tcPr>
            <w:tcW w:w="3118" w:type="dxa"/>
          </w:tcPr>
          <w:p w:rsidR="00641614" w:rsidRPr="009834D6" w:rsidRDefault="00B16AC6" w:rsidP="00436A3C">
            <w:pPr>
              <w:widowControl/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lastRenderedPageBreak/>
              <w:t>黃○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9679DC" w:rsidRPr="009834D6">
              <w:rPr>
                <w:rFonts w:hAnsi="標楷體" w:hint="eastAsia"/>
                <w:sz w:val="28"/>
                <w:szCs w:val="28"/>
              </w:rPr>
              <w:t>寫給</w:t>
            </w:r>
            <w:proofErr w:type="gramStart"/>
            <w:r w:rsidR="00436A3C">
              <w:rPr>
                <w:rFonts w:hAnsi="標楷體" w:hint="eastAsia"/>
                <w:sz w:val="28"/>
                <w:szCs w:val="28"/>
              </w:rPr>
              <w:t>廖</w:t>
            </w:r>
            <w:proofErr w:type="gramEnd"/>
            <w:r w:rsidR="00436A3C">
              <w:rPr>
                <w:rFonts w:hAnsi="標楷體" w:hint="eastAsia"/>
                <w:sz w:val="28"/>
                <w:szCs w:val="28"/>
              </w:rPr>
              <w:t>○○</w:t>
            </w:r>
            <w:r w:rsidR="009679DC" w:rsidRPr="009834D6">
              <w:rPr>
                <w:rFonts w:hAnsi="標楷體" w:hint="eastAsia"/>
                <w:sz w:val="28"/>
                <w:szCs w:val="28"/>
              </w:rPr>
              <w:t>之</w:t>
            </w:r>
            <w:r w:rsidR="009679DC" w:rsidRPr="009834D6">
              <w:rPr>
                <w:rFonts w:hAnsi="標楷體" w:cs="新細明體"/>
                <w:kern w:val="0"/>
                <w:sz w:val="28"/>
                <w:szCs w:val="28"/>
              </w:rPr>
              <w:t>存證信函</w:t>
            </w:r>
            <w:r w:rsidR="009679DC" w:rsidRPr="009834D6">
              <w:rPr>
                <w:rFonts w:hAnsi="標楷體" w:hint="eastAsia"/>
                <w:sz w:val="28"/>
                <w:szCs w:val="28"/>
              </w:rPr>
              <w:t>，</w:t>
            </w:r>
            <w:r w:rsidR="00A67EF8">
              <w:rPr>
                <w:rFonts w:hAnsi="標楷體" w:hint="eastAsia"/>
                <w:sz w:val="28"/>
                <w:szCs w:val="28"/>
              </w:rPr>
              <w:t>內容係黃○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之澄清說明</w:t>
            </w:r>
            <w:r w:rsidR="00F53D44" w:rsidRPr="009834D6">
              <w:rPr>
                <w:rFonts w:hAnsi="標楷體" w:hint="eastAsia"/>
                <w:sz w:val="28"/>
                <w:szCs w:val="28"/>
              </w:rPr>
              <w:t>：</w:t>
            </w:r>
            <w:r w:rsidR="00A67EF8">
              <w:rPr>
                <w:rFonts w:hAnsi="標楷體" w:hint="eastAsia"/>
                <w:sz w:val="28"/>
                <w:szCs w:val="28"/>
              </w:rPr>
              <w:t>黃○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1E12DC" w:rsidRPr="009834D6">
              <w:rPr>
                <w:rFonts w:hAnsi="標楷體" w:hint="eastAsia"/>
                <w:sz w:val="28"/>
                <w:szCs w:val="28"/>
              </w:rPr>
              <w:t>於98年11月間與</w:t>
            </w:r>
            <w:proofErr w:type="gramStart"/>
            <w:r w:rsidR="00A67EF8">
              <w:rPr>
                <w:rFonts w:hAnsi="標楷體" w:hint="eastAsia"/>
                <w:sz w:val="28"/>
                <w:szCs w:val="28"/>
              </w:rPr>
              <w:t>薛</w:t>
            </w:r>
            <w:proofErr w:type="gramEnd"/>
            <w:r w:rsidR="00A67EF8">
              <w:rPr>
                <w:rFonts w:hAnsi="標楷體" w:hint="eastAsia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1E12DC" w:rsidRPr="009834D6">
              <w:rPr>
                <w:rFonts w:hAnsi="標楷體" w:hint="eastAsia"/>
                <w:sz w:val="28"/>
                <w:szCs w:val="28"/>
              </w:rPr>
              <w:t>簽訂建物所有權買賣協議書，</w:t>
            </w:r>
            <w:proofErr w:type="gramStart"/>
            <w:r w:rsidR="00436A3C">
              <w:rPr>
                <w:rFonts w:hAnsi="標楷體" w:hint="eastAsia"/>
                <w:sz w:val="28"/>
                <w:szCs w:val="28"/>
              </w:rPr>
              <w:t>廖</w:t>
            </w:r>
            <w:proofErr w:type="gramEnd"/>
            <w:r w:rsidR="00436A3C">
              <w:rPr>
                <w:rFonts w:hAnsi="標楷體" w:hint="eastAsia"/>
                <w:sz w:val="28"/>
                <w:szCs w:val="28"/>
              </w:rPr>
              <w:t>○○</w:t>
            </w:r>
            <w:r w:rsidR="001E12DC" w:rsidRPr="009834D6">
              <w:rPr>
                <w:rFonts w:hAnsi="標楷體" w:hint="eastAsia"/>
                <w:sz w:val="28"/>
                <w:szCs w:val="28"/>
              </w:rPr>
              <w:t>簽署</w:t>
            </w:r>
            <w:r w:rsidR="001E12DC" w:rsidRPr="009834D6">
              <w:rPr>
                <w:rFonts w:hAnsi="標楷體" w:hint="eastAsia"/>
                <w:sz w:val="28"/>
                <w:szCs w:val="28"/>
              </w:rPr>
              <w:lastRenderedPageBreak/>
              <w:t>之切結書係</w:t>
            </w:r>
            <w:proofErr w:type="gramStart"/>
            <w:r w:rsidR="00ED2157">
              <w:rPr>
                <w:rFonts w:hAnsi="標楷體" w:hint="eastAsia"/>
                <w:sz w:val="28"/>
                <w:szCs w:val="28"/>
              </w:rPr>
              <w:t>薛</w:t>
            </w:r>
            <w:proofErr w:type="gramEnd"/>
            <w:r w:rsidR="00ED2157">
              <w:rPr>
                <w:rFonts w:hAnsi="標楷體" w:hint="eastAsia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1E12DC" w:rsidRPr="009834D6">
              <w:rPr>
                <w:rFonts w:hAnsi="標楷體" w:hint="eastAsia"/>
                <w:sz w:val="28"/>
                <w:szCs w:val="28"/>
              </w:rPr>
              <w:t>等人所交付</w:t>
            </w:r>
            <w:r w:rsidR="00A67EF8">
              <w:rPr>
                <w:rFonts w:hAnsi="標楷體" w:hint="eastAsia"/>
                <w:sz w:val="28"/>
                <w:szCs w:val="28"/>
              </w:rPr>
              <w:t>，黃○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無逼迫</w:t>
            </w:r>
            <w:proofErr w:type="gramStart"/>
            <w:r w:rsidR="00436A3C">
              <w:rPr>
                <w:rFonts w:hAnsi="標楷體" w:hint="eastAsia"/>
                <w:sz w:val="28"/>
                <w:szCs w:val="28"/>
              </w:rPr>
              <w:t>廖</w:t>
            </w:r>
            <w:proofErr w:type="gramEnd"/>
            <w:r w:rsidR="00436A3C">
              <w:rPr>
                <w:rFonts w:hAnsi="標楷體" w:hint="eastAsia"/>
                <w:sz w:val="28"/>
                <w:szCs w:val="28"/>
              </w:rPr>
              <w:t>○○</w:t>
            </w:r>
            <w:r w:rsidR="001E12DC" w:rsidRPr="009834D6">
              <w:rPr>
                <w:rFonts w:hAnsi="標楷體" w:hint="eastAsia"/>
                <w:sz w:val="28"/>
                <w:szCs w:val="28"/>
              </w:rPr>
              <w:t>簽署有關文件之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情事。</w:t>
            </w:r>
          </w:p>
        </w:tc>
      </w:tr>
      <w:tr w:rsidR="009834D6" w:rsidRPr="009834D6" w:rsidTr="0009563F">
        <w:tc>
          <w:tcPr>
            <w:tcW w:w="1276" w:type="dxa"/>
          </w:tcPr>
          <w:p w:rsidR="00641614" w:rsidRPr="009834D6" w:rsidRDefault="00641614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lastRenderedPageBreak/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</w:t>
            </w:r>
            <w:r w:rsidRPr="009834D6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1614" w:rsidRPr="009834D6" w:rsidRDefault="00E80768" w:rsidP="00E80768">
            <w:pPr>
              <w:widowControl/>
              <w:adjustRightInd w:val="0"/>
              <w:snapToGrid w:val="0"/>
              <w:spacing w:line="400" w:lineRule="exact"/>
              <w:ind w:left="300" w:hangingChars="100" w:hanging="300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1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三重正義郵局第24142 號</w:t>
            </w:r>
            <w:r w:rsidR="00AF5CE2" w:rsidRPr="009834D6">
              <w:rPr>
                <w:rFonts w:hAnsi="標楷體" w:cs="新細明體"/>
                <w:kern w:val="0"/>
                <w:sz w:val="28"/>
                <w:szCs w:val="28"/>
              </w:rPr>
              <w:t>存證信函</w:t>
            </w:r>
            <w:r w:rsidRPr="009834D6">
              <w:rPr>
                <w:rFonts w:hAnsi="標楷體" w:hint="eastAsia"/>
                <w:sz w:val="28"/>
                <w:szCs w:val="28"/>
              </w:rPr>
              <w:t>。</w:t>
            </w:r>
          </w:p>
          <w:p w:rsidR="00641614" w:rsidRPr="009834D6" w:rsidRDefault="00E80768" w:rsidP="00E80768">
            <w:pPr>
              <w:widowControl/>
              <w:adjustRightInd w:val="0"/>
              <w:snapToGrid w:val="0"/>
              <w:spacing w:line="400" w:lineRule="exact"/>
              <w:ind w:left="300" w:hangingChars="100" w:hanging="300"/>
              <w:rPr>
                <w:rFonts w:hAnsi="標楷體" w:cs="新細明體"/>
                <w:kern w:val="0"/>
                <w:sz w:val="28"/>
                <w:szCs w:val="28"/>
              </w:rPr>
            </w:pPr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2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.</w:t>
            </w:r>
            <w:proofErr w:type="gramStart"/>
            <w:r w:rsidR="00BE1AAC" w:rsidRPr="009834D6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="00BE1AAC" w:rsidRPr="009834D6">
              <w:rPr>
                <w:rFonts w:hAnsi="標楷體" w:cs="新細明體"/>
                <w:kern w:val="0"/>
                <w:sz w:val="28"/>
                <w:szCs w:val="28"/>
              </w:rPr>
              <w:t>北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北門郵局第002773號存證信函</w:t>
            </w:r>
            <w:r w:rsidRPr="009834D6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</w:tcPr>
          <w:p w:rsidR="00641614" w:rsidRPr="009834D6" w:rsidRDefault="00D9600F" w:rsidP="001625DB">
            <w:pPr>
              <w:widowControl/>
              <w:spacing w:line="400" w:lineRule="exact"/>
              <w:rPr>
                <w:rFonts w:hAnsi="標楷體"/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proofErr w:type="gramStart"/>
            <w:r w:rsidRPr="009834D6">
              <w:rPr>
                <w:rFonts w:hint="eastAsia"/>
                <w:sz w:val="28"/>
                <w:szCs w:val="28"/>
              </w:rPr>
              <w:t>105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年度他字第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9752號卷宗第94頁</w:t>
            </w:r>
            <w:r w:rsidR="00F53D4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：</w:t>
            </w:r>
            <w:r w:rsidR="00E80768" w:rsidRPr="009834D6">
              <w:rPr>
                <w:rFonts w:hAnsi="標楷體"/>
                <w:sz w:val="28"/>
                <w:szCs w:val="28"/>
              </w:rPr>
              <w:t>1</w:t>
            </w:r>
            <w:r w:rsidR="00E80768" w:rsidRPr="009834D6">
              <w:rPr>
                <w:rFonts w:hAnsi="標楷體" w:hint="eastAsia"/>
                <w:sz w:val="28"/>
                <w:szCs w:val="28"/>
              </w:rPr>
              <w:t>.</w:t>
            </w:r>
            <w:r w:rsidR="00641614" w:rsidRPr="009834D6">
              <w:rPr>
                <w:rFonts w:hAnsi="標楷體"/>
                <w:sz w:val="28"/>
                <w:szCs w:val="28"/>
              </w:rPr>
              <w:t>為</w:t>
            </w:r>
            <w:proofErr w:type="gramStart"/>
            <w:r w:rsidR="00ED2157">
              <w:rPr>
                <w:rFonts w:hAnsi="標楷體"/>
                <w:sz w:val="28"/>
                <w:szCs w:val="28"/>
              </w:rPr>
              <w:t>薛</w:t>
            </w:r>
            <w:proofErr w:type="gramEnd"/>
            <w:r w:rsidR="00ED2157">
              <w:rPr>
                <w:rFonts w:hAnsi="標楷體"/>
                <w:sz w:val="28"/>
                <w:szCs w:val="28"/>
              </w:rPr>
              <w:t>○</w:t>
            </w:r>
            <w:r w:rsidR="00436A3C" w:rsidRPr="00ED2157">
              <w:rPr>
                <w:rFonts w:hint="eastAsia"/>
                <w:sz w:val="28"/>
              </w:rPr>
              <w:t>○</w:t>
            </w:r>
            <w:r w:rsidR="00641614" w:rsidRPr="009834D6">
              <w:rPr>
                <w:rFonts w:hAnsi="標楷體"/>
                <w:sz w:val="28"/>
                <w:szCs w:val="28"/>
              </w:rPr>
              <w:t>所撰，惟內容與其先前證述相同，非新事實新證據。</w:t>
            </w:r>
            <w:r w:rsidR="00E80768" w:rsidRPr="009834D6">
              <w:rPr>
                <w:rFonts w:hAnsi="標楷體"/>
                <w:sz w:val="28"/>
                <w:szCs w:val="28"/>
              </w:rPr>
              <w:t>2</w:t>
            </w:r>
            <w:r w:rsidR="00E80768" w:rsidRPr="009834D6">
              <w:rPr>
                <w:rFonts w:hAnsi="標楷體" w:hint="eastAsia"/>
                <w:sz w:val="28"/>
                <w:szCs w:val="28"/>
              </w:rPr>
              <w:t>.</w:t>
            </w:r>
            <w:r w:rsidR="00641614" w:rsidRPr="009834D6">
              <w:rPr>
                <w:rFonts w:hAnsi="標楷體"/>
                <w:sz w:val="28"/>
                <w:szCs w:val="28"/>
              </w:rPr>
              <w:t>為告訴人所撰，惟內容</w:t>
            </w:r>
            <w:proofErr w:type="gramStart"/>
            <w:r w:rsidR="00641614" w:rsidRPr="009834D6">
              <w:rPr>
                <w:rFonts w:hAnsi="標楷體"/>
                <w:sz w:val="28"/>
                <w:szCs w:val="28"/>
              </w:rPr>
              <w:t>僅敘明尚</w:t>
            </w:r>
            <w:proofErr w:type="gramEnd"/>
            <w:r w:rsidR="00641614" w:rsidRPr="009834D6">
              <w:rPr>
                <w:rFonts w:hAnsi="標楷體"/>
                <w:sz w:val="28"/>
                <w:szCs w:val="28"/>
              </w:rPr>
              <w:t>有訴訟糾紛等情，非新事實新證據。</w:t>
            </w:r>
          </w:p>
          <w:p w:rsidR="00D9600F" w:rsidRPr="009834D6" w:rsidRDefault="00D9600F" w:rsidP="00D640CC">
            <w:pPr>
              <w:widowControl/>
              <w:spacing w:line="400" w:lineRule="exact"/>
              <w:rPr>
                <w:rFonts w:hAnsi="標楷體"/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proofErr w:type="gramStart"/>
            <w:r w:rsidR="00D54FDD" w:rsidRPr="009834D6">
              <w:rPr>
                <w:rFonts w:hint="eastAsia"/>
                <w:sz w:val="28"/>
                <w:szCs w:val="28"/>
              </w:rPr>
              <w:t>106</w:t>
            </w:r>
            <w:proofErr w:type="gramEnd"/>
            <w:r w:rsidR="00D54FDD" w:rsidRPr="009834D6">
              <w:rPr>
                <w:rFonts w:hint="eastAsia"/>
                <w:sz w:val="28"/>
                <w:szCs w:val="28"/>
              </w:rPr>
              <w:t>年度他字第5691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號</w:t>
            </w:r>
            <w:r w:rsidR="00D8517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卷宗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第</w:t>
            </w:r>
            <w:r w:rsidR="0087588B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120-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122頁</w:t>
            </w:r>
            <w:r w:rsidR="00F53D4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：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所稱新證據，已於板橋地檢署及</w:t>
            </w: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前案提出。</w:t>
            </w:r>
          </w:p>
        </w:tc>
        <w:tc>
          <w:tcPr>
            <w:tcW w:w="3118" w:type="dxa"/>
          </w:tcPr>
          <w:p w:rsidR="00641614" w:rsidRPr="009834D6" w:rsidRDefault="00047820" w:rsidP="00047820">
            <w:pPr>
              <w:widowControl/>
              <w:adjustRightInd w:val="0"/>
              <w:snapToGrid w:val="0"/>
              <w:spacing w:line="400" w:lineRule="exact"/>
              <w:ind w:left="300" w:hangingChars="100" w:hanging="300"/>
              <w:rPr>
                <w:rFonts w:hAnsi="標楷體"/>
                <w:sz w:val="28"/>
                <w:szCs w:val="28"/>
              </w:rPr>
            </w:pP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1.</w:t>
            </w:r>
            <w:r w:rsidR="00AF5CE2" w:rsidRPr="009834D6">
              <w:rPr>
                <w:rFonts w:hAnsi="標楷體" w:cs="新細明體"/>
                <w:kern w:val="0"/>
                <w:sz w:val="28"/>
                <w:szCs w:val="28"/>
              </w:rPr>
              <w:t>三重正義郵局第24142 號</w:t>
            </w:r>
            <w:r w:rsidR="00641614" w:rsidRPr="009834D6">
              <w:rPr>
                <w:rFonts w:hAnsi="標楷體"/>
                <w:sz w:val="28"/>
                <w:szCs w:val="28"/>
              </w:rPr>
              <w:t>存證信函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為</w:t>
            </w:r>
            <w:r w:rsidR="00B712D4">
              <w:rPr>
                <w:rFonts w:hAnsi="標楷體" w:hint="eastAsia"/>
                <w:sz w:val="28"/>
                <w:szCs w:val="28"/>
              </w:rPr>
              <w:t>北○</w:t>
            </w:r>
            <w:r w:rsidR="00AF5CE2" w:rsidRPr="009834D6">
              <w:rPr>
                <w:rFonts w:hAnsi="標楷體" w:hint="eastAsia"/>
                <w:sz w:val="28"/>
                <w:szCs w:val="28"/>
              </w:rPr>
              <w:t>公司(代表人</w:t>
            </w:r>
            <w:proofErr w:type="gramStart"/>
            <w:r w:rsidR="00436A3C">
              <w:rPr>
                <w:rFonts w:hAnsi="標楷體" w:hint="eastAsia"/>
                <w:sz w:val="28"/>
                <w:szCs w:val="28"/>
              </w:rPr>
              <w:t>廖</w:t>
            </w:r>
            <w:proofErr w:type="gramEnd"/>
            <w:r w:rsidR="00436A3C">
              <w:rPr>
                <w:rFonts w:hAnsi="標楷體" w:hint="eastAsia"/>
                <w:sz w:val="28"/>
                <w:szCs w:val="28"/>
              </w:rPr>
              <w:t>○○</w:t>
            </w:r>
            <w:r w:rsidR="00AF5CE2" w:rsidRPr="009834D6">
              <w:rPr>
                <w:rFonts w:hAnsi="標楷體" w:hint="eastAsia"/>
                <w:sz w:val="28"/>
                <w:szCs w:val="28"/>
              </w:rPr>
              <w:t>)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所撰，</w:t>
            </w:r>
            <w:r w:rsidR="00AF5CE2" w:rsidRPr="009834D6">
              <w:rPr>
                <w:rFonts w:hAnsi="標楷體" w:hint="eastAsia"/>
                <w:sz w:val="28"/>
                <w:szCs w:val="28"/>
              </w:rPr>
              <w:t>收件人為</w:t>
            </w:r>
            <w:r w:rsidR="00ED2157">
              <w:rPr>
                <w:rFonts w:hAnsi="標楷體" w:hint="eastAsia"/>
                <w:sz w:val="28"/>
                <w:szCs w:val="28"/>
              </w:rPr>
              <w:t>合○</w:t>
            </w:r>
            <w:r w:rsidR="00AF5CE2" w:rsidRPr="009834D6">
              <w:rPr>
                <w:rFonts w:hAnsi="標楷體" w:hint="eastAsia"/>
                <w:sz w:val="28"/>
                <w:szCs w:val="28"/>
              </w:rPr>
              <w:t>建設公司，</w:t>
            </w:r>
            <w:proofErr w:type="gramStart"/>
            <w:r w:rsidR="00641614" w:rsidRPr="009834D6">
              <w:rPr>
                <w:rFonts w:hAnsi="標楷體" w:hint="eastAsia"/>
                <w:sz w:val="28"/>
                <w:szCs w:val="28"/>
              </w:rPr>
              <w:t>內容係敘明</w:t>
            </w:r>
            <w:proofErr w:type="gramEnd"/>
            <w:r w:rsidR="00641614" w:rsidRPr="009834D6">
              <w:rPr>
                <w:rFonts w:hAnsi="標楷體" w:hint="eastAsia"/>
                <w:sz w:val="28"/>
                <w:szCs w:val="28"/>
              </w:rPr>
              <w:t>建物存有糾紛、訴訟等情。</w:t>
            </w:r>
          </w:p>
          <w:p w:rsidR="00641614" w:rsidRPr="009834D6" w:rsidRDefault="00047820" w:rsidP="00047820">
            <w:pPr>
              <w:widowControl/>
              <w:adjustRightInd w:val="0"/>
              <w:snapToGrid w:val="0"/>
              <w:spacing w:line="400" w:lineRule="exact"/>
              <w:ind w:left="300" w:hangingChars="100" w:hanging="300"/>
              <w:rPr>
                <w:rFonts w:hAnsi="標楷體"/>
                <w:sz w:val="28"/>
                <w:szCs w:val="28"/>
              </w:rPr>
            </w:pPr>
            <w:r w:rsidRPr="009834D6">
              <w:rPr>
                <w:rFonts w:hAnsi="標楷體" w:hint="eastAsia"/>
                <w:sz w:val="28"/>
                <w:szCs w:val="28"/>
              </w:rPr>
              <w:t>2.</w:t>
            </w:r>
            <w:proofErr w:type="gramStart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Ansi="標楷體" w:cs="新細明體"/>
                <w:kern w:val="0"/>
                <w:sz w:val="28"/>
                <w:szCs w:val="28"/>
              </w:rPr>
              <w:t>北北門郵局第002773號存證信函</w:t>
            </w:r>
            <w:r w:rsidR="001B003C" w:rsidRPr="009834D6">
              <w:rPr>
                <w:rFonts w:hAnsi="標楷體" w:hint="eastAsia"/>
                <w:sz w:val="28"/>
                <w:szCs w:val="28"/>
              </w:rPr>
              <w:t>為</w:t>
            </w:r>
            <w:r w:rsidR="00B712D4">
              <w:rPr>
                <w:rFonts w:hAnsi="標楷體" w:hint="eastAsia"/>
                <w:sz w:val="28"/>
                <w:szCs w:val="28"/>
              </w:rPr>
              <w:t>北○</w:t>
            </w:r>
            <w:r w:rsidR="001B003C" w:rsidRPr="009834D6">
              <w:rPr>
                <w:rFonts w:hAnsi="標楷體" w:hint="eastAsia"/>
                <w:sz w:val="28"/>
                <w:szCs w:val="28"/>
              </w:rPr>
              <w:t>公司(代表人</w:t>
            </w:r>
            <w:proofErr w:type="gramStart"/>
            <w:r w:rsidR="00436A3C">
              <w:rPr>
                <w:rFonts w:hAnsi="標楷體" w:hint="eastAsia"/>
                <w:sz w:val="28"/>
                <w:szCs w:val="28"/>
              </w:rPr>
              <w:t>廖</w:t>
            </w:r>
            <w:proofErr w:type="gramEnd"/>
            <w:r w:rsidR="00436A3C">
              <w:rPr>
                <w:rFonts w:hAnsi="標楷體" w:hint="eastAsia"/>
                <w:sz w:val="28"/>
                <w:szCs w:val="28"/>
              </w:rPr>
              <w:t>○○</w:t>
            </w:r>
            <w:r w:rsidR="001B003C" w:rsidRPr="009834D6">
              <w:rPr>
                <w:rFonts w:hAnsi="標楷體" w:hint="eastAsia"/>
                <w:sz w:val="28"/>
                <w:szCs w:val="28"/>
              </w:rPr>
              <w:t>)所撰，收件人為</w:t>
            </w:r>
            <w:r w:rsidR="00ED2157">
              <w:rPr>
                <w:rFonts w:hAnsi="標楷體" w:hint="eastAsia"/>
                <w:sz w:val="28"/>
                <w:szCs w:val="28"/>
              </w:rPr>
              <w:t>合○</w:t>
            </w:r>
            <w:r w:rsidR="001B003C" w:rsidRPr="009834D6">
              <w:rPr>
                <w:rFonts w:hAnsi="標楷體" w:hint="eastAsia"/>
                <w:sz w:val="28"/>
                <w:szCs w:val="28"/>
              </w:rPr>
              <w:t>建設公司，</w:t>
            </w:r>
            <w:proofErr w:type="gramStart"/>
            <w:r w:rsidR="001B003C" w:rsidRPr="009834D6">
              <w:rPr>
                <w:rFonts w:hAnsi="標楷體" w:hint="eastAsia"/>
                <w:sz w:val="28"/>
                <w:szCs w:val="28"/>
              </w:rPr>
              <w:t>內容係敘明</w:t>
            </w:r>
            <w:proofErr w:type="gramEnd"/>
            <w:r w:rsidR="001B003C" w:rsidRPr="009834D6">
              <w:rPr>
                <w:rFonts w:hAnsi="標楷體" w:hint="eastAsia"/>
                <w:sz w:val="28"/>
                <w:szCs w:val="28"/>
              </w:rPr>
              <w:t>建物</w:t>
            </w:r>
            <w:r w:rsidR="00066731" w:rsidRPr="009834D6">
              <w:rPr>
                <w:rFonts w:hAnsi="標楷體" w:hint="eastAsia"/>
                <w:sz w:val="28"/>
                <w:szCs w:val="28"/>
              </w:rPr>
              <w:t>買賣存有諸多法律問題、存有糾紛</w:t>
            </w:r>
            <w:r w:rsidR="001B003C" w:rsidRPr="009834D6">
              <w:rPr>
                <w:rFonts w:hAnsi="標楷體" w:hint="eastAsia"/>
                <w:sz w:val="28"/>
                <w:szCs w:val="28"/>
              </w:rPr>
              <w:t>等情。</w:t>
            </w:r>
          </w:p>
        </w:tc>
      </w:tr>
      <w:tr w:rsidR="009834D6" w:rsidRPr="009834D6" w:rsidTr="0009563F">
        <w:tc>
          <w:tcPr>
            <w:tcW w:w="1276" w:type="dxa"/>
          </w:tcPr>
          <w:p w:rsidR="00641614" w:rsidRPr="009834D6" w:rsidRDefault="00641614" w:rsidP="000E3211">
            <w:pPr>
              <w:widowControl/>
              <w:spacing w:line="540" w:lineRule="atLeas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告證</w:t>
            </w:r>
            <w:proofErr w:type="gramEnd"/>
            <w:r w:rsidRPr="009834D6">
              <w:rPr>
                <w:rFonts w:hAnsi="標楷體" w:cs="新細明體"/>
                <w:b/>
                <w:kern w:val="0"/>
                <w:sz w:val="28"/>
                <w:szCs w:val="28"/>
              </w:rPr>
              <w:t>2</w:t>
            </w:r>
            <w:r w:rsidRPr="009834D6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41614" w:rsidRPr="009834D6" w:rsidRDefault="00ED2157" w:rsidP="00D640CC">
            <w:pPr>
              <w:widowControl/>
              <w:adjustRightInd w:val="0"/>
              <w:snapToGrid w:val="0"/>
              <w:spacing w:line="40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r>
              <w:rPr>
                <w:rFonts w:hAnsi="標楷體" w:cs="新細明體"/>
                <w:kern w:val="0"/>
                <w:sz w:val="28"/>
                <w:szCs w:val="28"/>
              </w:rPr>
              <w:t>合○</w:t>
            </w:r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公司辦理都市更新計畫資料</w:t>
            </w:r>
            <w:r w:rsidR="00E80768" w:rsidRPr="009834D6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</w:tcPr>
          <w:p w:rsidR="00641614" w:rsidRPr="009834D6" w:rsidRDefault="00D9600F" w:rsidP="00D640CC">
            <w:pPr>
              <w:widowControl/>
              <w:adjustRightInd w:val="0"/>
              <w:snapToGrid w:val="0"/>
              <w:spacing w:line="40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proofErr w:type="gramStart"/>
            <w:r w:rsidRPr="009834D6">
              <w:rPr>
                <w:rFonts w:hint="eastAsia"/>
                <w:sz w:val="28"/>
                <w:szCs w:val="28"/>
              </w:rPr>
              <w:t>105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年度他字第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9752號卷宗第94頁</w:t>
            </w:r>
            <w:r w:rsidR="00F53D4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：</w:t>
            </w:r>
            <w:proofErr w:type="gramStart"/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難認具關聯</w:t>
            </w:r>
            <w:proofErr w:type="gramEnd"/>
            <w:r w:rsidR="00641614" w:rsidRPr="009834D6">
              <w:rPr>
                <w:rFonts w:hAnsi="標楷體" w:cs="新細明體"/>
                <w:kern w:val="0"/>
                <w:sz w:val="28"/>
                <w:szCs w:val="28"/>
              </w:rPr>
              <w:t>性，非新事實新證據。</w:t>
            </w:r>
          </w:p>
          <w:p w:rsidR="00D9600F" w:rsidRPr="009834D6" w:rsidRDefault="00D9600F" w:rsidP="00D640CC">
            <w:pPr>
              <w:widowControl/>
              <w:adjustRightInd w:val="0"/>
              <w:snapToGrid w:val="0"/>
              <w:spacing w:line="400" w:lineRule="exact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proofErr w:type="gramStart"/>
            <w:r w:rsidR="00D54FDD" w:rsidRPr="009834D6">
              <w:rPr>
                <w:rFonts w:hint="eastAsia"/>
                <w:sz w:val="28"/>
                <w:szCs w:val="28"/>
              </w:rPr>
              <w:t>106</w:t>
            </w:r>
            <w:proofErr w:type="gramEnd"/>
            <w:r w:rsidR="00D54FDD" w:rsidRPr="009834D6">
              <w:rPr>
                <w:rFonts w:hint="eastAsia"/>
                <w:sz w:val="28"/>
                <w:szCs w:val="28"/>
              </w:rPr>
              <w:t>年度他字第5691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號</w:t>
            </w:r>
            <w:r w:rsidR="00D8517C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卷宗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第</w:t>
            </w:r>
            <w:r w:rsidR="00286EB7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120-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122頁</w:t>
            </w:r>
            <w:r w:rsidR="00F53D44"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：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所稱新證據，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lastRenderedPageBreak/>
              <w:t>已於板橋地檢署及</w:t>
            </w:r>
            <w:proofErr w:type="gramStart"/>
            <w:r w:rsidRPr="009834D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9834D6">
              <w:rPr>
                <w:rFonts w:hint="eastAsia"/>
                <w:sz w:val="28"/>
                <w:szCs w:val="28"/>
              </w:rPr>
              <w:t>北地檢署</w:t>
            </w:r>
            <w:r w:rsidRPr="009834D6">
              <w:rPr>
                <w:rFonts w:hAnsi="標楷體" w:cs="新細明體" w:hint="eastAsia"/>
                <w:kern w:val="0"/>
                <w:sz w:val="28"/>
                <w:szCs w:val="28"/>
              </w:rPr>
              <w:t>前案提出。</w:t>
            </w:r>
          </w:p>
        </w:tc>
        <w:tc>
          <w:tcPr>
            <w:tcW w:w="3118" w:type="dxa"/>
          </w:tcPr>
          <w:p w:rsidR="00641614" w:rsidRPr="009834D6" w:rsidRDefault="00ED2157" w:rsidP="009911A2">
            <w:pPr>
              <w:widowControl/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/>
                <w:sz w:val="28"/>
                <w:szCs w:val="28"/>
              </w:rPr>
              <w:lastRenderedPageBreak/>
              <w:t>合○</w:t>
            </w:r>
            <w:r w:rsidR="00641614" w:rsidRPr="009834D6">
              <w:rPr>
                <w:rFonts w:hAnsi="標楷體"/>
                <w:sz w:val="28"/>
                <w:szCs w:val="28"/>
              </w:rPr>
              <w:t>公司辦理</w:t>
            </w:r>
            <w:r w:rsidR="00A13335" w:rsidRPr="009834D6">
              <w:rPr>
                <w:rFonts w:hAnsi="標楷體" w:hint="eastAsia"/>
                <w:sz w:val="28"/>
                <w:szCs w:val="28"/>
              </w:rPr>
              <w:t>都更資料</w:t>
            </w:r>
            <w:r w:rsidR="00066731" w:rsidRPr="009834D6">
              <w:rPr>
                <w:rFonts w:hAnsi="標楷體" w:hint="eastAsia"/>
                <w:sz w:val="28"/>
                <w:szCs w:val="28"/>
              </w:rPr>
              <w:t>，包括更新單元基本資料、地籍圖、現況圖等</w:t>
            </w:r>
            <w:r w:rsidR="00641614" w:rsidRPr="009834D6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</w:tbl>
    <w:p w:rsidR="003B756E" w:rsidRPr="009834D6" w:rsidRDefault="007D1507" w:rsidP="007D1507">
      <w:pPr>
        <w:pStyle w:val="af5"/>
      </w:pPr>
      <w:r w:rsidRPr="009834D6">
        <w:rPr>
          <w:rFonts w:hint="eastAsia"/>
        </w:rPr>
        <w:lastRenderedPageBreak/>
        <w:t>資料來源：【本報告整理】</w:t>
      </w:r>
    </w:p>
    <w:p w:rsidR="00FF1ABB" w:rsidRPr="009834D6" w:rsidRDefault="00FF1ABB" w:rsidP="00CC5179">
      <w:pPr>
        <w:pStyle w:val="3"/>
      </w:pPr>
      <w:r w:rsidRPr="009834D6">
        <w:t>經查，</w:t>
      </w:r>
      <w:proofErr w:type="gramStart"/>
      <w:r w:rsidR="00C77690" w:rsidRPr="009834D6">
        <w:rPr>
          <w:rFonts w:hint="eastAsia"/>
        </w:rPr>
        <w:t>臺</w:t>
      </w:r>
      <w:proofErr w:type="gramEnd"/>
      <w:r w:rsidR="00C77690" w:rsidRPr="009834D6">
        <w:rPr>
          <w:rFonts w:hint="eastAsia"/>
        </w:rPr>
        <w:t>北地檢署</w:t>
      </w:r>
      <w:r w:rsidR="00B63497" w:rsidRPr="009834D6">
        <w:rPr>
          <w:rFonts w:hint="eastAsia"/>
        </w:rPr>
        <w:t>偵辦</w:t>
      </w:r>
      <w:proofErr w:type="gramStart"/>
      <w:r w:rsidR="00C77690" w:rsidRPr="009834D6">
        <w:rPr>
          <w:rFonts w:hint="eastAsia"/>
        </w:rPr>
        <w:t>105</w:t>
      </w:r>
      <w:proofErr w:type="gramEnd"/>
      <w:r w:rsidR="00C77690" w:rsidRPr="009834D6">
        <w:rPr>
          <w:rFonts w:hint="eastAsia"/>
        </w:rPr>
        <w:t>年度他字第9752號、</w:t>
      </w:r>
      <w:proofErr w:type="gramStart"/>
      <w:r w:rsidR="00C77690" w:rsidRPr="009834D6">
        <w:rPr>
          <w:rFonts w:hint="eastAsia"/>
        </w:rPr>
        <w:t>106</w:t>
      </w:r>
      <w:proofErr w:type="gramEnd"/>
      <w:r w:rsidR="00C77690" w:rsidRPr="009834D6">
        <w:rPr>
          <w:rFonts w:hint="eastAsia"/>
        </w:rPr>
        <w:t>年度他字第5691號案</w:t>
      </w:r>
      <w:r w:rsidRPr="009834D6">
        <w:rPr>
          <w:rFonts w:hint="eastAsia"/>
        </w:rPr>
        <w:t>，關於</w:t>
      </w:r>
      <w:r w:rsidR="00C77690" w:rsidRPr="009834D6">
        <w:rPr>
          <w:rFonts w:hint="eastAsia"/>
        </w:rPr>
        <w:t>陳情人以新事實、新證據請求</w:t>
      </w:r>
      <w:proofErr w:type="gramStart"/>
      <w:r w:rsidR="00C77690" w:rsidRPr="009834D6">
        <w:rPr>
          <w:rFonts w:hint="eastAsia"/>
        </w:rPr>
        <w:t>臺</w:t>
      </w:r>
      <w:proofErr w:type="gramEnd"/>
      <w:r w:rsidR="00C77690" w:rsidRPr="009834D6">
        <w:rPr>
          <w:rFonts w:hint="eastAsia"/>
        </w:rPr>
        <w:t>北地檢署再行起訴</w:t>
      </w:r>
      <w:r w:rsidR="00436A3C">
        <w:rPr>
          <w:rFonts w:hint="eastAsia"/>
        </w:rPr>
        <w:t>許○○</w:t>
      </w:r>
      <w:r w:rsidR="00C77690" w:rsidRPr="009834D6">
        <w:rPr>
          <w:rFonts w:hint="eastAsia"/>
        </w:rPr>
        <w:t>等人</w:t>
      </w:r>
      <w:r w:rsidRPr="009834D6">
        <w:rPr>
          <w:rFonts w:hint="eastAsia"/>
        </w:rPr>
        <w:t>案件，</w:t>
      </w:r>
      <w:proofErr w:type="gramStart"/>
      <w:r w:rsidR="00CD599D" w:rsidRPr="009834D6">
        <w:rPr>
          <w:rFonts w:hint="eastAsia"/>
        </w:rPr>
        <w:t>臺</w:t>
      </w:r>
      <w:proofErr w:type="gramEnd"/>
      <w:r w:rsidR="00CD599D" w:rsidRPr="009834D6">
        <w:rPr>
          <w:rFonts w:hint="eastAsia"/>
        </w:rPr>
        <w:t>北地檢署</w:t>
      </w:r>
      <w:r w:rsidR="00C77690" w:rsidRPr="009834D6">
        <w:rPr>
          <w:rFonts w:hint="eastAsia"/>
        </w:rPr>
        <w:t>檢察官</w:t>
      </w:r>
      <w:r w:rsidR="00CD599D" w:rsidRPr="009834D6">
        <w:rPr>
          <w:rFonts w:hAnsi="標楷體" w:cs="新細明體" w:hint="eastAsia"/>
          <w:kern w:val="0"/>
          <w:szCs w:val="24"/>
        </w:rPr>
        <w:t>曾於105年</w:t>
      </w:r>
      <w:r w:rsidR="00B63497" w:rsidRPr="009834D6">
        <w:rPr>
          <w:rFonts w:hAnsi="標楷體" w:cs="新細明體" w:hint="eastAsia"/>
          <w:kern w:val="0"/>
          <w:szCs w:val="24"/>
        </w:rPr>
        <w:t>10</w:t>
      </w:r>
      <w:r w:rsidR="00CD599D" w:rsidRPr="009834D6">
        <w:rPr>
          <w:rFonts w:hAnsi="標楷體" w:cs="新細明體" w:hint="eastAsia"/>
          <w:kern w:val="0"/>
          <w:szCs w:val="24"/>
        </w:rPr>
        <w:t>月</w:t>
      </w:r>
      <w:r w:rsidR="00B63497" w:rsidRPr="009834D6">
        <w:rPr>
          <w:rFonts w:hAnsi="標楷體" w:cs="新細明體" w:hint="eastAsia"/>
          <w:kern w:val="0"/>
          <w:szCs w:val="24"/>
        </w:rPr>
        <w:t>1</w:t>
      </w:r>
      <w:r w:rsidR="00CD599D" w:rsidRPr="009834D6">
        <w:rPr>
          <w:rFonts w:hAnsi="標楷體" w:cs="新細明體" w:hint="eastAsia"/>
          <w:kern w:val="0"/>
          <w:szCs w:val="24"/>
        </w:rPr>
        <w:t>8</w:t>
      </w:r>
      <w:r w:rsidR="00B140D2" w:rsidRPr="009834D6">
        <w:rPr>
          <w:rFonts w:hAnsi="標楷體" w:cs="新細明體" w:hint="eastAsia"/>
          <w:kern w:val="0"/>
          <w:szCs w:val="24"/>
        </w:rPr>
        <w:t>日發文借調板橋</w:t>
      </w:r>
      <w:r w:rsidR="00CD599D" w:rsidRPr="009834D6">
        <w:rPr>
          <w:rFonts w:hAnsi="標楷體" w:cs="新細明體" w:hint="eastAsia"/>
          <w:kern w:val="0"/>
          <w:szCs w:val="24"/>
        </w:rPr>
        <w:t>地檢署</w:t>
      </w:r>
      <w:proofErr w:type="gramStart"/>
      <w:r w:rsidR="00D54FDD" w:rsidRPr="009834D6">
        <w:rPr>
          <w:rFonts w:hAnsi="標楷體" w:cs="新細明體" w:hint="eastAsia"/>
          <w:kern w:val="0"/>
          <w:szCs w:val="24"/>
        </w:rPr>
        <w:t>100</w:t>
      </w:r>
      <w:proofErr w:type="gramEnd"/>
      <w:r w:rsidR="00D54FDD" w:rsidRPr="009834D6">
        <w:rPr>
          <w:rFonts w:hAnsi="標楷體" w:cs="新細明體" w:hint="eastAsia"/>
          <w:kern w:val="0"/>
          <w:szCs w:val="24"/>
        </w:rPr>
        <w:t>年度</w:t>
      </w:r>
      <w:proofErr w:type="gramStart"/>
      <w:r w:rsidR="00D54FDD" w:rsidRPr="009834D6">
        <w:rPr>
          <w:rFonts w:hAnsi="標楷體" w:cs="新細明體" w:hint="eastAsia"/>
          <w:kern w:val="0"/>
          <w:szCs w:val="24"/>
        </w:rPr>
        <w:t>偵</w:t>
      </w:r>
      <w:proofErr w:type="gramEnd"/>
      <w:r w:rsidR="00D54FDD" w:rsidRPr="009834D6">
        <w:rPr>
          <w:rFonts w:hAnsi="標楷體" w:cs="新細明體" w:hint="eastAsia"/>
          <w:kern w:val="0"/>
          <w:szCs w:val="24"/>
        </w:rPr>
        <w:t>續一字第</w:t>
      </w:r>
      <w:r w:rsidR="00CD599D" w:rsidRPr="009834D6">
        <w:rPr>
          <w:rFonts w:hAnsi="標楷體" w:cs="新細明體" w:hint="eastAsia"/>
          <w:kern w:val="0"/>
          <w:szCs w:val="24"/>
        </w:rPr>
        <w:t>109</w:t>
      </w:r>
      <w:r w:rsidR="000E5C0F" w:rsidRPr="009834D6">
        <w:rPr>
          <w:rFonts w:hAnsi="標楷體" w:cs="新細明體" w:hint="eastAsia"/>
          <w:kern w:val="0"/>
          <w:szCs w:val="24"/>
        </w:rPr>
        <w:t>號</w:t>
      </w:r>
      <w:r w:rsidR="00B63497" w:rsidRPr="009834D6">
        <w:rPr>
          <w:rFonts w:hAnsi="標楷體" w:cs="新細明體" w:hint="eastAsia"/>
          <w:kern w:val="0"/>
          <w:szCs w:val="24"/>
        </w:rPr>
        <w:t>被告</w:t>
      </w:r>
      <w:r w:rsidR="00436A3C">
        <w:rPr>
          <w:rFonts w:hAnsi="標楷體" w:cs="新細明體" w:hint="eastAsia"/>
          <w:kern w:val="0"/>
          <w:szCs w:val="24"/>
        </w:rPr>
        <w:t>許○○</w:t>
      </w:r>
      <w:proofErr w:type="gramStart"/>
      <w:r w:rsidR="00B63497" w:rsidRPr="009834D6">
        <w:rPr>
          <w:rFonts w:hAnsi="標楷體" w:cs="新細明體" w:hint="eastAsia"/>
          <w:kern w:val="0"/>
          <w:szCs w:val="24"/>
        </w:rPr>
        <w:t>背信卷</w:t>
      </w:r>
      <w:proofErr w:type="gramEnd"/>
      <w:r w:rsidR="000E5C0F" w:rsidRPr="009834D6">
        <w:rPr>
          <w:rFonts w:hAnsi="標楷體" w:cs="新細明體" w:hint="eastAsia"/>
          <w:kern w:val="0"/>
          <w:szCs w:val="24"/>
        </w:rPr>
        <w:t>、</w:t>
      </w:r>
      <w:r w:rsidR="00642445" w:rsidRPr="009834D6">
        <w:rPr>
          <w:rFonts w:hAnsi="標楷體" w:cs="新細明體" w:hint="eastAsia"/>
          <w:kern w:val="0"/>
          <w:szCs w:val="24"/>
        </w:rPr>
        <w:t>105年11月調</w:t>
      </w:r>
      <w:proofErr w:type="gramStart"/>
      <w:r w:rsidR="00642445" w:rsidRPr="009834D6">
        <w:rPr>
          <w:rFonts w:hAnsi="標楷體" w:cs="新細明體" w:hint="eastAsia"/>
          <w:kern w:val="0"/>
          <w:szCs w:val="24"/>
        </w:rPr>
        <w:t>閱同</w:t>
      </w:r>
      <w:r w:rsidR="00642445" w:rsidRPr="009834D6">
        <w:rPr>
          <w:rFonts w:hint="eastAsia"/>
        </w:rPr>
        <w:t>署105</w:t>
      </w:r>
      <w:proofErr w:type="gramEnd"/>
      <w:r w:rsidR="00642445" w:rsidRPr="009834D6">
        <w:rPr>
          <w:rFonts w:hint="eastAsia"/>
        </w:rPr>
        <w:t>年度他字</w:t>
      </w:r>
      <w:proofErr w:type="gramStart"/>
      <w:r w:rsidR="00642445" w:rsidRPr="009834D6">
        <w:rPr>
          <w:rFonts w:hint="eastAsia"/>
        </w:rPr>
        <w:t>第5166號卷</w:t>
      </w:r>
      <w:proofErr w:type="gramEnd"/>
      <w:r w:rsidR="00642445" w:rsidRPr="009834D6">
        <w:rPr>
          <w:rFonts w:hint="eastAsia"/>
        </w:rPr>
        <w:t>、</w:t>
      </w:r>
      <w:r w:rsidR="00B63497" w:rsidRPr="009834D6">
        <w:rPr>
          <w:rFonts w:hAnsi="標楷體" w:cs="新細明體" w:hint="eastAsia"/>
          <w:kern w:val="0"/>
          <w:szCs w:val="24"/>
        </w:rPr>
        <w:t>106年5月23日調</w:t>
      </w:r>
      <w:proofErr w:type="gramStart"/>
      <w:r w:rsidR="00B63497" w:rsidRPr="009834D6">
        <w:rPr>
          <w:rFonts w:hAnsi="標楷體" w:cs="新細明體" w:hint="eastAsia"/>
          <w:kern w:val="0"/>
          <w:szCs w:val="24"/>
        </w:rPr>
        <w:t>閱同</w:t>
      </w:r>
      <w:r w:rsidR="00B63497" w:rsidRPr="009834D6">
        <w:rPr>
          <w:rFonts w:hint="eastAsia"/>
        </w:rPr>
        <w:t>署105</w:t>
      </w:r>
      <w:proofErr w:type="gramEnd"/>
      <w:r w:rsidR="00B63497" w:rsidRPr="009834D6">
        <w:rPr>
          <w:rFonts w:hint="eastAsia"/>
        </w:rPr>
        <w:t>年度他字第9752號全卷</w:t>
      </w:r>
      <w:r w:rsidR="00B63497" w:rsidRPr="009834D6">
        <w:rPr>
          <w:rFonts w:hAnsi="標楷體" w:cs="新細明體" w:hint="eastAsia"/>
          <w:kern w:val="0"/>
          <w:szCs w:val="24"/>
        </w:rPr>
        <w:t>、</w:t>
      </w:r>
      <w:r w:rsidR="000E5C0F" w:rsidRPr="009834D6">
        <w:rPr>
          <w:rFonts w:hAnsi="標楷體" w:cs="新細明體" w:hint="eastAsia"/>
          <w:kern w:val="0"/>
          <w:szCs w:val="24"/>
        </w:rPr>
        <w:t>106年5月24</w:t>
      </w:r>
      <w:r w:rsidR="00B140D2" w:rsidRPr="009834D6">
        <w:rPr>
          <w:rFonts w:hAnsi="標楷體" w:cs="新細明體" w:hint="eastAsia"/>
          <w:kern w:val="0"/>
          <w:szCs w:val="24"/>
        </w:rPr>
        <w:t>日發文借調板橋</w:t>
      </w:r>
      <w:r w:rsidR="000E5C0F" w:rsidRPr="009834D6">
        <w:rPr>
          <w:rFonts w:hAnsi="標楷體" w:cs="新細明體" w:hint="eastAsia"/>
          <w:kern w:val="0"/>
          <w:szCs w:val="24"/>
        </w:rPr>
        <w:t>地檢署</w:t>
      </w:r>
      <w:proofErr w:type="gramStart"/>
      <w:r w:rsidR="00D54FDD" w:rsidRPr="009834D6">
        <w:rPr>
          <w:rFonts w:hAnsi="標楷體" w:cs="新細明體" w:hint="eastAsia"/>
          <w:kern w:val="0"/>
          <w:szCs w:val="24"/>
        </w:rPr>
        <w:t>100</w:t>
      </w:r>
      <w:proofErr w:type="gramEnd"/>
      <w:r w:rsidR="00D54FDD" w:rsidRPr="009834D6">
        <w:rPr>
          <w:rFonts w:hAnsi="標楷體" w:cs="新細明體" w:hint="eastAsia"/>
          <w:kern w:val="0"/>
          <w:szCs w:val="24"/>
        </w:rPr>
        <w:t>年度</w:t>
      </w:r>
      <w:proofErr w:type="gramStart"/>
      <w:r w:rsidR="00D54FDD" w:rsidRPr="009834D6">
        <w:rPr>
          <w:rFonts w:hAnsi="標楷體" w:cs="新細明體" w:hint="eastAsia"/>
          <w:kern w:val="0"/>
          <w:szCs w:val="24"/>
        </w:rPr>
        <w:t>偵</w:t>
      </w:r>
      <w:proofErr w:type="gramEnd"/>
      <w:r w:rsidR="00D54FDD" w:rsidRPr="009834D6">
        <w:rPr>
          <w:rFonts w:hAnsi="標楷體" w:cs="新細明體" w:hint="eastAsia"/>
          <w:kern w:val="0"/>
          <w:szCs w:val="24"/>
        </w:rPr>
        <w:t>續一字第</w:t>
      </w:r>
      <w:r w:rsidR="000E5C0F" w:rsidRPr="009834D6">
        <w:rPr>
          <w:rFonts w:hAnsi="標楷體" w:cs="新細明體" w:hint="eastAsia"/>
          <w:kern w:val="0"/>
          <w:szCs w:val="24"/>
        </w:rPr>
        <w:t>109號</w:t>
      </w:r>
      <w:r w:rsidR="00B63497" w:rsidRPr="009834D6">
        <w:rPr>
          <w:rFonts w:hAnsi="標楷體" w:cs="新細明體" w:hint="eastAsia"/>
          <w:kern w:val="0"/>
          <w:szCs w:val="24"/>
        </w:rPr>
        <w:t>全卷</w:t>
      </w:r>
      <w:r w:rsidR="000E5C0F" w:rsidRPr="009834D6">
        <w:rPr>
          <w:rFonts w:hAnsi="標楷體" w:cs="新細明體" w:hint="eastAsia"/>
          <w:kern w:val="0"/>
          <w:szCs w:val="24"/>
        </w:rPr>
        <w:t>，</w:t>
      </w:r>
      <w:r w:rsidR="00CD599D" w:rsidRPr="009834D6">
        <w:rPr>
          <w:rFonts w:hAnsi="標楷體" w:cs="新細明體" w:hint="eastAsia"/>
          <w:kern w:val="0"/>
          <w:szCs w:val="24"/>
        </w:rPr>
        <w:t>此有</w:t>
      </w:r>
      <w:proofErr w:type="gramStart"/>
      <w:r w:rsidR="00CD599D" w:rsidRPr="009834D6">
        <w:rPr>
          <w:rFonts w:hAnsi="標楷體" w:cs="新細明體" w:hint="eastAsia"/>
          <w:kern w:val="0"/>
          <w:szCs w:val="24"/>
        </w:rPr>
        <w:t>臺</w:t>
      </w:r>
      <w:proofErr w:type="gramEnd"/>
      <w:r w:rsidR="00CD599D" w:rsidRPr="009834D6">
        <w:rPr>
          <w:rFonts w:hAnsi="標楷體" w:cs="新細明體" w:hint="eastAsia"/>
          <w:kern w:val="0"/>
          <w:szCs w:val="24"/>
        </w:rPr>
        <w:t>北地檢署</w:t>
      </w:r>
      <w:proofErr w:type="gramStart"/>
      <w:r w:rsidR="00CD599D" w:rsidRPr="009834D6">
        <w:rPr>
          <w:rFonts w:hAnsi="標楷體" w:cs="新細明體" w:hint="eastAsia"/>
          <w:kern w:val="0"/>
          <w:szCs w:val="24"/>
        </w:rPr>
        <w:t>105</w:t>
      </w:r>
      <w:proofErr w:type="gramEnd"/>
      <w:r w:rsidR="00CD599D" w:rsidRPr="009834D6">
        <w:rPr>
          <w:rFonts w:hAnsi="標楷體" w:cs="新細明體" w:hint="eastAsia"/>
          <w:kern w:val="0"/>
          <w:szCs w:val="24"/>
        </w:rPr>
        <w:t>年度他字第9752號</w:t>
      </w:r>
      <w:r w:rsidR="000E5C0F" w:rsidRPr="009834D6">
        <w:rPr>
          <w:rFonts w:hAnsi="標楷體" w:cs="新細明體" w:hint="eastAsia"/>
          <w:kern w:val="0"/>
          <w:szCs w:val="24"/>
        </w:rPr>
        <w:t>及</w:t>
      </w:r>
      <w:proofErr w:type="gramStart"/>
      <w:r w:rsidR="001668F6" w:rsidRPr="009834D6">
        <w:rPr>
          <w:rFonts w:hint="eastAsia"/>
        </w:rPr>
        <w:t>106</w:t>
      </w:r>
      <w:proofErr w:type="gramEnd"/>
      <w:r w:rsidR="001668F6" w:rsidRPr="009834D6">
        <w:rPr>
          <w:rFonts w:hint="eastAsia"/>
        </w:rPr>
        <w:t>年度他字第5691號</w:t>
      </w:r>
      <w:r w:rsidR="00CD599D" w:rsidRPr="009834D6">
        <w:rPr>
          <w:rFonts w:hAnsi="標楷體" w:cs="新細明體" w:hint="eastAsia"/>
          <w:kern w:val="0"/>
          <w:szCs w:val="24"/>
        </w:rPr>
        <w:t>卷宗內容可</w:t>
      </w:r>
      <w:proofErr w:type="gramStart"/>
      <w:r w:rsidR="00CD599D" w:rsidRPr="009834D6">
        <w:rPr>
          <w:rFonts w:hAnsi="標楷體" w:cs="新細明體" w:hint="eastAsia"/>
          <w:kern w:val="0"/>
          <w:szCs w:val="24"/>
        </w:rPr>
        <w:t>稽</w:t>
      </w:r>
      <w:proofErr w:type="gramEnd"/>
      <w:r w:rsidR="00CD599D" w:rsidRPr="009834D6">
        <w:rPr>
          <w:rFonts w:hAnsi="標楷體" w:cs="新細明體" w:hint="eastAsia"/>
          <w:kern w:val="0"/>
          <w:szCs w:val="24"/>
        </w:rPr>
        <w:t>，故無陳訴人指稱</w:t>
      </w:r>
      <w:proofErr w:type="gramStart"/>
      <w:r w:rsidR="00CD599D" w:rsidRPr="009834D6">
        <w:rPr>
          <w:rFonts w:hAnsi="標楷體" w:cs="新細明體" w:hint="eastAsia"/>
          <w:kern w:val="0"/>
          <w:szCs w:val="24"/>
        </w:rPr>
        <w:t>臺</w:t>
      </w:r>
      <w:proofErr w:type="gramEnd"/>
      <w:r w:rsidR="00CD599D" w:rsidRPr="009834D6">
        <w:rPr>
          <w:rFonts w:hAnsi="標楷體" w:cs="新細明體" w:hint="eastAsia"/>
          <w:kern w:val="0"/>
          <w:szCs w:val="24"/>
        </w:rPr>
        <w:t>北地檢署卸責說謊、未予調卷</w:t>
      </w:r>
      <w:r w:rsidR="000E5C0F" w:rsidRPr="009834D6">
        <w:rPr>
          <w:rFonts w:hAnsi="標楷體" w:cs="新細明體" w:hint="eastAsia"/>
          <w:kern w:val="0"/>
          <w:szCs w:val="24"/>
        </w:rPr>
        <w:t>查證</w:t>
      </w:r>
      <w:r w:rsidR="00CD599D" w:rsidRPr="009834D6">
        <w:rPr>
          <w:rFonts w:hAnsi="標楷體" w:cs="新細明體" w:hint="eastAsia"/>
          <w:kern w:val="0"/>
          <w:szCs w:val="24"/>
        </w:rPr>
        <w:t>之情節，又檢察官調卷後，逐一比對相關事證，並於公文書</w:t>
      </w:r>
      <w:r w:rsidR="00C77690" w:rsidRPr="009834D6">
        <w:rPr>
          <w:rFonts w:hint="eastAsia"/>
        </w:rPr>
        <w:t>敘明</w:t>
      </w:r>
      <w:r w:rsidR="00CD599D" w:rsidRPr="009834D6">
        <w:rPr>
          <w:rFonts w:hint="eastAsia"/>
        </w:rPr>
        <w:t>陳訴人所提事證並非法定新事實、新證據之理由而</w:t>
      </w:r>
      <w:r w:rsidR="00C77690" w:rsidRPr="009834D6">
        <w:rPr>
          <w:rFonts w:hint="eastAsia"/>
        </w:rPr>
        <w:t>予以簽結，</w:t>
      </w:r>
      <w:r w:rsidR="00CD599D" w:rsidRPr="009834D6">
        <w:rPr>
          <w:rFonts w:hint="eastAsia"/>
        </w:rPr>
        <w:t>其</w:t>
      </w:r>
      <w:r w:rsidR="00C77690" w:rsidRPr="009834D6">
        <w:rPr>
          <w:rFonts w:hint="eastAsia"/>
        </w:rPr>
        <w:t>簽結</w:t>
      </w:r>
      <w:r w:rsidRPr="009834D6">
        <w:rPr>
          <w:rFonts w:hint="eastAsia"/>
        </w:rPr>
        <w:t>理由</w:t>
      </w:r>
      <w:r w:rsidR="00C77690" w:rsidRPr="009834D6">
        <w:rPr>
          <w:rFonts w:hint="eastAsia"/>
        </w:rPr>
        <w:t>已如前述。</w:t>
      </w:r>
    </w:p>
    <w:p w:rsidR="00192136" w:rsidRPr="009834D6" w:rsidRDefault="00192136" w:rsidP="000621E2">
      <w:pPr>
        <w:pStyle w:val="3"/>
      </w:pPr>
      <w:r w:rsidRPr="009834D6">
        <w:rPr>
          <w:rFonts w:hint="eastAsia"/>
        </w:rPr>
        <w:t>陳訴人告訴</w:t>
      </w:r>
      <w:r w:rsidR="00436A3C">
        <w:rPr>
          <w:rFonts w:hint="eastAsia"/>
        </w:rPr>
        <w:t>許</w:t>
      </w:r>
      <w:proofErr w:type="gramStart"/>
      <w:r w:rsidR="00436A3C">
        <w:rPr>
          <w:rFonts w:hint="eastAsia"/>
        </w:rPr>
        <w:t>○○</w:t>
      </w:r>
      <w:r w:rsidRPr="009834D6">
        <w:rPr>
          <w:rFonts w:hint="eastAsia"/>
        </w:rPr>
        <w:t>等背信</w:t>
      </w:r>
      <w:proofErr w:type="gramEnd"/>
      <w:r w:rsidRPr="009834D6">
        <w:rPr>
          <w:rFonts w:hint="eastAsia"/>
        </w:rPr>
        <w:t>案經不起訴處分確定後，陳訴人以發見新事實、新證據為理由，請求檢察官再行起訴，檢察官</w:t>
      </w:r>
      <w:r w:rsidR="00642445" w:rsidRPr="009834D6">
        <w:rPr>
          <w:rFonts w:hint="eastAsia"/>
        </w:rPr>
        <w:t>以並無可以起訴之事實、新證據，用書面附理由通知告訴人，相關程序查</w:t>
      </w:r>
      <w:r w:rsidRPr="009834D6">
        <w:rPr>
          <w:rFonts w:hint="eastAsia"/>
        </w:rPr>
        <w:t>無違失之處。</w:t>
      </w:r>
      <w:r w:rsidR="00FF1ABB" w:rsidRPr="009834D6">
        <w:rPr>
          <w:rFonts w:hint="eastAsia"/>
        </w:rPr>
        <w:t>又本案</w:t>
      </w:r>
      <w:proofErr w:type="gramStart"/>
      <w:r w:rsidR="00FF1ABB" w:rsidRPr="009834D6">
        <w:rPr>
          <w:rFonts w:hint="eastAsia"/>
        </w:rPr>
        <w:t>嗣</w:t>
      </w:r>
      <w:proofErr w:type="gramEnd"/>
      <w:r w:rsidR="00FF1ABB" w:rsidRPr="009834D6">
        <w:rPr>
          <w:rFonts w:hint="eastAsia"/>
        </w:rPr>
        <w:t>經</w:t>
      </w:r>
      <w:r w:rsidR="0070405A" w:rsidRPr="009834D6">
        <w:rPr>
          <w:rFonts w:hint="eastAsia"/>
        </w:rPr>
        <w:t>高檢署多次查明</w:t>
      </w:r>
      <w:proofErr w:type="gramStart"/>
      <w:r w:rsidR="0070405A" w:rsidRPr="009834D6">
        <w:rPr>
          <w:rFonts w:hint="eastAsia"/>
        </w:rPr>
        <w:t>臺</w:t>
      </w:r>
      <w:proofErr w:type="gramEnd"/>
      <w:r w:rsidR="0070405A" w:rsidRPr="009834D6">
        <w:rPr>
          <w:rFonts w:hint="eastAsia"/>
        </w:rPr>
        <w:t>北地檢署有無違失、卸責之情形</w:t>
      </w:r>
      <w:r w:rsidR="00FF1ABB" w:rsidRPr="009834D6">
        <w:rPr>
          <w:rFonts w:hint="eastAsia"/>
        </w:rPr>
        <w:t>，並據高檢署查復說明</w:t>
      </w:r>
      <w:r w:rsidR="00406C28" w:rsidRPr="009834D6">
        <w:rPr>
          <w:rFonts w:hint="eastAsia"/>
        </w:rPr>
        <w:t>已如前述</w:t>
      </w:r>
      <w:r w:rsidR="00C77690" w:rsidRPr="009834D6">
        <w:rPr>
          <w:rFonts w:ascii="新細明體" w:eastAsia="新細明體" w:hAnsi="新細明體" w:hint="eastAsia"/>
        </w:rPr>
        <w:t>，</w:t>
      </w:r>
      <w:proofErr w:type="gramStart"/>
      <w:r w:rsidR="00C77690" w:rsidRPr="009834D6">
        <w:rPr>
          <w:rFonts w:hint="eastAsia"/>
        </w:rPr>
        <w:t>尚難僅因</w:t>
      </w:r>
      <w:proofErr w:type="gramEnd"/>
      <w:r w:rsidR="0070405A" w:rsidRPr="009834D6">
        <w:rPr>
          <w:rFonts w:hint="eastAsia"/>
        </w:rPr>
        <w:t>檢察官簽結理由</w:t>
      </w:r>
      <w:r w:rsidR="00C77690" w:rsidRPr="009834D6">
        <w:rPr>
          <w:rFonts w:hint="eastAsia"/>
        </w:rPr>
        <w:t>與陳情人之主張有</w:t>
      </w:r>
      <w:r w:rsidR="0070405A" w:rsidRPr="009834D6">
        <w:rPr>
          <w:rFonts w:hint="eastAsia"/>
        </w:rPr>
        <w:t>所</w:t>
      </w:r>
      <w:r w:rsidR="00C77690" w:rsidRPr="009834D6">
        <w:rPr>
          <w:rFonts w:hint="eastAsia"/>
        </w:rPr>
        <w:t>不同，</w:t>
      </w:r>
      <w:r w:rsidR="0070405A" w:rsidRPr="009834D6">
        <w:rPr>
          <w:rFonts w:hint="eastAsia"/>
        </w:rPr>
        <w:t>又無具體事證，</w:t>
      </w:r>
      <w:proofErr w:type="gramStart"/>
      <w:r w:rsidR="00C77690" w:rsidRPr="009834D6">
        <w:rPr>
          <w:rFonts w:hint="eastAsia"/>
        </w:rPr>
        <w:t>即認承辦</w:t>
      </w:r>
      <w:proofErr w:type="gramEnd"/>
      <w:r w:rsidR="00C77690" w:rsidRPr="009834D6">
        <w:rPr>
          <w:rFonts w:hint="eastAsia"/>
        </w:rPr>
        <w:t>檢察官偵辦案件</w:t>
      </w:r>
      <w:proofErr w:type="gramStart"/>
      <w:r w:rsidR="00C77690" w:rsidRPr="009834D6">
        <w:rPr>
          <w:rFonts w:hint="eastAsia"/>
        </w:rPr>
        <w:t>有何違失</w:t>
      </w:r>
      <w:proofErr w:type="gramEnd"/>
      <w:r w:rsidR="00C77690" w:rsidRPr="009834D6">
        <w:rPr>
          <w:rFonts w:hint="eastAsia"/>
        </w:rPr>
        <w:t>。</w:t>
      </w:r>
    </w:p>
    <w:p w:rsidR="003A5927" w:rsidRPr="009834D6" w:rsidRDefault="00FF1ABB" w:rsidP="001625DB">
      <w:pPr>
        <w:pStyle w:val="3"/>
      </w:pPr>
      <w:r w:rsidRPr="009834D6">
        <w:rPr>
          <w:rFonts w:hint="eastAsia"/>
        </w:rPr>
        <w:t>綜上，</w:t>
      </w:r>
      <w:r w:rsidR="00AC371D" w:rsidRPr="009834D6">
        <w:rPr>
          <w:rFonts w:hint="eastAsia"/>
        </w:rPr>
        <w:t>有關</w:t>
      </w:r>
      <w:proofErr w:type="gramStart"/>
      <w:r w:rsidR="00AC371D" w:rsidRPr="009834D6">
        <w:rPr>
          <w:rFonts w:hint="eastAsia"/>
        </w:rPr>
        <w:t>臺</w:t>
      </w:r>
      <w:proofErr w:type="gramEnd"/>
      <w:r w:rsidR="00AC371D" w:rsidRPr="009834D6">
        <w:rPr>
          <w:rFonts w:hint="eastAsia"/>
        </w:rPr>
        <w:t>北地檢署檢察官承辦</w:t>
      </w:r>
      <w:proofErr w:type="gramStart"/>
      <w:r w:rsidR="00AC371D" w:rsidRPr="009834D6">
        <w:rPr>
          <w:rFonts w:hint="eastAsia"/>
        </w:rPr>
        <w:t>105</w:t>
      </w:r>
      <w:proofErr w:type="gramEnd"/>
      <w:r w:rsidR="00AC371D" w:rsidRPr="009834D6">
        <w:rPr>
          <w:rFonts w:hint="eastAsia"/>
        </w:rPr>
        <w:t>年度他字第</w:t>
      </w:r>
      <w:r w:rsidR="00AC371D" w:rsidRPr="009834D6">
        <w:rPr>
          <w:rFonts w:hint="eastAsia"/>
        </w:rPr>
        <w:lastRenderedPageBreak/>
        <w:t>9752號、</w:t>
      </w:r>
      <w:proofErr w:type="gramStart"/>
      <w:r w:rsidR="00AC371D" w:rsidRPr="009834D6">
        <w:rPr>
          <w:rFonts w:hint="eastAsia"/>
        </w:rPr>
        <w:t>106</w:t>
      </w:r>
      <w:proofErr w:type="gramEnd"/>
      <w:r w:rsidR="00AC371D" w:rsidRPr="009834D6">
        <w:rPr>
          <w:rFonts w:hint="eastAsia"/>
        </w:rPr>
        <w:t>年度他字第5691號被告</w:t>
      </w:r>
      <w:r w:rsidR="00436A3C">
        <w:rPr>
          <w:rFonts w:hint="eastAsia"/>
        </w:rPr>
        <w:t>許○○</w:t>
      </w:r>
      <w:r w:rsidR="00AC371D" w:rsidRPr="009834D6">
        <w:rPr>
          <w:rFonts w:hint="eastAsia"/>
        </w:rPr>
        <w:t>等</w:t>
      </w:r>
      <w:proofErr w:type="gramStart"/>
      <w:r w:rsidR="00AC371D" w:rsidRPr="009834D6">
        <w:rPr>
          <w:rFonts w:hint="eastAsia"/>
        </w:rPr>
        <w:t>涉犯背信</w:t>
      </w:r>
      <w:proofErr w:type="gramEnd"/>
      <w:r w:rsidR="00AC371D" w:rsidRPr="009834D6">
        <w:rPr>
          <w:rFonts w:hint="eastAsia"/>
        </w:rPr>
        <w:t>案件，予以簽結一節，本案承辦檢察官依陳情人提供之相關事證，經調閱相關卷宗並調查審酌後，認陳訴人所</w:t>
      </w:r>
      <w:proofErr w:type="gramStart"/>
      <w:r w:rsidR="00AC371D" w:rsidRPr="009834D6">
        <w:rPr>
          <w:rFonts w:hint="eastAsia"/>
        </w:rPr>
        <w:t>提事證非</w:t>
      </w:r>
      <w:proofErr w:type="gramEnd"/>
      <w:r w:rsidR="00AC371D" w:rsidRPr="009834D6">
        <w:rPr>
          <w:rFonts w:hint="eastAsia"/>
        </w:rPr>
        <w:t>刑事訴訟法第216條第1款規定之新事實、新證據，而予以簽結，已將簽結理由逐一載明於公文書，並經高檢署多次查明回復在案，尚難</w:t>
      </w:r>
      <w:r w:rsidR="00AC371D" w:rsidRPr="009834D6">
        <w:rPr>
          <w:rFonts w:hint="eastAsia"/>
          <w:bCs w:val="0"/>
        </w:rPr>
        <w:t>認有未善</w:t>
      </w:r>
      <w:r w:rsidR="008C5292" w:rsidRPr="009834D6">
        <w:rPr>
          <w:rFonts w:hint="eastAsia"/>
        </w:rPr>
        <w:t>盡</w:t>
      </w:r>
      <w:r w:rsidR="00AC371D" w:rsidRPr="009834D6">
        <w:rPr>
          <w:rFonts w:hint="eastAsia"/>
        </w:rPr>
        <w:t>調查</w:t>
      </w:r>
      <w:r w:rsidR="008C5292" w:rsidRPr="009834D6">
        <w:rPr>
          <w:rFonts w:hint="eastAsia"/>
        </w:rPr>
        <w:t>職責</w:t>
      </w:r>
      <w:r w:rsidR="00AC371D" w:rsidRPr="009834D6">
        <w:rPr>
          <w:rFonts w:hint="eastAsia"/>
        </w:rPr>
        <w:t>之違失</w:t>
      </w:r>
      <w:r w:rsidR="00AC371D" w:rsidRPr="009834D6">
        <w:rPr>
          <w:rFonts w:ascii="新細明體" w:eastAsia="新細明體" w:hAnsi="新細明體" w:hint="eastAsia"/>
          <w:bCs w:val="0"/>
        </w:rPr>
        <w:t>。</w:t>
      </w:r>
    </w:p>
    <w:p w:rsidR="00E25849" w:rsidRPr="009834D6" w:rsidRDefault="00E25849" w:rsidP="004E05A1">
      <w:pPr>
        <w:pStyle w:val="1"/>
        <w:ind w:left="2380" w:hanging="2380"/>
      </w:pPr>
      <w:bookmarkStart w:id="54" w:name="_Toc524895648"/>
      <w:bookmarkStart w:id="55" w:name="_Toc524896194"/>
      <w:bookmarkStart w:id="56" w:name="_Toc524896224"/>
      <w:bookmarkStart w:id="57" w:name="_Toc524902734"/>
      <w:bookmarkStart w:id="58" w:name="_Toc525066148"/>
      <w:bookmarkStart w:id="59" w:name="_Toc525070839"/>
      <w:bookmarkStart w:id="60" w:name="_Toc525938379"/>
      <w:bookmarkStart w:id="61" w:name="_Toc525939227"/>
      <w:bookmarkStart w:id="62" w:name="_Toc525939732"/>
      <w:bookmarkStart w:id="63" w:name="_Toc529218272"/>
      <w:bookmarkEnd w:id="49"/>
      <w:r w:rsidRPr="009834D6">
        <w:br w:type="page"/>
      </w:r>
      <w:bookmarkStart w:id="64" w:name="_Toc529222689"/>
      <w:bookmarkStart w:id="65" w:name="_Toc529223111"/>
      <w:bookmarkStart w:id="66" w:name="_Toc529223862"/>
      <w:bookmarkStart w:id="67" w:name="_Toc529228265"/>
      <w:bookmarkStart w:id="68" w:name="_Toc2400395"/>
      <w:bookmarkStart w:id="69" w:name="_Toc4316189"/>
      <w:bookmarkStart w:id="70" w:name="_Toc4473330"/>
      <w:bookmarkStart w:id="71" w:name="_Toc69556897"/>
      <w:bookmarkStart w:id="72" w:name="_Toc69556946"/>
      <w:bookmarkStart w:id="73" w:name="_Toc69609820"/>
      <w:bookmarkStart w:id="74" w:name="_Toc70241816"/>
      <w:bookmarkStart w:id="75" w:name="_Toc70242205"/>
      <w:bookmarkStart w:id="76" w:name="_Toc421794875"/>
      <w:bookmarkStart w:id="77" w:name="_Toc422834160"/>
      <w:r w:rsidRPr="009834D6">
        <w:rPr>
          <w:rFonts w:hint="eastAsia"/>
        </w:rPr>
        <w:lastRenderedPageBreak/>
        <w:t>處理辦法：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FB7770" w:rsidRPr="009834D6" w:rsidRDefault="00CC5179" w:rsidP="00FB7770">
      <w:pPr>
        <w:pStyle w:val="2"/>
      </w:pPr>
      <w:bookmarkStart w:id="78" w:name="_Toc524895649"/>
      <w:bookmarkStart w:id="79" w:name="_Toc524896195"/>
      <w:bookmarkStart w:id="80" w:name="_Toc524896225"/>
      <w:bookmarkStart w:id="81" w:name="_Toc70241820"/>
      <w:bookmarkStart w:id="82" w:name="_Toc70242209"/>
      <w:bookmarkStart w:id="83" w:name="_Toc421794876"/>
      <w:bookmarkStart w:id="84" w:name="_Toc421795442"/>
      <w:bookmarkStart w:id="85" w:name="_Toc421796023"/>
      <w:bookmarkStart w:id="86" w:name="_Toc422728958"/>
      <w:bookmarkStart w:id="87" w:name="_Toc422834161"/>
      <w:bookmarkStart w:id="88" w:name="_Toc2400396"/>
      <w:bookmarkStart w:id="89" w:name="_Toc4316190"/>
      <w:bookmarkStart w:id="90" w:name="_Toc4473331"/>
      <w:bookmarkStart w:id="91" w:name="_Toc69556898"/>
      <w:bookmarkStart w:id="92" w:name="_Toc69556947"/>
      <w:bookmarkStart w:id="93" w:name="_Toc69609821"/>
      <w:bookmarkStart w:id="94" w:name="_Toc70241817"/>
      <w:bookmarkStart w:id="95" w:name="_Toc70242206"/>
      <w:bookmarkStart w:id="96" w:name="_Toc524902735"/>
      <w:bookmarkStart w:id="97" w:name="_Toc525066149"/>
      <w:bookmarkStart w:id="98" w:name="_Toc525070840"/>
      <w:bookmarkStart w:id="99" w:name="_Toc525938380"/>
      <w:bookmarkStart w:id="100" w:name="_Toc525939228"/>
      <w:bookmarkStart w:id="101" w:name="_Toc525939733"/>
      <w:bookmarkStart w:id="102" w:name="_Toc529218273"/>
      <w:bookmarkStart w:id="103" w:name="_Toc529222690"/>
      <w:bookmarkStart w:id="104" w:name="_Toc529223112"/>
      <w:bookmarkStart w:id="105" w:name="_Toc529223863"/>
      <w:bookmarkStart w:id="106" w:name="_Toc529228266"/>
      <w:bookmarkEnd w:id="78"/>
      <w:bookmarkEnd w:id="79"/>
      <w:bookmarkEnd w:id="80"/>
      <w:r w:rsidRPr="009834D6">
        <w:rPr>
          <w:rFonts w:hint="eastAsia"/>
        </w:rPr>
        <w:t>調查意見，</w:t>
      </w:r>
      <w:proofErr w:type="gramStart"/>
      <w:r w:rsidRPr="009834D6">
        <w:rPr>
          <w:rFonts w:hint="eastAsia"/>
        </w:rPr>
        <w:t>函復本案</w:t>
      </w:r>
      <w:proofErr w:type="gramEnd"/>
      <w:r w:rsidRPr="009834D6">
        <w:rPr>
          <w:rFonts w:hint="eastAsia"/>
        </w:rPr>
        <w:t>陳訴人</w:t>
      </w:r>
      <w:r w:rsidR="00FB7770" w:rsidRPr="009834D6">
        <w:rPr>
          <w:rFonts w:hAnsi="標楷體" w:hint="eastAsia"/>
        </w:rPr>
        <w:t>。</w:t>
      </w:r>
      <w:bookmarkEnd w:id="81"/>
      <w:bookmarkEnd w:id="82"/>
      <w:bookmarkEnd w:id="83"/>
      <w:bookmarkEnd w:id="84"/>
      <w:bookmarkEnd w:id="85"/>
      <w:bookmarkEnd w:id="86"/>
      <w:bookmarkEnd w:id="87"/>
    </w:p>
    <w:p w:rsidR="00CA7D78" w:rsidRPr="009834D6" w:rsidRDefault="00134D31" w:rsidP="00FB7770">
      <w:pPr>
        <w:pStyle w:val="2"/>
      </w:pPr>
      <w:r w:rsidRPr="009834D6">
        <w:rPr>
          <w:rFonts w:hint="eastAsia"/>
        </w:rPr>
        <w:t>調查意見一，函請法務部參考</w:t>
      </w:r>
      <w:proofErr w:type="gramStart"/>
      <w:r w:rsidRPr="009834D6">
        <w:rPr>
          <w:rFonts w:hint="eastAsia"/>
        </w:rPr>
        <w:t>見復。</w:t>
      </w:r>
      <w:proofErr w:type="gramEnd"/>
    </w:p>
    <w:p w:rsidR="00E25849" w:rsidRPr="009834D6" w:rsidRDefault="00CC5179">
      <w:pPr>
        <w:pStyle w:val="2"/>
      </w:pPr>
      <w:bookmarkStart w:id="107" w:name="_Toc421794877"/>
      <w:bookmarkStart w:id="108" w:name="_Toc421795443"/>
      <w:bookmarkStart w:id="109" w:name="_Toc421796024"/>
      <w:bookmarkStart w:id="110" w:name="_Toc422728959"/>
      <w:bookmarkStart w:id="111" w:name="_Toc422834162"/>
      <w:r w:rsidRPr="009834D6">
        <w:rPr>
          <w:rFonts w:hint="eastAsia"/>
        </w:rPr>
        <w:t>檢</w:t>
      </w:r>
      <w:proofErr w:type="gramStart"/>
      <w:r w:rsidRPr="009834D6">
        <w:rPr>
          <w:rFonts w:hint="eastAsia"/>
        </w:rPr>
        <w:t>附派查函</w:t>
      </w:r>
      <w:proofErr w:type="gramEnd"/>
      <w:r w:rsidRPr="009834D6">
        <w:rPr>
          <w:rFonts w:hint="eastAsia"/>
        </w:rPr>
        <w:t>及相關附件，送請司法及獄政委員會處理</w:t>
      </w:r>
      <w:r w:rsidR="00E25849" w:rsidRPr="009834D6">
        <w:rPr>
          <w:rFonts w:hint="eastAsia"/>
        </w:rPr>
        <w:t>。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107"/>
      <w:bookmarkEnd w:id="108"/>
      <w:bookmarkEnd w:id="109"/>
      <w:bookmarkEnd w:id="110"/>
      <w:bookmarkEnd w:id="111"/>
    </w:p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p w:rsidR="00E25849" w:rsidRPr="009834D6" w:rsidRDefault="00E25849" w:rsidP="00F97911">
      <w:pPr>
        <w:pStyle w:val="2"/>
        <w:numPr>
          <w:ilvl w:val="0"/>
          <w:numId w:val="0"/>
        </w:numPr>
        <w:ind w:left="1021"/>
      </w:pPr>
    </w:p>
    <w:p w:rsidR="0080560B" w:rsidRDefault="0080560B" w:rsidP="003B0BD6">
      <w:pPr>
        <w:widowControl/>
        <w:overflowPunct/>
        <w:autoSpaceDE/>
        <w:autoSpaceDN/>
        <w:jc w:val="left"/>
        <w:rPr>
          <w:rFonts w:hint="eastAsia"/>
          <w:bCs/>
          <w:kern w:val="0"/>
        </w:rPr>
      </w:pPr>
      <w:bookmarkStart w:id="112" w:name="_Toc421794883"/>
      <w:bookmarkStart w:id="113" w:name="_Toc4467127"/>
      <w:bookmarkEnd w:id="112"/>
      <w:bookmarkEnd w:id="113"/>
      <w:r>
        <w:rPr>
          <w:rFonts w:hint="eastAsia"/>
          <w:bCs/>
          <w:kern w:val="0"/>
        </w:rPr>
        <w:t xml:space="preserve">                       調查委員:趙永清</w:t>
      </w:r>
    </w:p>
    <w:p w:rsidR="0080560B" w:rsidRPr="009834D6" w:rsidRDefault="0080560B" w:rsidP="003B0BD6">
      <w:pPr>
        <w:widowControl/>
        <w:overflowPunct/>
        <w:autoSpaceDE/>
        <w:autoSpaceDN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                                </w:t>
      </w:r>
      <w:bookmarkStart w:id="114" w:name="_GoBack"/>
      <w:bookmarkEnd w:id="114"/>
      <w:r>
        <w:rPr>
          <w:rFonts w:hint="eastAsia"/>
          <w:bCs/>
          <w:kern w:val="0"/>
        </w:rPr>
        <w:t>高涌誠</w:t>
      </w:r>
    </w:p>
    <w:p w:rsidR="00B77D18" w:rsidRPr="009834D6" w:rsidRDefault="00B77D18" w:rsidP="003B0BD6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B77D18" w:rsidRPr="009834D6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06" w:rsidRDefault="00762006">
      <w:r>
        <w:separator/>
      </w:r>
    </w:p>
  </w:endnote>
  <w:endnote w:type="continuationSeparator" w:id="0">
    <w:p w:rsidR="00762006" w:rsidRDefault="0076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30" w:rsidRDefault="001C743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0560B">
      <w:rPr>
        <w:rStyle w:val="ac"/>
        <w:noProof/>
        <w:sz w:val="24"/>
      </w:rPr>
      <w:t>14</w:t>
    </w:r>
    <w:r>
      <w:rPr>
        <w:rStyle w:val="ac"/>
        <w:sz w:val="24"/>
      </w:rPr>
      <w:fldChar w:fldCharType="end"/>
    </w:r>
  </w:p>
  <w:p w:rsidR="001C7430" w:rsidRDefault="001C743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06" w:rsidRDefault="00762006">
      <w:r>
        <w:separator/>
      </w:r>
    </w:p>
  </w:footnote>
  <w:footnote w:type="continuationSeparator" w:id="0">
    <w:p w:rsidR="00762006" w:rsidRDefault="0076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20D"/>
    <w:multiLevelType w:val="hybridMultilevel"/>
    <w:tmpl w:val="427042A8"/>
    <w:lvl w:ilvl="0" w:tplc="01824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34682"/>
    <w:multiLevelType w:val="hybridMultilevel"/>
    <w:tmpl w:val="F40C2B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3"/>
  </w:num>
  <w:num w:numId="21">
    <w:abstractNumId w:val="4"/>
  </w:num>
  <w:num w:numId="22">
    <w:abstractNumId w:val="8"/>
  </w:num>
  <w:num w:numId="23">
    <w:abstractNumId w:val="6"/>
  </w:num>
  <w:num w:numId="24">
    <w:abstractNumId w:val="9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0"/>
  </w:num>
  <w:num w:numId="29">
    <w:abstractNumId w:val="10"/>
  </w:num>
  <w:num w:numId="30">
    <w:abstractNumId w:val="7"/>
  </w:num>
  <w:num w:numId="31">
    <w:abstractNumId w:val="7"/>
  </w:num>
  <w:num w:numId="32">
    <w:abstractNumId w:val="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0"/>
  </w:num>
  <w:num w:numId="36">
    <w:abstractNumId w:val="3"/>
  </w:num>
  <w:num w:numId="37">
    <w:abstractNumId w:val="2"/>
  </w:num>
  <w:num w:numId="38">
    <w:abstractNumId w:val="1"/>
  </w:num>
  <w:num w:numId="39">
    <w:abstractNumId w:val="3"/>
  </w:num>
  <w:num w:numId="40">
    <w:abstractNumId w:val="3"/>
  </w:num>
  <w:num w:numId="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06E0"/>
    <w:rsid w:val="000020C4"/>
    <w:rsid w:val="00006581"/>
    <w:rsid w:val="00006961"/>
    <w:rsid w:val="00006FC1"/>
    <w:rsid w:val="000112BF"/>
    <w:rsid w:val="00012233"/>
    <w:rsid w:val="00014107"/>
    <w:rsid w:val="000172F6"/>
    <w:rsid w:val="00017318"/>
    <w:rsid w:val="000246F7"/>
    <w:rsid w:val="0003114D"/>
    <w:rsid w:val="000335F5"/>
    <w:rsid w:val="00036D76"/>
    <w:rsid w:val="00047820"/>
    <w:rsid w:val="00057F32"/>
    <w:rsid w:val="000621E2"/>
    <w:rsid w:val="00062A25"/>
    <w:rsid w:val="00066731"/>
    <w:rsid w:val="00067E78"/>
    <w:rsid w:val="00071C97"/>
    <w:rsid w:val="00073CB5"/>
    <w:rsid w:val="0007425C"/>
    <w:rsid w:val="00077553"/>
    <w:rsid w:val="00081296"/>
    <w:rsid w:val="00083051"/>
    <w:rsid w:val="00083475"/>
    <w:rsid w:val="0008353F"/>
    <w:rsid w:val="00083C4E"/>
    <w:rsid w:val="000849FF"/>
    <w:rsid w:val="000851A2"/>
    <w:rsid w:val="0009352E"/>
    <w:rsid w:val="0009563F"/>
    <w:rsid w:val="00096B96"/>
    <w:rsid w:val="000A2F3F"/>
    <w:rsid w:val="000B0B4A"/>
    <w:rsid w:val="000B279A"/>
    <w:rsid w:val="000B59E2"/>
    <w:rsid w:val="000B61D2"/>
    <w:rsid w:val="000B70A7"/>
    <w:rsid w:val="000B73DD"/>
    <w:rsid w:val="000C495F"/>
    <w:rsid w:val="000D0B15"/>
    <w:rsid w:val="000D654A"/>
    <w:rsid w:val="000E3211"/>
    <w:rsid w:val="000E5C0F"/>
    <w:rsid w:val="000E6258"/>
    <w:rsid w:val="000E6431"/>
    <w:rsid w:val="000F09DF"/>
    <w:rsid w:val="000F21A5"/>
    <w:rsid w:val="00102B9F"/>
    <w:rsid w:val="00112637"/>
    <w:rsid w:val="00112ABC"/>
    <w:rsid w:val="001151A6"/>
    <w:rsid w:val="0012001E"/>
    <w:rsid w:val="00126A55"/>
    <w:rsid w:val="00133F08"/>
    <w:rsid w:val="001345E6"/>
    <w:rsid w:val="00134D31"/>
    <w:rsid w:val="001378B0"/>
    <w:rsid w:val="00142E00"/>
    <w:rsid w:val="00152793"/>
    <w:rsid w:val="00153B7E"/>
    <w:rsid w:val="001545A9"/>
    <w:rsid w:val="001625DB"/>
    <w:rsid w:val="001637C7"/>
    <w:rsid w:val="0016480E"/>
    <w:rsid w:val="001668F6"/>
    <w:rsid w:val="00171D15"/>
    <w:rsid w:val="001723B9"/>
    <w:rsid w:val="00174297"/>
    <w:rsid w:val="00180E06"/>
    <w:rsid w:val="001817B3"/>
    <w:rsid w:val="001824B1"/>
    <w:rsid w:val="00183014"/>
    <w:rsid w:val="00187A2D"/>
    <w:rsid w:val="00192136"/>
    <w:rsid w:val="001959C2"/>
    <w:rsid w:val="00195FD9"/>
    <w:rsid w:val="001965D5"/>
    <w:rsid w:val="001A11DA"/>
    <w:rsid w:val="001A51E3"/>
    <w:rsid w:val="001A7968"/>
    <w:rsid w:val="001B003C"/>
    <w:rsid w:val="001B2E98"/>
    <w:rsid w:val="001B3483"/>
    <w:rsid w:val="001B3C1E"/>
    <w:rsid w:val="001B4494"/>
    <w:rsid w:val="001C0D8B"/>
    <w:rsid w:val="001C0DA8"/>
    <w:rsid w:val="001C3594"/>
    <w:rsid w:val="001C7430"/>
    <w:rsid w:val="001C7C10"/>
    <w:rsid w:val="001D4AD7"/>
    <w:rsid w:val="001D6A73"/>
    <w:rsid w:val="001E0D8A"/>
    <w:rsid w:val="001E12DC"/>
    <w:rsid w:val="001E67BA"/>
    <w:rsid w:val="001E74C2"/>
    <w:rsid w:val="001F4F82"/>
    <w:rsid w:val="001F5A48"/>
    <w:rsid w:val="001F6260"/>
    <w:rsid w:val="00200007"/>
    <w:rsid w:val="00202F02"/>
    <w:rsid w:val="002030A5"/>
    <w:rsid w:val="00203131"/>
    <w:rsid w:val="00212E88"/>
    <w:rsid w:val="00213C9C"/>
    <w:rsid w:val="0022009E"/>
    <w:rsid w:val="00222023"/>
    <w:rsid w:val="00223241"/>
    <w:rsid w:val="0022425C"/>
    <w:rsid w:val="002246DE"/>
    <w:rsid w:val="002249B4"/>
    <w:rsid w:val="002264C5"/>
    <w:rsid w:val="00240300"/>
    <w:rsid w:val="00252BC4"/>
    <w:rsid w:val="00254014"/>
    <w:rsid w:val="00254B39"/>
    <w:rsid w:val="0026392E"/>
    <w:rsid w:val="0026504D"/>
    <w:rsid w:val="00273A2F"/>
    <w:rsid w:val="002748F9"/>
    <w:rsid w:val="00280986"/>
    <w:rsid w:val="00281ECE"/>
    <w:rsid w:val="002831C7"/>
    <w:rsid w:val="002840C6"/>
    <w:rsid w:val="00286EB7"/>
    <w:rsid w:val="0029212C"/>
    <w:rsid w:val="00295174"/>
    <w:rsid w:val="00296172"/>
    <w:rsid w:val="00296B92"/>
    <w:rsid w:val="002A2C22"/>
    <w:rsid w:val="002A593C"/>
    <w:rsid w:val="002B02EB"/>
    <w:rsid w:val="002B1811"/>
    <w:rsid w:val="002B3C48"/>
    <w:rsid w:val="002B5861"/>
    <w:rsid w:val="002B602C"/>
    <w:rsid w:val="002C0602"/>
    <w:rsid w:val="002C06A5"/>
    <w:rsid w:val="002C1CBC"/>
    <w:rsid w:val="002D4097"/>
    <w:rsid w:val="002D5C16"/>
    <w:rsid w:val="002D6269"/>
    <w:rsid w:val="002E4DF9"/>
    <w:rsid w:val="002F2476"/>
    <w:rsid w:val="002F3234"/>
    <w:rsid w:val="002F3DFF"/>
    <w:rsid w:val="002F4B41"/>
    <w:rsid w:val="002F5E05"/>
    <w:rsid w:val="00300CF1"/>
    <w:rsid w:val="00301E24"/>
    <w:rsid w:val="0030290E"/>
    <w:rsid w:val="00307443"/>
    <w:rsid w:val="00307A76"/>
    <w:rsid w:val="00315A16"/>
    <w:rsid w:val="00317053"/>
    <w:rsid w:val="0032109C"/>
    <w:rsid w:val="00322B45"/>
    <w:rsid w:val="00323809"/>
    <w:rsid w:val="00323D41"/>
    <w:rsid w:val="00325414"/>
    <w:rsid w:val="003302F1"/>
    <w:rsid w:val="00340470"/>
    <w:rsid w:val="0034470E"/>
    <w:rsid w:val="00352DB0"/>
    <w:rsid w:val="00361063"/>
    <w:rsid w:val="003628BF"/>
    <w:rsid w:val="00363DF9"/>
    <w:rsid w:val="00365E03"/>
    <w:rsid w:val="00367092"/>
    <w:rsid w:val="00367C87"/>
    <w:rsid w:val="0037094A"/>
    <w:rsid w:val="00371ED3"/>
    <w:rsid w:val="00372FFC"/>
    <w:rsid w:val="00373B1C"/>
    <w:rsid w:val="0037728A"/>
    <w:rsid w:val="00380B7D"/>
    <w:rsid w:val="00381A99"/>
    <w:rsid w:val="003829C2"/>
    <w:rsid w:val="003830B2"/>
    <w:rsid w:val="00384724"/>
    <w:rsid w:val="00387EB3"/>
    <w:rsid w:val="003901DC"/>
    <w:rsid w:val="003919B7"/>
    <w:rsid w:val="00391D57"/>
    <w:rsid w:val="00392292"/>
    <w:rsid w:val="00393C07"/>
    <w:rsid w:val="00394F45"/>
    <w:rsid w:val="003A4990"/>
    <w:rsid w:val="003A4F64"/>
    <w:rsid w:val="003A5927"/>
    <w:rsid w:val="003B0BD6"/>
    <w:rsid w:val="003B1017"/>
    <w:rsid w:val="003B2109"/>
    <w:rsid w:val="003B3C07"/>
    <w:rsid w:val="003B6081"/>
    <w:rsid w:val="003B6775"/>
    <w:rsid w:val="003B756E"/>
    <w:rsid w:val="003B77BA"/>
    <w:rsid w:val="003C1CB7"/>
    <w:rsid w:val="003C3955"/>
    <w:rsid w:val="003C5FE2"/>
    <w:rsid w:val="003C7CD1"/>
    <w:rsid w:val="003D0243"/>
    <w:rsid w:val="003D05FB"/>
    <w:rsid w:val="003D0C16"/>
    <w:rsid w:val="003D1B16"/>
    <w:rsid w:val="003D2A22"/>
    <w:rsid w:val="003D45BF"/>
    <w:rsid w:val="003D508A"/>
    <w:rsid w:val="003D537F"/>
    <w:rsid w:val="003D7B75"/>
    <w:rsid w:val="003E0208"/>
    <w:rsid w:val="003E0883"/>
    <w:rsid w:val="003E13ED"/>
    <w:rsid w:val="003E1C8C"/>
    <w:rsid w:val="003E4B57"/>
    <w:rsid w:val="003F27E1"/>
    <w:rsid w:val="003F3963"/>
    <w:rsid w:val="003F437A"/>
    <w:rsid w:val="003F5C2B"/>
    <w:rsid w:val="003F78C3"/>
    <w:rsid w:val="00402240"/>
    <w:rsid w:val="004023E9"/>
    <w:rsid w:val="0040454A"/>
    <w:rsid w:val="004060DB"/>
    <w:rsid w:val="00406C28"/>
    <w:rsid w:val="004071EF"/>
    <w:rsid w:val="00413466"/>
    <w:rsid w:val="004134AA"/>
    <w:rsid w:val="00413F83"/>
    <w:rsid w:val="0041490C"/>
    <w:rsid w:val="00416191"/>
    <w:rsid w:val="00416721"/>
    <w:rsid w:val="00420174"/>
    <w:rsid w:val="00421EF0"/>
    <w:rsid w:val="004224FA"/>
    <w:rsid w:val="00423D07"/>
    <w:rsid w:val="00427936"/>
    <w:rsid w:val="004337C9"/>
    <w:rsid w:val="00436419"/>
    <w:rsid w:val="00436A3C"/>
    <w:rsid w:val="00437D27"/>
    <w:rsid w:val="00440B3F"/>
    <w:rsid w:val="0044346B"/>
    <w:rsid w:val="0044346F"/>
    <w:rsid w:val="00453FF6"/>
    <w:rsid w:val="00462990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A4706"/>
    <w:rsid w:val="004A61B5"/>
    <w:rsid w:val="004B13C7"/>
    <w:rsid w:val="004B22B0"/>
    <w:rsid w:val="004B778F"/>
    <w:rsid w:val="004C0609"/>
    <w:rsid w:val="004C374B"/>
    <w:rsid w:val="004C6EC7"/>
    <w:rsid w:val="004C7E9F"/>
    <w:rsid w:val="004D141F"/>
    <w:rsid w:val="004D2742"/>
    <w:rsid w:val="004D6310"/>
    <w:rsid w:val="004E0062"/>
    <w:rsid w:val="004E05A1"/>
    <w:rsid w:val="004E4485"/>
    <w:rsid w:val="004F472A"/>
    <w:rsid w:val="004F4951"/>
    <w:rsid w:val="004F5E57"/>
    <w:rsid w:val="004F6710"/>
    <w:rsid w:val="00500C3E"/>
    <w:rsid w:val="00502849"/>
    <w:rsid w:val="00504334"/>
    <w:rsid w:val="0050498D"/>
    <w:rsid w:val="005104D7"/>
    <w:rsid w:val="00510B9E"/>
    <w:rsid w:val="00536BC2"/>
    <w:rsid w:val="005408E9"/>
    <w:rsid w:val="00541B2D"/>
    <w:rsid w:val="005425E1"/>
    <w:rsid w:val="005427C5"/>
    <w:rsid w:val="00542CF6"/>
    <w:rsid w:val="00543C6F"/>
    <w:rsid w:val="00544395"/>
    <w:rsid w:val="00553C03"/>
    <w:rsid w:val="005605BD"/>
    <w:rsid w:val="00563692"/>
    <w:rsid w:val="00563834"/>
    <w:rsid w:val="005642C6"/>
    <w:rsid w:val="00571679"/>
    <w:rsid w:val="00571A88"/>
    <w:rsid w:val="005724AA"/>
    <w:rsid w:val="00575C43"/>
    <w:rsid w:val="00582CAD"/>
    <w:rsid w:val="005844E7"/>
    <w:rsid w:val="0058672A"/>
    <w:rsid w:val="00587E5B"/>
    <w:rsid w:val="005908B8"/>
    <w:rsid w:val="0059512E"/>
    <w:rsid w:val="00595824"/>
    <w:rsid w:val="005A4814"/>
    <w:rsid w:val="005A6DD2"/>
    <w:rsid w:val="005B10AB"/>
    <w:rsid w:val="005B7133"/>
    <w:rsid w:val="005C385D"/>
    <w:rsid w:val="005D0D21"/>
    <w:rsid w:val="005D3B20"/>
    <w:rsid w:val="005D7722"/>
    <w:rsid w:val="005E176C"/>
    <w:rsid w:val="005E4759"/>
    <w:rsid w:val="005E5C68"/>
    <w:rsid w:val="005E5D90"/>
    <w:rsid w:val="005E65C0"/>
    <w:rsid w:val="005F0390"/>
    <w:rsid w:val="005F550D"/>
    <w:rsid w:val="006028A3"/>
    <w:rsid w:val="006072CD"/>
    <w:rsid w:val="00612023"/>
    <w:rsid w:val="00614190"/>
    <w:rsid w:val="00621CCE"/>
    <w:rsid w:val="00622A99"/>
    <w:rsid w:val="00622E67"/>
    <w:rsid w:val="006255D5"/>
    <w:rsid w:val="006269C6"/>
    <w:rsid w:val="00626B57"/>
    <w:rsid w:val="00626EDC"/>
    <w:rsid w:val="00632F19"/>
    <w:rsid w:val="00641614"/>
    <w:rsid w:val="00642445"/>
    <w:rsid w:val="006470EC"/>
    <w:rsid w:val="006542D6"/>
    <w:rsid w:val="00654595"/>
    <w:rsid w:val="0065598E"/>
    <w:rsid w:val="00655AF2"/>
    <w:rsid w:val="00655BC5"/>
    <w:rsid w:val="006568BE"/>
    <w:rsid w:val="0066025D"/>
    <w:rsid w:val="0066091A"/>
    <w:rsid w:val="00665372"/>
    <w:rsid w:val="006773EC"/>
    <w:rsid w:val="00680504"/>
    <w:rsid w:val="00681CD9"/>
    <w:rsid w:val="00683E30"/>
    <w:rsid w:val="00687024"/>
    <w:rsid w:val="00695E22"/>
    <w:rsid w:val="0069663D"/>
    <w:rsid w:val="006B7093"/>
    <w:rsid w:val="006B7417"/>
    <w:rsid w:val="006D3691"/>
    <w:rsid w:val="006D3C4C"/>
    <w:rsid w:val="006E4612"/>
    <w:rsid w:val="006E5EF0"/>
    <w:rsid w:val="006F2C69"/>
    <w:rsid w:val="006F3563"/>
    <w:rsid w:val="006F42B9"/>
    <w:rsid w:val="006F6103"/>
    <w:rsid w:val="006F7B8C"/>
    <w:rsid w:val="0070405A"/>
    <w:rsid w:val="00704E00"/>
    <w:rsid w:val="0070697A"/>
    <w:rsid w:val="00714BA0"/>
    <w:rsid w:val="007176F7"/>
    <w:rsid w:val="007209E7"/>
    <w:rsid w:val="00726182"/>
    <w:rsid w:val="00726986"/>
    <w:rsid w:val="00727635"/>
    <w:rsid w:val="00727C58"/>
    <w:rsid w:val="00732329"/>
    <w:rsid w:val="007337CA"/>
    <w:rsid w:val="00734CE4"/>
    <w:rsid w:val="00735123"/>
    <w:rsid w:val="0074092D"/>
    <w:rsid w:val="00740F70"/>
    <w:rsid w:val="0074132F"/>
    <w:rsid w:val="00741837"/>
    <w:rsid w:val="007453E6"/>
    <w:rsid w:val="007554D6"/>
    <w:rsid w:val="007570B8"/>
    <w:rsid w:val="00762006"/>
    <w:rsid w:val="0076567B"/>
    <w:rsid w:val="007672DA"/>
    <w:rsid w:val="00767DF9"/>
    <w:rsid w:val="007719FC"/>
    <w:rsid w:val="00772998"/>
    <w:rsid w:val="0077309D"/>
    <w:rsid w:val="00775525"/>
    <w:rsid w:val="007774EE"/>
    <w:rsid w:val="00781822"/>
    <w:rsid w:val="00783F21"/>
    <w:rsid w:val="00787159"/>
    <w:rsid w:val="0079043A"/>
    <w:rsid w:val="00791668"/>
    <w:rsid w:val="00791AA1"/>
    <w:rsid w:val="00791E6E"/>
    <w:rsid w:val="007950C7"/>
    <w:rsid w:val="007A23FD"/>
    <w:rsid w:val="007A3388"/>
    <w:rsid w:val="007A3793"/>
    <w:rsid w:val="007C1BA2"/>
    <w:rsid w:val="007C2B48"/>
    <w:rsid w:val="007D1507"/>
    <w:rsid w:val="007D20E9"/>
    <w:rsid w:val="007D7881"/>
    <w:rsid w:val="007D7E3A"/>
    <w:rsid w:val="007E0E10"/>
    <w:rsid w:val="007E4768"/>
    <w:rsid w:val="007E53CB"/>
    <w:rsid w:val="007E777B"/>
    <w:rsid w:val="007F2070"/>
    <w:rsid w:val="007F63C1"/>
    <w:rsid w:val="008053F5"/>
    <w:rsid w:val="0080560B"/>
    <w:rsid w:val="00806EC3"/>
    <w:rsid w:val="00807AF7"/>
    <w:rsid w:val="00810198"/>
    <w:rsid w:val="00815DA8"/>
    <w:rsid w:val="00817A9A"/>
    <w:rsid w:val="008205B1"/>
    <w:rsid w:val="008206C1"/>
    <w:rsid w:val="0082194D"/>
    <w:rsid w:val="008221F9"/>
    <w:rsid w:val="00826EF5"/>
    <w:rsid w:val="00831693"/>
    <w:rsid w:val="00840104"/>
    <w:rsid w:val="00840C1F"/>
    <w:rsid w:val="008411C9"/>
    <w:rsid w:val="00841FC5"/>
    <w:rsid w:val="00843B9C"/>
    <w:rsid w:val="008455C1"/>
    <w:rsid w:val="00845709"/>
    <w:rsid w:val="008576BD"/>
    <w:rsid w:val="00860463"/>
    <w:rsid w:val="00864298"/>
    <w:rsid w:val="008733DA"/>
    <w:rsid w:val="0087588B"/>
    <w:rsid w:val="008850E4"/>
    <w:rsid w:val="008858E4"/>
    <w:rsid w:val="00887850"/>
    <w:rsid w:val="008939AB"/>
    <w:rsid w:val="00895E6A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C5292"/>
    <w:rsid w:val="008C69D8"/>
    <w:rsid w:val="008D5C44"/>
    <w:rsid w:val="008E0085"/>
    <w:rsid w:val="008E2AA6"/>
    <w:rsid w:val="008E311B"/>
    <w:rsid w:val="008E796D"/>
    <w:rsid w:val="008F46E7"/>
    <w:rsid w:val="008F5002"/>
    <w:rsid w:val="008F6F0B"/>
    <w:rsid w:val="00904212"/>
    <w:rsid w:val="00905871"/>
    <w:rsid w:val="00907BA7"/>
    <w:rsid w:val="0091064E"/>
    <w:rsid w:val="00910A1D"/>
    <w:rsid w:val="00911FC5"/>
    <w:rsid w:val="00931A10"/>
    <w:rsid w:val="00936674"/>
    <w:rsid w:val="00941F51"/>
    <w:rsid w:val="00942B24"/>
    <w:rsid w:val="00947967"/>
    <w:rsid w:val="00947B90"/>
    <w:rsid w:val="00947CBC"/>
    <w:rsid w:val="00953B9B"/>
    <w:rsid w:val="00954D2F"/>
    <w:rsid w:val="00955201"/>
    <w:rsid w:val="00965200"/>
    <w:rsid w:val="009668B3"/>
    <w:rsid w:val="009679DC"/>
    <w:rsid w:val="00971471"/>
    <w:rsid w:val="009834D6"/>
    <w:rsid w:val="009849C2"/>
    <w:rsid w:val="00984A04"/>
    <w:rsid w:val="00984D24"/>
    <w:rsid w:val="009858EB"/>
    <w:rsid w:val="009911A2"/>
    <w:rsid w:val="009A3F47"/>
    <w:rsid w:val="009A5B9E"/>
    <w:rsid w:val="009B0046"/>
    <w:rsid w:val="009C1440"/>
    <w:rsid w:val="009C2107"/>
    <w:rsid w:val="009C5D9E"/>
    <w:rsid w:val="009D2C3E"/>
    <w:rsid w:val="009D390A"/>
    <w:rsid w:val="009E0625"/>
    <w:rsid w:val="009E3034"/>
    <w:rsid w:val="009E3C86"/>
    <w:rsid w:val="009E4C1B"/>
    <w:rsid w:val="009E549F"/>
    <w:rsid w:val="009E564E"/>
    <w:rsid w:val="009F28A8"/>
    <w:rsid w:val="009F473E"/>
    <w:rsid w:val="009F4A2C"/>
    <w:rsid w:val="009F682A"/>
    <w:rsid w:val="00A022BE"/>
    <w:rsid w:val="00A07B4B"/>
    <w:rsid w:val="00A10AC3"/>
    <w:rsid w:val="00A13335"/>
    <w:rsid w:val="00A216BF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73F5"/>
    <w:rsid w:val="00A51184"/>
    <w:rsid w:val="00A51F9D"/>
    <w:rsid w:val="00A5416A"/>
    <w:rsid w:val="00A561CE"/>
    <w:rsid w:val="00A606AD"/>
    <w:rsid w:val="00A639F4"/>
    <w:rsid w:val="00A64C43"/>
    <w:rsid w:val="00A67EF8"/>
    <w:rsid w:val="00A81A32"/>
    <w:rsid w:val="00A82386"/>
    <w:rsid w:val="00A835BD"/>
    <w:rsid w:val="00A97B15"/>
    <w:rsid w:val="00AA42D5"/>
    <w:rsid w:val="00AB1666"/>
    <w:rsid w:val="00AB2FAB"/>
    <w:rsid w:val="00AB5C14"/>
    <w:rsid w:val="00AC0926"/>
    <w:rsid w:val="00AC1EE7"/>
    <w:rsid w:val="00AC333F"/>
    <w:rsid w:val="00AC371D"/>
    <w:rsid w:val="00AC4B64"/>
    <w:rsid w:val="00AC585C"/>
    <w:rsid w:val="00AD08E2"/>
    <w:rsid w:val="00AD1925"/>
    <w:rsid w:val="00AD58FB"/>
    <w:rsid w:val="00AD6573"/>
    <w:rsid w:val="00AE067D"/>
    <w:rsid w:val="00AE1DD0"/>
    <w:rsid w:val="00AE35F1"/>
    <w:rsid w:val="00AF0EB0"/>
    <w:rsid w:val="00AF1181"/>
    <w:rsid w:val="00AF2F79"/>
    <w:rsid w:val="00AF4653"/>
    <w:rsid w:val="00AF54E6"/>
    <w:rsid w:val="00AF5CE2"/>
    <w:rsid w:val="00AF7D47"/>
    <w:rsid w:val="00AF7DB7"/>
    <w:rsid w:val="00B10D02"/>
    <w:rsid w:val="00B140D2"/>
    <w:rsid w:val="00B16AC6"/>
    <w:rsid w:val="00B201E2"/>
    <w:rsid w:val="00B207A4"/>
    <w:rsid w:val="00B244CF"/>
    <w:rsid w:val="00B443E4"/>
    <w:rsid w:val="00B458F8"/>
    <w:rsid w:val="00B473CD"/>
    <w:rsid w:val="00B533A6"/>
    <w:rsid w:val="00B5484D"/>
    <w:rsid w:val="00B563EA"/>
    <w:rsid w:val="00B56CDF"/>
    <w:rsid w:val="00B600EA"/>
    <w:rsid w:val="00B60E51"/>
    <w:rsid w:val="00B63497"/>
    <w:rsid w:val="00B63A54"/>
    <w:rsid w:val="00B6712A"/>
    <w:rsid w:val="00B712D4"/>
    <w:rsid w:val="00B71381"/>
    <w:rsid w:val="00B77D18"/>
    <w:rsid w:val="00B8313A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C3890"/>
    <w:rsid w:val="00BC39A4"/>
    <w:rsid w:val="00BE0C80"/>
    <w:rsid w:val="00BE1AAC"/>
    <w:rsid w:val="00BE602D"/>
    <w:rsid w:val="00BF2800"/>
    <w:rsid w:val="00BF2A42"/>
    <w:rsid w:val="00BF3DE1"/>
    <w:rsid w:val="00BF4436"/>
    <w:rsid w:val="00C03D8C"/>
    <w:rsid w:val="00C055EC"/>
    <w:rsid w:val="00C06C2F"/>
    <w:rsid w:val="00C10DC9"/>
    <w:rsid w:val="00C12FB3"/>
    <w:rsid w:val="00C157A1"/>
    <w:rsid w:val="00C17341"/>
    <w:rsid w:val="00C231B3"/>
    <w:rsid w:val="00C24EEF"/>
    <w:rsid w:val="00C25CF6"/>
    <w:rsid w:val="00C26C36"/>
    <w:rsid w:val="00C32768"/>
    <w:rsid w:val="00C32EB8"/>
    <w:rsid w:val="00C3542B"/>
    <w:rsid w:val="00C42219"/>
    <w:rsid w:val="00C431DF"/>
    <w:rsid w:val="00C443E0"/>
    <w:rsid w:val="00C456BD"/>
    <w:rsid w:val="00C530DC"/>
    <w:rsid w:val="00C5350D"/>
    <w:rsid w:val="00C6123C"/>
    <w:rsid w:val="00C62100"/>
    <w:rsid w:val="00C6311A"/>
    <w:rsid w:val="00C64198"/>
    <w:rsid w:val="00C66F81"/>
    <w:rsid w:val="00C7084D"/>
    <w:rsid w:val="00C7315E"/>
    <w:rsid w:val="00C73992"/>
    <w:rsid w:val="00C75895"/>
    <w:rsid w:val="00C77690"/>
    <w:rsid w:val="00C8060F"/>
    <w:rsid w:val="00C83010"/>
    <w:rsid w:val="00C83C9F"/>
    <w:rsid w:val="00C909B8"/>
    <w:rsid w:val="00C94840"/>
    <w:rsid w:val="00CA02A7"/>
    <w:rsid w:val="00CA352E"/>
    <w:rsid w:val="00CA4EE3"/>
    <w:rsid w:val="00CA5371"/>
    <w:rsid w:val="00CA7D78"/>
    <w:rsid w:val="00CB027F"/>
    <w:rsid w:val="00CB48C7"/>
    <w:rsid w:val="00CC0EBB"/>
    <w:rsid w:val="00CC1D20"/>
    <w:rsid w:val="00CC5179"/>
    <w:rsid w:val="00CC6297"/>
    <w:rsid w:val="00CC7690"/>
    <w:rsid w:val="00CD0C8D"/>
    <w:rsid w:val="00CD1986"/>
    <w:rsid w:val="00CD54BF"/>
    <w:rsid w:val="00CD599D"/>
    <w:rsid w:val="00CE4D5C"/>
    <w:rsid w:val="00CF05DA"/>
    <w:rsid w:val="00CF58EB"/>
    <w:rsid w:val="00CF6FEC"/>
    <w:rsid w:val="00D00F8F"/>
    <w:rsid w:val="00D0106E"/>
    <w:rsid w:val="00D02673"/>
    <w:rsid w:val="00D033BC"/>
    <w:rsid w:val="00D05EF4"/>
    <w:rsid w:val="00D06383"/>
    <w:rsid w:val="00D1520F"/>
    <w:rsid w:val="00D20E85"/>
    <w:rsid w:val="00D24615"/>
    <w:rsid w:val="00D27EF7"/>
    <w:rsid w:val="00D36524"/>
    <w:rsid w:val="00D37842"/>
    <w:rsid w:val="00D42DC2"/>
    <w:rsid w:val="00D4302B"/>
    <w:rsid w:val="00D50B6B"/>
    <w:rsid w:val="00D537E1"/>
    <w:rsid w:val="00D54FDD"/>
    <w:rsid w:val="00D55BB2"/>
    <w:rsid w:val="00D6091A"/>
    <w:rsid w:val="00D640CC"/>
    <w:rsid w:val="00D6605A"/>
    <w:rsid w:val="00D6695F"/>
    <w:rsid w:val="00D75644"/>
    <w:rsid w:val="00D76BE0"/>
    <w:rsid w:val="00D81656"/>
    <w:rsid w:val="00D83D87"/>
    <w:rsid w:val="00D84A6D"/>
    <w:rsid w:val="00D8517C"/>
    <w:rsid w:val="00D86A30"/>
    <w:rsid w:val="00D900A5"/>
    <w:rsid w:val="00D9600F"/>
    <w:rsid w:val="00D97424"/>
    <w:rsid w:val="00D97A63"/>
    <w:rsid w:val="00D97CB4"/>
    <w:rsid w:val="00D97DD4"/>
    <w:rsid w:val="00DA1062"/>
    <w:rsid w:val="00DA4ACF"/>
    <w:rsid w:val="00DA5A8A"/>
    <w:rsid w:val="00DB1170"/>
    <w:rsid w:val="00DB26CD"/>
    <w:rsid w:val="00DB441C"/>
    <w:rsid w:val="00DB44AF"/>
    <w:rsid w:val="00DC1F58"/>
    <w:rsid w:val="00DC339B"/>
    <w:rsid w:val="00DC33C0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4AC1"/>
    <w:rsid w:val="00DF5151"/>
    <w:rsid w:val="00DF6462"/>
    <w:rsid w:val="00E02FA0"/>
    <w:rsid w:val="00E036DC"/>
    <w:rsid w:val="00E10454"/>
    <w:rsid w:val="00E112E5"/>
    <w:rsid w:val="00E122D8"/>
    <w:rsid w:val="00E12CC8"/>
    <w:rsid w:val="00E13875"/>
    <w:rsid w:val="00E15352"/>
    <w:rsid w:val="00E209A7"/>
    <w:rsid w:val="00E21CC7"/>
    <w:rsid w:val="00E24D9E"/>
    <w:rsid w:val="00E25849"/>
    <w:rsid w:val="00E264E6"/>
    <w:rsid w:val="00E3197E"/>
    <w:rsid w:val="00E342F8"/>
    <w:rsid w:val="00E351ED"/>
    <w:rsid w:val="00E435E9"/>
    <w:rsid w:val="00E47928"/>
    <w:rsid w:val="00E52FF5"/>
    <w:rsid w:val="00E55871"/>
    <w:rsid w:val="00E6034B"/>
    <w:rsid w:val="00E6549E"/>
    <w:rsid w:val="00E65EDE"/>
    <w:rsid w:val="00E67C52"/>
    <w:rsid w:val="00E70F81"/>
    <w:rsid w:val="00E77055"/>
    <w:rsid w:val="00E77460"/>
    <w:rsid w:val="00E80768"/>
    <w:rsid w:val="00E83ABC"/>
    <w:rsid w:val="00E844F2"/>
    <w:rsid w:val="00E90AD0"/>
    <w:rsid w:val="00E92FCB"/>
    <w:rsid w:val="00E968D7"/>
    <w:rsid w:val="00EA147F"/>
    <w:rsid w:val="00EA3D1D"/>
    <w:rsid w:val="00EA4A27"/>
    <w:rsid w:val="00EA4F34"/>
    <w:rsid w:val="00EA4FA6"/>
    <w:rsid w:val="00EB0625"/>
    <w:rsid w:val="00EB1959"/>
    <w:rsid w:val="00EB1A25"/>
    <w:rsid w:val="00EC1B06"/>
    <w:rsid w:val="00EC44FB"/>
    <w:rsid w:val="00EC7363"/>
    <w:rsid w:val="00ED0394"/>
    <w:rsid w:val="00ED03AB"/>
    <w:rsid w:val="00ED1963"/>
    <w:rsid w:val="00ED1CD4"/>
    <w:rsid w:val="00ED1D2B"/>
    <w:rsid w:val="00ED2157"/>
    <w:rsid w:val="00ED3C6F"/>
    <w:rsid w:val="00ED3E47"/>
    <w:rsid w:val="00ED64B5"/>
    <w:rsid w:val="00EE7CCA"/>
    <w:rsid w:val="00EF0430"/>
    <w:rsid w:val="00EF75C0"/>
    <w:rsid w:val="00EF7B7D"/>
    <w:rsid w:val="00F050EC"/>
    <w:rsid w:val="00F16A14"/>
    <w:rsid w:val="00F228AF"/>
    <w:rsid w:val="00F23D8B"/>
    <w:rsid w:val="00F24B7F"/>
    <w:rsid w:val="00F362D7"/>
    <w:rsid w:val="00F37D7B"/>
    <w:rsid w:val="00F43652"/>
    <w:rsid w:val="00F4420F"/>
    <w:rsid w:val="00F4669D"/>
    <w:rsid w:val="00F5314C"/>
    <w:rsid w:val="00F53D44"/>
    <w:rsid w:val="00F54CF6"/>
    <w:rsid w:val="00F5688C"/>
    <w:rsid w:val="00F60048"/>
    <w:rsid w:val="00F60765"/>
    <w:rsid w:val="00F635DD"/>
    <w:rsid w:val="00F65F64"/>
    <w:rsid w:val="00F6627B"/>
    <w:rsid w:val="00F729F1"/>
    <w:rsid w:val="00F7336E"/>
    <w:rsid w:val="00F734F2"/>
    <w:rsid w:val="00F75052"/>
    <w:rsid w:val="00F77B84"/>
    <w:rsid w:val="00F804D3"/>
    <w:rsid w:val="00F816CB"/>
    <w:rsid w:val="00F81CD2"/>
    <w:rsid w:val="00F82641"/>
    <w:rsid w:val="00F90F18"/>
    <w:rsid w:val="00F937E4"/>
    <w:rsid w:val="00F95EE7"/>
    <w:rsid w:val="00F96C94"/>
    <w:rsid w:val="00F97911"/>
    <w:rsid w:val="00FA0241"/>
    <w:rsid w:val="00FA39E6"/>
    <w:rsid w:val="00FA6AC1"/>
    <w:rsid w:val="00FA76D5"/>
    <w:rsid w:val="00FA79BD"/>
    <w:rsid w:val="00FA7BC9"/>
    <w:rsid w:val="00FB378E"/>
    <w:rsid w:val="00FB37F1"/>
    <w:rsid w:val="00FB47C0"/>
    <w:rsid w:val="00FB501B"/>
    <w:rsid w:val="00FB7770"/>
    <w:rsid w:val="00FD0CF4"/>
    <w:rsid w:val="00FD3B91"/>
    <w:rsid w:val="00FD576B"/>
    <w:rsid w:val="00FD579E"/>
    <w:rsid w:val="00FD6845"/>
    <w:rsid w:val="00FE4516"/>
    <w:rsid w:val="00FE5D43"/>
    <w:rsid w:val="00FE64C8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unhideWhenUsed/>
    <w:rsid w:val="00ED3C6F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ED3C6F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unhideWhenUsed/>
    <w:rsid w:val="00ED3C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unhideWhenUsed/>
    <w:rsid w:val="00ED3C6F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ED3C6F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unhideWhenUsed/>
    <w:rsid w:val="00ED3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E053-3D13-40BF-B032-99913CEB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14</Pages>
  <Words>1173</Words>
  <Characters>6688</Characters>
  <Application>Microsoft Office Word</Application>
  <DocSecurity>0</DocSecurity>
  <Lines>55</Lines>
  <Paragraphs>15</Paragraphs>
  <ScaleCrop>false</ScaleCrop>
  <Company>cy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杜玉祥</dc:creator>
  <cp:lastModifiedBy>stud01</cp:lastModifiedBy>
  <cp:revision>3</cp:revision>
  <cp:lastPrinted>2018-11-22T04:01:00Z</cp:lastPrinted>
  <dcterms:created xsi:type="dcterms:W3CDTF">2019-04-24T09:19:00Z</dcterms:created>
  <dcterms:modified xsi:type="dcterms:W3CDTF">2019-04-24T09:20:00Z</dcterms:modified>
</cp:coreProperties>
</file>