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08B" w:rsidRDefault="00D5308B">
      <w:pPr>
        <w:pStyle w:val="a6"/>
        <w:kinsoku w:val="0"/>
        <w:spacing w:before="0"/>
        <w:ind w:leftChars="700" w:left="2381" w:firstLine="0"/>
        <w:rPr>
          <w:bCs/>
          <w:snapToGrid/>
          <w:spacing w:val="200"/>
          <w:kern w:val="0"/>
          <w:sz w:val="40"/>
        </w:rPr>
      </w:pPr>
      <w:r>
        <w:rPr>
          <w:rFonts w:hint="eastAsia"/>
          <w:bCs/>
          <w:snapToGrid/>
          <w:spacing w:val="200"/>
          <w:kern w:val="0"/>
          <w:sz w:val="40"/>
        </w:rPr>
        <w:t>調查報告</w:t>
      </w:r>
    </w:p>
    <w:p w:rsidR="00D5308B" w:rsidRDefault="00D5308B" w:rsidP="00793D7C">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00793D7C" w:rsidRPr="00793D7C">
        <w:rPr>
          <w:rFonts w:hint="eastAsia"/>
        </w:rPr>
        <w:t>按「檢察機關辦理通緝案件應行注意事項」第9點規定，同一檢察署就同一被告或受刑人已為2案以上通緝時，除偵查及執行案件應分別通緝外，以</w:t>
      </w:r>
      <w:proofErr w:type="gramStart"/>
      <w:r w:rsidR="00793D7C" w:rsidRPr="00793D7C">
        <w:rPr>
          <w:rFonts w:hint="eastAsia"/>
        </w:rPr>
        <w:t>併</w:t>
      </w:r>
      <w:proofErr w:type="gramEnd"/>
      <w:r w:rsidR="00793D7C" w:rsidRPr="00793D7C">
        <w:rPr>
          <w:rFonts w:hint="eastAsia"/>
        </w:rPr>
        <w:t>案通緝之。惟</w:t>
      </w:r>
      <w:proofErr w:type="gramStart"/>
      <w:r w:rsidR="00793D7C" w:rsidRPr="00793D7C">
        <w:rPr>
          <w:rFonts w:hint="eastAsia"/>
        </w:rPr>
        <w:t>併</w:t>
      </w:r>
      <w:proofErr w:type="gramEnd"/>
      <w:r w:rsidR="00793D7C" w:rsidRPr="00793D7C">
        <w:rPr>
          <w:rFonts w:hint="eastAsia"/>
        </w:rPr>
        <w:t>案通緝發布時效是否</w:t>
      </w:r>
      <w:proofErr w:type="gramStart"/>
      <w:r w:rsidR="00793D7C" w:rsidRPr="00793D7C">
        <w:rPr>
          <w:rFonts w:hint="eastAsia"/>
        </w:rPr>
        <w:t>稽</w:t>
      </w:r>
      <w:proofErr w:type="gramEnd"/>
      <w:r w:rsidR="00793D7C" w:rsidRPr="00793D7C">
        <w:rPr>
          <w:rFonts w:hint="eastAsia"/>
        </w:rPr>
        <w:t>延及前案件是否會發生漏未訊問及漏未處理等</w:t>
      </w:r>
      <w:proofErr w:type="gramStart"/>
      <w:r w:rsidR="00793D7C" w:rsidRPr="00793D7C">
        <w:rPr>
          <w:rFonts w:hint="eastAsia"/>
        </w:rPr>
        <w:t>怠</w:t>
      </w:r>
      <w:proofErr w:type="gramEnd"/>
      <w:r w:rsidR="00793D7C" w:rsidRPr="00793D7C">
        <w:rPr>
          <w:rFonts w:hint="eastAsia"/>
        </w:rPr>
        <w:t>失，造成告訴人權益受損情事，國內各檢察機關辦理通緝案件制度性問題，似有深入了解之必要案。</w:t>
      </w:r>
    </w:p>
    <w:p w:rsidR="00F90DF0" w:rsidRPr="009303E9" w:rsidRDefault="00F90DF0" w:rsidP="00F90DF0">
      <w:pPr>
        <w:pStyle w:val="1"/>
        <w:ind w:left="2380" w:hanging="2380"/>
      </w:pPr>
      <w:bookmarkStart w:id="23" w:name="_Toc524892372"/>
      <w:r w:rsidRPr="009303E9">
        <w:rPr>
          <w:rFonts w:hint="eastAsia"/>
        </w:rPr>
        <w:t>調查意見：</w:t>
      </w:r>
    </w:p>
    <w:p w:rsidR="00F90DF0" w:rsidRPr="00F90DF0" w:rsidRDefault="00F90DF0" w:rsidP="00F90DF0">
      <w:pPr>
        <w:tabs>
          <w:tab w:val="left" w:pos="567"/>
        </w:tabs>
        <w:kinsoku w:val="0"/>
        <w:ind w:leftChars="200" w:left="680" w:firstLineChars="200" w:firstLine="680"/>
        <w:jc w:val="both"/>
        <w:rPr>
          <w:rFonts w:ascii="標楷體"/>
          <w:kern w:val="0"/>
        </w:rPr>
      </w:pPr>
      <w:bookmarkStart w:id="24" w:name="_Toc524902730"/>
      <w:r w:rsidRPr="00F90DF0">
        <w:rPr>
          <w:rFonts w:ascii="標楷體" w:hint="eastAsia"/>
          <w:kern w:val="0"/>
        </w:rPr>
        <w:t>本件陳</w:t>
      </w:r>
      <w:r w:rsidR="004C153A">
        <w:rPr>
          <w:rFonts w:ascii="標楷體" w:hint="eastAsia"/>
          <w:kern w:val="0"/>
        </w:rPr>
        <w:t>訴</w:t>
      </w:r>
      <w:r w:rsidRPr="00F90DF0">
        <w:rPr>
          <w:rFonts w:ascii="標楷體" w:hint="eastAsia"/>
          <w:kern w:val="0"/>
        </w:rPr>
        <w:t>人</w:t>
      </w:r>
      <w:proofErr w:type="gramStart"/>
      <w:r w:rsidR="000D237B">
        <w:rPr>
          <w:rFonts w:ascii="標楷體" w:hint="eastAsia"/>
          <w:kern w:val="0"/>
        </w:rPr>
        <w:t>駱</w:t>
      </w:r>
      <w:proofErr w:type="gramEnd"/>
      <w:r w:rsidR="000D237B">
        <w:rPr>
          <w:rFonts w:ascii="標楷體" w:hint="eastAsia"/>
          <w:kern w:val="0"/>
        </w:rPr>
        <w:t>○○</w:t>
      </w:r>
      <w:r w:rsidRPr="00F90DF0">
        <w:rPr>
          <w:rFonts w:ascii="標楷體" w:hint="eastAsia"/>
          <w:kern w:val="0"/>
        </w:rPr>
        <w:t>君因認臺灣桃園地方檢察署（下稱桃園地檢署）及</w:t>
      </w:r>
      <w:proofErr w:type="gramStart"/>
      <w:r w:rsidRPr="00F90DF0">
        <w:rPr>
          <w:rFonts w:ascii="標楷體" w:hint="eastAsia"/>
          <w:kern w:val="0"/>
        </w:rPr>
        <w:t>臺</w:t>
      </w:r>
      <w:proofErr w:type="gramEnd"/>
      <w:r w:rsidRPr="00F90DF0">
        <w:rPr>
          <w:rFonts w:ascii="標楷體" w:hint="eastAsia"/>
          <w:kern w:val="0"/>
        </w:rPr>
        <w:t>中市政府警察局於民國（下同）</w:t>
      </w:r>
      <w:r w:rsidRPr="00F90DF0">
        <w:rPr>
          <w:rFonts w:ascii="標楷體"/>
          <w:kern w:val="0"/>
        </w:rPr>
        <w:t>93</w:t>
      </w:r>
      <w:r w:rsidRPr="00F90DF0">
        <w:rPr>
          <w:rFonts w:ascii="標楷體" w:hint="eastAsia"/>
          <w:kern w:val="0"/>
        </w:rPr>
        <w:t>年間</w:t>
      </w:r>
      <w:proofErr w:type="gramStart"/>
      <w:r w:rsidRPr="00F90DF0">
        <w:rPr>
          <w:rFonts w:ascii="標楷體" w:hint="eastAsia"/>
          <w:kern w:val="0"/>
        </w:rPr>
        <w:t>怠</w:t>
      </w:r>
      <w:proofErr w:type="gramEnd"/>
      <w:r w:rsidRPr="00F90DF0">
        <w:rPr>
          <w:rFonts w:ascii="標楷體" w:hint="eastAsia"/>
          <w:kern w:val="0"/>
        </w:rPr>
        <w:t>於</w:t>
      </w:r>
      <w:proofErr w:type="gramStart"/>
      <w:r w:rsidRPr="00F90DF0">
        <w:rPr>
          <w:rFonts w:ascii="標楷體" w:hint="eastAsia"/>
          <w:kern w:val="0"/>
        </w:rPr>
        <w:t>偵辦渠遭詐騙</w:t>
      </w:r>
      <w:proofErr w:type="gramEnd"/>
      <w:r w:rsidRPr="00F90DF0">
        <w:rPr>
          <w:rFonts w:ascii="標楷體" w:hint="eastAsia"/>
          <w:kern w:val="0"/>
        </w:rPr>
        <w:t>案件（桃園地檢署</w:t>
      </w:r>
      <w:proofErr w:type="gramStart"/>
      <w:r w:rsidRPr="00F90DF0">
        <w:rPr>
          <w:rFonts w:ascii="標楷體"/>
          <w:kern w:val="0"/>
        </w:rPr>
        <w:t>104</w:t>
      </w:r>
      <w:proofErr w:type="gramEnd"/>
      <w:r w:rsidRPr="00F90DF0">
        <w:rPr>
          <w:rFonts w:ascii="標楷體" w:hint="eastAsia"/>
          <w:kern w:val="0"/>
        </w:rPr>
        <w:t>年度偵</w:t>
      </w:r>
      <w:r w:rsidR="005510AC">
        <w:rPr>
          <w:rFonts w:ascii="標楷體" w:hint="eastAsia"/>
          <w:kern w:val="0"/>
        </w:rPr>
        <w:t>緝</w:t>
      </w:r>
      <w:r w:rsidRPr="00F90DF0">
        <w:rPr>
          <w:rFonts w:ascii="標楷體" w:hint="eastAsia"/>
          <w:kern w:val="0"/>
        </w:rPr>
        <w:t>字第</w:t>
      </w:r>
      <w:r w:rsidRPr="00F90DF0">
        <w:rPr>
          <w:rFonts w:ascii="標楷體"/>
          <w:kern w:val="0"/>
        </w:rPr>
        <w:t>773</w:t>
      </w:r>
      <w:r w:rsidRPr="00F90DF0">
        <w:rPr>
          <w:rFonts w:ascii="標楷體" w:hint="eastAsia"/>
          <w:kern w:val="0"/>
        </w:rPr>
        <w:t>、</w:t>
      </w:r>
      <w:r w:rsidRPr="00F90DF0">
        <w:rPr>
          <w:rFonts w:ascii="標楷體"/>
          <w:kern w:val="0"/>
        </w:rPr>
        <w:t>774</w:t>
      </w:r>
      <w:r w:rsidRPr="00F90DF0">
        <w:rPr>
          <w:rFonts w:ascii="標楷體" w:hint="eastAsia"/>
          <w:kern w:val="0"/>
        </w:rPr>
        <w:t>號案件，被告為</w:t>
      </w:r>
      <w:r w:rsidR="000D237B">
        <w:rPr>
          <w:rFonts w:ascii="標楷體" w:hint="eastAsia"/>
          <w:kern w:val="0"/>
        </w:rPr>
        <w:t>陳○○</w:t>
      </w:r>
      <w:r w:rsidRPr="00F90DF0">
        <w:rPr>
          <w:rFonts w:ascii="標楷體" w:hint="eastAsia"/>
          <w:kern w:val="0"/>
        </w:rPr>
        <w:t>，通</w:t>
      </w:r>
      <w:r w:rsidR="005510AC">
        <w:rPr>
          <w:rFonts w:ascii="標楷體" w:hint="eastAsia"/>
          <w:kern w:val="0"/>
        </w:rPr>
        <w:t>緝</w:t>
      </w:r>
      <w:r w:rsidRPr="00F90DF0">
        <w:rPr>
          <w:rFonts w:ascii="標楷體" w:hint="eastAsia"/>
          <w:kern w:val="0"/>
        </w:rPr>
        <w:t>前之案號為</w:t>
      </w:r>
      <w:r w:rsidRPr="00F90DF0">
        <w:rPr>
          <w:rFonts w:ascii="標楷體"/>
          <w:kern w:val="0"/>
        </w:rPr>
        <w:t>92</w:t>
      </w:r>
      <w:r w:rsidRPr="00F90DF0">
        <w:rPr>
          <w:rFonts w:ascii="標楷體" w:hint="eastAsia"/>
          <w:kern w:val="0"/>
        </w:rPr>
        <w:t>年度</w:t>
      </w:r>
      <w:proofErr w:type="gramStart"/>
      <w:r w:rsidRPr="00F90DF0">
        <w:rPr>
          <w:rFonts w:ascii="標楷體" w:hint="eastAsia"/>
          <w:kern w:val="0"/>
        </w:rPr>
        <w:t>偵</w:t>
      </w:r>
      <w:proofErr w:type="gramEnd"/>
      <w:r w:rsidRPr="00F90DF0">
        <w:rPr>
          <w:rFonts w:ascii="標楷體" w:hint="eastAsia"/>
          <w:kern w:val="0"/>
        </w:rPr>
        <w:t>字第</w:t>
      </w:r>
      <w:r w:rsidRPr="00F90DF0">
        <w:rPr>
          <w:rFonts w:ascii="標楷體"/>
          <w:kern w:val="0"/>
        </w:rPr>
        <w:t>17959</w:t>
      </w:r>
      <w:r w:rsidRPr="00F90DF0">
        <w:rPr>
          <w:rFonts w:ascii="標楷體" w:hint="eastAsia"/>
          <w:kern w:val="0"/>
        </w:rPr>
        <w:t>號、</w:t>
      </w:r>
      <w:r w:rsidRPr="00F90DF0">
        <w:rPr>
          <w:rFonts w:ascii="標楷體"/>
          <w:kern w:val="0"/>
        </w:rPr>
        <w:t>93</w:t>
      </w:r>
      <w:r w:rsidRPr="00F90DF0">
        <w:rPr>
          <w:rFonts w:ascii="標楷體" w:hint="eastAsia"/>
          <w:kern w:val="0"/>
        </w:rPr>
        <w:t>年度</w:t>
      </w:r>
      <w:proofErr w:type="gramStart"/>
      <w:r w:rsidRPr="00F90DF0">
        <w:rPr>
          <w:rFonts w:ascii="標楷體" w:hint="eastAsia"/>
          <w:kern w:val="0"/>
        </w:rPr>
        <w:t>偵</w:t>
      </w:r>
      <w:proofErr w:type="gramEnd"/>
      <w:r w:rsidRPr="00F90DF0">
        <w:rPr>
          <w:rFonts w:ascii="標楷體" w:hint="eastAsia"/>
          <w:kern w:val="0"/>
        </w:rPr>
        <w:t>字第</w:t>
      </w:r>
      <w:r w:rsidRPr="00F90DF0">
        <w:rPr>
          <w:rFonts w:ascii="標楷體"/>
          <w:kern w:val="0"/>
        </w:rPr>
        <w:t>19638</w:t>
      </w:r>
      <w:r w:rsidRPr="00F90DF0">
        <w:rPr>
          <w:rFonts w:ascii="標楷體" w:hint="eastAsia"/>
          <w:kern w:val="0"/>
        </w:rPr>
        <w:t>號），向本院提出陳訴。本院於106年10月23日立案調查後，於同年</w:t>
      </w:r>
      <w:r w:rsidRPr="00F90DF0">
        <w:rPr>
          <w:rFonts w:ascii="標楷體"/>
          <w:kern w:val="0"/>
        </w:rPr>
        <w:t>11</w:t>
      </w:r>
      <w:r w:rsidRPr="00F90DF0">
        <w:rPr>
          <w:rFonts w:ascii="標楷體" w:hint="eastAsia"/>
          <w:kern w:val="0"/>
        </w:rPr>
        <w:t>月</w:t>
      </w:r>
      <w:r w:rsidRPr="00F90DF0">
        <w:rPr>
          <w:rFonts w:ascii="標楷體"/>
          <w:kern w:val="0"/>
        </w:rPr>
        <w:t>16</w:t>
      </w:r>
      <w:r w:rsidRPr="00F90DF0">
        <w:rPr>
          <w:rFonts w:ascii="標楷體" w:hint="eastAsia"/>
          <w:kern w:val="0"/>
        </w:rPr>
        <w:t>日檢附相關調查事項及調</w:t>
      </w:r>
      <w:proofErr w:type="gramStart"/>
      <w:r w:rsidRPr="00F90DF0">
        <w:rPr>
          <w:rFonts w:ascii="標楷體" w:hint="eastAsia"/>
          <w:kern w:val="0"/>
        </w:rPr>
        <w:t>閱之卷證</w:t>
      </w:r>
      <w:proofErr w:type="gramEnd"/>
      <w:r w:rsidRPr="00F90DF0">
        <w:rPr>
          <w:rFonts w:ascii="標楷體" w:hint="eastAsia"/>
          <w:kern w:val="0"/>
        </w:rPr>
        <w:t>名稱，函</w:t>
      </w:r>
      <w:proofErr w:type="gramStart"/>
      <w:r w:rsidRPr="00F90DF0">
        <w:rPr>
          <w:rFonts w:ascii="標楷體" w:hint="eastAsia"/>
          <w:kern w:val="0"/>
        </w:rPr>
        <w:t>詢</w:t>
      </w:r>
      <w:proofErr w:type="gramEnd"/>
      <w:r w:rsidRPr="00F90DF0">
        <w:rPr>
          <w:rFonts w:ascii="標楷體" w:hint="eastAsia"/>
          <w:kern w:val="0"/>
        </w:rPr>
        <w:t>司法院刑事廳、法務部及</w:t>
      </w:r>
      <w:r w:rsidRPr="00F90DF0">
        <w:rPr>
          <w:rFonts w:ascii="標楷體" w:hint="eastAsia"/>
          <w:bCs/>
          <w:kern w:val="0"/>
        </w:rPr>
        <w:t>內政部</w:t>
      </w:r>
      <w:r w:rsidRPr="00F90DF0">
        <w:rPr>
          <w:rFonts w:ascii="標楷體" w:hint="eastAsia"/>
          <w:kern w:val="0"/>
        </w:rPr>
        <w:t>警政署</w:t>
      </w:r>
      <w:r w:rsidRPr="00F90DF0">
        <w:rPr>
          <w:rFonts w:ascii="標楷體"/>
          <w:kern w:val="0"/>
          <w:vertAlign w:val="superscript"/>
        </w:rPr>
        <w:footnoteReference w:id="1"/>
      </w:r>
      <w:r w:rsidR="00CC16B9">
        <w:rPr>
          <w:rFonts w:ascii="標楷體" w:hint="eastAsia"/>
          <w:kern w:val="0"/>
        </w:rPr>
        <w:t>。</w:t>
      </w:r>
      <w:r w:rsidRPr="00F90DF0">
        <w:rPr>
          <w:rFonts w:ascii="標楷體" w:hint="eastAsia"/>
          <w:kern w:val="0"/>
        </w:rPr>
        <w:t>司法院刑事廳及</w:t>
      </w:r>
      <w:r w:rsidR="00CC16B9">
        <w:rPr>
          <w:rFonts w:ascii="標楷體" w:hint="eastAsia"/>
          <w:kern w:val="0"/>
        </w:rPr>
        <w:t>內政部</w:t>
      </w:r>
      <w:r w:rsidRPr="00F90DF0">
        <w:rPr>
          <w:rFonts w:ascii="標楷體" w:hint="eastAsia"/>
          <w:kern w:val="0"/>
        </w:rPr>
        <w:t>警政署分別於106年12月6日及106年12月14日檢附相關卷證資料</w:t>
      </w:r>
      <w:proofErr w:type="gramStart"/>
      <w:r w:rsidRPr="00F90DF0">
        <w:rPr>
          <w:rFonts w:ascii="標楷體" w:hint="eastAsia"/>
          <w:kern w:val="0"/>
        </w:rPr>
        <w:t>函復本院</w:t>
      </w:r>
      <w:proofErr w:type="gramEnd"/>
      <w:r w:rsidRPr="00F90DF0">
        <w:rPr>
          <w:rFonts w:ascii="標楷體"/>
          <w:kern w:val="0"/>
          <w:vertAlign w:val="superscript"/>
        </w:rPr>
        <w:footnoteReference w:id="2"/>
      </w:r>
      <w:r w:rsidRPr="00F90DF0">
        <w:rPr>
          <w:rFonts w:ascii="標楷體" w:hint="eastAsia"/>
          <w:kern w:val="0"/>
        </w:rPr>
        <w:t>。法務部於</w:t>
      </w:r>
      <w:r w:rsidRPr="00F90DF0">
        <w:rPr>
          <w:rFonts w:ascii="標楷體"/>
          <w:kern w:val="0"/>
        </w:rPr>
        <w:t>106</w:t>
      </w:r>
      <w:r w:rsidRPr="00F90DF0">
        <w:rPr>
          <w:rFonts w:ascii="標楷體" w:hint="eastAsia"/>
          <w:kern w:val="0"/>
        </w:rPr>
        <w:t>年</w:t>
      </w:r>
      <w:r w:rsidRPr="00F90DF0">
        <w:rPr>
          <w:rFonts w:ascii="標楷體"/>
          <w:kern w:val="0"/>
        </w:rPr>
        <w:t>11</w:t>
      </w:r>
      <w:r w:rsidRPr="00F90DF0">
        <w:rPr>
          <w:rFonts w:ascii="標楷體" w:hint="eastAsia"/>
          <w:kern w:val="0"/>
        </w:rPr>
        <w:t>月</w:t>
      </w:r>
      <w:r w:rsidRPr="00F90DF0">
        <w:rPr>
          <w:rFonts w:ascii="標楷體"/>
          <w:kern w:val="0"/>
        </w:rPr>
        <w:t>22</w:t>
      </w:r>
      <w:r w:rsidRPr="00F90DF0">
        <w:rPr>
          <w:rFonts w:ascii="標楷體" w:hint="eastAsia"/>
          <w:kern w:val="0"/>
        </w:rPr>
        <w:t>日就本案部分調查事項，函請臺灣高等檢察署（下稱高檢署）查復</w:t>
      </w:r>
      <w:r w:rsidRPr="00F90DF0">
        <w:rPr>
          <w:rFonts w:ascii="標楷體"/>
          <w:kern w:val="0"/>
          <w:vertAlign w:val="superscript"/>
        </w:rPr>
        <w:footnoteReference w:id="3"/>
      </w:r>
      <w:r w:rsidRPr="00F90DF0">
        <w:rPr>
          <w:rFonts w:ascii="標楷體" w:hint="eastAsia"/>
          <w:kern w:val="0"/>
        </w:rPr>
        <w:t>，經高檢署於106年12月1日函請桃園地檢署</w:t>
      </w:r>
      <w:proofErr w:type="gramStart"/>
      <w:r w:rsidRPr="00F90DF0">
        <w:rPr>
          <w:rFonts w:ascii="標楷體" w:hint="eastAsia"/>
          <w:kern w:val="0"/>
        </w:rPr>
        <w:t>查復並副</w:t>
      </w:r>
      <w:proofErr w:type="gramEnd"/>
      <w:r w:rsidRPr="00F90DF0">
        <w:rPr>
          <w:rFonts w:ascii="標楷體" w:hint="eastAsia"/>
          <w:kern w:val="0"/>
        </w:rPr>
        <w:t>知本院</w:t>
      </w:r>
      <w:r w:rsidRPr="00F90DF0">
        <w:rPr>
          <w:rFonts w:ascii="標楷體"/>
          <w:kern w:val="0"/>
          <w:vertAlign w:val="superscript"/>
        </w:rPr>
        <w:footnoteReference w:id="4"/>
      </w:r>
      <w:r w:rsidRPr="00F90DF0">
        <w:rPr>
          <w:rFonts w:ascii="標楷體" w:hint="eastAsia"/>
          <w:kern w:val="0"/>
        </w:rPr>
        <w:t>。然因法務部及高檢署對本院函請說明之相關事項，究屬偵查實務運作核心或刑事訴訟制度疑義有不同看法，經本院多次</w:t>
      </w:r>
      <w:proofErr w:type="gramStart"/>
      <w:r w:rsidRPr="00F90DF0">
        <w:rPr>
          <w:rFonts w:ascii="標楷體" w:hint="eastAsia"/>
          <w:kern w:val="0"/>
        </w:rPr>
        <w:t>函催仍未</w:t>
      </w:r>
      <w:proofErr w:type="gramEnd"/>
      <w:r w:rsidRPr="00F90DF0">
        <w:rPr>
          <w:rFonts w:ascii="標楷體" w:hint="eastAsia"/>
          <w:kern w:val="0"/>
        </w:rPr>
        <w:t>達</w:t>
      </w:r>
      <w:r w:rsidRPr="00F90DF0">
        <w:rPr>
          <w:rFonts w:ascii="標楷體" w:hint="eastAsia"/>
          <w:kern w:val="0"/>
        </w:rPr>
        <w:lastRenderedPageBreak/>
        <w:t>成共識，</w:t>
      </w:r>
      <w:proofErr w:type="gramStart"/>
      <w:r w:rsidRPr="00F90DF0">
        <w:rPr>
          <w:rFonts w:ascii="標楷體" w:hint="eastAsia"/>
          <w:kern w:val="0"/>
        </w:rPr>
        <w:t>高檢署遲於</w:t>
      </w:r>
      <w:proofErr w:type="gramEnd"/>
      <w:r w:rsidRPr="00F90DF0">
        <w:rPr>
          <w:rFonts w:ascii="標楷體"/>
          <w:kern w:val="0"/>
        </w:rPr>
        <w:t>107</w:t>
      </w:r>
      <w:r w:rsidRPr="00F90DF0">
        <w:rPr>
          <w:rFonts w:ascii="標楷體" w:hint="eastAsia"/>
          <w:kern w:val="0"/>
        </w:rPr>
        <w:t>年</w:t>
      </w:r>
      <w:r w:rsidRPr="00F90DF0">
        <w:rPr>
          <w:rFonts w:ascii="標楷體"/>
          <w:kern w:val="0"/>
        </w:rPr>
        <w:t>5</w:t>
      </w:r>
      <w:r w:rsidRPr="00F90DF0">
        <w:rPr>
          <w:rFonts w:ascii="標楷體" w:hint="eastAsia"/>
          <w:kern w:val="0"/>
        </w:rPr>
        <w:t>月</w:t>
      </w:r>
      <w:r w:rsidRPr="00F90DF0">
        <w:rPr>
          <w:rFonts w:ascii="標楷體"/>
          <w:kern w:val="0"/>
        </w:rPr>
        <w:t>10</w:t>
      </w:r>
      <w:r w:rsidRPr="00F90DF0">
        <w:rPr>
          <w:rFonts w:ascii="標楷體" w:hint="eastAsia"/>
          <w:kern w:val="0"/>
        </w:rPr>
        <w:t>日函請桃園地檢署及</w:t>
      </w:r>
      <w:r w:rsidR="00C74186" w:rsidRPr="00C74186">
        <w:rPr>
          <w:rFonts w:ascii="標楷體" w:hint="eastAsia"/>
          <w:kern w:val="0"/>
        </w:rPr>
        <w:t>臺灣</w:t>
      </w:r>
      <w:proofErr w:type="gramStart"/>
      <w:r w:rsidR="00C74186" w:rsidRPr="00C74186">
        <w:rPr>
          <w:rFonts w:ascii="標楷體" w:hint="eastAsia"/>
          <w:kern w:val="0"/>
        </w:rPr>
        <w:t>臺</w:t>
      </w:r>
      <w:proofErr w:type="gramEnd"/>
      <w:r w:rsidR="00C74186" w:rsidRPr="00C74186">
        <w:rPr>
          <w:rFonts w:ascii="標楷體" w:hint="eastAsia"/>
          <w:kern w:val="0"/>
        </w:rPr>
        <w:t>中地方檢察署（下稱</w:t>
      </w:r>
      <w:proofErr w:type="gramStart"/>
      <w:r w:rsidR="00C74186" w:rsidRPr="00C74186">
        <w:rPr>
          <w:rFonts w:ascii="標楷體" w:hint="eastAsia"/>
          <w:kern w:val="0"/>
        </w:rPr>
        <w:t>臺</w:t>
      </w:r>
      <w:proofErr w:type="gramEnd"/>
      <w:r w:rsidR="00C74186" w:rsidRPr="00C74186">
        <w:rPr>
          <w:rFonts w:ascii="標楷體" w:hint="eastAsia"/>
          <w:kern w:val="0"/>
        </w:rPr>
        <w:t>中地檢署）</w:t>
      </w:r>
      <w:r w:rsidRPr="00F90DF0">
        <w:rPr>
          <w:rFonts w:ascii="標楷體" w:hint="eastAsia"/>
          <w:kern w:val="0"/>
        </w:rPr>
        <w:t>就本院調查事項</w:t>
      </w:r>
      <w:proofErr w:type="gramStart"/>
      <w:r w:rsidRPr="00F90DF0">
        <w:rPr>
          <w:rFonts w:ascii="標楷體" w:hint="eastAsia"/>
          <w:kern w:val="0"/>
        </w:rPr>
        <w:t>研</w:t>
      </w:r>
      <w:proofErr w:type="gramEnd"/>
      <w:r w:rsidRPr="00F90DF0">
        <w:rPr>
          <w:rFonts w:ascii="標楷體" w:hint="eastAsia"/>
          <w:kern w:val="0"/>
        </w:rPr>
        <w:t>提意見</w:t>
      </w:r>
      <w:r w:rsidRPr="00F90DF0">
        <w:rPr>
          <w:rFonts w:ascii="標楷體"/>
          <w:kern w:val="0"/>
          <w:vertAlign w:val="superscript"/>
        </w:rPr>
        <w:footnoteReference w:id="5"/>
      </w:r>
      <w:r w:rsidRPr="00F90DF0">
        <w:rPr>
          <w:rFonts w:ascii="標楷體" w:hint="eastAsia"/>
          <w:kern w:val="0"/>
        </w:rPr>
        <w:t>，迄107年9月19日及10月8日法務部依高檢署查報資料</w:t>
      </w:r>
      <w:proofErr w:type="gramStart"/>
      <w:r w:rsidRPr="00F90DF0">
        <w:rPr>
          <w:rFonts w:ascii="標楷體" w:hint="eastAsia"/>
          <w:kern w:val="0"/>
        </w:rPr>
        <w:t>函復本院</w:t>
      </w:r>
      <w:proofErr w:type="gramEnd"/>
      <w:r w:rsidRPr="00F90DF0">
        <w:rPr>
          <w:rFonts w:ascii="標楷體"/>
          <w:kern w:val="0"/>
          <w:vertAlign w:val="superscript"/>
        </w:rPr>
        <w:footnoteReference w:id="6"/>
      </w:r>
      <w:r w:rsidRPr="00F90DF0">
        <w:rPr>
          <w:rFonts w:ascii="標楷體" w:hint="eastAsia"/>
          <w:kern w:val="0"/>
        </w:rPr>
        <w:t>，</w:t>
      </w:r>
      <w:proofErr w:type="gramStart"/>
      <w:r w:rsidRPr="00F90DF0">
        <w:rPr>
          <w:rFonts w:ascii="標楷體" w:hint="eastAsia"/>
          <w:kern w:val="0"/>
        </w:rPr>
        <w:t>合先敘</w:t>
      </w:r>
      <w:proofErr w:type="gramEnd"/>
      <w:r w:rsidRPr="00F90DF0">
        <w:rPr>
          <w:rFonts w:ascii="標楷體" w:hint="eastAsia"/>
          <w:kern w:val="0"/>
        </w:rPr>
        <w:t>明。茲將調查意見分述如下：</w:t>
      </w:r>
    </w:p>
    <w:p w:rsidR="00CC16B9" w:rsidRPr="00672F49" w:rsidRDefault="00CC16B9" w:rsidP="00CC16B9">
      <w:pPr>
        <w:pStyle w:val="2"/>
        <w:kinsoku/>
        <w:overflowPunct w:val="0"/>
        <w:autoSpaceDE w:val="0"/>
        <w:autoSpaceDN w:val="0"/>
        <w:ind w:left="1021" w:hanging="681"/>
        <w:rPr>
          <w:b/>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r w:rsidRPr="00672F49">
        <w:rPr>
          <w:rFonts w:hint="eastAsia"/>
          <w:b/>
        </w:rPr>
        <w:t>桃園地檢署於92年及93年間偵辦陳訴人等遭被告</w:t>
      </w:r>
      <w:r w:rsidR="000D237B">
        <w:rPr>
          <w:rFonts w:hint="eastAsia"/>
          <w:b/>
        </w:rPr>
        <w:t>陳○○</w:t>
      </w:r>
      <w:r w:rsidRPr="00672F49">
        <w:rPr>
          <w:rFonts w:hint="eastAsia"/>
          <w:b/>
        </w:rPr>
        <w:t>詐欺案二件，因被告逃匿而發布通緝，</w:t>
      </w:r>
      <w:proofErr w:type="gramStart"/>
      <w:r w:rsidRPr="00672F49">
        <w:rPr>
          <w:rFonts w:hint="eastAsia"/>
          <w:b/>
        </w:rPr>
        <w:t>嗣</w:t>
      </w:r>
      <w:proofErr w:type="gramEnd"/>
      <w:r w:rsidRPr="00672F49">
        <w:rPr>
          <w:rFonts w:hint="eastAsia"/>
          <w:b/>
        </w:rPr>
        <w:t>該署將該前二案</w:t>
      </w:r>
      <w:proofErr w:type="gramStart"/>
      <w:r w:rsidRPr="00672F49">
        <w:rPr>
          <w:rFonts w:hint="eastAsia"/>
          <w:b/>
        </w:rPr>
        <w:t>併</w:t>
      </w:r>
      <w:proofErr w:type="gramEnd"/>
      <w:r w:rsidRPr="00672F49">
        <w:rPr>
          <w:rFonts w:hint="eastAsia"/>
          <w:b/>
        </w:rPr>
        <w:t>該被告94年之後案辦理。被告於95年間經警方緝獲歸案，</w:t>
      </w:r>
      <w:proofErr w:type="gramStart"/>
      <w:r w:rsidRPr="00672F49">
        <w:rPr>
          <w:rFonts w:hint="eastAsia"/>
          <w:b/>
        </w:rPr>
        <w:t>該署僅撤銷</w:t>
      </w:r>
      <w:proofErr w:type="gramEnd"/>
      <w:r w:rsidRPr="00672F49">
        <w:rPr>
          <w:rFonts w:hint="eastAsia"/>
          <w:b/>
        </w:rPr>
        <w:t>後案通緝，分案偵辦，卻漏未辦理前二案之撤銷通緝及分案作業，迄104年該署清查盤點卷宗時始行發現。該前二案經檢察官偵辦後，認為與後案同屬95年刑法修正前之連續犯，有裁判上一罪關係，而後案業經桃園地院於97年判處被告有期徒刑5月定</w:t>
      </w:r>
      <w:proofErr w:type="gramStart"/>
      <w:r w:rsidRPr="00672F49">
        <w:rPr>
          <w:rFonts w:hint="eastAsia"/>
          <w:b/>
        </w:rPr>
        <w:t>讞</w:t>
      </w:r>
      <w:proofErr w:type="gramEnd"/>
      <w:r w:rsidRPr="00672F49">
        <w:rPr>
          <w:rFonts w:hint="eastAsia"/>
          <w:b/>
        </w:rPr>
        <w:t>，故檢察官對於前案僅能依法為不起訴處分。桃園地檢署漏未偵辦該</w:t>
      </w:r>
      <w:proofErr w:type="gramStart"/>
      <w:r w:rsidRPr="00672F49">
        <w:rPr>
          <w:rFonts w:hint="eastAsia"/>
          <w:b/>
        </w:rPr>
        <w:t>前二案長達</w:t>
      </w:r>
      <w:proofErr w:type="gramEnd"/>
      <w:r w:rsidRPr="00672F49">
        <w:rPr>
          <w:rFonts w:hint="eastAsia"/>
          <w:b/>
        </w:rPr>
        <w:t>9年餘，嚴重影響國家刑罰權之行使，核有重大</w:t>
      </w:r>
      <w:proofErr w:type="gramStart"/>
      <w:r w:rsidRPr="00672F49">
        <w:rPr>
          <w:rFonts w:hint="eastAsia"/>
          <w:b/>
        </w:rPr>
        <w:t>怠</w:t>
      </w:r>
      <w:proofErr w:type="gramEnd"/>
      <w:r w:rsidRPr="00672F49">
        <w:rPr>
          <w:rFonts w:hint="eastAsia"/>
          <w:b/>
        </w:rPr>
        <w:t>失。</w:t>
      </w:r>
    </w:p>
    <w:p w:rsidR="00CC16B9" w:rsidRPr="00F90DF0" w:rsidRDefault="00CC16B9" w:rsidP="00CC16B9">
      <w:pPr>
        <w:numPr>
          <w:ilvl w:val="2"/>
          <w:numId w:val="1"/>
        </w:numPr>
        <w:kinsoku w:val="0"/>
        <w:ind w:leftChars="200" w:left="1360" w:hangingChars="200" w:hanging="680"/>
        <w:jc w:val="both"/>
        <w:outlineLvl w:val="2"/>
        <w:rPr>
          <w:rFonts w:hAnsi="Arial"/>
          <w:bCs/>
          <w:kern w:val="0"/>
          <w:szCs w:val="36"/>
        </w:rPr>
      </w:pPr>
      <w:r w:rsidRPr="00F90DF0">
        <w:rPr>
          <w:rFonts w:hAnsi="Arial" w:hint="eastAsia"/>
          <w:bCs/>
          <w:kern w:val="0"/>
          <w:szCs w:val="36"/>
        </w:rPr>
        <w:t>本案經過，據高檢署查復略</w:t>
      </w:r>
      <w:proofErr w:type="gramStart"/>
      <w:r w:rsidRPr="00F90DF0">
        <w:rPr>
          <w:rFonts w:hAnsi="Arial" w:hint="eastAsia"/>
          <w:bCs/>
          <w:kern w:val="0"/>
          <w:szCs w:val="36"/>
        </w:rPr>
        <w:t>以</w:t>
      </w:r>
      <w:proofErr w:type="gramEnd"/>
      <w:r w:rsidRPr="00F90DF0">
        <w:rPr>
          <w:rFonts w:hAnsi="Arial" w:hint="eastAsia"/>
          <w:bCs/>
          <w:kern w:val="0"/>
          <w:szCs w:val="36"/>
        </w:rPr>
        <w:t>：</w:t>
      </w:r>
    </w:p>
    <w:p w:rsidR="00CC16B9" w:rsidRPr="00F90DF0" w:rsidRDefault="00CC16B9" w:rsidP="00CC16B9">
      <w:pPr>
        <w:pStyle w:val="4"/>
        <w:overflowPunct w:val="0"/>
        <w:autoSpaceDE w:val="0"/>
        <w:autoSpaceDN w:val="0"/>
        <w:ind w:left="1701" w:hanging="510"/>
      </w:pPr>
      <w:r w:rsidRPr="00F90DF0">
        <w:rPr>
          <w:rFonts w:hint="eastAsia"/>
        </w:rPr>
        <w:t>桃園地檢署平股檢察官於92、93年間承辦之92年度</w:t>
      </w:r>
      <w:proofErr w:type="gramStart"/>
      <w:r w:rsidRPr="00F90DF0">
        <w:rPr>
          <w:rFonts w:hint="eastAsia"/>
        </w:rPr>
        <w:t>偵</w:t>
      </w:r>
      <w:proofErr w:type="gramEnd"/>
      <w:r w:rsidRPr="00F90DF0">
        <w:rPr>
          <w:rFonts w:hint="eastAsia"/>
        </w:rPr>
        <w:t>字第17959號（下稱A案）、93年度</w:t>
      </w:r>
      <w:proofErr w:type="gramStart"/>
      <w:r w:rsidRPr="00F90DF0">
        <w:rPr>
          <w:rFonts w:hint="eastAsia"/>
        </w:rPr>
        <w:t>偵</w:t>
      </w:r>
      <w:proofErr w:type="gramEnd"/>
      <w:r w:rsidRPr="00F90DF0">
        <w:rPr>
          <w:rFonts w:hint="eastAsia"/>
        </w:rPr>
        <w:t>字第19638號（下稱B案）被告</w:t>
      </w:r>
      <w:r w:rsidR="000D237B">
        <w:rPr>
          <w:rFonts w:hint="eastAsia"/>
        </w:rPr>
        <w:t>陳○○</w:t>
      </w:r>
      <w:r w:rsidRPr="00F90DF0">
        <w:rPr>
          <w:rFonts w:hint="eastAsia"/>
        </w:rPr>
        <w:t>所涉詐欺案件（B案告訴人即陳訴人</w:t>
      </w:r>
      <w:proofErr w:type="gramStart"/>
      <w:r w:rsidR="000D237B">
        <w:rPr>
          <w:rFonts w:hint="eastAsia"/>
        </w:rPr>
        <w:t>駱</w:t>
      </w:r>
      <w:proofErr w:type="gramEnd"/>
      <w:r w:rsidR="000D237B">
        <w:rPr>
          <w:rFonts w:hint="eastAsia"/>
        </w:rPr>
        <w:t>○○</w:t>
      </w:r>
      <w:r w:rsidRPr="00F90DF0">
        <w:rPr>
          <w:rFonts w:hint="eastAsia"/>
        </w:rPr>
        <w:t>），因被告逃匿，乃發布通緝。</w:t>
      </w:r>
      <w:proofErr w:type="gramStart"/>
      <w:r w:rsidRPr="00F90DF0">
        <w:rPr>
          <w:rFonts w:hint="eastAsia"/>
        </w:rPr>
        <w:t>嗣</w:t>
      </w:r>
      <w:proofErr w:type="gramEnd"/>
      <w:r w:rsidRPr="00F90DF0">
        <w:rPr>
          <w:rFonts w:hint="eastAsia"/>
        </w:rPr>
        <w:t>該</w:t>
      </w:r>
      <w:proofErr w:type="gramStart"/>
      <w:r w:rsidRPr="00F90DF0">
        <w:rPr>
          <w:rFonts w:hint="eastAsia"/>
        </w:rPr>
        <w:t>署收股</w:t>
      </w:r>
      <w:proofErr w:type="gramEnd"/>
      <w:r w:rsidRPr="00F90DF0">
        <w:rPr>
          <w:rFonts w:hint="eastAsia"/>
        </w:rPr>
        <w:t>檢察官另以94年度核退</w:t>
      </w:r>
      <w:proofErr w:type="gramStart"/>
      <w:r w:rsidRPr="00F90DF0">
        <w:rPr>
          <w:rFonts w:hint="eastAsia"/>
        </w:rPr>
        <w:t>偵</w:t>
      </w:r>
      <w:proofErr w:type="gramEnd"/>
      <w:r w:rsidRPr="00F90DF0">
        <w:rPr>
          <w:rFonts w:hint="eastAsia"/>
        </w:rPr>
        <w:t>字第30號、95年度偵緝字第692號及95年度</w:t>
      </w:r>
      <w:proofErr w:type="gramStart"/>
      <w:r w:rsidRPr="00F90DF0">
        <w:rPr>
          <w:rFonts w:hint="eastAsia"/>
        </w:rPr>
        <w:t>偵</w:t>
      </w:r>
      <w:proofErr w:type="gramEnd"/>
      <w:r w:rsidRPr="00F90DF0">
        <w:rPr>
          <w:rFonts w:hint="eastAsia"/>
        </w:rPr>
        <w:t>字第13298號等案（下稱C、D等案）偵辦同一被告所涉詐欺其他被害人之案件，乃</w:t>
      </w:r>
      <w:proofErr w:type="gramStart"/>
      <w:r w:rsidRPr="00F90DF0">
        <w:rPr>
          <w:rFonts w:hint="eastAsia"/>
        </w:rPr>
        <w:t>併</w:t>
      </w:r>
      <w:proofErr w:type="gramEnd"/>
      <w:r w:rsidRPr="00F90DF0">
        <w:rPr>
          <w:rFonts w:hint="eastAsia"/>
        </w:rPr>
        <w:t>案通緝被告</w:t>
      </w:r>
      <w:r w:rsidR="000D237B">
        <w:rPr>
          <w:rFonts w:hint="eastAsia"/>
        </w:rPr>
        <w:t>陳○○</w:t>
      </w:r>
      <w:r w:rsidRPr="00F90DF0">
        <w:rPr>
          <w:rFonts w:hint="eastAsia"/>
        </w:rPr>
        <w:t>。其後內政部警政署航空警察局於95年6月14日以航</w:t>
      </w:r>
      <w:proofErr w:type="gramStart"/>
      <w:r w:rsidRPr="00F90DF0">
        <w:rPr>
          <w:rFonts w:hint="eastAsia"/>
        </w:rPr>
        <w:t>警刑字第0950016407號</w:t>
      </w:r>
      <w:proofErr w:type="gramEnd"/>
      <w:r w:rsidRPr="00F90DF0">
        <w:rPr>
          <w:rFonts w:hint="eastAsia"/>
        </w:rPr>
        <w:t>移送被告</w:t>
      </w:r>
      <w:r w:rsidR="000D237B">
        <w:rPr>
          <w:rFonts w:hint="eastAsia"/>
        </w:rPr>
        <w:t>陳○○</w:t>
      </w:r>
      <w:r w:rsidRPr="00F90DF0">
        <w:rPr>
          <w:rFonts w:hint="eastAsia"/>
        </w:rPr>
        <w:lastRenderedPageBreak/>
        <w:t>到案，由該</w:t>
      </w:r>
      <w:proofErr w:type="gramStart"/>
      <w:r w:rsidRPr="00F90DF0">
        <w:rPr>
          <w:rFonts w:hint="eastAsia"/>
        </w:rPr>
        <w:t>署收股</w:t>
      </w:r>
      <w:proofErr w:type="gramEnd"/>
      <w:r w:rsidRPr="00F90DF0">
        <w:rPr>
          <w:rFonts w:hint="eastAsia"/>
        </w:rPr>
        <w:t>檢察官訊問後辦理C、D等案之撤銷通緝（分案為95年度偵緝字第692號案件），</w:t>
      </w:r>
      <w:proofErr w:type="gramStart"/>
      <w:r w:rsidRPr="00F90DF0">
        <w:rPr>
          <w:rFonts w:hint="eastAsia"/>
        </w:rPr>
        <w:t>惟前揭</w:t>
      </w:r>
      <w:proofErr w:type="gramEnd"/>
      <w:r w:rsidRPr="00F90DF0">
        <w:rPr>
          <w:rFonts w:hint="eastAsia"/>
        </w:rPr>
        <w:t>A、B</w:t>
      </w:r>
      <w:proofErr w:type="gramStart"/>
      <w:r w:rsidRPr="00F90DF0">
        <w:rPr>
          <w:rFonts w:hint="eastAsia"/>
        </w:rPr>
        <w:t>案件則漏未</w:t>
      </w:r>
      <w:proofErr w:type="gramEnd"/>
      <w:r w:rsidRPr="00F90DF0">
        <w:rPr>
          <w:rFonts w:hint="eastAsia"/>
        </w:rPr>
        <w:t>通知該承辦股（平股）檢察官偵訊而未</w:t>
      </w:r>
      <w:proofErr w:type="gramStart"/>
      <w:r w:rsidRPr="00F90DF0">
        <w:rPr>
          <w:rFonts w:hint="eastAsia"/>
        </w:rPr>
        <w:t>辦理撤緝</w:t>
      </w:r>
      <w:proofErr w:type="gramEnd"/>
      <w:r w:rsidRPr="00F90DF0">
        <w:rPr>
          <w:rFonts w:hint="eastAsia"/>
        </w:rPr>
        <w:t>，且卷宗仍為該股書記官繼續保管中。</w:t>
      </w:r>
    </w:p>
    <w:p w:rsidR="00CC16B9" w:rsidRPr="00F90DF0" w:rsidRDefault="00CC16B9" w:rsidP="00CC16B9">
      <w:pPr>
        <w:pStyle w:val="4"/>
        <w:overflowPunct w:val="0"/>
        <w:autoSpaceDE w:val="0"/>
        <w:autoSpaceDN w:val="0"/>
        <w:ind w:left="1701" w:hanging="510"/>
      </w:pPr>
      <w:r w:rsidRPr="00F90DF0">
        <w:rPr>
          <w:rFonts w:hint="eastAsia"/>
        </w:rPr>
        <w:t>被告</w:t>
      </w:r>
      <w:r w:rsidR="000D237B">
        <w:rPr>
          <w:rFonts w:hint="eastAsia"/>
        </w:rPr>
        <w:t>陳○○</w:t>
      </w:r>
      <w:r w:rsidRPr="00F90DF0">
        <w:rPr>
          <w:rFonts w:hint="eastAsia"/>
        </w:rPr>
        <w:t>緝獲歸案</w:t>
      </w:r>
      <w:r>
        <w:rPr>
          <w:rFonts w:hint="eastAsia"/>
        </w:rPr>
        <w:t>後</w:t>
      </w:r>
      <w:r w:rsidRPr="00F90DF0">
        <w:rPr>
          <w:rFonts w:hint="eastAsia"/>
        </w:rPr>
        <w:t>，桃園地檢署將後案撤銷通緝，分案偵辦</w:t>
      </w:r>
      <w:r>
        <w:rPr>
          <w:rFonts w:hint="eastAsia"/>
        </w:rPr>
        <w:t>並</w:t>
      </w:r>
      <w:r w:rsidRPr="00F90DF0">
        <w:rPr>
          <w:rFonts w:hint="eastAsia"/>
        </w:rPr>
        <w:t>提起公訴</w:t>
      </w:r>
      <w:r>
        <w:rPr>
          <w:rFonts w:hint="eastAsia"/>
        </w:rPr>
        <w:t>（該署95年度偵緝字第1409號）</w:t>
      </w:r>
      <w:r w:rsidRPr="00F90DF0">
        <w:rPr>
          <w:rFonts w:hint="eastAsia"/>
        </w:rPr>
        <w:t>，經桃園地院以96年度</w:t>
      </w:r>
      <w:proofErr w:type="gramStart"/>
      <w:r w:rsidRPr="00F90DF0">
        <w:rPr>
          <w:rFonts w:hint="eastAsia"/>
        </w:rPr>
        <w:t>桃</w:t>
      </w:r>
      <w:proofErr w:type="gramEnd"/>
      <w:r w:rsidRPr="00F90DF0">
        <w:rPr>
          <w:rFonts w:hint="eastAsia"/>
        </w:rPr>
        <w:t>簡字第2687號判決判處</w:t>
      </w:r>
      <w:r>
        <w:rPr>
          <w:rFonts w:hint="eastAsia"/>
        </w:rPr>
        <w:t>被告</w:t>
      </w:r>
      <w:r w:rsidRPr="00F90DF0">
        <w:rPr>
          <w:rFonts w:hint="eastAsia"/>
        </w:rPr>
        <w:t>有期徒刑5月，於97年4月16日確定在案。</w:t>
      </w:r>
    </w:p>
    <w:p w:rsidR="00CC16B9" w:rsidRPr="00F90DF0" w:rsidRDefault="00CC16B9" w:rsidP="00CC16B9">
      <w:pPr>
        <w:pStyle w:val="4"/>
        <w:overflowPunct w:val="0"/>
        <w:autoSpaceDE w:val="0"/>
        <w:autoSpaceDN w:val="0"/>
        <w:ind w:left="1701" w:hanging="510"/>
      </w:pPr>
      <w:proofErr w:type="gramStart"/>
      <w:r w:rsidRPr="00F90DF0">
        <w:rPr>
          <w:rFonts w:hint="eastAsia"/>
        </w:rPr>
        <w:t>迄</w:t>
      </w:r>
      <w:proofErr w:type="gramEnd"/>
      <w:r w:rsidRPr="00F90DF0">
        <w:rPr>
          <w:rFonts w:hint="eastAsia"/>
        </w:rPr>
        <w:t>桃園地檢署於104年間進行全面業務清查盤點卷宗時，始發現A、B兩案經後案</w:t>
      </w:r>
      <w:proofErr w:type="gramStart"/>
      <w:r w:rsidRPr="00F90DF0">
        <w:rPr>
          <w:rFonts w:hint="eastAsia"/>
        </w:rPr>
        <w:t>併</w:t>
      </w:r>
      <w:proofErr w:type="gramEnd"/>
      <w:r w:rsidRPr="00F90DF0">
        <w:rPr>
          <w:rFonts w:hint="eastAsia"/>
        </w:rPr>
        <w:t>案通緝，後案已撤銷通緝，但前案即A、B案件卻未撤銷通緝。該署發現此異常情形後，即分案辦理。該A、B案經分案為</w:t>
      </w:r>
      <w:proofErr w:type="gramStart"/>
      <w:r w:rsidRPr="00F90DF0">
        <w:rPr>
          <w:rFonts w:hint="eastAsia"/>
        </w:rPr>
        <w:t>104</w:t>
      </w:r>
      <w:proofErr w:type="gramEnd"/>
      <w:r w:rsidRPr="00F90DF0">
        <w:rPr>
          <w:rFonts w:hint="eastAsia"/>
        </w:rPr>
        <w:t>年度偵緝字第773號、</w:t>
      </w:r>
      <w:proofErr w:type="gramStart"/>
      <w:r w:rsidRPr="00F90DF0">
        <w:rPr>
          <w:rFonts w:hint="eastAsia"/>
        </w:rPr>
        <w:t>104</w:t>
      </w:r>
      <w:proofErr w:type="gramEnd"/>
      <w:r w:rsidRPr="00F90DF0">
        <w:rPr>
          <w:rFonts w:hint="eastAsia"/>
        </w:rPr>
        <w:t>年度偵緝字第774號案件，</w:t>
      </w:r>
      <w:proofErr w:type="gramStart"/>
      <w:r w:rsidRPr="00F90DF0">
        <w:rPr>
          <w:rFonts w:hint="eastAsia"/>
        </w:rPr>
        <w:t>嗣</w:t>
      </w:r>
      <w:proofErr w:type="gramEnd"/>
      <w:r w:rsidRPr="00F90DF0">
        <w:rPr>
          <w:rFonts w:hint="eastAsia"/>
        </w:rPr>
        <w:t>因管轄權問題，該兩案經高檢署同意，移轉由</w:t>
      </w:r>
      <w:proofErr w:type="gramStart"/>
      <w:r w:rsidRPr="00F90DF0">
        <w:rPr>
          <w:rFonts w:hint="eastAsia"/>
        </w:rPr>
        <w:t>臺</w:t>
      </w:r>
      <w:proofErr w:type="gramEnd"/>
      <w:r w:rsidRPr="00F90DF0">
        <w:rPr>
          <w:rFonts w:hint="eastAsia"/>
        </w:rPr>
        <w:t>中地檢署偵辦（分案為該署</w:t>
      </w:r>
      <w:proofErr w:type="gramStart"/>
      <w:r w:rsidRPr="00F90DF0">
        <w:rPr>
          <w:rFonts w:hint="eastAsia"/>
        </w:rPr>
        <w:t>105</w:t>
      </w:r>
      <w:proofErr w:type="gramEnd"/>
      <w:r w:rsidRPr="00F90DF0">
        <w:rPr>
          <w:rFonts w:hint="eastAsia"/>
        </w:rPr>
        <w:t>年度</w:t>
      </w:r>
      <w:proofErr w:type="gramStart"/>
      <w:r w:rsidRPr="00F90DF0">
        <w:rPr>
          <w:rFonts w:hint="eastAsia"/>
        </w:rPr>
        <w:t>偵</w:t>
      </w:r>
      <w:proofErr w:type="gramEnd"/>
      <w:r w:rsidRPr="00F90DF0">
        <w:rPr>
          <w:rFonts w:hint="eastAsia"/>
        </w:rPr>
        <w:t>字第3329號、第3330號）。其後再經</w:t>
      </w:r>
      <w:proofErr w:type="gramStart"/>
      <w:r w:rsidRPr="00F90DF0">
        <w:rPr>
          <w:rFonts w:hint="eastAsia"/>
        </w:rPr>
        <w:t>臺</w:t>
      </w:r>
      <w:proofErr w:type="gramEnd"/>
      <w:r w:rsidRPr="00F90DF0">
        <w:rPr>
          <w:rFonts w:hint="eastAsia"/>
        </w:rPr>
        <w:t>中地檢署發布通緝、緝獲後，由該署檢察官以</w:t>
      </w:r>
      <w:proofErr w:type="gramStart"/>
      <w:r w:rsidRPr="00F90DF0">
        <w:rPr>
          <w:rFonts w:hint="eastAsia"/>
        </w:rPr>
        <w:t>105</w:t>
      </w:r>
      <w:proofErr w:type="gramEnd"/>
      <w:r w:rsidRPr="00F90DF0">
        <w:rPr>
          <w:rFonts w:hint="eastAsia"/>
        </w:rPr>
        <w:t>年度偵緝字第831號、第836號，以「同一案件曾經判決確定」為由，為不起訴處分確定。</w:t>
      </w:r>
    </w:p>
    <w:p w:rsidR="00CC16B9" w:rsidRPr="00F90DF0" w:rsidRDefault="00CC16B9" w:rsidP="00CC16B9">
      <w:pPr>
        <w:numPr>
          <w:ilvl w:val="2"/>
          <w:numId w:val="1"/>
        </w:numPr>
        <w:kinsoku w:val="0"/>
        <w:ind w:leftChars="200" w:left="1360" w:hangingChars="200" w:hanging="680"/>
        <w:jc w:val="both"/>
        <w:outlineLvl w:val="2"/>
        <w:rPr>
          <w:rFonts w:hAnsi="Arial"/>
          <w:bCs/>
          <w:kern w:val="0"/>
          <w:szCs w:val="36"/>
        </w:rPr>
      </w:pPr>
      <w:r w:rsidRPr="00F90DF0">
        <w:rPr>
          <w:rFonts w:hAnsi="Arial" w:hint="eastAsia"/>
          <w:bCs/>
          <w:kern w:val="0"/>
          <w:szCs w:val="36"/>
        </w:rPr>
        <w:t>本案相關人員之行政</w:t>
      </w:r>
      <w:r>
        <w:rPr>
          <w:rFonts w:hAnsi="Arial" w:hint="eastAsia"/>
          <w:bCs/>
          <w:kern w:val="0"/>
          <w:szCs w:val="36"/>
        </w:rPr>
        <w:t>疏失</w:t>
      </w:r>
      <w:r w:rsidRPr="00F90DF0">
        <w:rPr>
          <w:rFonts w:hAnsi="Arial" w:hint="eastAsia"/>
          <w:bCs/>
          <w:kern w:val="0"/>
          <w:szCs w:val="36"/>
        </w:rPr>
        <w:t>責任，據高檢署查復略</w:t>
      </w:r>
      <w:proofErr w:type="gramStart"/>
      <w:r w:rsidRPr="00F90DF0">
        <w:rPr>
          <w:rFonts w:hAnsi="Arial" w:hint="eastAsia"/>
          <w:bCs/>
          <w:kern w:val="0"/>
          <w:szCs w:val="36"/>
        </w:rPr>
        <w:t>以</w:t>
      </w:r>
      <w:proofErr w:type="gramEnd"/>
      <w:r w:rsidRPr="00F90DF0">
        <w:rPr>
          <w:rFonts w:hAnsi="Arial" w:hint="eastAsia"/>
          <w:bCs/>
          <w:kern w:val="0"/>
          <w:szCs w:val="36"/>
        </w:rPr>
        <w:t>：</w:t>
      </w:r>
    </w:p>
    <w:p w:rsidR="00CC16B9" w:rsidRPr="00F90DF0" w:rsidRDefault="00CC16B9" w:rsidP="00CC16B9">
      <w:pPr>
        <w:pStyle w:val="4"/>
        <w:overflowPunct w:val="0"/>
        <w:autoSpaceDE w:val="0"/>
        <w:autoSpaceDN w:val="0"/>
        <w:ind w:left="1701" w:hanging="510"/>
      </w:pPr>
      <w:r w:rsidRPr="00F90DF0">
        <w:rPr>
          <w:rFonts w:hint="eastAsia"/>
        </w:rPr>
        <w:t>桃園地檢署平股檢察官偵辦93年度</w:t>
      </w:r>
      <w:proofErr w:type="gramStart"/>
      <w:r w:rsidRPr="00F90DF0">
        <w:rPr>
          <w:rFonts w:hint="eastAsia"/>
        </w:rPr>
        <w:t>偵</w:t>
      </w:r>
      <w:proofErr w:type="gramEnd"/>
      <w:r w:rsidRPr="00F90DF0">
        <w:rPr>
          <w:rFonts w:hint="eastAsia"/>
        </w:rPr>
        <w:t>字第196</w:t>
      </w:r>
      <w:r>
        <w:rPr>
          <w:rFonts w:hint="eastAsia"/>
        </w:rPr>
        <w:t>3</w:t>
      </w:r>
      <w:r w:rsidRPr="00F90DF0">
        <w:rPr>
          <w:rFonts w:hint="eastAsia"/>
        </w:rPr>
        <w:t>8號案件</w:t>
      </w:r>
      <w:proofErr w:type="gramStart"/>
      <w:r w:rsidRPr="00F90DF0">
        <w:rPr>
          <w:rFonts w:hint="eastAsia"/>
        </w:rPr>
        <w:t>逕</w:t>
      </w:r>
      <w:proofErr w:type="gramEnd"/>
      <w:r w:rsidRPr="00F90DF0">
        <w:rPr>
          <w:rFonts w:hint="eastAsia"/>
        </w:rPr>
        <w:t>予簽結部分：平股檢察官偵辦93年度</w:t>
      </w:r>
      <w:proofErr w:type="gramStart"/>
      <w:r w:rsidRPr="00F90DF0">
        <w:rPr>
          <w:rFonts w:hint="eastAsia"/>
        </w:rPr>
        <w:t>偵</w:t>
      </w:r>
      <w:proofErr w:type="gramEnd"/>
      <w:r w:rsidRPr="00F90DF0">
        <w:rPr>
          <w:rFonts w:hint="eastAsia"/>
        </w:rPr>
        <w:t>字第196</w:t>
      </w:r>
      <w:r>
        <w:rPr>
          <w:rFonts w:hint="eastAsia"/>
        </w:rPr>
        <w:t>3</w:t>
      </w:r>
      <w:r w:rsidRPr="00F90DF0">
        <w:rPr>
          <w:rFonts w:hint="eastAsia"/>
        </w:rPr>
        <w:t>8號案件（</w:t>
      </w:r>
      <w:r>
        <w:rPr>
          <w:rFonts w:hint="eastAsia"/>
        </w:rPr>
        <w:t>即B案</w:t>
      </w:r>
      <w:r w:rsidRPr="00F90DF0">
        <w:rPr>
          <w:rFonts w:hint="eastAsia"/>
        </w:rPr>
        <w:t>），以被告另涉犯詐欺案遭通緝，</w:t>
      </w:r>
      <w:proofErr w:type="gramStart"/>
      <w:r w:rsidRPr="00F90DF0">
        <w:rPr>
          <w:rFonts w:hint="eastAsia"/>
        </w:rPr>
        <w:t>遂將系爭</w:t>
      </w:r>
      <w:proofErr w:type="gramEnd"/>
      <w:r w:rsidRPr="00F90DF0">
        <w:rPr>
          <w:rFonts w:hint="eastAsia"/>
        </w:rPr>
        <w:t>案件以「</w:t>
      </w:r>
      <w:proofErr w:type="gramStart"/>
      <w:r w:rsidRPr="00F90DF0">
        <w:rPr>
          <w:rFonts w:hint="eastAsia"/>
        </w:rPr>
        <w:t>併</w:t>
      </w:r>
      <w:proofErr w:type="gramEnd"/>
      <w:r w:rsidRPr="00F90DF0">
        <w:rPr>
          <w:rFonts w:hint="eastAsia"/>
        </w:rPr>
        <w:t>案通緝」</w:t>
      </w:r>
      <w:proofErr w:type="gramStart"/>
      <w:r w:rsidRPr="00F90DF0">
        <w:rPr>
          <w:rFonts w:hint="eastAsia"/>
        </w:rPr>
        <w:t>報結</w:t>
      </w:r>
      <w:proofErr w:type="gramEnd"/>
      <w:r w:rsidRPr="00F90DF0">
        <w:rPr>
          <w:rFonts w:hint="eastAsia"/>
        </w:rPr>
        <w:t>，與「檢察機關辦理通緝案件應行注意事項」第9點第(4)項規定相符。</w:t>
      </w:r>
    </w:p>
    <w:p w:rsidR="00CC16B9" w:rsidRPr="00F90DF0" w:rsidRDefault="00CC16B9" w:rsidP="00CC16B9">
      <w:pPr>
        <w:pStyle w:val="4"/>
        <w:overflowPunct w:val="0"/>
        <w:autoSpaceDE w:val="0"/>
        <w:autoSpaceDN w:val="0"/>
        <w:ind w:left="1701" w:hanging="510"/>
      </w:pPr>
      <w:r w:rsidRPr="00F90DF0">
        <w:rPr>
          <w:rFonts w:hint="eastAsia"/>
        </w:rPr>
        <w:t>該</w:t>
      </w:r>
      <w:proofErr w:type="gramStart"/>
      <w:r w:rsidRPr="00F90DF0">
        <w:rPr>
          <w:rFonts w:hint="eastAsia"/>
        </w:rPr>
        <w:t>署收股</w:t>
      </w:r>
      <w:proofErr w:type="gramEnd"/>
      <w:r w:rsidRPr="00F90DF0">
        <w:rPr>
          <w:rFonts w:hint="eastAsia"/>
        </w:rPr>
        <w:t>檢察官偵辦95年度偵緝字第1409號案</w:t>
      </w:r>
      <w:r w:rsidRPr="00F90DF0">
        <w:rPr>
          <w:rFonts w:hint="eastAsia"/>
        </w:rPr>
        <w:lastRenderedPageBreak/>
        <w:t>件部分：</w:t>
      </w:r>
      <w:proofErr w:type="gramStart"/>
      <w:r w:rsidRPr="00F90DF0">
        <w:rPr>
          <w:rFonts w:hint="eastAsia"/>
        </w:rPr>
        <w:t>收股檢察官</w:t>
      </w:r>
      <w:proofErr w:type="gramEnd"/>
      <w:r w:rsidRPr="00F90DF0">
        <w:rPr>
          <w:rFonts w:hint="eastAsia"/>
        </w:rPr>
        <w:t>偵辦95年度偵緝字第1409號案件，確已將該署94年度核退</w:t>
      </w:r>
      <w:proofErr w:type="gramStart"/>
      <w:r w:rsidRPr="00F90DF0">
        <w:rPr>
          <w:rFonts w:hint="eastAsia"/>
        </w:rPr>
        <w:t>偵</w:t>
      </w:r>
      <w:proofErr w:type="gramEnd"/>
      <w:r w:rsidRPr="00F90DF0">
        <w:rPr>
          <w:rFonts w:hint="eastAsia"/>
        </w:rPr>
        <w:t>字第30號、95年度偵緝字第692號及95年度</w:t>
      </w:r>
      <w:proofErr w:type="gramStart"/>
      <w:r w:rsidRPr="00F90DF0">
        <w:rPr>
          <w:rFonts w:hint="eastAsia"/>
        </w:rPr>
        <w:t>偵</w:t>
      </w:r>
      <w:proofErr w:type="gramEnd"/>
      <w:r w:rsidRPr="00F90DF0">
        <w:rPr>
          <w:rFonts w:hint="eastAsia"/>
        </w:rPr>
        <w:t>字第13298號等案</w:t>
      </w:r>
      <w:r>
        <w:rPr>
          <w:rFonts w:hint="eastAsia"/>
        </w:rPr>
        <w:t>（即</w:t>
      </w:r>
      <w:r w:rsidRPr="00C71D66">
        <w:rPr>
          <w:rFonts w:hint="eastAsia"/>
        </w:rPr>
        <w:t>C、D等案</w:t>
      </w:r>
      <w:r>
        <w:rPr>
          <w:rFonts w:hint="eastAsia"/>
        </w:rPr>
        <w:t>）</w:t>
      </w:r>
      <w:proofErr w:type="gramStart"/>
      <w:r w:rsidRPr="00F90DF0">
        <w:rPr>
          <w:rFonts w:hint="eastAsia"/>
        </w:rPr>
        <w:t>併</w:t>
      </w:r>
      <w:proofErr w:type="gramEnd"/>
      <w:r w:rsidRPr="00F90DF0">
        <w:rPr>
          <w:rFonts w:hint="eastAsia"/>
        </w:rPr>
        <w:t>案偵辦，並向桃園地院聲請簡易判決處刑，亦與「檢察機關辦理通緝案件應行注意事項」第9點第(6)項規定相符。</w:t>
      </w:r>
    </w:p>
    <w:p w:rsidR="00CC16B9" w:rsidRDefault="00CC16B9" w:rsidP="00CC16B9">
      <w:pPr>
        <w:pStyle w:val="4"/>
        <w:overflowPunct w:val="0"/>
        <w:autoSpaceDE w:val="0"/>
        <w:autoSpaceDN w:val="0"/>
        <w:ind w:left="1701" w:hanging="510"/>
      </w:pPr>
      <w:proofErr w:type="gramStart"/>
      <w:r w:rsidRPr="00F90DF0">
        <w:rPr>
          <w:rFonts w:hint="eastAsia"/>
        </w:rPr>
        <w:t>併</w:t>
      </w:r>
      <w:proofErr w:type="gramEnd"/>
      <w:r w:rsidRPr="00F90DF0">
        <w:rPr>
          <w:rFonts w:hint="eastAsia"/>
        </w:rPr>
        <w:t>案通緝</w:t>
      </w:r>
      <w:proofErr w:type="gramStart"/>
      <w:r w:rsidRPr="00F90DF0">
        <w:rPr>
          <w:rFonts w:hint="eastAsia"/>
        </w:rPr>
        <w:t>之收股書記官</w:t>
      </w:r>
      <w:proofErr w:type="gramEnd"/>
      <w:r w:rsidRPr="00F90DF0">
        <w:rPr>
          <w:rFonts w:hint="eastAsia"/>
        </w:rPr>
        <w:t>未</w:t>
      </w:r>
      <w:r>
        <w:rPr>
          <w:rFonts w:hint="eastAsia"/>
        </w:rPr>
        <w:t>將被告已緝獲一事</w:t>
      </w:r>
      <w:r w:rsidRPr="00F90DF0">
        <w:rPr>
          <w:rFonts w:hint="eastAsia"/>
        </w:rPr>
        <w:t>通知平股書記官，涉有疏失，該署經考績委員會審議，認為應留待年終考績參考，另促請全體書記官注意改進，加強管考及擬由紀錄科長於書記官內部訓練會議中加強宣導且促請注意，避免再有此類情形。</w:t>
      </w:r>
    </w:p>
    <w:p w:rsidR="00CC16B9" w:rsidRPr="00F90DF0" w:rsidRDefault="00CC16B9" w:rsidP="00CC16B9">
      <w:pPr>
        <w:pStyle w:val="4"/>
        <w:overflowPunct w:val="0"/>
        <w:autoSpaceDE w:val="0"/>
        <w:autoSpaceDN w:val="0"/>
        <w:ind w:left="1701" w:hanging="510"/>
      </w:pPr>
      <w:r w:rsidRPr="00F90DF0">
        <w:rPr>
          <w:rFonts w:hint="eastAsia"/>
        </w:rPr>
        <w:t>相關人員行政責任業經桃園地檢署查處並提報考績委員會審議在案。考量本案疏失涉及各地檢署書記官人力不足，及實務作業流程</w:t>
      </w:r>
      <w:r>
        <w:rPr>
          <w:rFonts w:hint="eastAsia"/>
        </w:rPr>
        <w:t>不符</w:t>
      </w:r>
      <w:r w:rsidRPr="00F90DF0">
        <w:rPr>
          <w:rFonts w:hint="eastAsia"/>
        </w:rPr>
        <w:t>相關規定等因素（容後詳述），尚非人為</w:t>
      </w:r>
      <w:r>
        <w:rPr>
          <w:rFonts w:hint="eastAsia"/>
        </w:rPr>
        <w:t>因素</w:t>
      </w:r>
      <w:r w:rsidRPr="00F90DF0">
        <w:rPr>
          <w:rFonts w:hint="eastAsia"/>
        </w:rPr>
        <w:t>便宜行事所致，且發生</w:t>
      </w:r>
      <w:r>
        <w:rPr>
          <w:rFonts w:hint="eastAsia"/>
        </w:rPr>
        <w:t>迄今</w:t>
      </w:r>
      <w:r w:rsidRPr="00F90DF0">
        <w:rPr>
          <w:rFonts w:hint="eastAsia"/>
        </w:rPr>
        <w:t>已逾10年，桃園地檢署</w:t>
      </w:r>
      <w:r w:rsidRPr="00B43C18">
        <w:rPr>
          <w:rFonts w:hint="eastAsia"/>
        </w:rPr>
        <w:t>查處相關人員行政責任之結論，本院予以尊重</w:t>
      </w:r>
      <w:r w:rsidRPr="00F90DF0">
        <w:rPr>
          <w:rFonts w:hint="eastAsia"/>
        </w:rPr>
        <w:t>。</w:t>
      </w:r>
    </w:p>
    <w:p w:rsidR="00CC16B9" w:rsidRPr="00F90DF0" w:rsidRDefault="00CC16B9" w:rsidP="00CC16B9">
      <w:pPr>
        <w:pStyle w:val="3"/>
      </w:pPr>
      <w:r w:rsidRPr="00F90DF0">
        <w:rPr>
          <w:rFonts w:hint="eastAsia"/>
        </w:rPr>
        <w:t>綜上，桃園地檢署於92年至94年間偵辦被告</w:t>
      </w:r>
      <w:r w:rsidR="000D237B">
        <w:rPr>
          <w:rFonts w:hint="eastAsia"/>
        </w:rPr>
        <w:t>陳○○</w:t>
      </w:r>
      <w:r w:rsidRPr="00F90DF0">
        <w:rPr>
          <w:rFonts w:hint="eastAsia"/>
        </w:rPr>
        <w:t>多件詐欺案，因被告逃匿，故該署將前案</w:t>
      </w:r>
      <w:proofErr w:type="gramStart"/>
      <w:r w:rsidRPr="00F90DF0">
        <w:rPr>
          <w:rFonts w:hint="eastAsia"/>
        </w:rPr>
        <w:t>併同後</w:t>
      </w:r>
      <w:proofErr w:type="gramEnd"/>
      <w:r w:rsidRPr="00F90DF0">
        <w:rPr>
          <w:rFonts w:hint="eastAsia"/>
        </w:rPr>
        <w:t>案通緝，前案以「</w:t>
      </w:r>
      <w:proofErr w:type="gramStart"/>
      <w:r w:rsidRPr="00F90DF0">
        <w:rPr>
          <w:rFonts w:hint="eastAsia"/>
        </w:rPr>
        <w:t>併</w:t>
      </w:r>
      <w:proofErr w:type="gramEnd"/>
      <w:r w:rsidRPr="00F90DF0">
        <w:rPr>
          <w:rFonts w:hint="eastAsia"/>
        </w:rPr>
        <w:t>案通緝」</w:t>
      </w:r>
      <w:proofErr w:type="gramStart"/>
      <w:r w:rsidRPr="00F90DF0">
        <w:rPr>
          <w:rFonts w:hint="eastAsia"/>
        </w:rPr>
        <w:t>報結</w:t>
      </w:r>
      <w:proofErr w:type="gramEnd"/>
      <w:r w:rsidRPr="00F90DF0">
        <w:rPr>
          <w:rFonts w:hint="eastAsia"/>
        </w:rPr>
        <w:t>，核與「檢察機關辦理通緝案件應行注意事項」尚無不合。</w:t>
      </w:r>
      <w:proofErr w:type="gramStart"/>
      <w:r w:rsidRPr="00F90DF0">
        <w:rPr>
          <w:rFonts w:hint="eastAsia"/>
        </w:rPr>
        <w:t>惟</w:t>
      </w:r>
      <w:proofErr w:type="gramEnd"/>
      <w:r w:rsidRPr="00F90DF0">
        <w:rPr>
          <w:rFonts w:hint="eastAsia"/>
        </w:rPr>
        <w:t>被告於95年間經警方緝獲歸案，</w:t>
      </w:r>
      <w:proofErr w:type="gramStart"/>
      <w:r w:rsidRPr="00F90DF0">
        <w:rPr>
          <w:rFonts w:hint="eastAsia"/>
        </w:rPr>
        <w:t>該署僅撤銷</w:t>
      </w:r>
      <w:proofErr w:type="gramEnd"/>
      <w:r w:rsidRPr="00F90DF0">
        <w:rPr>
          <w:rFonts w:hint="eastAsia"/>
        </w:rPr>
        <w:t>後案通緝及分案偵辦，漏未辦理前案之撤銷通緝及分案作業，顯有重大</w:t>
      </w:r>
      <w:r>
        <w:rPr>
          <w:rFonts w:hint="eastAsia"/>
        </w:rPr>
        <w:t>疏漏</w:t>
      </w:r>
      <w:r w:rsidRPr="00F90DF0">
        <w:rPr>
          <w:rFonts w:hint="eastAsia"/>
        </w:rPr>
        <w:t>。且該署</w:t>
      </w:r>
      <w:r>
        <w:rPr>
          <w:rFonts w:hint="eastAsia"/>
        </w:rPr>
        <w:t>於9年餘之後之</w:t>
      </w:r>
      <w:r w:rsidRPr="00F90DF0">
        <w:rPr>
          <w:rFonts w:hint="eastAsia"/>
        </w:rPr>
        <w:t>104年業務檢查時始行發現，相關業務檢查與督導考核亦有</w:t>
      </w:r>
      <w:r>
        <w:rPr>
          <w:rFonts w:hint="eastAsia"/>
        </w:rPr>
        <w:t>不足</w:t>
      </w:r>
      <w:r w:rsidRPr="00F90DF0">
        <w:rPr>
          <w:rFonts w:hint="eastAsia"/>
        </w:rPr>
        <w:t>。且因被告</w:t>
      </w:r>
      <w:r w:rsidR="000D237B">
        <w:rPr>
          <w:rFonts w:hint="eastAsia"/>
        </w:rPr>
        <w:t>陳○○</w:t>
      </w:r>
      <w:r w:rsidRPr="00F90DF0">
        <w:rPr>
          <w:rFonts w:hint="eastAsia"/>
        </w:rPr>
        <w:t>所涉之相關案件屬95年刑法修正前之連續犯，有裁判上一罪關係，而後案業經</w:t>
      </w:r>
      <w:r>
        <w:rPr>
          <w:rFonts w:hint="eastAsia"/>
        </w:rPr>
        <w:t>法</w:t>
      </w:r>
      <w:r w:rsidRPr="00F90DF0">
        <w:rPr>
          <w:rFonts w:hint="eastAsia"/>
        </w:rPr>
        <w:t>院於97年判處被告有期徒刑5月定</w:t>
      </w:r>
      <w:proofErr w:type="gramStart"/>
      <w:r w:rsidRPr="00F90DF0">
        <w:rPr>
          <w:rFonts w:hint="eastAsia"/>
        </w:rPr>
        <w:t>讞</w:t>
      </w:r>
      <w:proofErr w:type="gramEnd"/>
      <w:r w:rsidRPr="00F90DF0">
        <w:rPr>
          <w:rFonts w:hint="eastAsia"/>
        </w:rPr>
        <w:t>，故前案為確定判決效力所及，檢察官對於前案僅能依法</w:t>
      </w:r>
      <w:r w:rsidRPr="00F90DF0">
        <w:rPr>
          <w:rFonts w:hint="eastAsia"/>
        </w:rPr>
        <w:lastRenderedPageBreak/>
        <w:t>為不起訴處分，致嚴重影響國家刑罰權之行使</w:t>
      </w:r>
      <w:r>
        <w:rPr>
          <w:rFonts w:hint="eastAsia"/>
        </w:rPr>
        <w:t>，核有重大疏失</w:t>
      </w:r>
      <w:r w:rsidRPr="00F90DF0">
        <w:rPr>
          <w:rFonts w:hint="eastAsia"/>
        </w:rPr>
        <w:t>。</w:t>
      </w:r>
    </w:p>
    <w:p w:rsidR="00CC16B9" w:rsidRPr="00CC16B9" w:rsidRDefault="00CC16B9" w:rsidP="00CC16B9">
      <w:pPr>
        <w:pStyle w:val="2"/>
        <w:rPr>
          <w:b/>
        </w:rPr>
      </w:pPr>
      <w:r w:rsidRPr="00CC16B9">
        <w:rPr>
          <w:rFonts w:hint="eastAsia"/>
          <w:b/>
        </w:rPr>
        <w:t>依「檢察機關辦理通緝案件應行注意事項」規定，同一檢察署就同一被告為二案以上通緝時，應將偵查卷宗</w:t>
      </w:r>
      <w:proofErr w:type="gramStart"/>
      <w:r w:rsidRPr="00CC16B9">
        <w:rPr>
          <w:rFonts w:hint="eastAsia"/>
          <w:b/>
        </w:rPr>
        <w:t>併</w:t>
      </w:r>
      <w:proofErr w:type="gramEnd"/>
      <w:r w:rsidRPr="00CC16B9">
        <w:rPr>
          <w:rFonts w:hint="eastAsia"/>
          <w:b/>
        </w:rPr>
        <w:t>同保管，於被告緝獲時分由同一檢察官偵辦。</w:t>
      </w:r>
      <w:proofErr w:type="gramStart"/>
      <w:r w:rsidRPr="00CC16B9">
        <w:rPr>
          <w:rFonts w:hint="eastAsia"/>
          <w:b/>
        </w:rPr>
        <w:t>惟</w:t>
      </w:r>
      <w:proofErr w:type="gramEnd"/>
      <w:r w:rsidRPr="00CC16B9">
        <w:rPr>
          <w:rFonts w:hint="eastAsia"/>
          <w:b/>
        </w:rPr>
        <w:t>部分地檢署</w:t>
      </w:r>
      <w:r w:rsidR="00431A7F">
        <w:rPr>
          <w:rFonts w:hint="eastAsia"/>
          <w:b/>
        </w:rPr>
        <w:t>現行實務上</w:t>
      </w:r>
      <w:r w:rsidRPr="00CC16B9">
        <w:rPr>
          <w:rFonts w:hint="eastAsia"/>
          <w:b/>
        </w:rPr>
        <w:t>仍由原承辦股書記官各別保管卷證，被告緝獲到案後，原則上仍由原檢察官續行偵辦，致衍生本件</w:t>
      </w:r>
      <w:proofErr w:type="gramStart"/>
      <w:r w:rsidRPr="00CC16B9">
        <w:rPr>
          <w:rFonts w:hint="eastAsia"/>
          <w:b/>
        </w:rPr>
        <w:t>前</w:t>
      </w:r>
      <w:r w:rsidR="00431A7F">
        <w:rPr>
          <w:rFonts w:hint="eastAsia"/>
          <w:b/>
        </w:rPr>
        <w:t>二</w:t>
      </w:r>
      <w:r w:rsidRPr="00CC16B9">
        <w:rPr>
          <w:rFonts w:hint="eastAsia"/>
          <w:b/>
        </w:rPr>
        <w:t>案漏未</w:t>
      </w:r>
      <w:proofErr w:type="gramEnd"/>
      <w:r w:rsidRPr="00CC16B9">
        <w:rPr>
          <w:rFonts w:hint="eastAsia"/>
          <w:b/>
        </w:rPr>
        <w:t>偵辦之重大疏失。高檢署</w:t>
      </w:r>
      <w:r w:rsidR="00672F49">
        <w:rPr>
          <w:rFonts w:hint="eastAsia"/>
          <w:b/>
        </w:rPr>
        <w:t>輕忽</w:t>
      </w:r>
      <w:r w:rsidR="00431A7F">
        <w:rPr>
          <w:rFonts w:hint="eastAsia"/>
          <w:b/>
        </w:rPr>
        <w:t>部分地檢署現行實務上之作法，</w:t>
      </w:r>
      <w:r w:rsidR="00672F49">
        <w:rPr>
          <w:rFonts w:hint="eastAsia"/>
          <w:b/>
        </w:rPr>
        <w:t>可能會造成</w:t>
      </w:r>
      <w:r w:rsidR="00431A7F">
        <w:rPr>
          <w:rFonts w:hint="eastAsia"/>
          <w:b/>
        </w:rPr>
        <w:t>如本件</w:t>
      </w:r>
      <w:proofErr w:type="gramStart"/>
      <w:r w:rsidR="00431A7F">
        <w:rPr>
          <w:rFonts w:hint="eastAsia"/>
          <w:b/>
        </w:rPr>
        <w:t>前二</w:t>
      </w:r>
      <w:r w:rsidR="00672F49">
        <w:rPr>
          <w:rFonts w:hint="eastAsia"/>
          <w:b/>
        </w:rPr>
        <w:t>案漏未</w:t>
      </w:r>
      <w:proofErr w:type="gramEnd"/>
      <w:r w:rsidR="00672F49">
        <w:rPr>
          <w:rFonts w:hint="eastAsia"/>
          <w:b/>
        </w:rPr>
        <w:t>偵辦之結果</w:t>
      </w:r>
      <w:r w:rsidRPr="00CC16B9">
        <w:rPr>
          <w:rFonts w:hint="eastAsia"/>
          <w:b/>
        </w:rPr>
        <w:t>，</w:t>
      </w:r>
      <w:r w:rsidR="00431A7F">
        <w:rPr>
          <w:rFonts w:hint="eastAsia"/>
          <w:b/>
        </w:rPr>
        <w:t>於本院函</w:t>
      </w:r>
      <w:proofErr w:type="gramStart"/>
      <w:r w:rsidR="00431A7F">
        <w:rPr>
          <w:rFonts w:hint="eastAsia"/>
          <w:b/>
        </w:rPr>
        <w:t>詢</w:t>
      </w:r>
      <w:proofErr w:type="gramEnd"/>
      <w:r w:rsidR="00431A7F">
        <w:rPr>
          <w:rFonts w:hint="eastAsia"/>
          <w:b/>
        </w:rPr>
        <w:t>後，未</w:t>
      </w:r>
      <w:r w:rsidRPr="00CC16B9">
        <w:rPr>
          <w:rFonts w:hint="eastAsia"/>
          <w:b/>
        </w:rPr>
        <w:t>積極檢討實務運作的</w:t>
      </w:r>
      <w:r w:rsidR="00431A7F">
        <w:rPr>
          <w:rFonts w:hint="eastAsia"/>
          <w:b/>
        </w:rPr>
        <w:t>弊端，如部分地檢署就上開注意事項有難以遵守之困境，</w:t>
      </w:r>
      <w:r w:rsidR="00672F49">
        <w:rPr>
          <w:rFonts w:hint="eastAsia"/>
          <w:b/>
        </w:rPr>
        <w:t>亦</w:t>
      </w:r>
      <w:r w:rsidRPr="00CC16B9">
        <w:rPr>
          <w:rFonts w:hint="eastAsia"/>
          <w:b/>
        </w:rPr>
        <w:t>未</w:t>
      </w:r>
      <w:r w:rsidR="00431A7F">
        <w:rPr>
          <w:rFonts w:hint="eastAsia"/>
          <w:b/>
        </w:rPr>
        <w:t>就前開注意事項</w:t>
      </w:r>
      <w:r w:rsidRPr="00CC16B9">
        <w:rPr>
          <w:rFonts w:hint="eastAsia"/>
          <w:b/>
        </w:rPr>
        <w:t>考慮報請法務部修正相關規定，以強化案件勾</w:t>
      </w:r>
      <w:proofErr w:type="gramStart"/>
      <w:r w:rsidRPr="00CC16B9">
        <w:rPr>
          <w:rFonts w:hint="eastAsia"/>
          <w:b/>
        </w:rPr>
        <w:t>稽</w:t>
      </w:r>
      <w:proofErr w:type="gramEnd"/>
      <w:r w:rsidR="00672F49">
        <w:rPr>
          <w:rFonts w:hint="eastAsia"/>
          <w:b/>
        </w:rPr>
        <w:t>作業，該署之</w:t>
      </w:r>
      <w:r w:rsidRPr="00CC16B9">
        <w:rPr>
          <w:rFonts w:hint="eastAsia"/>
          <w:b/>
        </w:rPr>
        <w:t>督導</w:t>
      </w:r>
      <w:r w:rsidR="00672F49">
        <w:rPr>
          <w:rFonts w:hint="eastAsia"/>
          <w:b/>
        </w:rPr>
        <w:t>及</w:t>
      </w:r>
      <w:r w:rsidRPr="00CC16B9">
        <w:rPr>
          <w:rFonts w:hint="eastAsia"/>
          <w:b/>
        </w:rPr>
        <w:t>考核作為，核有</w:t>
      </w:r>
      <w:proofErr w:type="gramStart"/>
      <w:r w:rsidRPr="00CC16B9">
        <w:rPr>
          <w:rFonts w:hint="eastAsia"/>
          <w:b/>
        </w:rPr>
        <w:t>怠</w:t>
      </w:r>
      <w:proofErr w:type="gramEnd"/>
      <w:r w:rsidRPr="00CC16B9">
        <w:rPr>
          <w:rFonts w:hint="eastAsia"/>
          <w:b/>
        </w:rPr>
        <w:t>失。</w:t>
      </w:r>
    </w:p>
    <w:p w:rsidR="00672F49" w:rsidRDefault="00CC16B9" w:rsidP="00CC16B9">
      <w:pPr>
        <w:numPr>
          <w:ilvl w:val="2"/>
          <w:numId w:val="1"/>
        </w:numPr>
        <w:kinsoku w:val="0"/>
        <w:ind w:leftChars="200" w:left="1360" w:hangingChars="200" w:hanging="680"/>
        <w:jc w:val="both"/>
        <w:outlineLvl w:val="2"/>
        <w:rPr>
          <w:rFonts w:hAnsi="Arial"/>
          <w:bCs/>
          <w:kern w:val="0"/>
          <w:szCs w:val="36"/>
        </w:rPr>
      </w:pPr>
      <w:r w:rsidRPr="00F90DF0">
        <w:rPr>
          <w:rFonts w:hAnsi="Arial" w:hint="eastAsia"/>
          <w:bCs/>
          <w:kern w:val="0"/>
          <w:szCs w:val="36"/>
        </w:rPr>
        <w:t>按「檢察機關辦理通緝案件應行注意事項」第</w:t>
      </w:r>
      <w:r w:rsidRPr="00F90DF0">
        <w:rPr>
          <w:rFonts w:hAnsi="Arial" w:hint="eastAsia"/>
          <w:bCs/>
          <w:kern w:val="0"/>
          <w:szCs w:val="36"/>
        </w:rPr>
        <w:t>9</w:t>
      </w:r>
      <w:r w:rsidRPr="00F90DF0">
        <w:rPr>
          <w:rFonts w:hAnsi="Arial" w:hint="eastAsia"/>
          <w:bCs/>
          <w:kern w:val="0"/>
          <w:szCs w:val="36"/>
        </w:rPr>
        <w:t>點至第</w:t>
      </w:r>
      <w:r w:rsidRPr="00F90DF0">
        <w:rPr>
          <w:rFonts w:hAnsi="Arial" w:hint="eastAsia"/>
          <w:bCs/>
          <w:kern w:val="0"/>
          <w:szCs w:val="36"/>
        </w:rPr>
        <w:t>11</w:t>
      </w:r>
      <w:r w:rsidRPr="00F90DF0">
        <w:rPr>
          <w:rFonts w:hAnsi="Arial" w:hint="eastAsia"/>
          <w:bCs/>
          <w:kern w:val="0"/>
          <w:szCs w:val="36"/>
        </w:rPr>
        <w:t>點規定：同一檢察署就同一被告為二案以上通緝時，除偵查及執行案件應分別通緝外，應</w:t>
      </w:r>
      <w:proofErr w:type="gramStart"/>
      <w:r w:rsidRPr="00F90DF0">
        <w:rPr>
          <w:rFonts w:hAnsi="Arial" w:hint="eastAsia"/>
          <w:bCs/>
          <w:kern w:val="0"/>
          <w:szCs w:val="36"/>
        </w:rPr>
        <w:t>併</w:t>
      </w:r>
      <w:proofErr w:type="gramEnd"/>
      <w:r w:rsidRPr="00F90DF0">
        <w:rPr>
          <w:rFonts w:hAnsi="Arial" w:hint="eastAsia"/>
          <w:bCs/>
          <w:kern w:val="0"/>
          <w:szCs w:val="36"/>
        </w:rPr>
        <w:t>案通緝之，撤銷前案，卷宗應</w:t>
      </w:r>
      <w:proofErr w:type="gramStart"/>
      <w:r w:rsidRPr="00F90DF0">
        <w:rPr>
          <w:rFonts w:hAnsi="Arial" w:hint="eastAsia"/>
          <w:bCs/>
          <w:kern w:val="0"/>
          <w:szCs w:val="36"/>
        </w:rPr>
        <w:t>併</w:t>
      </w:r>
      <w:proofErr w:type="gramEnd"/>
      <w:r w:rsidRPr="00F90DF0">
        <w:rPr>
          <w:rFonts w:hAnsi="Arial" w:hint="eastAsia"/>
          <w:bCs/>
          <w:kern w:val="0"/>
          <w:szCs w:val="36"/>
        </w:rPr>
        <w:t>同保管。</w:t>
      </w:r>
      <w:proofErr w:type="gramStart"/>
      <w:r w:rsidRPr="00F90DF0">
        <w:rPr>
          <w:rFonts w:hAnsi="Arial" w:hint="eastAsia"/>
          <w:bCs/>
          <w:kern w:val="0"/>
          <w:szCs w:val="36"/>
        </w:rPr>
        <w:t>併</w:t>
      </w:r>
      <w:proofErr w:type="gramEnd"/>
      <w:r w:rsidRPr="00F90DF0">
        <w:rPr>
          <w:rFonts w:hAnsi="Arial" w:hint="eastAsia"/>
          <w:bCs/>
          <w:kern w:val="0"/>
          <w:szCs w:val="36"/>
        </w:rPr>
        <w:t>案通緝案件歸案後，應分由同一檢察官</w:t>
      </w:r>
      <w:proofErr w:type="gramStart"/>
      <w:r w:rsidRPr="00F90DF0">
        <w:rPr>
          <w:rFonts w:hAnsi="Arial" w:hint="eastAsia"/>
          <w:bCs/>
          <w:kern w:val="0"/>
          <w:szCs w:val="36"/>
        </w:rPr>
        <w:t>併</w:t>
      </w:r>
      <w:proofErr w:type="gramEnd"/>
      <w:r w:rsidRPr="00F90DF0">
        <w:rPr>
          <w:rFonts w:hAnsi="Arial" w:hint="eastAsia"/>
          <w:bCs/>
          <w:kern w:val="0"/>
          <w:szCs w:val="36"/>
        </w:rPr>
        <w:t>案偵辦。</w:t>
      </w:r>
    </w:p>
    <w:p w:rsidR="00672F49" w:rsidRDefault="00CC16B9" w:rsidP="00CC16B9">
      <w:pPr>
        <w:numPr>
          <w:ilvl w:val="2"/>
          <w:numId w:val="1"/>
        </w:numPr>
        <w:kinsoku w:val="0"/>
        <w:ind w:leftChars="200" w:left="1360" w:hangingChars="200" w:hanging="680"/>
        <w:jc w:val="both"/>
        <w:outlineLvl w:val="2"/>
        <w:rPr>
          <w:rFonts w:hAnsi="Arial"/>
          <w:bCs/>
          <w:kern w:val="0"/>
          <w:szCs w:val="36"/>
        </w:rPr>
      </w:pPr>
      <w:proofErr w:type="gramStart"/>
      <w:r w:rsidRPr="00F90DF0">
        <w:rPr>
          <w:rFonts w:hAnsi="Arial" w:hint="eastAsia"/>
          <w:bCs/>
          <w:kern w:val="0"/>
          <w:szCs w:val="36"/>
        </w:rPr>
        <w:t>惟</w:t>
      </w:r>
      <w:proofErr w:type="gramEnd"/>
      <w:r w:rsidRPr="00F90DF0">
        <w:rPr>
          <w:rFonts w:hAnsi="Arial" w:hint="eastAsia"/>
          <w:bCs/>
          <w:kern w:val="0"/>
          <w:szCs w:val="36"/>
        </w:rPr>
        <w:t>實務之運作模式，</w:t>
      </w:r>
      <w:proofErr w:type="gramStart"/>
      <w:r w:rsidRPr="00F90DF0">
        <w:rPr>
          <w:rFonts w:hAnsi="Arial" w:hint="eastAsia"/>
          <w:bCs/>
          <w:kern w:val="0"/>
          <w:szCs w:val="36"/>
        </w:rPr>
        <w:t>詢</w:t>
      </w:r>
      <w:proofErr w:type="gramEnd"/>
      <w:r w:rsidRPr="00F90DF0">
        <w:rPr>
          <w:rFonts w:hAnsi="Arial" w:hint="eastAsia"/>
          <w:bCs/>
          <w:kern w:val="0"/>
          <w:szCs w:val="36"/>
        </w:rPr>
        <w:t>據高檢署表示：原則上對於在辦公時間内</w:t>
      </w:r>
      <w:r w:rsidR="005510AC">
        <w:rPr>
          <w:rFonts w:hAnsi="Arial" w:hint="eastAsia"/>
          <w:bCs/>
          <w:kern w:val="0"/>
          <w:szCs w:val="36"/>
        </w:rPr>
        <w:t>緝</w:t>
      </w:r>
      <w:r w:rsidRPr="00F90DF0">
        <w:rPr>
          <w:rFonts w:hAnsi="Arial" w:hint="eastAsia"/>
          <w:bCs/>
          <w:kern w:val="0"/>
          <w:szCs w:val="36"/>
        </w:rPr>
        <w:t>獲解送到署之被告，仍由各原承辦檢察官訊問偵辦並裁量是否為證據保全措施；辦公時間外解送到署之被告，則</w:t>
      </w:r>
      <w:proofErr w:type="gramStart"/>
      <w:r w:rsidRPr="00F90DF0">
        <w:rPr>
          <w:rFonts w:hAnsi="Arial" w:hint="eastAsia"/>
          <w:bCs/>
          <w:kern w:val="0"/>
          <w:szCs w:val="36"/>
        </w:rPr>
        <w:t>併</w:t>
      </w:r>
      <w:proofErr w:type="gramEnd"/>
      <w:r w:rsidRPr="00F90DF0">
        <w:rPr>
          <w:rFonts w:hAnsi="Arial" w:hint="eastAsia"/>
          <w:bCs/>
          <w:kern w:val="0"/>
          <w:szCs w:val="36"/>
        </w:rPr>
        <w:t>由内勤檢察官處理，以便迅速衡酌是否有聲請羈押被告之必要或為其他強制處分。相關案卷經發布通緝</w:t>
      </w:r>
      <w:proofErr w:type="gramStart"/>
      <w:r w:rsidRPr="00F90DF0">
        <w:rPr>
          <w:rFonts w:hAnsi="Arial" w:hint="eastAsia"/>
          <w:bCs/>
          <w:kern w:val="0"/>
          <w:szCs w:val="36"/>
        </w:rPr>
        <w:t>後暫結</w:t>
      </w:r>
      <w:proofErr w:type="gramEnd"/>
      <w:r w:rsidRPr="00F90DF0">
        <w:rPr>
          <w:rFonts w:hAnsi="Arial" w:hint="eastAsia"/>
          <w:bCs/>
          <w:kern w:val="0"/>
          <w:szCs w:val="36"/>
        </w:rPr>
        <w:t>，由各承辦股書記官負責保管，被告緝獲時，</w:t>
      </w:r>
      <w:r w:rsidRPr="00672F49">
        <w:rPr>
          <w:rFonts w:hAnsi="Arial" w:hint="eastAsia"/>
          <w:b/>
          <w:bCs/>
          <w:kern w:val="0"/>
          <w:szCs w:val="36"/>
        </w:rPr>
        <w:t>仍由原發布通緝承辦股檢察官訊問後</w:t>
      </w:r>
      <w:proofErr w:type="gramStart"/>
      <w:r w:rsidRPr="00672F49">
        <w:rPr>
          <w:rFonts w:hAnsi="Arial" w:hint="eastAsia"/>
          <w:b/>
          <w:bCs/>
          <w:kern w:val="0"/>
          <w:szCs w:val="36"/>
        </w:rPr>
        <w:t>辦理撤緝及</w:t>
      </w:r>
      <w:proofErr w:type="gramEnd"/>
      <w:r w:rsidRPr="00672F49">
        <w:rPr>
          <w:rFonts w:hAnsi="Arial" w:hint="eastAsia"/>
          <w:b/>
          <w:bCs/>
          <w:kern w:val="0"/>
          <w:szCs w:val="36"/>
        </w:rPr>
        <w:t>後續分案</w:t>
      </w:r>
      <w:r w:rsidRPr="00F90DF0">
        <w:rPr>
          <w:rFonts w:hAnsi="Arial" w:hint="eastAsia"/>
          <w:bCs/>
          <w:kern w:val="0"/>
          <w:szCs w:val="36"/>
        </w:rPr>
        <w:t>（非上班時間由內勤檢察官偵訊，此時符合上開注意事項第</w:t>
      </w:r>
      <w:r w:rsidRPr="00F90DF0">
        <w:rPr>
          <w:rFonts w:hAnsi="Arial" w:hint="eastAsia"/>
          <w:bCs/>
          <w:kern w:val="0"/>
          <w:szCs w:val="36"/>
        </w:rPr>
        <w:t>9</w:t>
      </w:r>
      <w:r w:rsidRPr="00F90DF0">
        <w:rPr>
          <w:rFonts w:hAnsi="Arial" w:hint="eastAsia"/>
          <w:bCs/>
          <w:kern w:val="0"/>
          <w:szCs w:val="36"/>
        </w:rPr>
        <w:t>點之規定）等語。</w:t>
      </w:r>
    </w:p>
    <w:p w:rsidR="00CC16B9" w:rsidRPr="00F90DF0" w:rsidRDefault="00672F49" w:rsidP="00CC16B9">
      <w:pPr>
        <w:numPr>
          <w:ilvl w:val="2"/>
          <w:numId w:val="1"/>
        </w:numPr>
        <w:kinsoku w:val="0"/>
        <w:ind w:leftChars="200" w:left="1360" w:hangingChars="200" w:hanging="680"/>
        <w:jc w:val="both"/>
        <w:outlineLvl w:val="2"/>
        <w:rPr>
          <w:rFonts w:hAnsi="Arial"/>
          <w:bCs/>
          <w:kern w:val="0"/>
          <w:szCs w:val="36"/>
        </w:rPr>
      </w:pPr>
      <w:r>
        <w:rPr>
          <w:rFonts w:hAnsi="Arial" w:hint="eastAsia"/>
          <w:bCs/>
          <w:kern w:val="0"/>
          <w:szCs w:val="36"/>
        </w:rPr>
        <w:t>然而，高檢署所述上開</w:t>
      </w:r>
      <w:r w:rsidR="00CC16B9" w:rsidRPr="00F90DF0">
        <w:rPr>
          <w:rFonts w:hAnsi="Arial" w:hint="eastAsia"/>
          <w:bCs/>
          <w:kern w:val="0"/>
          <w:szCs w:val="36"/>
        </w:rPr>
        <w:t>實務作業方式，顯</w:t>
      </w:r>
      <w:r>
        <w:rPr>
          <w:rFonts w:hAnsi="Arial" w:hint="eastAsia"/>
          <w:bCs/>
          <w:kern w:val="0"/>
          <w:szCs w:val="36"/>
        </w:rPr>
        <w:t>然在</w:t>
      </w:r>
      <w:proofErr w:type="gramStart"/>
      <w:r>
        <w:rPr>
          <w:rFonts w:hAnsi="Arial" w:hint="eastAsia"/>
          <w:bCs/>
          <w:kern w:val="0"/>
          <w:szCs w:val="36"/>
        </w:rPr>
        <w:t>併</w:t>
      </w:r>
      <w:proofErr w:type="gramEnd"/>
      <w:r>
        <w:rPr>
          <w:rFonts w:hAnsi="Arial" w:hint="eastAsia"/>
          <w:bCs/>
          <w:kern w:val="0"/>
          <w:szCs w:val="36"/>
        </w:rPr>
        <w:t>二</w:t>
      </w:r>
      <w:r>
        <w:rPr>
          <w:rFonts w:hAnsi="Arial" w:hint="eastAsia"/>
          <w:bCs/>
          <w:kern w:val="0"/>
          <w:szCs w:val="36"/>
        </w:rPr>
        <w:lastRenderedPageBreak/>
        <w:t>案通緝案件，被告緝獲歸案後，因相關案卷仍由各承辦股書記官保管，並未</w:t>
      </w:r>
      <w:proofErr w:type="gramStart"/>
      <w:r>
        <w:rPr>
          <w:rFonts w:hAnsi="Arial" w:hint="eastAsia"/>
          <w:bCs/>
          <w:kern w:val="0"/>
          <w:szCs w:val="36"/>
        </w:rPr>
        <w:t>併</w:t>
      </w:r>
      <w:proofErr w:type="gramEnd"/>
      <w:r w:rsidR="005510AC">
        <w:rPr>
          <w:rFonts w:hAnsi="Arial" w:hint="eastAsia"/>
          <w:bCs/>
          <w:kern w:val="0"/>
          <w:szCs w:val="36"/>
        </w:rPr>
        <w:t>由</w:t>
      </w:r>
      <w:r>
        <w:rPr>
          <w:rFonts w:hAnsi="Arial" w:hint="eastAsia"/>
          <w:bCs/>
          <w:kern w:val="0"/>
          <w:szCs w:val="36"/>
        </w:rPr>
        <w:t>後書記官保管，故可能分由二個原發布通緝之檢察官辦理撤銷通緝，此</w:t>
      </w:r>
      <w:r w:rsidR="00CC16B9" w:rsidRPr="00F90DF0">
        <w:rPr>
          <w:rFonts w:hAnsi="Arial" w:hint="eastAsia"/>
          <w:bCs/>
          <w:kern w:val="0"/>
          <w:szCs w:val="36"/>
        </w:rPr>
        <w:t>不符「檢察機關辦理通緝案件應行注意事項」相關規定</w:t>
      </w:r>
      <w:r>
        <w:rPr>
          <w:rFonts w:hAnsi="Arial" w:hint="eastAsia"/>
          <w:bCs/>
          <w:kern w:val="0"/>
          <w:szCs w:val="36"/>
        </w:rPr>
        <w:t>之作法，高檢署竟不予指正</w:t>
      </w:r>
      <w:r w:rsidR="00CC16B9" w:rsidRPr="00F90DF0">
        <w:rPr>
          <w:rFonts w:hAnsi="Arial" w:hint="eastAsia"/>
          <w:bCs/>
          <w:kern w:val="0"/>
          <w:szCs w:val="36"/>
        </w:rPr>
        <w:t>。</w:t>
      </w:r>
    </w:p>
    <w:p w:rsidR="00672F49" w:rsidRDefault="00CC16B9" w:rsidP="00672F49">
      <w:pPr>
        <w:pStyle w:val="3"/>
      </w:pPr>
      <w:r w:rsidRPr="00F90DF0">
        <w:rPr>
          <w:rFonts w:hint="eastAsia"/>
        </w:rPr>
        <w:t>又本件</w:t>
      </w:r>
      <w:proofErr w:type="gramStart"/>
      <w:r w:rsidR="00431A7F">
        <w:rPr>
          <w:rFonts w:hint="eastAsia"/>
        </w:rPr>
        <w:t>前二案</w:t>
      </w:r>
      <w:r w:rsidRPr="00F90DF0">
        <w:rPr>
          <w:rFonts w:hint="eastAsia"/>
        </w:rPr>
        <w:t>漏未</w:t>
      </w:r>
      <w:proofErr w:type="gramEnd"/>
      <w:r w:rsidRPr="00F90DF0">
        <w:rPr>
          <w:rFonts w:hint="eastAsia"/>
        </w:rPr>
        <w:t>偵辦之原因，據高檢署查復：因桃園地檢署書記官人力嚴重不足，未設置通緝股以專人專責之方式保管通緝卷宗並處理相關撤銷通緝及後續分案事宜，且通緝卷宗分別由各原承辦股保管，缺乏統一的權責。因偵查不公開，各股檢察官偵辦各自承辦案件，通緝、</w:t>
      </w:r>
      <w:proofErr w:type="gramStart"/>
      <w:r w:rsidRPr="00F90DF0">
        <w:rPr>
          <w:rFonts w:hint="eastAsia"/>
        </w:rPr>
        <w:t>撤緝作業均由</w:t>
      </w:r>
      <w:proofErr w:type="gramEnd"/>
      <w:r w:rsidRPr="00F90DF0">
        <w:rPr>
          <w:rFonts w:hint="eastAsia"/>
        </w:rPr>
        <w:t>各股書記官作業，倘發生聯繫上的疏漏，未經通知的原承辦股，無法察覺其被告已經緝獲而進行偵辦等語。</w:t>
      </w:r>
      <w:r w:rsidR="00672F49">
        <w:rPr>
          <w:rFonts w:hint="eastAsia"/>
        </w:rPr>
        <w:t>由此亦證本案之</w:t>
      </w:r>
      <w:r w:rsidRPr="00F90DF0">
        <w:rPr>
          <w:rFonts w:hint="eastAsia"/>
        </w:rPr>
        <w:t>疏漏</w:t>
      </w:r>
      <w:r w:rsidR="00672F49">
        <w:rPr>
          <w:rFonts w:hint="eastAsia"/>
        </w:rPr>
        <w:t>，</w:t>
      </w:r>
      <w:r w:rsidRPr="00F90DF0">
        <w:rPr>
          <w:rFonts w:hint="eastAsia"/>
        </w:rPr>
        <w:t>乃</w:t>
      </w:r>
      <w:r w:rsidR="00672F49">
        <w:rPr>
          <w:rFonts w:hint="eastAsia"/>
        </w:rPr>
        <w:t>桃園地檢署在</w:t>
      </w:r>
      <w:r w:rsidRPr="00F90DF0">
        <w:rPr>
          <w:rFonts w:hint="eastAsia"/>
        </w:rPr>
        <w:t>實務運作</w:t>
      </w:r>
      <w:r w:rsidR="00672F49">
        <w:rPr>
          <w:rFonts w:hint="eastAsia"/>
        </w:rPr>
        <w:t>上，</w:t>
      </w:r>
      <w:r w:rsidRPr="00F90DF0">
        <w:rPr>
          <w:rFonts w:hint="eastAsia"/>
        </w:rPr>
        <w:t>未落實</w:t>
      </w:r>
      <w:r w:rsidR="00672F49" w:rsidRPr="00672F49">
        <w:rPr>
          <w:rFonts w:ascii="Times New Roman" w:hint="eastAsia"/>
        </w:rPr>
        <w:t>「檢察機關辦理通緝案件應行注意事項」</w:t>
      </w:r>
      <w:r w:rsidRPr="00F90DF0">
        <w:rPr>
          <w:rFonts w:hint="eastAsia"/>
        </w:rPr>
        <w:t>所致。</w:t>
      </w:r>
    </w:p>
    <w:p w:rsidR="00CC16B9" w:rsidRPr="00F90DF0" w:rsidRDefault="00CC16B9" w:rsidP="00672F49">
      <w:pPr>
        <w:pStyle w:val="3"/>
      </w:pPr>
      <w:proofErr w:type="gramStart"/>
      <w:r w:rsidRPr="00F90DF0">
        <w:rPr>
          <w:rFonts w:hint="eastAsia"/>
        </w:rPr>
        <w:t>惟</w:t>
      </w:r>
      <w:proofErr w:type="gramEnd"/>
      <w:r w:rsidRPr="00F90DF0">
        <w:rPr>
          <w:rFonts w:hint="eastAsia"/>
        </w:rPr>
        <w:t>高檢署指出：上開實務運作模式屬適當之方式，並普遍為各地方檢察署</w:t>
      </w:r>
      <w:proofErr w:type="gramStart"/>
      <w:r w:rsidRPr="00F90DF0">
        <w:rPr>
          <w:rFonts w:hint="eastAsia"/>
        </w:rPr>
        <w:t>採</w:t>
      </w:r>
      <w:proofErr w:type="gramEnd"/>
      <w:r w:rsidRPr="00F90DF0">
        <w:rPr>
          <w:rFonts w:hint="eastAsia"/>
        </w:rPr>
        <w:t>行等語。換言之，</w:t>
      </w:r>
      <w:r w:rsidR="00672F49">
        <w:rPr>
          <w:rFonts w:hint="eastAsia"/>
        </w:rPr>
        <w:t>高檢署認為</w:t>
      </w:r>
      <w:r w:rsidRPr="00F90DF0">
        <w:rPr>
          <w:rFonts w:hint="eastAsia"/>
        </w:rPr>
        <w:t>現行實務作法雖不符「檢察機關辦理通緝案件應行注意事項」之相關規定，但基於由原承辦檢察官</w:t>
      </w:r>
      <w:proofErr w:type="gramStart"/>
      <w:r w:rsidRPr="00F90DF0">
        <w:rPr>
          <w:rFonts w:hint="eastAsia"/>
        </w:rPr>
        <w:t>妥</w:t>
      </w:r>
      <w:r w:rsidR="005510AC">
        <w:rPr>
          <w:rFonts w:hint="eastAsia"/>
        </w:rPr>
        <w:t>適</w:t>
      </w:r>
      <w:r w:rsidRPr="00F90DF0">
        <w:rPr>
          <w:rFonts w:hint="eastAsia"/>
        </w:rPr>
        <w:t>裁量</w:t>
      </w:r>
      <w:proofErr w:type="gramEnd"/>
      <w:r w:rsidRPr="00F90DF0">
        <w:rPr>
          <w:rFonts w:hint="eastAsia"/>
        </w:rPr>
        <w:t>證據保全措施等實務運作之需要，有制度性因素，非完全可歸責於人為疏失。</w:t>
      </w:r>
      <w:proofErr w:type="gramStart"/>
      <w:r w:rsidR="00672F49">
        <w:rPr>
          <w:rFonts w:hint="eastAsia"/>
        </w:rPr>
        <w:t>從而，</w:t>
      </w:r>
      <w:proofErr w:type="gramEnd"/>
      <w:r w:rsidR="00672F49">
        <w:rPr>
          <w:rFonts w:hint="eastAsia"/>
        </w:rPr>
        <w:t>是否高檢署本身即認為</w:t>
      </w:r>
      <w:r w:rsidR="00672F49" w:rsidRPr="00672F49">
        <w:rPr>
          <w:rFonts w:hint="eastAsia"/>
        </w:rPr>
        <w:t>「檢察機關辦理通緝案件應行注意事項」</w:t>
      </w:r>
      <w:r w:rsidR="00672F49">
        <w:rPr>
          <w:rFonts w:hint="eastAsia"/>
        </w:rPr>
        <w:t>形同具文，各地檢署可不必遵守？</w:t>
      </w:r>
    </w:p>
    <w:p w:rsidR="00672F49" w:rsidRDefault="00672F49" w:rsidP="00AD7AFE">
      <w:pPr>
        <w:pStyle w:val="3"/>
      </w:pPr>
      <w:r w:rsidRPr="00AD7AFE">
        <w:rPr>
          <w:rFonts w:hint="eastAsia"/>
        </w:rPr>
        <w:t>對</w:t>
      </w:r>
      <w:r>
        <w:rPr>
          <w:rFonts w:hint="eastAsia"/>
        </w:rPr>
        <w:t>於</w:t>
      </w:r>
      <w:r w:rsidRPr="00AD7AFE">
        <w:rPr>
          <w:rFonts w:hint="eastAsia"/>
        </w:rPr>
        <w:t>同一議題之檢討，司法院表示擬將</w:t>
      </w:r>
      <w:proofErr w:type="gramStart"/>
      <w:r w:rsidRPr="00AD7AFE">
        <w:rPr>
          <w:rFonts w:hint="eastAsia"/>
        </w:rPr>
        <w:t>併</w:t>
      </w:r>
      <w:proofErr w:type="gramEnd"/>
      <w:r w:rsidRPr="00AD7AFE">
        <w:rPr>
          <w:rFonts w:hint="eastAsia"/>
        </w:rPr>
        <w:t>案通緝之辦理流程列入法院視導之項目，並函請法院於處理通緝被告歸案後，應確實依「法院辦理通緝、協尋案件應行注意事項」辦理</w:t>
      </w:r>
      <w:proofErr w:type="gramStart"/>
      <w:r w:rsidRPr="00AD7AFE">
        <w:rPr>
          <w:rFonts w:hint="eastAsia"/>
        </w:rPr>
        <w:t>併</w:t>
      </w:r>
      <w:proofErr w:type="gramEnd"/>
      <w:r w:rsidRPr="00AD7AFE">
        <w:rPr>
          <w:rFonts w:hint="eastAsia"/>
        </w:rPr>
        <w:t>案通緝之相關事宜</w:t>
      </w:r>
      <w:r>
        <w:rPr>
          <w:rFonts w:hint="eastAsia"/>
        </w:rPr>
        <w:t>等語</w:t>
      </w:r>
      <w:r w:rsidRPr="00AD7AFE">
        <w:rPr>
          <w:rFonts w:hint="eastAsia"/>
        </w:rPr>
        <w:t>。</w:t>
      </w:r>
    </w:p>
    <w:p w:rsidR="00AD7AFE" w:rsidRPr="00AD7AFE" w:rsidRDefault="00CC16B9" w:rsidP="00AD7AFE">
      <w:pPr>
        <w:pStyle w:val="3"/>
      </w:pPr>
      <w:r w:rsidRPr="00F90DF0">
        <w:rPr>
          <w:rFonts w:hint="eastAsia"/>
        </w:rPr>
        <w:t>本院審酌認為，現行無論法院及檢察署辦理通緝、</w:t>
      </w:r>
      <w:proofErr w:type="gramStart"/>
      <w:r w:rsidRPr="00F90DF0">
        <w:rPr>
          <w:rFonts w:hint="eastAsia"/>
        </w:rPr>
        <w:lastRenderedPageBreak/>
        <w:t>撤緝作業</w:t>
      </w:r>
      <w:proofErr w:type="gramEnd"/>
      <w:r w:rsidRPr="00F90DF0">
        <w:rPr>
          <w:rFonts w:hint="eastAsia"/>
        </w:rPr>
        <w:t>，均採取「</w:t>
      </w:r>
      <w:proofErr w:type="gramStart"/>
      <w:r w:rsidRPr="00F90DF0">
        <w:rPr>
          <w:rFonts w:hint="eastAsia"/>
        </w:rPr>
        <w:t>併</w:t>
      </w:r>
      <w:proofErr w:type="gramEnd"/>
      <w:r w:rsidRPr="00F90DF0">
        <w:rPr>
          <w:rFonts w:hint="eastAsia"/>
        </w:rPr>
        <w:t>案通緝」制度，主要在於整合同一被告之通緝案件，避免各別通緝</w:t>
      </w:r>
      <w:proofErr w:type="gramStart"/>
      <w:r w:rsidRPr="00F90DF0">
        <w:rPr>
          <w:rFonts w:hint="eastAsia"/>
        </w:rPr>
        <w:t>案件撤緝之</w:t>
      </w:r>
      <w:proofErr w:type="gramEnd"/>
      <w:r w:rsidRPr="00F90DF0">
        <w:rPr>
          <w:rFonts w:hint="eastAsia"/>
        </w:rPr>
        <w:t>時間不一，致被告可能遭多次逮捕之風險，有其制度設計之目的。為落實「</w:t>
      </w:r>
      <w:proofErr w:type="gramStart"/>
      <w:r w:rsidRPr="00F90DF0">
        <w:rPr>
          <w:rFonts w:hint="eastAsia"/>
        </w:rPr>
        <w:t>併</w:t>
      </w:r>
      <w:proofErr w:type="gramEnd"/>
      <w:r w:rsidRPr="00F90DF0">
        <w:rPr>
          <w:rFonts w:hint="eastAsia"/>
        </w:rPr>
        <w:t>案通緝」，檢察機關原應依「檢察機關辦理通緝案件應行注意事項」</w:t>
      </w:r>
      <w:r>
        <w:rPr>
          <w:rFonts w:hint="eastAsia"/>
        </w:rPr>
        <w:t>所</w:t>
      </w:r>
      <w:r w:rsidRPr="00F90DF0">
        <w:rPr>
          <w:rFonts w:hint="eastAsia"/>
        </w:rPr>
        <w:t>定，</w:t>
      </w:r>
      <w:r>
        <w:rPr>
          <w:rFonts w:hint="eastAsia"/>
        </w:rPr>
        <w:t>應</w:t>
      </w:r>
      <w:r w:rsidRPr="00F90DF0">
        <w:rPr>
          <w:rFonts w:hint="eastAsia"/>
        </w:rPr>
        <w:t>將偵查卷宗</w:t>
      </w:r>
      <w:proofErr w:type="gramStart"/>
      <w:r w:rsidRPr="00F90DF0">
        <w:rPr>
          <w:rFonts w:hint="eastAsia"/>
        </w:rPr>
        <w:t>併</w:t>
      </w:r>
      <w:proofErr w:type="gramEnd"/>
      <w:r w:rsidRPr="00F90DF0">
        <w:rPr>
          <w:rFonts w:hint="eastAsia"/>
        </w:rPr>
        <w:t>同保管，被告緝獲時經分案程序，分由同一檢察官偵辦。但因各地檢署實務運作之需求，普遍仍由原承辦股書記官各別保管卷證，</w:t>
      </w:r>
      <w:r w:rsidR="00672F49">
        <w:rPr>
          <w:rFonts w:hint="eastAsia"/>
        </w:rPr>
        <w:t>於</w:t>
      </w:r>
      <w:r w:rsidRPr="00F90DF0">
        <w:rPr>
          <w:rFonts w:hint="eastAsia"/>
        </w:rPr>
        <w:t>被告</w:t>
      </w:r>
      <w:r w:rsidR="00672F49">
        <w:rPr>
          <w:rFonts w:hint="eastAsia"/>
        </w:rPr>
        <w:t>緝獲歸</w:t>
      </w:r>
      <w:r w:rsidRPr="00F90DF0">
        <w:rPr>
          <w:rFonts w:hint="eastAsia"/>
        </w:rPr>
        <w:t>案時，原則上由原檢察官續行偵辦（非辦公時間</w:t>
      </w:r>
      <w:proofErr w:type="gramStart"/>
      <w:r w:rsidRPr="00F90DF0">
        <w:rPr>
          <w:rFonts w:hint="eastAsia"/>
        </w:rPr>
        <w:t>併</w:t>
      </w:r>
      <w:proofErr w:type="gramEnd"/>
      <w:r w:rsidRPr="00F90DF0">
        <w:rPr>
          <w:rFonts w:hint="eastAsia"/>
        </w:rPr>
        <w:t>由內勤檢察官辦理）</w:t>
      </w:r>
      <w:r w:rsidR="0039551E">
        <w:rPr>
          <w:rFonts w:hint="eastAsia"/>
        </w:rPr>
        <w:t>。這種情形</w:t>
      </w:r>
      <w:r w:rsidRPr="00F90DF0">
        <w:rPr>
          <w:rFonts w:hint="eastAsia"/>
        </w:rPr>
        <w:t>核與</w:t>
      </w:r>
      <w:r>
        <w:rPr>
          <w:rFonts w:hint="eastAsia"/>
        </w:rPr>
        <w:t>前</w:t>
      </w:r>
      <w:r w:rsidRPr="00F90DF0">
        <w:rPr>
          <w:rFonts w:hint="eastAsia"/>
        </w:rPr>
        <w:t>揭規定脫節</w:t>
      </w:r>
      <w:r w:rsidR="0039551E">
        <w:rPr>
          <w:rFonts w:hint="eastAsia"/>
        </w:rPr>
        <w:t>，且為</w:t>
      </w:r>
      <w:proofErr w:type="gramStart"/>
      <w:r w:rsidR="0039551E">
        <w:rPr>
          <w:rFonts w:hint="eastAsia"/>
        </w:rPr>
        <w:t>本案漏未</w:t>
      </w:r>
      <w:proofErr w:type="gramEnd"/>
      <w:r w:rsidR="0039551E">
        <w:rPr>
          <w:rFonts w:hint="eastAsia"/>
        </w:rPr>
        <w:t>偵辦之主因，高檢署竟默認容許，不思指正地檢署之缺失，其</w:t>
      </w:r>
      <w:r w:rsidRPr="00F90DF0">
        <w:rPr>
          <w:rFonts w:hint="eastAsia"/>
        </w:rPr>
        <w:t>考量原因乃基於書記官人力嚴重不足及檢察官妥速行使保全處分等因素，尚非個別行政人員便宜行事所致，自難予苛責</w:t>
      </w:r>
      <w:r w:rsidR="0039551E">
        <w:rPr>
          <w:rFonts w:hint="eastAsia"/>
        </w:rPr>
        <w:t>云云</w:t>
      </w:r>
      <w:r w:rsidRPr="00F90DF0">
        <w:rPr>
          <w:rFonts w:hint="eastAsia"/>
        </w:rPr>
        <w:t>。</w:t>
      </w:r>
      <w:r w:rsidR="0039551E">
        <w:rPr>
          <w:rFonts w:hint="eastAsia"/>
        </w:rPr>
        <w:t>然而，</w:t>
      </w:r>
      <w:r w:rsidRPr="00F90DF0">
        <w:rPr>
          <w:rFonts w:hint="eastAsia"/>
        </w:rPr>
        <w:t>實務運作與</w:t>
      </w:r>
      <w:r w:rsidR="0039551E">
        <w:rPr>
          <w:rFonts w:hint="eastAsia"/>
        </w:rPr>
        <w:t>法務部頒布之法</w:t>
      </w:r>
      <w:r w:rsidRPr="00F90DF0">
        <w:rPr>
          <w:rFonts w:hint="eastAsia"/>
        </w:rPr>
        <w:t>規既有不符，加以本件桃園地檢署於95年漏未偵辦，遲至104年間</w:t>
      </w:r>
      <w:r>
        <w:rPr>
          <w:rFonts w:hint="eastAsia"/>
        </w:rPr>
        <w:t>該署清查盤點卷宗始</w:t>
      </w:r>
      <w:proofErr w:type="gramStart"/>
      <w:r w:rsidRPr="00F90DF0">
        <w:rPr>
          <w:rFonts w:hint="eastAsia"/>
        </w:rPr>
        <w:t>發覺</w:t>
      </w:r>
      <w:r w:rsidR="0039551E">
        <w:rPr>
          <w:rFonts w:hint="eastAsia"/>
        </w:rPr>
        <w:t>漏辦情事</w:t>
      </w:r>
      <w:proofErr w:type="gramEnd"/>
      <w:r w:rsidRPr="00F90DF0">
        <w:rPr>
          <w:rFonts w:hint="eastAsia"/>
        </w:rPr>
        <w:t>，足見相關作業流程及督考機制均有待澈底檢討。</w:t>
      </w:r>
      <w:r w:rsidRPr="00AD7AFE">
        <w:rPr>
          <w:rFonts w:hint="eastAsia"/>
        </w:rPr>
        <w:t>但</w:t>
      </w:r>
      <w:proofErr w:type="gramStart"/>
      <w:r w:rsidRPr="00AD7AFE">
        <w:rPr>
          <w:rFonts w:hint="eastAsia"/>
        </w:rPr>
        <w:t>高檢署視前</w:t>
      </w:r>
      <w:proofErr w:type="gramEnd"/>
      <w:r w:rsidRPr="00AD7AFE">
        <w:rPr>
          <w:rFonts w:hint="eastAsia"/>
        </w:rPr>
        <w:t>開注意事項</w:t>
      </w:r>
      <w:r>
        <w:rPr>
          <w:rFonts w:hint="eastAsia"/>
        </w:rPr>
        <w:t>相關</w:t>
      </w:r>
      <w:r w:rsidRPr="00AD7AFE">
        <w:rPr>
          <w:rFonts w:hint="eastAsia"/>
        </w:rPr>
        <w:t>規定如具文，亦未考慮仿司法院</w:t>
      </w:r>
      <w:proofErr w:type="gramStart"/>
      <w:r w:rsidRPr="00AD7AFE">
        <w:rPr>
          <w:rFonts w:hint="eastAsia"/>
        </w:rPr>
        <w:t>研</w:t>
      </w:r>
      <w:proofErr w:type="gramEnd"/>
      <w:r w:rsidRPr="00AD7AFE">
        <w:rPr>
          <w:rFonts w:hint="eastAsia"/>
        </w:rPr>
        <w:t>議將相關作業流程列入業務檢查項目，不積極檢討實務運作模式，亦不報請法務部修正相關規定，以強化案件勾</w:t>
      </w:r>
      <w:proofErr w:type="gramStart"/>
      <w:r w:rsidRPr="00AD7AFE">
        <w:rPr>
          <w:rFonts w:hint="eastAsia"/>
        </w:rPr>
        <w:t>稽</w:t>
      </w:r>
      <w:proofErr w:type="gramEnd"/>
      <w:r w:rsidRPr="00AD7AFE">
        <w:rPr>
          <w:rFonts w:hint="eastAsia"/>
        </w:rPr>
        <w:t>及督導考核作為，</w:t>
      </w:r>
      <w:r>
        <w:rPr>
          <w:rFonts w:hint="eastAsia"/>
        </w:rPr>
        <w:t>確</w:t>
      </w:r>
      <w:r w:rsidRPr="00AD7AFE">
        <w:rPr>
          <w:rFonts w:hint="eastAsia"/>
        </w:rPr>
        <w:t>有</w:t>
      </w:r>
      <w:proofErr w:type="gramStart"/>
      <w:r>
        <w:rPr>
          <w:rFonts w:hint="eastAsia"/>
        </w:rPr>
        <w:t>怠</w:t>
      </w:r>
      <w:proofErr w:type="gramEnd"/>
      <w:r w:rsidRPr="00AD7AFE">
        <w:rPr>
          <w:rFonts w:hint="eastAsia"/>
        </w:rPr>
        <w:t>失</w:t>
      </w:r>
      <w:r>
        <w:rPr>
          <w:rFonts w:hint="eastAsia"/>
        </w:rPr>
        <w:t>。</w:t>
      </w:r>
      <w:bookmarkEnd w:id="25"/>
      <w:bookmarkEnd w:id="26"/>
      <w:bookmarkEnd w:id="27"/>
      <w:bookmarkEnd w:id="28"/>
      <w:bookmarkEnd w:id="29"/>
      <w:bookmarkEnd w:id="30"/>
      <w:bookmarkEnd w:id="31"/>
      <w:bookmarkEnd w:id="32"/>
      <w:bookmarkEnd w:id="33"/>
      <w:bookmarkEnd w:id="34"/>
    </w:p>
    <w:p w:rsidR="00F90DF0" w:rsidRPr="0039551E" w:rsidRDefault="008B56E5" w:rsidP="0039551E">
      <w:pPr>
        <w:pStyle w:val="2"/>
        <w:rPr>
          <w:b/>
        </w:rPr>
      </w:pPr>
      <w:bookmarkStart w:id="35" w:name="_Toc525066147"/>
      <w:bookmarkStart w:id="36" w:name="_Toc525070838"/>
      <w:bookmarkStart w:id="37" w:name="_Toc525938378"/>
      <w:bookmarkStart w:id="38" w:name="_Toc525939226"/>
      <w:bookmarkStart w:id="39" w:name="_Toc525939731"/>
      <w:bookmarkStart w:id="40" w:name="_Toc529218271"/>
      <w:bookmarkStart w:id="41" w:name="_Toc529222688"/>
      <w:bookmarkStart w:id="42" w:name="_Toc529223110"/>
      <w:bookmarkStart w:id="43" w:name="_Toc529223861"/>
      <w:bookmarkStart w:id="44" w:name="_Toc529228264"/>
      <w:bookmarkStart w:id="45" w:name="_Toc2400394"/>
      <w:bookmarkStart w:id="46" w:name="_Toc4316188"/>
      <w:bookmarkStart w:id="47" w:name="_Toc4473329"/>
      <w:bookmarkStart w:id="48" w:name="_Toc69556896"/>
      <w:bookmarkStart w:id="49" w:name="_Toc69556945"/>
      <w:bookmarkStart w:id="50" w:name="_Toc69609819"/>
      <w:proofErr w:type="gramStart"/>
      <w:r w:rsidRPr="0039551E">
        <w:rPr>
          <w:rFonts w:hint="eastAsia"/>
          <w:b/>
        </w:rPr>
        <w:t>本件漏未</w:t>
      </w:r>
      <w:proofErr w:type="gramEnd"/>
      <w:r w:rsidRPr="0039551E">
        <w:rPr>
          <w:rFonts w:hint="eastAsia"/>
          <w:b/>
        </w:rPr>
        <w:t>偵辦之原因，主要係實務作業</w:t>
      </w:r>
      <w:r w:rsidR="00D9071B" w:rsidRPr="0039551E">
        <w:rPr>
          <w:rFonts w:hint="eastAsia"/>
          <w:b/>
        </w:rPr>
        <w:t>流程</w:t>
      </w:r>
      <w:r w:rsidRPr="0039551E">
        <w:rPr>
          <w:rFonts w:hint="eastAsia"/>
          <w:b/>
        </w:rPr>
        <w:t>與相關規定脫節，及被告緝獲時後案書記官疏未通知前案承辦人員所致</w:t>
      </w:r>
      <w:r w:rsidR="0039551E">
        <w:rPr>
          <w:rFonts w:hint="eastAsia"/>
          <w:b/>
        </w:rPr>
        <w:t>。</w:t>
      </w:r>
      <w:r w:rsidR="00F90DF0" w:rsidRPr="0039551E">
        <w:rPr>
          <w:rFonts w:hint="eastAsia"/>
          <w:b/>
        </w:rPr>
        <w:t>桃園地檢署</w:t>
      </w:r>
      <w:r w:rsidR="0039551E">
        <w:rPr>
          <w:rFonts w:hint="eastAsia"/>
          <w:b/>
        </w:rPr>
        <w:t>雖</w:t>
      </w:r>
      <w:r w:rsidR="00F90DF0" w:rsidRPr="0039551E">
        <w:rPr>
          <w:rFonts w:hint="eastAsia"/>
          <w:b/>
        </w:rPr>
        <w:t>認為現行「</w:t>
      </w:r>
      <w:proofErr w:type="gramStart"/>
      <w:r w:rsidR="00F90DF0" w:rsidRPr="0039551E">
        <w:rPr>
          <w:rFonts w:hint="eastAsia"/>
          <w:b/>
        </w:rPr>
        <w:t>併</w:t>
      </w:r>
      <w:proofErr w:type="gramEnd"/>
      <w:r w:rsidR="00F90DF0" w:rsidRPr="0039551E">
        <w:rPr>
          <w:rFonts w:hint="eastAsia"/>
          <w:b/>
        </w:rPr>
        <w:t>案通緝」制度影響通緝發布時效，</w:t>
      </w:r>
      <w:proofErr w:type="gramStart"/>
      <w:r w:rsidR="00F90DF0" w:rsidRPr="0039551E">
        <w:rPr>
          <w:rFonts w:hint="eastAsia"/>
          <w:b/>
        </w:rPr>
        <w:t>易生漏未</w:t>
      </w:r>
      <w:proofErr w:type="gramEnd"/>
      <w:r w:rsidR="00F90DF0" w:rsidRPr="0039551E">
        <w:rPr>
          <w:rFonts w:hint="eastAsia"/>
          <w:b/>
        </w:rPr>
        <w:t>偵辦情事，建議改</w:t>
      </w:r>
      <w:proofErr w:type="gramStart"/>
      <w:r w:rsidR="00F90DF0" w:rsidRPr="0039551E">
        <w:rPr>
          <w:rFonts w:hint="eastAsia"/>
          <w:b/>
        </w:rPr>
        <w:t>採</w:t>
      </w:r>
      <w:proofErr w:type="gramEnd"/>
      <w:r w:rsidR="00F90DF0" w:rsidRPr="0039551E">
        <w:rPr>
          <w:rFonts w:hint="eastAsia"/>
          <w:b/>
        </w:rPr>
        <w:t>「一案</w:t>
      </w:r>
      <w:proofErr w:type="gramStart"/>
      <w:r w:rsidR="00F90DF0" w:rsidRPr="0039551E">
        <w:rPr>
          <w:rFonts w:hint="eastAsia"/>
          <w:b/>
        </w:rPr>
        <w:t>一</w:t>
      </w:r>
      <w:proofErr w:type="gramEnd"/>
      <w:r w:rsidR="00F90DF0" w:rsidRPr="0039551E">
        <w:rPr>
          <w:rFonts w:hint="eastAsia"/>
          <w:b/>
        </w:rPr>
        <w:t>緝」制度</w:t>
      </w:r>
      <w:r w:rsidR="00E0371C">
        <w:rPr>
          <w:rFonts w:hint="eastAsia"/>
          <w:b/>
        </w:rPr>
        <w:t>，</w:t>
      </w:r>
      <w:r w:rsidR="0039551E" w:rsidRPr="0039551E">
        <w:rPr>
          <w:rFonts w:hint="eastAsia"/>
          <w:b/>
        </w:rPr>
        <w:t>然司法院認為被告於同一法院有二案以上之通緝，移送單位若於移送書未載明全部之通緝文號，易發生前案未收受移送書，無法即時發給歸</w:t>
      </w:r>
      <w:r w:rsidR="0039551E" w:rsidRPr="0039551E">
        <w:rPr>
          <w:rFonts w:hint="eastAsia"/>
          <w:b/>
        </w:rPr>
        <w:lastRenderedPageBreak/>
        <w:t>案證明及辦理撤銷通緝，致被告有再次遭司法警察逮捕之風險；警政署認</w:t>
      </w:r>
      <w:r w:rsidR="00E0371C">
        <w:rPr>
          <w:rFonts w:hint="eastAsia"/>
          <w:b/>
        </w:rPr>
        <w:t>為</w:t>
      </w:r>
      <w:r w:rsidR="0039551E" w:rsidRPr="0039551E">
        <w:rPr>
          <w:rFonts w:hint="eastAsia"/>
          <w:b/>
        </w:rPr>
        <w:t>易造成移送書遺漏及解送處所紛亂等疑義，本院</w:t>
      </w:r>
      <w:proofErr w:type="gramStart"/>
      <w:r w:rsidR="0039551E" w:rsidRPr="0039551E">
        <w:rPr>
          <w:rFonts w:hint="eastAsia"/>
          <w:b/>
        </w:rPr>
        <w:t>亦認恐非</w:t>
      </w:r>
      <w:proofErr w:type="gramEnd"/>
      <w:r w:rsidR="0039551E" w:rsidRPr="0039551E">
        <w:rPr>
          <w:rFonts w:hint="eastAsia"/>
          <w:b/>
        </w:rPr>
        <w:t>良策</w:t>
      </w:r>
      <w:r w:rsidR="00F90DF0" w:rsidRPr="0039551E">
        <w:rPr>
          <w:rFonts w:hint="eastAsia"/>
          <w:b/>
        </w:rPr>
        <w:t>。高檢署及桃園地檢署未針對問題癥結進行檢討，所擬改善措施竟要求司法警察及法警</w:t>
      </w:r>
      <w:r w:rsidR="009303E9" w:rsidRPr="0039551E">
        <w:rPr>
          <w:rFonts w:hint="eastAsia"/>
          <w:b/>
        </w:rPr>
        <w:t>於移送及收受人犯時</w:t>
      </w:r>
      <w:r w:rsidR="00F90DF0" w:rsidRPr="0039551E">
        <w:rPr>
          <w:rFonts w:hint="eastAsia"/>
          <w:b/>
        </w:rPr>
        <w:t>負查詢及通報之責，實</w:t>
      </w:r>
      <w:proofErr w:type="gramStart"/>
      <w:r w:rsidR="00F90DF0" w:rsidRPr="0039551E">
        <w:rPr>
          <w:rFonts w:hint="eastAsia"/>
          <w:b/>
        </w:rPr>
        <w:t>難謂妥適</w:t>
      </w:r>
      <w:proofErr w:type="gramEnd"/>
      <w:r w:rsidR="00CC247A" w:rsidRPr="0039551E">
        <w:rPr>
          <w:rFonts w:hint="eastAsia"/>
          <w:b/>
        </w:rPr>
        <w:t>。法務部亦未檢討現行資訊系統是否符合實務作業</w:t>
      </w:r>
      <w:r w:rsidR="00B43C18" w:rsidRPr="0039551E">
        <w:rPr>
          <w:rFonts w:hint="eastAsia"/>
          <w:b/>
        </w:rPr>
        <w:t>所</w:t>
      </w:r>
      <w:r w:rsidR="00CC247A" w:rsidRPr="0039551E">
        <w:rPr>
          <w:rFonts w:hint="eastAsia"/>
          <w:b/>
        </w:rPr>
        <w:t>需，均</w:t>
      </w:r>
      <w:r w:rsidR="00F90DF0" w:rsidRPr="0039551E">
        <w:rPr>
          <w:rFonts w:hint="eastAsia"/>
          <w:b/>
        </w:rPr>
        <w:t>應賡續檢討改善。</w:t>
      </w:r>
    </w:p>
    <w:p w:rsidR="00F90DF0" w:rsidRPr="00F90DF0" w:rsidRDefault="00F90DF0" w:rsidP="00F90DF0">
      <w:pPr>
        <w:numPr>
          <w:ilvl w:val="2"/>
          <w:numId w:val="1"/>
        </w:numPr>
        <w:kinsoku w:val="0"/>
        <w:ind w:leftChars="200" w:left="1360" w:hangingChars="200" w:hanging="680"/>
        <w:jc w:val="both"/>
        <w:outlineLvl w:val="2"/>
        <w:rPr>
          <w:rFonts w:ascii="標楷體" w:hAnsi="Arial"/>
          <w:bCs/>
          <w:kern w:val="0"/>
          <w:szCs w:val="36"/>
        </w:rPr>
      </w:pPr>
      <w:r w:rsidRPr="00F90DF0">
        <w:rPr>
          <w:rFonts w:ascii="標楷體" w:hAnsi="Arial" w:hint="eastAsia"/>
          <w:bCs/>
          <w:kern w:val="0"/>
          <w:szCs w:val="36"/>
        </w:rPr>
        <w:t>本案發生後，桃園地檢署檢討認為：現行</w:t>
      </w:r>
      <w:proofErr w:type="gramStart"/>
      <w:r w:rsidRPr="00F90DF0">
        <w:rPr>
          <w:rFonts w:ascii="標楷體" w:hAnsi="Arial" w:hint="eastAsia"/>
          <w:bCs/>
          <w:kern w:val="0"/>
          <w:szCs w:val="36"/>
        </w:rPr>
        <w:t>併</w:t>
      </w:r>
      <w:proofErr w:type="gramEnd"/>
      <w:r w:rsidRPr="00F90DF0">
        <w:rPr>
          <w:rFonts w:ascii="標楷體" w:hAnsi="Arial" w:hint="eastAsia"/>
          <w:bCs/>
          <w:kern w:val="0"/>
          <w:szCs w:val="36"/>
        </w:rPr>
        <w:t>案通緝方式雖符合訴訟經濟原則，</w:t>
      </w:r>
      <w:proofErr w:type="gramStart"/>
      <w:r w:rsidRPr="00F90DF0">
        <w:rPr>
          <w:rFonts w:ascii="標楷體" w:hAnsi="Arial" w:hint="eastAsia"/>
          <w:bCs/>
          <w:kern w:val="0"/>
          <w:szCs w:val="36"/>
        </w:rPr>
        <w:t>惟前案</w:t>
      </w:r>
      <w:proofErr w:type="gramEnd"/>
      <w:r w:rsidRPr="00F90DF0">
        <w:rPr>
          <w:rFonts w:ascii="標楷體" w:hAnsi="Arial" w:hint="eastAsia"/>
          <w:bCs/>
          <w:kern w:val="0"/>
          <w:szCs w:val="36"/>
        </w:rPr>
        <w:t>通緝</w:t>
      </w:r>
      <w:proofErr w:type="gramStart"/>
      <w:r w:rsidRPr="00F90DF0">
        <w:rPr>
          <w:rFonts w:ascii="標楷體" w:hAnsi="Arial" w:hint="eastAsia"/>
          <w:bCs/>
          <w:kern w:val="0"/>
          <w:szCs w:val="36"/>
        </w:rPr>
        <w:t>書稿已建</w:t>
      </w:r>
      <w:proofErr w:type="gramEnd"/>
      <w:r w:rsidRPr="00F90DF0">
        <w:rPr>
          <w:rFonts w:ascii="標楷體" w:hAnsi="Arial" w:hint="eastAsia"/>
          <w:bCs/>
          <w:kern w:val="0"/>
          <w:szCs w:val="36"/>
        </w:rPr>
        <w:t>檔尚未發布時，後案無法製作</w:t>
      </w:r>
      <w:proofErr w:type="gramStart"/>
      <w:r w:rsidRPr="00F90DF0">
        <w:rPr>
          <w:rFonts w:ascii="標楷體" w:hAnsi="Arial" w:hint="eastAsia"/>
          <w:bCs/>
          <w:kern w:val="0"/>
          <w:szCs w:val="36"/>
        </w:rPr>
        <w:t>併</w:t>
      </w:r>
      <w:proofErr w:type="gramEnd"/>
      <w:r w:rsidRPr="00F90DF0">
        <w:rPr>
          <w:rFonts w:ascii="標楷體" w:hAnsi="Arial" w:hint="eastAsia"/>
          <w:bCs/>
          <w:kern w:val="0"/>
          <w:szCs w:val="36"/>
        </w:rPr>
        <w:t>案通緝書稿，影響</w:t>
      </w:r>
      <w:proofErr w:type="gramStart"/>
      <w:r w:rsidRPr="00F90DF0">
        <w:rPr>
          <w:rFonts w:ascii="標楷體" w:hAnsi="Arial" w:hint="eastAsia"/>
          <w:bCs/>
          <w:kern w:val="0"/>
          <w:szCs w:val="36"/>
        </w:rPr>
        <w:t>併</w:t>
      </w:r>
      <w:proofErr w:type="gramEnd"/>
      <w:r w:rsidRPr="00F90DF0">
        <w:rPr>
          <w:rFonts w:ascii="標楷體" w:hAnsi="Arial" w:hint="eastAsia"/>
          <w:bCs/>
          <w:kern w:val="0"/>
          <w:szCs w:val="36"/>
        </w:rPr>
        <w:t>案通緝發布時效；且被告緝獲時，移送單位以最後發布案件文號製作一份移送書，前案件易發生漏未訊問情形。故建議廢除</w:t>
      </w:r>
      <w:proofErr w:type="gramStart"/>
      <w:r w:rsidRPr="00F90DF0">
        <w:rPr>
          <w:rFonts w:ascii="標楷體" w:hAnsi="Arial" w:hint="eastAsia"/>
          <w:bCs/>
          <w:kern w:val="0"/>
          <w:szCs w:val="36"/>
        </w:rPr>
        <w:t>併</w:t>
      </w:r>
      <w:proofErr w:type="gramEnd"/>
      <w:r w:rsidRPr="00F90DF0">
        <w:rPr>
          <w:rFonts w:ascii="標楷體" w:hAnsi="Arial" w:hint="eastAsia"/>
          <w:bCs/>
          <w:kern w:val="0"/>
          <w:szCs w:val="36"/>
        </w:rPr>
        <w:t>案通緝制度，改</w:t>
      </w:r>
      <w:proofErr w:type="gramStart"/>
      <w:r w:rsidRPr="00F90DF0">
        <w:rPr>
          <w:rFonts w:ascii="標楷體" w:hAnsi="Arial" w:hint="eastAsia"/>
          <w:bCs/>
          <w:kern w:val="0"/>
          <w:szCs w:val="36"/>
        </w:rPr>
        <w:t>採</w:t>
      </w:r>
      <w:proofErr w:type="gramEnd"/>
      <w:r w:rsidRPr="00F90DF0">
        <w:rPr>
          <w:rFonts w:ascii="標楷體" w:hAnsi="Arial" w:hint="eastAsia"/>
          <w:bCs/>
          <w:kern w:val="0"/>
          <w:szCs w:val="36"/>
        </w:rPr>
        <w:t>一案</w:t>
      </w:r>
      <w:proofErr w:type="gramStart"/>
      <w:r w:rsidRPr="00F90DF0">
        <w:rPr>
          <w:rFonts w:ascii="標楷體" w:hAnsi="Arial" w:hint="eastAsia"/>
          <w:bCs/>
          <w:kern w:val="0"/>
          <w:szCs w:val="36"/>
        </w:rPr>
        <w:t>一</w:t>
      </w:r>
      <w:proofErr w:type="gramEnd"/>
      <w:r w:rsidRPr="00F90DF0">
        <w:rPr>
          <w:rFonts w:ascii="標楷體" w:hAnsi="Arial" w:hint="eastAsia"/>
          <w:bCs/>
          <w:kern w:val="0"/>
          <w:szCs w:val="36"/>
        </w:rPr>
        <w:t>通緝之方式，由各股各自進行</w:t>
      </w:r>
      <w:proofErr w:type="gramStart"/>
      <w:r w:rsidRPr="00F90DF0">
        <w:rPr>
          <w:rFonts w:ascii="標楷體" w:hAnsi="Arial" w:hint="eastAsia"/>
          <w:bCs/>
          <w:kern w:val="0"/>
          <w:szCs w:val="36"/>
        </w:rPr>
        <w:t>通緝撤緝之</w:t>
      </w:r>
      <w:proofErr w:type="gramEnd"/>
      <w:r w:rsidRPr="00F90DF0">
        <w:rPr>
          <w:rFonts w:ascii="標楷體" w:hAnsi="Arial" w:hint="eastAsia"/>
          <w:bCs/>
          <w:kern w:val="0"/>
          <w:szCs w:val="36"/>
        </w:rPr>
        <w:t>作業，同一被告遭多案通緝時，檢察官及司法</w:t>
      </w:r>
      <w:proofErr w:type="gramStart"/>
      <w:r w:rsidRPr="00F90DF0">
        <w:rPr>
          <w:rFonts w:ascii="標楷體" w:hAnsi="Arial" w:hint="eastAsia"/>
          <w:bCs/>
          <w:kern w:val="0"/>
          <w:szCs w:val="36"/>
        </w:rPr>
        <w:t>警察機關均能自</w:t>
      </w:r>
      <w:proofErr w:type="gramEnd"/>
      <w:r w:rsidRPr="00F90DF0">
        <w:rPr>
          <w:rFonts w:ascii="標楷體" w:hAnsi="Arial" w:hint="eastAsia"/>
          <w:bCs/>
          <w:kern w:val="0"/>
          <w:szCs w:val="36"/>
        </w:rPr>
        <w:t>資訊系統即時列印查詢，避免通緝案件漏未處理之情形等語。該建議經高檢署審核認為：現行作業流程，前案通</w:t>
      </w:r>
      <w:r w:rsidR="005510AC">
        <w:rPr>
          <w:rFonts w:ascii="標楷體" w:hAnsi="Arial" w:hint="eastAsia"/>
          <w:bCs/>
          <w:kern w:val="0"/>
          <w:szCs w:val="36"/>
        </w:rPr>
        <w:t>緝</w:t>
      </w:r>
      <w:proofErr w:type="gramStart"/>
      <w:r w:rsidRPr="00F90DF0">
        <w:rPr>
          <w:rFonts w:ascii="標楷體" w:hAnsi="Arial" w:hint="eastAsia"/>
          <w:bCs/>
          <w:kern w:val="0"/>
          <w:szCs w:val="36"/>
        </w:rPr>
        <w:t>書稿已輸入</w:t>
      </w:r>
      <w:proofErr w:type="gramEnd"/>
      <w:r w:rsidRPr="00F90DF0">
        <w:rPr>
          <w:rFonts w:ascii="標楷體" w:hAnsi="Arial" w:hint="eastAsia"/>
          <w:bCs/>
          <w:kern w:val="0"/>
          <w:szCs w:val="36"/>
        </w:rPr>
        <w:t>建檔後，尚未發布通</w:t>
      </w:r>
      <w:r w:rsidR="005510AC">
        <w:rPr>
          <w:rFonts w:ascii="標楷體" w:hAnsi="Arial" w:hint="eastAsia"/>
          <w:bCs/>
          <w:kern w:val="0"/>
          <w:szCs w:val="36"/>
        </w:rPr>
        <w:t>緝</w:t>
      </w:r>
      <w:r w:rsidRPr="00F90DF0">
        <w:rPr>
          <w:rFonts w:ascii="標楷體" w:hAnsi="Arial" w:hint="eastAsia"/>
          <w:bCs/>
          <w:kern w:val="0"/>
          <w:szCs w:val="36"/>
        </w:rPr>
        <w:t>前，後案無法再行輸入獨立發布通緝，而必須</w:t>
      </w:r>
      <w:proofErr w:type="gramStart"/>
      <w:r w:rsidRPr="00F90DF0">
        <w:rPr>
          <w:rFonts w:ascii="標楷體" w:hAnsi="Arial" w:hint="eastAsia"/>
          <w:bCs/>
          <w:kern w:val="0"/>
          <w:szCs w:val="36"/>
        </w:rPr>
        <w:t>併</w:t>
      </w:r>
      <w:proofErr w:type="gramEnd"/>
      <w:r w:rsidRPr="00F90DF0">
        <w:rPr>
          <w:rFonts w:ascii="標楷體" w:hAnsi="Arial" w:hint="eastAsia"/>
          <w:bCs/>
          <w:kern w:val="0"/>
          <w:szCs w:val="36"/>
        </w:rPr>
        <w:t>案通緝。該程序不影響前案的通緝發布時效。後案承辦檢察官亦獲知該被告即將經其他股發布通</w:t>
      </w:r>
      <w:r w:rsidR="005510AC">
        <w:rPr>
          <w:rFonts w:ascii="標楷體" w:hAnsi="Arial" w:hint="eastAsia"/>
          <w:bCs/>
          <w:kern w:val="0"/>
          <w:szCs w:val="36"/>
        </w:rPr>
        <w:t>緝</w:t>
      </w:r>
      <w:r w:rsidRPr="00F90DF0">
        <w:rPr>
          <w:rFonts w:ascii="標楷體" w:hAnsi="Arial" w:hint="eastAsia"/>
          <w:bCs/>
          <w:kern w:val="0"/>
          <w:szCs w:val="36"/>
        </w:rPr>
        <w:t>，</w:t>
      </w:r>
      <w:proofErr w:type="gramStart"/>
      <w:r w:rsidRPr="00F90DF0">
        <w:rPr>
          <w:rFonts w:ascii="標楷體" w:hAnsi="Arial" w:hint="eastAsia"/>
          <w:bCs/>
          <w:kern w:val="0"/>
          <w:szCs w:val="36"/>
        </w:rPr>
        <w:t>待前案</w:t>
      </w:r>
      <w:proofErr w:type="gramEnd"/>
      <w:r w:rsidRPr="00F90DF0">
        <w:rPr>
          <w:rFonts w:ascii="標楷體" w:hAnsi="Arial" w:hint="eastAsia"/>
          <w:bCs/>
          <w:kern w:val="0"/>
          <w:szCs w:val="36"/>
        </w:rPr>
        <w:t>實際發布通</w:t>
      </w:r>
      <w:r w:rsidR="005510AC">
        <w:rPr>
          <w:rFonts w:ascii="標楷體" w:hAnsi="Arial" w:hint="eastAsia"/>
          <w:bCs/>
          <w:kern w:val="0"/>
          <w:szCs w:val="36"/>
        </w:rPr>
        <w:t>緝</w:t>
      </w:r>
      <w:r w:rsidRPr="00F90DF0">
        <w:rPr>
          <w:rFonts w:ascii="標楷體" w:hAnsi="Arial" w:hint="eastAsia"/>
          <w:bCs/>
          <w:kern w:val="0"/>
          <w:szCs w:val="36"/>
        </w:rPr>
        <w:t>後，再</w:t>
      </w:r>
      <w:proofErr w:type="gramStart"/>
      <w:r w:rsidRPr="00F90DF0">
        <w:rPr>
          <w:rFonts w:ascii="標楷體" w:hAnsi="Arial" w:hint="eastAsia"/>
          <w:bCs/>
          <w:kern w:val="0"/>
          <w:szCs w:val="36"/>
        </w:rPr>
        <w:t>併</w:t>
      </w:r>
      <w:proofErr w:type="gramEnd"/>
      <w:r w:rsidRPr="00F90DF0">
        <w:rPr>
          <w:rFonts w:ascii="標楷體" w:hAnsi="Arial" w:hint="eastAsia"/>
          <w:bCs/>
          <w:kern w:val="0"/>
          <w:szCs w:val="36"/>
        </w:rPr>
        <w:t>案通緝即可。在通常情況下，通緝書稿輸入建檔後，當日即可發布通緝，對於時效不生重大影響，且刑法修正後，時效之計算更與通緝發布日期</w:t>
      </w:r>
      <w:proofErr w:type="gramStart"/>
      <w:r w:rsidRPr="00F90DF0">
        <w:rPr>
          <w:rFonts w:ascii="標楷體" w:hAnsi="Arial" w:hint="eastAsia"/>
          <w:bCs/>
          <w:kern w:val="0"/>
          <w:szCs w:val="36"/>
        </w:rPr>
        <w:t>無涉等語</w:t>
      </w:r>
      <w:proofErr w:type="gramEnd"/>
      <w:r w:rsidRPr="00F90DF0">
        <w:rPr>
          <w:rFonts w:ascii="標楷體" w:hAnsi="Arial" w:hint="eastAsia"/>
          <w:bCs/>
          <w:kern w:val="0"/>
          <w:szCs w:val="36"/>
        </w:rPr>
        <w:t>。換言之，現行「</w:t>
      </w:r>
      <w:proofErr w:type="gramStart"/>
      <w:r w:rsidRPr="00F90DF0">
        <w:rPr>
          <w:rFonts w:ascii="標楷體" w:hAnsi="Arial" w:hint="eastAsia"/>
          <w:bCs/>
          <w:kern w:val="0"/>
          <w:szCs w:val="36"/>
        </w:rPr>
        <w:t>併</w:t>
      </w:r>
      <w:proofErr w:type="gramEnd"/>
      <w:r w:rsidRPr="00F90DF0">
        <w:rPr>
          <w:rFonts w:ascii="標楷體" w:hAnsi="Arial" w:hint="eastAsia"/>
          <w:bCs/>
          <w:kern w:val="0"/>
          <w:szCs w:val="36"/>
        </w:rPr>
        <w:t>案通緝」制度下之作業流程，雖有前案通緝</w:t>
      </w:r>
      <w:proofErr w:type="gramStart"/>
      <w:r w:rsidRPr="00F90DF0">
        <w:rPr>
          <w:rFonts w:ascii="標楷體" w:hAnsi="Arial" w:hint="eastAsia"/>
          <w:bCs/>
          <w:kern w:val="0"/>
          <w:szCs w:val="36"/>
        </w:rPr>
        <w:t>書稿已建</w:t>
      </w:r>
      <w:proofErr w:type="gramEnd"/>
      <w:r w:rsidRPr="00F90DF0">
        <w:rPr>
          <w:rFonts w:ascii="標楷體" w:hAnsi="Arial" w:hint="eastAsia"/>
          <w:bCs/>
          <w:kern w:val="0"/>
          <w:szCs w:val="36"/>
        </w:rPr>
        <w:t>檔尚未發布時，後案無法製作</w:t>
      </w:r>
      <w:proofErr w:type="gramStart"/>
      <w:r w:rsidRPr="00F90DF0">
        <w:rPr>
          <w:rFonts w:ascii="標楷體" w:hAnsi="Arial" w:hint="eastAsia"/>
          <w:bCs/>
          <w:kern w:val="0"/>
          <w:szCs w:val="36"/>
        </w:rPr>
        <w:t>併</w:t>
      </w:r>
      <w:proofErr w:type="gramEnd"/>
      <w:r w:rsidRPr="00F90DF0">
        <w:rPr>
          <w:rFonts w:ascii="標楷體" w:hAnsi="Arial" w:hint="eastAsia"/>
          <w:bCs/>
          <w:kern w:val="0"/>
          <w:szCs w:val="36"/>
        </w:rPr>
        <w:t>案通緝書</w:t>
      </w:r>
      <w:proofErr w:type="gramStart"/>
      <w:r w:rsidRPr="00F90DF0">
        <w:rPr>
          <w:rFonts w:ascii="標楷體" w:hAnsi="Arial" w:hint="eastAsia"/>
          <w:bCs/>
          <w:kern w:val="0"/>
          <w:szCs w:val="36"/>
        </w:rPr>
        <w:t>稿等情</w:t>
      </w:r>
      <w:proofErr w:type="gramEnd"/>
      <w:r w:rsidRPr="00F90DF0">
        <w:rPr>
          <w:rFonts w:ascii="標楷體" w:hAnsi="Arial" w:hint="eastAsia"/>
          <w:bCs/>
          <w:kern w:val="0"/>
          <w:szCs w:val="36"/>
        </w:rPr>
        <w:t>，但不致影響通緝之發布時效。</w:t>
      </w:r>
    </w:p>
    <w:p w:rsidR="00F90DF0" w:rsidRPr="00F90DF0" w:rsidRDefault="00F90DF0" w:rsidP="00F90DF0">
      <w:pPr>
        <w:numPr>
          <w:ilvl w:val="2"/>
          <w:numId w:val="1"/>
        </w:numPr>
        <w:kinsoku w:val="0"/>
        <w:ind w:leftChars="200" w:left="1360" w:hangingChars="200" w:hanging="680"/>
        <w:jc w:val="both"/>
        <w:outlineLvl w:val="2"/>
        <w:rPr>
          <w:rFonts w:ascii="標楷體" w:hAnsi="Arial"/>
          <w:bCs/>
          <w:kern w:val="0"/>
          <w:szCs w:val="36"/>
        </w:rPr>
      </w:pPr>
      <w:r w:rsidRPr="00F90DF0">
        <w:rPr>
          <w:rFonts w:ascii="標楷體" w:hAnsi="Arial" w:hint="eastAsia"/>
          <w:bCs/>
          <w:kern w:val="0"/>
          <w:szCs w:val="36"/>
        </w:rPr>
        <w:t>「一案</w:t>
      </w:r>
      <w:proofErr w:type="gramStart"/>
      <w:r w:rsidRPr="00F90DF0">
        <w:rPr>
          <w:rFonts w:ascii="標楷體" w:hAnsi="Arial" w:hint="eastAsia"/>
          <w:bCs/>
          <w:kern w:val="0"/>
          <w:szCs w:val="36"/>
        </w:rPr>
        <w:t>一</w:t>
      </w:r>
      <w:proofErr w:type="gramEnd"/>
      <w:r w:rsidRPr="00F90DF0">
        <w:rPr>
          <w:rFonts w:ascii="標楷體" w:hAnsi="Arial" w:hint="eastAsia"/>
          <w:bCs/>
          <w:kern w:val="0"/>
          <w:szCs w:val="36"/>
        </w:rPr>
        <w:t>緝」之建議，經函</w:t>
      </w:r>
      <w:proofErr w:type="gramStart"/>
      <w:r w:rsidRPr="00F90DF0">
        <w:rPr>
          <w:rFonts w:ascii="標楷體" w:hAnsi="Arial" w:hint="eastAsia"/>
          <w:bCs/>
          <w:kern w:val="0"/>
          <w:szCs w:val="36"/>
        </w:rPr>
        <w:t>詢</w:t>
      </w:r>
      <w:proofErr w:type="gramEnd"/>
      <w:r w:rsidRPr="00F90DF0">
        <w:rPr>
          <w:rFonts w:ascii="標楷體" w:hAnsi="Arial" w:hint="eastAsia"/>
          <w:bCs/>
          <w:kern w:val="0"/>
          <w:szCs w:val="36"/>
        </w:rPr>
        <w:t>司法院及內政部警政署均採取反對看法，其理由分述如下：</w:t>
      </w:r>
    </w:p>
    <w:p w:rsidR="0039551E" w:rsidRDefault="00F90DF0" w:rsidP="0039551E">
      <w:pPr>
        <w:numPr>
          <w:ilvl w:val="3"/>
          <w:numId w:val="1"/>
        </w:numPr>
        <w:ind w:leftChars="300" w:left="1700" w:hangingChars="200" w:hanging="680"/>
        <w:jc w:val="both"/>
        <w:outlineLvl w:val="3"/>
      </w:pPr>
      <w:r w:rsidRPr="00F90DF0">
        <w:rPr>
          <w:rFonts w:ascii="標楷體" w:hAnsi="Arial" w:hint="eastAsia"/>
          <w:szCs w:val="36"/>
        </w:rPr>
        <w:lastRenderedPageBreak/>
        <w:t>司法院</w:t>
      </w:r>
      <w:r w:rsidR="0039551E">
        <w:rPr>
          <w:rFonts w:ascii="標楷體" w:hAnsi="Arial" w:hint="eastAsia"/>
          <w:szCs w:val="36"/>
        </w:rPr>
        <w:t>認為，</w:t>
      </w:r>
      <w:proofErr w:type="gramStart"/>
      <w:r w:rsidR="0039551E">
        <w:rPr>
          <w:rFonts w:hint="eastAsia"/>
        </w:rPr>
        <w:t>採</w:t>
      </w:r>
      <w:proofErr w:type="gramEnd"/>
      <w:r w:rsidR="0039551E">
        <w:rPr>
          <w:rFonts w:hint="eastAsia"/>
        </w:rPr>
        <w:t>一案</w:t>
      </w:r>
      <w:proofErr w:type="gramStart"/>
      <w:r w:rsidR="0039551E">
        <w:rPr>
          <w:rFonts w:hint="eastAsia"/>
        </w:rPr>
        <w:t>一</w:t>
      </w:r>
      <w:proofErr w:type="gramEnd"/>
      <w:r w:rsidR="0039551E">
        <w:rPr>
          <w:rFonts w:hint="eastAsia"/>
        </w:rPr>
        <w:t>緝制度之缺點，在於被告於同一法院有二案以上之通緝，移送單位若於移送書未載明全部之通緝文號，易發生前案未收受移送書，無法即時發給歸案證明及辦理撤銷通緝，致被告有再次遭司法警察逮捕之風險。至同一被告為二案以上通緝究應</w:t>
      </w:r>
      <w:proofErr w:type="gramStart"/>
      <w:r w:rsidR="0039551E">
        <w:rPr>
          <w:rFonts w:hint="eastAsia"/>
        </w:rPr>
        <w:t>採</w:t>
      </w:r>
      <w:proofErr w:type="gramEnd"/>
      <w:r w:rsidR="0039551E">
        <w:rPr>
          <w:rFonts w:hint="eastAsia"/>
        </w:rPr>
        <w:t>行何種制度，</w:t>
      </w:r>
      <w:proofErr w:type="gramStart"/>
      <w:r w:rsidR="0039551E">
        <w:rPr>
          <w:rFonts w:hint="eastAsia"/>
        </w:rPr>
        <w:t>應視何者</w:t>
      </w:r>
      <w:proofErr w:type="gramEnd"/>
      <w:r w:rsidR="0039551E">
        <w:rPr>
          <w:rFonts w:hint="eastAsia"/>
        </w:rPr>
        <w:t>較不易損害被告權益及實務運作較為順暢而定，現行規定如經切實遵守，應能兼顧上開要求，尚無修正改</w:t>
      </w:r>
      <w:proofErr w:type="gramStart"/>
      <w:r w:rsidR="0039551E">
        <w:rPr>
          <w:rFonts w:hint="eastAsia"/>
        </w:rPr>
        <w:t>採</w:t>
      </w:r>
      <w:proofErr w:type="gramEnd"/>
      <w:r w:rsidR="0039551E">
        <w:rPr>
          <w:rFonts w:hint="eastAsia"/>
        </w:rPr>
        <w:t>一案</w:t>
      </w:r>
      <w:proofErr w:type="gramStart"/>
      <w:r w:rsidR="0039551E">
        <w:rPr>
          <w:rFonts w:hint="eastAsia"/>
        </w:rPr>
        <w:t>一</w:t>
      </w:r>
      <w:proofErr w:type="gramEnd"/>
      <w:r w:rsidR="0039551E">
        <w:rPr>
          <w:rFonts w:hint="eastAsia"/>
        </w:rPr>
        <w:t>緝制度之必要。</w:t>
      </w:r>
    </w:p>
    <w:p w:rsidR="00F90DF0" w:rsidRPr="00F90DF0" w:rsidRDefault="00345F68" w:rsidP="0039551E">
      <w:pPr>
        <w:pStyle w:val="4"/>
      </w:pPr>
      <w:r>
        <w:rPr>
          <w:rFonts w:hint="eastAsia"/>
        </w:rPr>
        <w:t>又據</w:t>
      </w:r>
      <w:r w:rsidR="0039551E" w:rsidRPr="0039551E">
        <w:rPr>
          <w:rFonts w:hint="eastAsia"/>
        </w:rPr>
        <w:t>司法院表示，</w:t>
      </w:r>
      <w:r w:rsidR="00F90DF0" w:rsidRPr="00F90DF0">
        <w:rPr>
          <w:rFonts w:hint="eastAsia"/>
        </w:rPr>
        <w:t>該院前已頒布「法院辦理通緝、協尋案件應行注意事項」供法院於辦理通、</w:t>
      </w:r>
      <w:proofErr w:type="gramStart"/>
      <w:r w:rsidR="00F90DF0" w:rsidRPr="00F90DF0">
        <w:rPr>
          <w:rFonts w:hint="eastAsia"/>
        </w:rPr>
        <w:t>撤緝作業</w:t>
      </w:r>
      <w:proofErr w:type="gramEnd"/>
      <w:r w:rsidR="00F90DF0" w:rsidRPr="00F90DF0">
        <w:rPr>
          <w:rFonts w:hint="eastAsia"/>
        </w:rPr>
        <w:t>時有所遵循。依該注意事項第10點及第11點規定，同一法院就同一被告為二案以上通緝時，應以另行</w:t>
      </w:r>
      <w:proofErr w:type="gramStart"/>
      <w:r w:rsidR="00F90DF0" w:rsidRPr="00F90DF0">
        <w:rPr>
          <w:rFonts w:hint="eastAsia"/>
        </w:rPr>
        <w:t>併</w:t>
      </w:r>
      <w:proofErr w:type="gramEnd"/>
      <w:r w:rsidR="00F90DF0" w:rsidRPr="00F90DF0">
        <w:rPr>
          <w:rFonts w:hint="eastAsia"/>
        </w:rPr>
        <w:t>案通緝為原因撤銷前案，</w:t>
      </w:r>
      <w:proofErr w:type="gramStart"/>
      <w:r w:rsidR="00F90DF0" w:rsidRPr="00F90DF0">
        <w:rPr>
          <w:rFonts w:hint="eastAsia"/>
        </w:rPr>
        <w:t>併</w:t>
      </w:r>
      <w:proofErr w:type="gramEnd"/>
      <w:r w:rsidR="00F90DF0" w:rsidRPr="00F90DF0">
        <w:rPr>
          <w:rFonts w:hint="eastAsia"/>
        </w:rPr>
        <w:t>後案通緝，於</w:t>
      </w:r>
      <w:proofErr w:type="gramStart"/>
      <w:r w:rsidR="00F90DF0" w:rsidRPr="00F90DF0">
        <w:rPr>
          <w:rFonts w:hint="eastAsia"/>
        </w:rPr>
        <w:t>併</w:t>
      </w:r>
      <w:proofErr w:type="gramEnd"/>
      <w:r w:rsidR="00F90DF0" w:rsidRPr="00F90DF0">
        <w:rPr>
          <w:rFonts w:hint="eastAsia"/>
        </w:rPr>
        <w:t>案通緝書加</w:t>
      </w:r>
      <w:proofErr w:type="gramStart"/>
      <w:r w:rsidR="00F90DF0" w:rsidRPr="00F90DF0">
        <w:rPr>
          <w:rFonts w:hint="eastAsia"/>
        </w:rPr>
        <w:t>註</w:t>
      </w:r>
      <w:proofErr w:type="gramEnd"/>
      <w:r w:rsidR="00F90DF0" w:rsidRPr="00F90DF0">
        <w:rPr>
          <w:rFonts w:hint="eastAsia"/>
        </w:rPr>
        <w:t>「</w:t>
      </w:r>
      <w:proofErr w:type="gramStart"/>
      <w:r w:rsidR="00F90DF0" w:rsidRPr="00F90DF0">
        <w:rPr>
          <w:rFonts w:hint="eastAsia"/>
        </w:rPr>
        <w:t>併</w:t>
      </w:r>
      <w:proofErr w:type="gramEnd"/>
      <w:r w:rsidR="00F90DF0" w:rsidRPr="00F90DF0">
        <w:rPr>
          <w:rFonts w:hint="eastAsia"/>
        </w:rPr>
        <w:t>案通緝」、「原○年○月○日○○號通緝書應同時撤銷」字樣，並應於</w:t>
      </w:r>
      <w:proofErr w:type="gramStart"/>
      <w:r w:rsidR="00F90DF0" w:rsidRPr="00F90DF0">
        <w:rPr>
          <w:rFonts w:hint="eastAsia"/>
        </w:rPr>
        <w:t>併</w:t>
      </w:r>
      <w:proofErr w:type="gramEnd"/>
      <w:r w:rsidR="00F90DF0" w:rsidRPr="00F90DF0">
        <w:rPr>
          <w:rFonts w:hint="eastAsia"/>
        </w:rPr>
        <w:t>案通緝書記載各案之案號、案由、被訴事實，以便分別計算其追訴權時效</w:t>
      </w:r>
      <w:proofErr w:type="gramStart"/>
      <w:r w:rsidR="00F90DF0" w:rsidRPr="00F90DF0">
        <w:rPr>
          <w:rFonts w:hint="eastAsia"/>
        </w:rPr>
        <w:t>期間，且併</w:t>
      </w:r>
      <w:proofErr w:type="gramEnd"/>
      <w:r w:rsidR="00F90DF0" w:rsidRPr="00F90DF0">
        <w:rPr>
          <w:rFonts w:hint="eastAsia"/>
        </w:rPr>
        <w:t>案通緝之各案卷宗，應</w:t>
      </w:r>
      <w:proofErr w:type="gramStart"/>
      <w:r w:rsidR="00F90DF0" w:rsidRPr="00F90DF0">
        <w:rPr>
          <w:rFonts w:hint="eastAsia"/>
        </w:rPr>
        <w:t>併</w:t>
      </w:r>
      <w:proofErr w:type="gramEnd"/>
      <w:r w:rsidR="00F90DF0" w:rsidRPr="00F90DF0">
        <w:rPr>
          <w:rFonts w:hint="eastAsia"/>
        </w:rPr>
        <w:t>同保管。</w:t>
      </w:r>
      <w:proofErr w:type="gramStart"/>
      <w:r w:rsidR="00F90DF0" w:rsidRPr="00F90DF0">
        <w:rPr>
          <w:rFonts w:hint="eastAsia"/>
        </w:rPr>
        <w:t>併</w:t>
      </w:r>
      <w:proofErr w:type="gramEnd"/>
      <w:r w:rsidR="00F90DF0" w:rsidRPr="00F90DF0">
        <w:rPr>
          <w:rFonts w:hint="eastAsia"/>
        </w:rPr>
        <w:t>案通緝案件，經通緝歸案後，應分由同一法官</w:t>
      </w:r>
      <w:proofErr w:type="gramStart"/>
      <w:r w:rsidR="00F90DF0" w:rsidRPr="00F90DF0">
        <w:rPr>
          <w:rFonts w:hint="eastAsia"/>
        </w:rPr>
        <w:t>併</w:t>
      </w:r>
      <w:proofErr w:type="gramEnd"/>
      <w:r w:rsidR="00F90DF0" w:rsidRPr="00F90DF0">
        <w:rPr>
          <w:rFonts w:hint="eastAsia"/>
        </w:rPr>
        <w:t>案審理。又依民刑事件編號計數分</w:t>
      </w:r>
      <w:proofErr w:type="gramStart"/>
      <w:r w:rsidR="00F90DF0" w:rsidRPr="00F90DF0">
        <w:rPr>
          <w:rFonts w:hint="eastAsia"/>
        </w:rPr>
        <w:t>案報結實施</w:t>
      </w:r>
      <w:proofErr w:type="gramEnd"/>
      <w:r w:rsidR="00F90DF0" w:rsidRPr="00F90DF0">
        <w:rPr>
          <w:rFonts w:hint="eastAsia"/>
        </w:rPr>
        <w:t>要點第69點之規定，被告經通緝滿三個月，案件</w:t>
      </w:r>
      <w:proofErr w:type="gramStart"/>
      <w:r w:rsidR="00F90DF0" w:rsidRPr="00F90DF0">
        <w:rPr>
          <w:rFonts w:hint="eastAsia"/>
        </w:rPr>
        <w:t>得報結</w:t>
      </w:r>
      <w:proofErr w:type="gramEnd"/>
      <w:r w:rsidR="00F90DF0" w:rsidRPr="00F90DF0">
        <w:rPr>
          <w:rFonts w:hint="eastAsia"/>
        </w:rPr>
        <w:t>。</w:t>
      </w:r>
      <w:proofErr w:type="gramStart"/>
      <w:r w:rsidR="00F90DF0" w:rsidRPr="00F90DF0">
        <w:rPr>
          <w:rFonts w:hint="eastAsia"/>
        </w:rPr>
        <w:t>報結後</w:t>
      </w:r>
      <w:proofErr w:type="gramEnd"/>
      <w:r w:rsidR="00F90DF0" w:rsidRPr="00F90DF0">
        <w:rPr>
          <w:rFonts w:hint="eastAsia"/>
        </w:rPr>
        <w:t>之卷宗由</w:t>
      </w:r>
      <w:proofErr w:type="gramStart"/>
      <w:r w:rsidR="00F90DF0" w:rsidRPr="00F90DF0">
        <w:rPr>
          <w:rFonts w:hint="eastAsia"/>
        </w:rPr>
        <w:t>刑事紀綠科</w:t>
      </w:r>
      <w:proofErr w:type="gramEnd"/>
      <w:r w:rsidR="00F90DF0" w:rsidRPr="00F90DF0">
        <w:rPr>
          <w:rFonts w:hint="eastAsia"/>
        </w:rPr>
        <w:t>通緝檔卷室保管，如同</w:t>
      </w:r>
      <w:proofErr w:type="gramStart"/>
      <w:r w:rsidR="00F90DF0" w:rsidRPr="00F90DF0">
        <w:rPr>
          <w:rFonts w:hint="eastAsia"/>
        </w:rPr>
        <w:t>一</w:t>
      </w:r>
      <w:proofErr w:type="gramEnd"/>
      <w:r w:rsidR="00F90DF0" w:rsidRPr="00F90DF0">
        <w:rPr>
          <w:rFonts w:hint="eastAsia"/>
        </w:rPr>
        <w:t>被告為二案以上通緝時，依上開流程，卷宗應</w:t>
      </w:r>
      <w:proofErr w:type="gramStart"/>
      <w:r w:rsidR="00F90DF0" w:rsidRPr="00F90DF0">
        <w:rPr>
          <w:rFonts w:hint="eastAsia"/>
        </w:rPr>
        <w:t>併</w:t>
      </w:r>
      <w:proofErr w:type="gramEnd"/>
      <w:r w:rsidR="00F90DF0" w:rsidRPr="00F90DF0">
        <w:rPr>
          <w:rFonts w:hint="eastAsia"/>
        </w:rPr>
        <w:t>案保管。如依前開流程辦理，應不致發生漏未審理之情形。至於前案通緝</w:t>
      </w:r>
      <w:proofErr w:type="gramStart"/>
      <w:r w:rsidR="00F90DF0" w:rsidRPr="00F90DF0">
        <w:rPr>
          <w:rFonts w:hint="eastAsia"/>
        </w:rPr>
        <w:t>書稿已建</w:t>
      </w:r>
      <w:proofErr w:type="gramEnd"/>
      <w:r w:rsidR="00F90DF0" w:rsidRPr="00F90DF0">
        <w:rPr>
          <w:rFonts w:hint="eastAsia"/>
        </w:rPr>
        <w:t>檔尚未發布時，後案仍可引用前案通緝資料，製作</w:t>
      </w:r>
      <w:proofErr w:type="gramStart"/>
      <w:r w:rsidR="00F90DF0" w:rsidRPr="00F90DF0">
        <w:rPr>
          <w:rFonts w:hint="eastAsia"/>
        </w:rPr>
        <w:t>併</w:t>
      </w:r>
      <w:proofErr w:type="gramEnd"/>
      <w:r w:rsidR="00F90DF0" w:rsidRPr="00F90DF0">
        <w:rPr>
          <w:rFonts w:hint="eastAsia"/>
        </w:rPr>
        <w:t>案通緝書稿，並無影響通緝發布時效</w:t>
      </w:r>
      <w:proofErr w:type="gramStart"/>
      <w:r w:rsidR="00F90DF0" w:rsidRPr="00F90DF0">
        <w:rPr>
          <w:rFonts w:hint="eastAsia"/>
        </w:rPr>
        <w:t>之情等語</w:t>
      </w:r>
      <w:proofErr w:type="gramEnd"/>
      <w:r w:rsidR="00F90DF0" w:rsidRPr="00F90DF0">
        <w:rPr>
          <w:rFonts w:hint="eastAsia"/>
        </w:rPr>
        <w:t>。簡言之，法院與檢察</w:t>
      </w:r>
      <w:r w:rsidR="005510AC">
        <w:rPr>
          <w:rFonts w:hint="eastAsia"/>
        </w:rPr>
        <w:t>機</w:t>
      </w:r>
      <w:r w:rsidR="00F90DF0" w:rsidRPr="00F90DF0">
        <w:rPr>
          <w:rFonts w:hint="eastAsia"/>
        </w:rPr>
        <w:t>關辦理通、</w:t>
      </w:r>
      <w:proofErr w:type="gramStart"/>
      <w:r w:rsidR="00F90DF0" w:rsidRPr="00F90DF0">
        <w:rPr>
          <w:rFonts w:hint="eastAsia"/>
        </w:rPr>
        <w:t>撤緝作業</w:t>
      </w:r>
      <w:proofErr w:type="gramEnd"/>
      <w:r w:rsidR="00F90DF0" w:rsidRPr="00F90DF0">
        <w:rPr>
          <w:rFonts w:hint="eastAsia"/>
        </w:rPr>
        <w:t>之流程大致相同，現行制度如落實執行，不生影響通緝時效，亦不致發生</w:t>
      </w:r>
      <w:r w:rsidR="00F90DF0" w:rsidRPr="00F90DF0">
        <w:rPr>
          <w:rFonts w:hint="eastAsia"/>
        </w:rPr>
        <w:lastRenderedPageBreak/>
        <w:t>漏未審理的情形。</w:t>
      </w:r>
    </w:p>
    <w:p w:rsidR="00F90DF0" w:rsidRPr="00F90DF0" w:rsidRDefault="00CC16B9" w:rsidP="00F90DF0">
      <w:pPr>
        <w:numPr>
          <w:ilvl w:val="3"/>
          <w:numId w:val="1"/>
        </w:numPr>
        <w:ind w:leftChars="300" w:left="1700" w:hangingChars="200" w:hanging="680"/>
        <w:jc w:val="both"/>
        <w:outlineLvl w:val="3"/>
        <w:rPr>
          <w:rFonts w:ascii="標楷體" w:hAnsi="Arial"/>
          <w:szCs w:val="36"/>
        </w:rPr>
      </w:pPr>
      <w:r>
        <w:rPr>
          <w:rFonts w:ascii="標楷體" w:hAnsi="Arial" w:hint="eastAsia"/>
          <w:szCs w:val="36"/>
        </w:rPr>
        <w:t>內政部</w:t>
      </w:r>
      <w:r w:rsidR="00F90DF0" w:rsidRPr="00F90DF0">
        <w:rPr>
          <w:rFonts w:ascii="標楷體" w:hAnsi="Arial" w:hint="eastAsia"/>
          <w:szCs w:val="36"/>
        </w:rPr>
        <w:t>警政署則表示：通緝屬法務部權責，究竟是否改為一案</w:t>
      </w:r>
      <w:proofErr w:type="gramStart"/>
      <w:r w:rsidR="00F90DF0" w:rsidRPr="00F90DF0">
        <w:rPr>
          <w:rFonts w:ascii="標楷體" w:hAnsi="Arial" w:hint="eastAsia"/>
          <w:szCs w:val="36"/>
        </w:rPr>
        <w:t>一</w:t>
      </w:r>
      <w:proofErr w:type="gramEnd"/>
      <w:r w:rsidR="00F90DF0" w:rsidRPr="00F90DF0">
        <w:rPr>
          <w:rFonts w:ascii="標楷體" w:hAnsi="Arial" w:hint="eastAsia"/>
          <w:szCs w:val="36"/>
        </w:rPr>
        <w:t>通緝，應由</w:t>
      </w:r>
      <w:proofErr w:type="gramStart"/>
      <w:r w:rsidR="00F90DF0" w:rsidRPr="00F90DF0">
        <w:rPr>
          <w:rFonts w:ascii="標楷體" w:hAnsi="Arial" w:hint="eastAsia"/>
          <w:szCs w:val="36"/>
        </w:rPr>
        <w:t>該部依權責</w:t>
      </w:r>
      <w:proofErr w:type="gramEnd"/>
      <w:r w:rsidR="00F90DF0" w:rsidRPr="00F90DF0">
        <w:rPr>
          <w:rFonts w:ascii="標楷體" w:hAnsi="Arial" w:hint="eastAsia"/>
          <w:szCs w:val="36"/>
        </w:rPr>
        <w:t>審酌。</w:t>
      </w:r>
      <w:proofErr w:type="gramStart"/>
      <w:r w:rsidR="00F90DF0" w:rsidRPr="00F90DF0">
        <w:rPr>
          <w:rFonts w:ascii="標楷體" w:hAnsi="Arial" w:hint="eastAsia"/>
          <w:szCs w:val="36"/>
        </w:rPr>
        <w:t>惟</w:t>
      </w:r>
      <w:proofErr w:type="gramEnd"/>
      <w:r w:rsidR="00F90DF0" w:rsidRPr="00F90DF0">
        <w:rPr>
          <w:rFonts w:ascii="標楷體" w:hAnsi="Arial" w:hint="eastAsia"/>
          <w:szCs w:val="36"/>
        </w:rPr>
        <w:t>現行移(護)送通緝犯仍存在「長途解送」及「逐一解送」問題，大量消耗人力及時間，改為一案</w:t>
      </w:r>
      <w:proofErr w:type="gramStart"/>
      <w:r w:rsidR="00F90DF0" w:rsidRPr="00F90DF0">
        <w:rPr>
          <w:rFonts w:ascii="標楷體" w:hAnsi="Arial" w:hint="eastAsia"/>
          <w:szCs w:val="36"/>
        </w:rPr>
        <w:t>一</w:t>
      </w:r>
      <w:proofErr w:type="gramEnd"/>
      <w:r w:rsidR="00F90DF0" w:rsidRPr="00F90DF0">
        <w:rPr>
          <w:rFonts w:ascii="標楷體" w:hAnsi="Arial" w:hint="eastAsia"/>
          <w:szCs w:val="36"/>
        </w:rPr>
        <w:t>通緝，同一通緝犯若</w:t>
      </w:r>
      <w:proofErr w:type="gramStart"/>
      <w:r w:rsidR="00F90DF0" w:rsidRPr="00F90DF0">
        <w:rPr>
          <w:rFonts w:ascii="標楷體" w:hAnsi="Arial" w:hint="eastAsia"/>
          <w:szCs w:val="36"/>
        </w:rPr>
        <w:t>經數院</w:t>
      </w:r>
      <w:proofErr w:type="gramEnd"/>
      <w:r w:rsidR="00F90DF0" w:rsidRPr="00F90DF0">
        <w:rPr>
          <w:rFonts w:ascii="標楷體" w:hAnsi="Arial" w:hint="eastAsia"/>
          <w:szCs w:val="36"/>
        </w:rPr>
        <w:t>、檢(含同一院、檢不同單位)通緝，司法警察機關逮捕通緝犯則須依照其通緝單位分別製作移送書通知，屆時法務部提供查捕逃犯系統</w:t>
      </w:r>
      <w:proofErr w:type="gramStart"/>
      <w:r w:rsidR="00F90DF0" w:rsidRPr="00F90DF0">
        <w:rPr>
          <w:rFonts w:ascii="標楷體" w:hAnsi="Arial" w:hint="eastAsia"/>
          <w:szCs w:val="36"/>
        </w:rPr>
        <w:t>異動檔如何</w:t>
      </w:r>
      <w:proofErr w:type="gramEnd"/>
      <w:r w:rsidR="00F90DF0" w:rsidRPr="00F90DF0">
        <w:rPr>
          <w:rFonts w:ascii="標楷體" w:hAnsi="Arial" w:hint="eastAsia"/>
          <w:szCs w:val="36"/>
        </w:rPr>
        <w:t>整合？是否易造成移送書遺漏情形？且依刑事訴訟法第91條規定通緝犯應即解送原通緝機關指定之處所，恐造成解送處所紛亂等疑義等語。亦即如改為「一案</w:t>
      </w:r>
      <w:proofErr w:type="gramStart"/>
      <w:r w:rsidR="00F90DF0" w:rsidRPr="00F90DF0">
        <w:rPr>
          <w:rFonts w:ascii="標楷體" w:hAnsi="Arial" w:hint="eastAsia"/>
          <w:szCs w:val="36"/>
        </w:rPr>
        <w:t>一</w:t>
      </w:r>
      <w:proofErr w:type="gramEnd"/>
      <w:r w:rsidR="00F90DF0" w:rsidRPr="00F90DF0">
        <w:rPr>
          <w:rFonts w:ascii="標楷體" w:hAnsi="Arial" w:hint="eastAsia"/>
          <w:szCs w:val="36"/>
        </w:rPr>
        <w:t>緝」，將衍生移送機關實務執行上諸多困擾，法務部應</w:t>
      </w:r>
      <w:proofErr w:type="gramStart"/>
      <w:r w:rsidR="00F90DF0" w:rsidRPr="00F90DF0">
        <w:rPr>
          <w:rFonts w:ascii="標楷體" w:hAnsi="Arial" w:hint="eastAsia"/>
          <w:szCs w:val="36"/>
        </w:rPr>
        <w:t>併</w:t>
      </w:r>
      <w:proofErr w:type="gramEnd"/>
      <w:r w:rsidR="00F90DF0" w:rsidRPr="00F90DF0">
        <w:rPr>
          <w:rFonts w:ascii="標楷體" w:hAnsi="Arial" w:hint="eastAsia"/>
          <w:szCs w:val="36"/>
        </w:rPr>
        <w:t>同考量。</w:t>
      </w:r>
    </w:p>
    <w:p w:rsidR="0039551E" w:rsidRDefault="00F90DF0" w:rsidP="00CC16B9">
      <w:pPr>
        <w:numPr>
          <w:ilvl w:val="2"/>
          <w:numId w:val="1"/>
        </w:numPr>
        <w:kinsoku w:val="0"/>
        <w:ind w:leftChars="200" w:left="1360" w:hangingChars="200" w:hanging="680"/>
        <w:jc w:val="both"/>
        <w:outlineLvl w:val="2"/>
      </w:pPr>
      <w:r w:rsidRPr="00855BE9">
        <w:rPr>
          <w:rFonts w:hint="eastAsia"/>
        </w:rPr>
        <w:t>有關本案之檢討改善措施</w:t>
      </w:r>
      <w:r w:rsidR="0039551E">
        <w:rPr>
          <w:rFonts w:hint="eastAsia"/>
        </w:rPr>
        <w:t>：</w:t>
      </w:r>
    </w:p>
    <w:p w:rsidR="0039551E" w:rsidRDefault="00F90DF0" w:rsidP="0039551E">
      <w:pPr>
        <w:pStyle w:val="4"/>
      </w:pPr>
      <w:r w:rsidRPr="00855BE9">
        <w:rPr>
          <w:rFonts w:hint="eastAsia"/>
        </w:rPr>
        <w:t>高檢署及桃園地檢署稱</w:t>
      </w:r>
      <w:r w:rsidR="00345F68">
        <w:rPr>
          <w:rFonts w:hint="eastAsia"/>
        </w:rPr>
        <w:t>，</w:t>
      </w:r>
      <w:r w:rsidRPr="00855BE9">
        <w:rPr>
          <w:rFonts w:hint="eastAsia"/>
        </w:rPr>
        <w:t>本案發生後，已要求值勤法警受理緝獲</w:t>
      </w:r>
      <w:proofErr w:type="gramStart"/>
      <w:r w:rsidRPr="00855BE9">
        <w:rPr>
          <w:rFonts w:hint="eastAsia"/>
        </w:rPr>
        <w:t>解送至署之</w:t>
      </w:r>
      <w:proofErr w:type="gramEnd"/>
      <w:r w:rsidRPr="00855BE9">
        <w:rPr>
          <w:rFonts w:hint="eastAsia"/>
        </w:rPr>
        <w:t>案件時，應將存放於法警值班室之通緝書</w:t>
      </w:r>
      <w:proofErr w:type="gramStart"/>
      <w:r w:rsidRPr="00855BE9">
        <w:rPr>
          <w:rFonts w:hint="eastAsia"/>
        </w:rPr>
        <w:t>（</w:t>
      </w:r>
      <w:proofErr w:type="gramEnd"/>
      <w:r w:rsidRPr="00855BE9">
        <w:rPr>
          <w:rFonts w:hint="eastAsia"/>
        </w:rPr>
        <w:t>倘若係</w:t>
      </w:r>
      <w:proofErr w:type="gramStart"/>
      <w:r w:rsidRPr="00855BE9">
        <w:rPr>
          <w:rFonts w:hint="eastAsia"/>
        </w:rPr>
        <w:t>併</w:t>
      </w:r>
      <w:proofErr w:type="gramEnd"/>
      <w:r w:rsidRPr="00855BE9">
        <w:rPr>
          <w:rFonts w:hint="eastAsia"/>
        </w:rPr>
        <w:t>案通緝時，通緝個案内容顯示各通緝案號及股別）附入移送書，依序通知各通</w:t>
      </w:r>
      <w:r w:rsidR="005510AC">
        <w:rPr>
          <w:rFonts w:hint="eastAsia"/>
        </w:rPr>
        <w:t>緝</w:t>
      </w:r>
      <w:r w:rsidRPr="00855BE9">
        <w:rPr>
          <w:rFonts w:hint="eastAsia"/>
        </w:rPr>
        <w:t>股檢察官偵訊。另透過轄內檢警聯席會議等機會，協調相關司法警察機關，促請注意在移送書中</w:t>
      </w:r>
      <w:proofErr w:type="gramStart"/>
      <w:r w:rsidRPr="00855BE9">
        <w:rPr>
          <w:rFonts w:hint="eastAsia"/>
        </w:rPr>
        <w:t>臚</w:t>
      </w:r>
      <w:proofErr w:type="gramEnd"/>
      <w:r w:rsidRPr="00855BE9">
        <w:rPr>
          <w:rFonts w:hint="eastAsia"/>
        </w:rPr>
        <w:t>列各「原偵查案號」，以便地檢署值勤法警受理緝獲解送之案件後，據以依序通知各通緝股檢察官偵辦等語。</w:t>
      </w:r>
    </w:p>
    <w:p w:rsidR="00855BE9" w:rsidRDefault="00855BE9" w:rsidP="0039551E">
      <w:pPr>
        <w:pStyle w:val="4"/>
      </w:pPr>
      <w:proofErr w:type="gramStart"/>
      <w:r>
        <w:rPr>
          <w:rFonts w:hint="eastAsia"/>
        </w:rPr>
        <w:t>惟</w:t>
      </w:r>
      <w:proofErr w:type="gramEnd"/>
      <w:r>
        <w:rPr>
          <w:rFonts w:hint="eastAsia"/>
        </w:rPr>
        <w:t>有關協調司法警察機關於移送時加</w:t>
      </w:r>
      <w:proofErr w:type="gramStart"/>
      <w:r>
        <w:rPr>
          <w:rFonts w:hint="eastAsia"/>
        </w:rPr>
        <w:t>註</w:t>
      </w:r>
      <w:proofErr w:type="gramEnd"/>
      <w:r>
        <w:rPr>
          <w:rFonts w:hint="eastAsia"/>
        </w:rPr>
        <w:t>相關</w:t>
      </w:r>
      <w:proofErr w:type="gramStart"/>
      <w:r>
        <w:rPr>
          <w:rFonts w:hint="eastAsia"/>
        </w:rPr>
        <w:t>案號乙節</w:t>
      </w:r>
      <w:proofErr w:type="gramEnd"/>
      <w:r>
        <w:rPr>
          <w:rFonts w:hint="eastAsia"/>
        </w:rPr>
        <w:t>，</w:t>
      </w:r>
      <w:proofErr w:type="gramStart"/>
      <w:r>
        <w:rPr>
          <w:rFonts w:hint="eastAsia"/>
        </w:rPr>
        <w:t>詢</w:t>
      </w:r>
      <w:proofErr w:type="gramEnd"/>
      <w:r w:rsidR="00345F68">
        <w:rPr>
          <w:rFonts w:hint="eastAsia"/>
        </w:rPr>
        <w:t>據</w:t>
      </w:r>
      <w:r w:rsidRPr="00F90DF0">
        <w:rPr>
          <w:rFonts w:hint="eastAsia"/>
        </w:rPr>
        <w:t>司法院表示</w:t>
      </w:r>
      <w:r>
        <w:rPr>
          <w:rFonts w:hint="eastAsia"/>
        </w:rPr>
        <w:t>：</w:t>
      </w:r>
      <w:r w:rsidRPr="00F90DF0">
        <w:rPr>
          <w:rFonts w:hint="eastAsia"/>
        </w:rPr>
        <w:t>實務運作上移送單位（司法警察機關）僅以同一被告最後發布通緝案件文號製作移送書，尚無協調各移送機關注意改善之必要等語。</w:t>
      </w:r>
      <w:r>
        <w:rPr>
          <w:rFonts w:hint="eastAsia"/>
        </w:rPr>
        <w:t>另</w:t>
      </w:r>
      <w:r w:rsidRPr="00F90DF0">
        <w:rPr>
          <w:rFonts w:hint="eastAsia"/>
        </w:rPr>
        <w:t>據</w:t>
      </w:r>
      <w:r w:rsidR="00CC16B9">
        <w:rPr>
          <w:rFonts w:hint="eastAsia"/>
        </w:rPr>
        <w:t>內政部</w:t>
      </w:r>
      <w:r w:rsidRPr="00F90DF0">
        <w:rPr>
          <w:rFonts w:hint="eastAsia"/>
        </w:rPr>
        <w:t>警政署表示，警政資訊系統下之查捕逃犯系統，其</w:t>
      </w:r>
      <w:proofErr w:type="gramStart"/>
      <w:r w:rsidRPr="00F90DF0">
        <w:rPr>
          <w:rFonts w:hint="eastAsia"/>
        </w:rPr>
        <w:t>通撤緝</w:t>
      </w:r>
      <w:proofErr w:type="gramEnd"/>
      <w:r w:rsidRPr="00F90DF0">
        <w:rPr>
          <w:rFonts w:hint="eastAsia"/>
        </w:rPr>
        <w:t>資料係</w:t>
      </w:r>
      <w:proofErr w:type="gramStart"/>
      <w:r w:rsidRPr="00F90DF0">
        <w:rPr>
          <w:rFonts w:hint="eastAsia"/>
        </w:rPr>
        <w:t>介</w:t>
      </w:r>
      <w:proofErr w:type="gramEnd"/>
      <w:r w:rsidRPr="00F90DF0">
        <w:rPr>
          <w:rFonts w:hint="eastAsia"/>
        </w:rPr>
        <w:t>接</w:t>
      </w:r>
      <w:r w:rsidRPr="00F90DF0">
        <w:rPr>
          <w:rFonts w:hint="eastAsia"/>
        </w:rPr>
        <w:lastRenderedPageBreak/>
        <w:t>自法務部，不但接收更新資料有數日之時間差，且因被告</w:t>
      </w:r>
      <w:proofErr w:type="gramStart"/>
      <w:r w:rsidRPr="00F90DF0">
        <w:rPr>
          <w:rFonts w:hint="eastAsia"/>
        </w:rPr>
        <w:t>通撤緝</w:t>
      </w:r>
      <w:proofErr w:type="gramEnd"/>
      <w:r w:rsidRPr="00F90DF0">
        <w:rPr>
          <w:rFonts w:hint="eastAsia"/>
        </w:rPr>
        <w:t>作業之勾</w:t>
      </w:r>
      <w:proofErr w:type="gramStart"/>
      <w:r w:rsidRPr="00F90DF0">
        <w:rPr>
          <w:rFonts w:hint="eastAsia"/>
        </w:rPr>
        <w:t>稽</w:t>
      </w:r>
      <w:proofErr w:type="gramEnd"/>
      <w:r w:rsidRPr="00F90DF0">
        <w:rPr>
          <w:rFonts w:hint="eastAsia"/>
        </w:rPr>
        <w:t>屬法務部業管，故司法警察僅能輸入通緝查獲資訊並進行移送等語。</w:t>
      </w:r>
      <w:r>
        <w:rPr>
          <w:rFonts w:hint="eastAsia"/>
        </w:rPr>
        <w:t>本院審酌認為，相關</w:t>
      </w:r>
      <w:proofErr w:type="gramStart"/>
      <w:r>
        <w:rPr>
          <w:rFonts w:hint="eastAsia"/>
        </w:rPr>
        <w:t>併</w:t>
      </w:r>
      <w:proofErr w:type="gramEnd"/>
      <w:r>
        <w:rPr>
          <w:rFonts w:hint="eastAsia"/>
        </w:rPr>
        <w:t>案通緝之案號本得由各地檢署承辦人員自行查悉，且較為完整，要求司法警察機關移送書載明完整的相關案號，據以辦理撤銷通緝，恐生遺漏，高檢署及桃園地檢署所採取之改善措施，</w:t>
      </w:r>
      <w:r w:rsidRPr="00F90DF0">
        <w:rPr>
          <w:rFonts w:hint="eastAsia"/>
        </w:rPr>
        <w:t>實</w:t>
      </w:r>
      <w:proofErr w:type="gramStart"/>
      <w:r w:rsidRPr="00F90DF0">
        <w:rPr>
          <w:rFonts w:hint="eastAsia"/>
        </w:rPr>
        <w:t>難謂妥適</w:t>
      </w:r>
      <w:proofErr w:type="gramEnd"/>
      <w:r w:rsidRPr="00F90DF0">
        <w:rPr>
          <w:rFonts w:hint="eastAsia"/>
        </w:rPr>
        <w:t>。</w:t>
      </w:r>
    </w:p>
    <w:p w:rsidR="00F90DF0" w:rsidRPr="00F90DF0" w:rsidRDefault="003633B0" w:rsidP="00FD508E">
      <w:pPr>
        <w:pStyle w:val="3"/>
      </w:pPr>
      <w:r>
        <w:rPr>
          <w:rFonts w:hint="eastAsia"/>
        </w:rPr>
        <w:t>資訊系統部分，</w:t>
      </w:r>
      <w:r w:rsidRPr="003633B0">
        <w:rPr>
          <w:rFonts w:hint="eastAsia"/>
        </w:rPr>
        <w:t>法務部</w:t>
      </w:r>
      <w:r w:rsidR="00E014CF">
        <w:rPr>
          <w:rFonts w:hint="eastAsia"/>
        </w:rPr>
        <w:t>稱目前尚無待檢討改善之必要，並表示</w:t>
      </w:r>
      <w:r>
        <w:rPr>
          <w:rFonts w:hint="eastAsia"/>
        </w:rPr>
        <w:t>該部建置之</w:t>
      </w:r>
      <w:r w:rsidRPr="003633B0">
        <w:rPr>
          <w:rFonts w:hint="eastAsia"/>
        </w:rPr>
        <w:t>「檢察機關案件管理系統」供各地方檢察署上傳刑案系統發布通</w:t>
      </w:r>
      <w:r>
        <w:rPr>
          <w:rFonts w:hint="eastAsia"/>
        </w:rPr>
        <w:t>、</w:t>
      </w:r>
      <w:proofErr w:type="gramStart"/>
      <w:r w:rsidRPr="003633B0">
        <w:rPr>
          <w:rFonts w:hint="eastAsia"/>
        </w:rPr>
        <w:t>撤緝</w:t>
      </w:r>
      <w:r>
        <w:rPr>
          <w:rFonts w:hint="eastAsia"/>
        </w:rPr>
        <w:t>作業</w:t>
      </w:r>
      <w:proofErr w:type="gramEnd"/>
      <w:r>
        <w:rPr>
          <w:rFonts w:hint="eastAsia"/>
        </w:rPr>
        <w:t>，系統功能</w:t>
      </w:r>
      <w:r w:rsidR="00F52FB1">
        <w:rPr>
          <w:rFonts w:hint="eastAsia"/>
        </w:rPr>
        <w:t>係</w:t>
      </w:r>
      <w:r>
        <w:rPr>
          <w:rFonts w:hint="eastAsia"/>
        </w:rPr>
        <w:t>依據「檢察機關辦理通緝案件應行注意事項」，對</w:t>
      </w:r>
      <w:proofErr w:type="gramStart"/>
      <w:r>
        <w:rPr>
          <w:rFonts w:hint="eastAsia"/>
        </w:rPr>
        <w:t>併</w:t>
      </w:r>
      <w:proofErr w:type="gramEnd"/>
      <w:r>
        <w:rPr>
          <w:rFonts w:hint="eastAsia"/>
        </w:rPr>
        <w:t>案通緝之案件</w:t>
      </w:r>
      <w:proofErr w:type="gramStart"/>
      <w:r>
        <w:rPr>
          <w:rFonts w:hint="eastAsia"/>
        </w:rPr>
        <w:t>撤緝時</w:t>
      </w:r>
      <w:proofErr w:type="gramEnd"/>
      <w:r>
        <w:rPr>
          <w:rFonts w:hint="eastAsia"/>
        </w:rPr>
        <w:t>，系統會自動顯示</w:t>
      </w:r>
      <w:proofErr w:type="gramStart"/>
      <w:r>
        <w:rPr>
          <w:rFonts w:hint="eastAsia"/>
        </w:rPr>
        <w:t>併</w:t>
      </w:r>
      <w:proofErr w:type="gramEnd"/>
      <w:r>
        <w:rPr>
          <w:rFonts w:hint="eastAsia"/>
        </w:rPr>
        <w:t>案通緝之案號，並於</w:t>
      </w:r>
      <w:proofErr w:type="gramStart"/>
      <w:r>
        <w:rPr>
          <w:rFonts w:hint="eastAsia"/>
        </w:rPr>
        <w:t>辦理撤緝作業</w:t>
      </w:r>
      <w:proofErr w:type="gramEnd"/>
      <w:r>
        <w:rPr>
          <w:rFonts w:hint="eastAsia"/>
        </w:rPr>
        <w:t>時</w:t>
      </w:r>
      <w:proofErr w:type="gramStart"/>
      <w:r>
        <w:rPr>
          <w:rFonts w:hint="eastAsia"/>
        </w:rPr>
        <w:t>一併撤緝等</w:t>
      </w:r>
      <w:proofErr w:type="gramEnd"/>
      <w:r>
        <w:rPr>
          <w:rFonts w:hint="eastAsia"/>
        </w:rPr>
        <w:t>語</w:t>
      </w:r>
      <w:r w:rsidRPr="003633B0">
        <w:rPr>
          <w:rFonts w:hint="eastAsia"/>
        </w:rPr>
        <w:t>。</w:t>
      </w:r>
      <w:proofErr w:type="gramStart"/>
      <w:r>
        <w:rPr>
          <w:rFonts w:hint="eastAsia"/>
        </w:rPr>
        <w:t>惟</w:t>
      </w:r>
      <w:r w:rsidR="00F52FB1">
        <w:rPr>
          <w:rFonts w:hint="eastAsia"/>
        </w:rPr>
        <w:t>查</w:t>
      </w:r>
      <w:proofErr w:type="gramEnd"/>
      <w:r w:rsidR="00F52FB1">
        <w:rPr>
          <w:rFonts w:hint="eastAsia"/>
        </w:rPr>
        <w:t>，</w:t>
      </w:r>
      <w:r>
        <w:rPr>
          <w:rFonts w:hint="eastAsia"/>
        </w:rPr>
        <w:t>實務</w:t>
      </w:r>
      <w:r w:rsidR="003011FC">
        <w:rPr>
          <w:rFonts w:hint="eastAsia"/>
        </w:rPr>
        <w:t>作業流程</w:t>
      </w:r>
      <w:r w:rsidR="00855BE9">
        <w:rPr>
          <w:rFonts w:hint="eastAsia"/>
        </w:rPr>
        <w:t>非依</w:t>
      </w:r>
      <w:r w:rsidR="00E014CF">
        <w:rPr>
          <w:rFonts w:hint="eastAsia"/>
        </w:rPr>
        <w:t>上開注意事項辦理</w:t>
      </w:r>
      <w:r w:rsidR="00FD508E">
        <w:rPr>
          <w:rFonts w:hint="eastAsia"/>
        </w:rPr>
        <w:t>，</w:t>
      </w:r>
      <w:r w:rsidR="003011FC">
        <w:rPr>
          <w:rFonts w:hint="eastAsia"/>
        </w:rPr>
        <w:t>已</w:t>
      </w:r>
      <w:r w:rsidR="00FD508E">
        <w:rPr>
          <w:rFonts w:hint="eastAsia"/>
        </w:rPr>
        <w:t>如前述。桃園地檢署</w:t>
      </w:r>
      <w:r w:rsidR="003011FC">
        <w:rPr>
          <w:rFonts w:hint="eastAsia"/>
        </w:rPr>
        <w:t>亦</w:t>
      </w:r>
      <w:r w:rsidR="00FD508E">
        <w:rPr>
          <w:rFonts w:hint="eastAsia"/>
        </w:rPr>
        <w:t>反映</w:t>
      </w:r>
      <w:r w:rsidR="00FD508E" w:rsidRPr="00FD508E">
        <w:rPr>
          <w:rFonts w:hint="eastAsia"/>
        </w:rPr>
        <w:t>資訊系統</w:t>
      </w:r>
      <w:r w:rsidR="00E014CF">
        <w:rPr>
          <w:rFonts w:hint="eastAsia"/>
        </w:rPr>
        <w:t>有待改善</w:t>
      </w:r>
      <w:r w:rsidR="00FD508E" w:rsidRPr="00FD508E">
        <w:rPr>
          <w:rFonts w:hint="eastAsia"/>
        </w:rPr>
        <w:t>，</w:t>
      </w:r>
      <w:r w:rsidR="003011FC">
        <w:rPr>
          <w:rFonts w:hint="eastAsia"/>
        </w:rPr>
        <w:t>建議應</w:t>
      </w:r>
      <w:r w:rsidR="00FD508E" w:rsidRPr="00FD508E">
        <w:rPr>
          <w:rFonts w:hint="eastAsia"/>
        </w:rPr>
        <w:t>整合被告各通緝案件之資訊予以列表，使被告遭多案通緝時，能自資訊系統即時列印查詢，即可避免發生</w:t>
      </w:r>
      <w:r w:rsidR="00F52FB1">
        <w:rPr>
          <w:rFonts w:hint="eastAsia"/>
        </w:rPr>
        <w:t>類似</w:t>
      </w:r>
      <w:r w:rsidR="00FD508E" w:rsidRPr="00FD508E">
        <w:rPr>
          <w:rFonts w:hint="eastAsia"/>
        </w:rPr>
        <w:t>本</w:t>
      </w:r>
      <w:proofErr w:type="gramStart"/>
      <w:r w:rsidR="00FD508E" w:rsidRPr="00FD508E">
        <w:rPr>
          <w:rFonts w:hint="eastAsia"/>
        </w:rPr>
        <w:t>件漏為</w:t>
      </w:r>
      <w:proofErr w:type="gramEnd"/>
      <w:r w:rsidR="00FD508E" w:rsidRPr="00FD508E">
        <w:rPr>
          <w:rFonts w:hint="eastAsia"/>
        </w:rPr>
        <w:t>處理之情形</w:t>
      </w:r>
      <w:r w:rsidR="00FD508E">
        <w:rPr>
          <w:rFonts w:hint="eastAsia"/>
        </w:rPr>
        <w:t>等語，法務部自應</w:t>
      </w:r>
      <w:r w:rsidR="00CC247A">
        <w:rPr>
          <w:rFonts w:hint="eastAsia"/>
        </w:rPr>
        <w:t>檢討</w:t>
      </w:r>
      <w:r w:rsidR="00E014CF">
        <w:rPr>
          <w:rFonts w:hint="eastAsia"/>
        </w:rPr>
        <w:t>現行案件管理</w:t>
      </w:r>
      <w:r w:rsidR="00CC247A">
        <w:rPr>
          <w:rFonts w:hint="eastAsia"/>
        </w:rPr>
        <w:t>系統</w:t>
      </w:r>
      <w:r w:rsidR="00E014CF">
        <w:rPr>
          <w:rFonts w:hint="eastAsia"/>
        </w:rPr>
        <w:t>之</w:t>
      </w:r>
      <w:r w:rsidR="00CC247A">
        <w:rPr>
          <w:rFonts w:hint="eastAsia"/>
        </w:rPr>
        <w:t>勾</w:t>
      </w:r>
      <w:proofErr w:type="gramStart"/>
      <w:r w:rsidR="00CC247A">
        <w:rPr>
          <w:rFonts w:hint="eastAsia"/>
        </w:rPr>
        <w:t>稽</w:t>
      </w:r>
      <w:proofErr w:type="gramEnd"/>
      <w:r w:rsidR="00CC247A">
        <w:rPr>
          <w:rFonts w:hint="eastAsia"/>
        </w:rPr>
        <w:t>、管考功能</w:t>
      </w:r>
      <w:r w:rsidR="00E014CF">
        <w:rPr>
          <w:rFonts w:hint="eastAsia"/>
        </w:rPr>
        <w:t>是否足供實務作業所需</w:t>
      </w:r>
      <w:r w:rsidR="00FD508E">
        <w:rPr>
          <w:rFonts w:hint="eastAsia"/>
        </w:rPr>
        <w:t>。</w:t>
      </w:r>
    </w:p>
    <w:p w:rsidR="00F90DF0" w:rsidRDefault="00F90DF0" w:rsidP="008B56E5">
      <w:pPr>
        <w:pStyle w:val="3"/>
      </w:pPr>
      <w:r w:rsidRPr="00F90DF0">
        <w:rPr>
          <w:rFonts w:hint="eastAsia"/>
        </w:rPr>
        <w:t>綜上，</w:t>
      </w:r>
      <w:proofErr w:type="gramStart"/>
      <w:r w:rsidRPr="00F90DF0">
        <w:rPr>
          <w:rFonts w:hint="eastAsia"/>
        </w:rPr>
        <w:t>本件漏未</w:t>
      </w:r>
      <w:proofErr w:type="gramEnd"/>
      <w:r w:rsidRPr="00F90DF0">
        <w:rPr>
          <w:rFonts w:hint="eastAsia"/>
        </w:rPr>
        <w:t>偵辦之原因，主要在於實務運作與相關規定脫節，而後案（收股）書記官又未將被告緝獲之訊息通知前案（平股）承辦人員</w:t>
      </w:r>
      <w:r w:rsidR="00F52FB1">
        <w:rPr>
          <w:rFonts w:hint="eastAsia"/>
        </w:rPr>
        <w:t>，且資訊系統未依實際作業需求適時檢討</w:t>
      </w:r>
      <w:r w:rsidRPr="00F90DF0">
        <w:rPr>
          <w:rFonts w:hint="eastAsia"/>
        </w:rPr>
        <w:t>所致</w:t>
      </w:r>
      <w:r w:rsidR="00F52FB1">
        <w:rPr>
          <w:rFonts w:hint="eastAsia"/>
        </w:rPr>
        <w:t>，與</w:t>
      </w:r>
      <w:proofErr w:type="gramStart"/>
      <w:r w:rsidR="00F52FB1">
        <w:rPr>
          <w:rFonts w:hint="eastAsia"/>
        </w:rPr>
        <w:t>採</w:t>
      </w:r>
      <w:proofErr w:type="gramEnd"/>
      <w:r w:rsidR="00F52FB1">
        <w:rPr>
          <w:rFonts w:hint="eastAsia"/>
        </w:rPr>
        <w:t>行何種通、</w:t>
      </w:r>
      <w:proofErr w:type="gramStart"/>
      <w:r w:rsidR="00F52FB1">
        <w:rPr>
          <w:rFonts w:hint="eastAsia"/>
        </w:rPr>
        <w:t>撤緝制度</w:t>
      </w:r>
      <w:proofErr w:type="gramEnd"/>
      <w:r w:rsidR="00F52FB1">
        <w:rPr>
          <w:rFonts w:hint="eastAsia"/>
        </w:rPr>
        <w:t>並無直接關連</w:t>
      </w:r>
      <w:r w:rsidRPr="00F90DF0">
        <w:rPr>
          <w:rFonts w:hint="eastAsia"/>
        </w:rPr>
        <w:t>。誠如司法院</w:t>
      </w:r>
      <w:r w:rsidR="00E0371C">
        <w:rPr>
          <w:rFonts w:hint="eastAsia"/>
        </w:rPr>
        <w:t>所</w:t>
      </w:r>
      <w:r w:rsidRPr="00F90DF0">
        <w:rPr>
          <w:rFonts w:hint="eastAsia"/>
        </w:rPr>
        <w:t>指出</w:t>
      </w:r>
      <w:r w:rsidR="00E0371C">
        <w:rPr>
          <w:rFonts w:hint="eastAsia"/>
        </w:rPr>
        <w:t>：</w:t>
      </w:r>
      <w:r w:rsidRPr="00F90DF0">
        <w:rPr>
          <w:rFonts w:hint="eastAsia"/>
        </w:rPr>
        <w:t>檢討</w:t>
      </w:r>
      <w:proofErr w:type="gramStart"/>
      <w:r w:rsidRPr="00F90DF0">
        <w:rPr>
          <w:rFonts w:hint="eastAsia"/>
        </w:rPr>
        <w:t>採</w:t>
      </w:r>
      <w:proofErr w:type="gramEnd"/>
      <w:r w:rsidRPr="00F90DF0">
        <w:rPr>
          <w:rFonts w:hint="eastAsia"/>
        </w:rPr>
        <w:t>行何種制度，</w:t>
      </w:r>
      <w:proofErr w:type="gramStart"/>
      <w:r w:rsidRPr="00F90DF0">
        <w:rPr>
          <w:rFonts w:hint="eastAsia"/>
        </w:rPr>
        <w:t>應視何者</w:t>
      </w:r>
      <w:proofErr w:type="gramEnd"/>
      <w:r w:rsidRPr="00F90DF0">
        <w:rPr>
          <w:rFonts w:hint="eastAsia"/>
        </w:rPr>
        <w:t>較不易損害被告權益及實務運作較為順暢而定，現行規定如經切實遵守，應能兼顧上開要求，尚無修正改</w:t>
      </w:r>
      <w:proofErr w:type="gramStart"/>
      <w:r w:rsidRPr="00F90DF0">
        <w:rPr>
          <w:rFonts w:hint="eastAsia"/>
        </w:rPr>
        <w:t>採</w:t>
      </w:r>
      <w:proofErr w:type="gramEnd"/>
      <w:r w:rsidR="00855BE9">
        <w:rPr>
          <w:rFonts w:hint="eastAsia"/>
        </w:rPr>
        <w:t>「</w:t>
      </w:r>
      <w:r w:rsidRPr="00F90DF0">
        <w:rPr>
          <w:rFonts w:hint="eastAsia"/>
        </w:rPr>
        <w:t>一案</w:t>
      </w:r>
      <w:proofErr w:type="gramStart"/>
      <w:r w:rsidRPr="00F90DF0">
        <w:rPr>
          <w:rFonts w:hint="eastAsia"/>
        </w:rPr>
        <w:t>一</w:t>
      </w:r>
      <w:proofErr w:type="gramEnd"/>
      <w:r w:rsidRPr="00F90DF0">
        <w:rPr>
          <w:rFonts w:hint="eastAsia"/>
        </w:rPr>
        <w:t>緝</w:t>
      </w:r>
      <w:r w:rsidR="00855BE9">
        <w:rPr>
          <w:rFonts w:hint="eastAsia"/>
        </w:rPr>
        <w:t>」</w:t>
      </w:r>
      <w:r w:rsidRPr="00F90DF0">
        <w:rPr>
          <w:rFonts w:hint="eastAsia"/>
        </w:rPr>
        <w:t>之必要。若改</w:t>
      </w:r>
      <w:proofErr w:type="gramStart"/>
      <w:r w:rsidRPr="00F90DF0">
        <w:rPr>
          <w:rFonts w:hint="eastAsia"/>
        </w:rPr>
        <w:t>採</w:t>
      </w:r>
      <w:proofErr w:type="gramEnd"/>
      <w:r w:rsidRPr="00F90DF0">
        <w:rPr>
          <w:rFonts w:hint="eastAsia"/>
        </w:rPr>
        <w:t>「一案</w:t>
      </w:r>
      <w:proofErr w:type="gramStart"/>
      <w:r w:rsidRPr="00F90DF0">
        <w:rPr>
          <w:rFonts w:hint="eastAsia"/>
        </w:rPr>
        <w:t>一</w:t>
      </w:r>
      <w:proofErr w:type="gramEnd"/>
      <w:r w:rsidRPr="00F90DF0">
        <w:rPr>
          <w:rFonts w:hint="eastAsia"/>
        </w:rPr>
        <w:t>緝」，固有便於查詢及權責</w:t>
      </w:r>
      <w:r w:rsidRPr="00F90DF0">
        <w:rPr>
          <w:rFonts w:hint="eastAsia"/>
        </w:rPr>
        <w:lastRenderedPageBreak/>
        <w:t>清楚等優點，但被告於同一院</w:t>
      </w:r>
      <w:r w:rsidR="00F52FB1">
        <w:rPr>
          <w:rFonts w:hint="eastAsia"/>
        </w:rPr>
        <w:t>檢</w:t>
      </w:r>
      <w:r w:rsidRPr="00F90DF0">
        <w:rPr>
          <w:rFonts w:hint="eastAsia"/>
        </w:rPr>
        <w:t>有二案以上之通緝，移送單位若於移送書未載明全部之通緝文號，易發生前案未收受移送書，無法即時發給歸案證明及辦理撤銷通緝，致被告有再次遭司法警察逮捕之風險。</w:t>
      </w:r>
      <w:r w:rsidR="00391B52">
        <w:rPr>
          <w:rFonts w:hint="eastAsia"/>
        </w:rPr>
        <w:t>是以</w:t>
      </w:r>
      <w:r w:rsidR="00391B52" w:rsidRPr="008B56E5">
        <w:rPr>
          <w:rFonts w:hint="eastAsia"/>
        </w:rPr>
        <w:t>桃園地檢署</w:t>
      </w:r>
      <w:r w:rsidR="00855BE9">
        <w:rPr>
          <w:rFonts w:hint="eastAsia"/>
        </w:rPr>
        <w:t>之</w:t>
      </w:r>
      <w:r w:rsidR="00391B52" w:rsidRPr="008B56E5">
        <w:rPr>
          <w:rFonts w:hint="eastAsia"/>
        </w:rPr>
        <w:t>建議，</w:t>
      </w:r>
      <w:proofErr w:type="gramStart"/>
      <w:r w:rsidR="00391B52" w:rsidRPr="008B56E5">
        <w:rPr>
          <w:rFonts w:hint="eastAsia"/>
        </w:rPr>
        <w:t>誠屬治絲</w:t>
      </w:r>
      <w:proofErr w:type="gramEnd"/>
      <w:r w:rsidR="00391B52" w:rsidRPr="008B56E5">
        <w:rPr>
          <w:rFonts w:hint="eastAsia"/>
        </w:rPr>
        <w:t>易</w:t>
      </w:r>
      <w:proofErr w:type="gramStart"/>
      <w:r w:rsidR="00145AD9">
        <w:rPr>
          <w:rFonts w:hint="eastAsia"/>
        </w:rPr>
        <w:t>棼</w:t>
      </w:r>
      <w:proofErr w:type="gramEnd"/>
      <w:r w:rsidR="00391B52" w:rsidRPr="008B56E5">
        <w:rPr>
          <w:rFonts w:hint="eastAsia"/>
        </w:rPr>
        <w:t>之舉，且有影響人權之虞，</w:t>
      </w:r>
      <w:r w:rsidR="00855BE9">
        <w:rPr>
          <w:rFonts w:hint="eastAsia"/>
        </w:rPr>
        <w:t>尚</w:t>
      </w:r>
      <w:r w:rsidR="00391B52" w:rsidRPr="008B56E5">
        <w:rPr>
          <w:rFonts w:hint="eastAsia"/>
        </w:rPr>
        <w:t>非妥適</w:t>
      </w:r>
      <w:r w:rsidR="00391B52">
        <w:rPr>
          <w:rFonts w:hint="eastAsia"/>
        </w:rPr>
        <w:t>。</w:t>
      </w:r>
      <w:r w:rsidR="00855BE9">
        <w:rPr>
          <w:rFonts w:hint="eastAsia"/>
        </w:rPr>
        <w:t>而</w:t>
      </w:r>
      <w:r w:rsidRPr="00F90DF0">
        <w:rPr>
          <w:rFonts w:hint="eastAsia"/>
        </w:rPr>
        <w:t>高檢署及桃園地檢署未如司法院</w:t>
      </w:r>
      <w:proofErr w:type="gramStart"/>
      <w:r w:rsidR="00391B52">
        <w:rPr>
          <w:rFonts w:hint="eastAsia"/>
        </w:rPr>
        <w:t>研</w:t>
      </w:r>
      <w:proofErr w:type="gramEnd"/>
      <w:r w:rsidR="00391B52">
        <w:rPr>
          <w:rFonts w:hint="eastAsia"/>
        </w:rPr>
        <w:t>議</w:t>
      </w:r>
      <w:r w:rsidRPr="00F90DF0">
        <w:rPr>
          <w:rFonts w:hint="eastAsia"/>
        </w:rPr>
        <w:t>將相關作業納入業務督導項目，未檢討實務運作應如何落實相關規定，</w:t>
      </w:r>
      <w:r w:rsidR="00F52FB1">
        <w:rPr>
          <w:rFonts w:hint="eastAsia"/>
        </w:rPr>
        <w:t>縱</w:t>
      </w:r>
      <w:r w:rsidR="009303E9">
        <w:rPr>
          <w:rFonts w:hint="eastAsia"/>
        </w:rPr>
        <w:t>認為</w:t>
      </w:r>
      <w:r w:rsidR="00F52FB1">
        <w:rPr>
          <w:rFonts w:hint="eastAsia"/>
        </w:rPr>
        <w:t>現行</w:t>
      </w:r>
      <w:r w:rsidR="009303E9">
        <w:rPr>
          <w:rFonts w:hint="eastAsia"/>
        </w:rPr>
        <w:t>規定不盡合理，亦</w:t>
      </w:r>
      <w:r w:rsidR="00F52FB1">
        <w:rPr>
          <w:rFonts w:hint="eastAsia"/>
        </w:rPr>
        <w:t>應</w:t>
      </w:r>
      <w:r w:rsidRPr="00F90DF0">
        <w:rPr>
          <w:rFonts w:hint="eastAsia"/>
        </w:rPr>
        <w:t>報請法務部修正「檢察機關辦理通緝案件應行注意事項」，卻</w:t>
      </w:r>
      <w:proofErr w:type="gramStart"/>
      <w:r w:rsidR="00F52FB1">
        <w:rPr>
          <w:rFonts w:hint="eastAsia"/>
        </w:rPr>
        <w:t>捨</w:t>
      </w:r>
      <w:proofErr w:type="gramEnd"/>
      <w:r w:rsidR="00F52FB1">
        <w:rPr>
          <w:rFonts w:hint="eastAsia"/>
        </w:rPr>
        <w:t>此不為，僅</w:t>
      </w:r>
      <w:r w:rsidRPr="00F90DF0">
        <w:rPr>
          <w:rFonts w:hint="eastAsia"/>
        </w:rPr>
        <w:t>透過檢警聯繫要求司法警察移送被告歸案及法警收受人犯時，應負查詢及通報之責</w:t>
      </w:r>
      <w:r w:rsidR="00FD508E">
        <w:rPr>
          <w:rFonts w:hint="eastAsia"/>
        </w:rPr>
        <w:t>；</w:t>
      </w:r>
      <w:r w:rsidR="009303E9">
        <w:rPr>
          <w:rFonts w:hint="eastAsia"/>
        </w:rPr>
        <w:t>而</w:t>
      </w:r>
      <w:r w:rsidR="00FD508E">
        <w:rPr>
          <w:rFonts w:hint="eastAsia"/>
        </w:rPr>
        <w:t>法務部未檢討</w:t>
      </w:r>
      <w:r w:rsidR="00CC247A">
        <w:rPr>
          <w:rFonts w:hint="eastAsia"/>
        </w:rPr>
        <w:t>現行</w:t>
      </w:r>
      <w:r w:rsidR="00FD508E">
        <w:rPr>
          <w:rFonts w:hint="eastAsia"/>
        </w:rPr>
        <w:t>資訊系統之</w:t>
      </w:r>
      <w:r w:rsidR="00CC247A">
        <w:rPr>
          <w:rFonts w:hint="eastAsia"/>
        </w:rPr>
        <w:t>相關</w:t>
      </w:r>
      <w:r w:rsidR="00FD508E">
        <w:rPr>
          <w:rFonts w:hint="eastAsia"/>
        </w:rPr>
        <w:t>功能是否</w:t>
      </w:r>
      <w:r w:rsidR="00CC247A">
        <w:rPr>
          <w:rFonts w:hint="eastAsia"/>
        </w:rPr>
        <w:t>符合實務作業需求</w:t>
      </w:r>
      <w:r w:rsidRPr="00F90DF0">
        <w:rPr>
          <w:rFonts w:hint="eastAsia"/>
        </w:rPr>
        <w:t>，</w:t>
      </w:r>
      <w:r w:rsidR="00F52FB1">
        <w:rPr>
          <w:rFonts w:hint="eastAsia"/>
        </w:rPr>
        <w:t>相關</w:t>
      </w:r>
      <w:r w:rsidRPr="00F90DF0">
        <w:rPr>
          <w:rFonts w:hint="eastAsia"/>
        </w:rPr>
        <w:t>改善</w:t>
      </w:r>
      <w:proofErr w:type="gramStart"/>
      <w:r w:rsidRPr="00F90DF0">
        <w:rPr>
          <w:rFonts w:hint="eastAsia"/>
        </w:rPr>
        <w:t>措施</w:t>
      </w:r>
      <w:r w:rsidR="00CC247A">
        <w:rPr>
          <w:rFonts w:hint="eastAsia"/>
        </w:rPr>
        <w:t>均</w:t>
      </w:r>
      <w:r w:rsidRPr="00F90DF0">
        <w:rPr>
          <w:rFonts w:hint="eastAsia"/>
        </w:rPr>
        <w:t>顯有</w:t>
      </w:r>
      <w:proofErr w:type="gramEnd"/>
      <w:r w:rsidRPr="00F90DF0">
        <w:rPr>
          <w:rFonts w:hint="eastAsia"/>
        </w:rPr>
        <w:t>不足，仍有</w:t>
      </w:r>
      <w:proofErr w:type="gramStart"/>
      <w:r w:rsidRPr="00F90DF0">
        <w:rPr>
          <w:rFonts w:hint="eastAsia"/>
        </w:rPr>
        <w:t>賡</w:t>
      </w:r>
      <w:proofErr w:type="gramEnd"/>
      <w:r w:rsidRPr="00F90DF0">
        <w:rPr>
          <w:rFonts w:hint="eastAsia"/>
        </w:rPr>
        <w:t>續檢討之必要。</w:t>
      </w:r>
    </w:p>
    <w:bookmarkEnd w:id="2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rsidR="00F90DF0" w:rsidRPr="00F90DF0" w:rsidRDefault="00F90DF0" w:rsidP="00F90DF0">
      <w:pPr>
        <w:numPr>
          <w:ilvl w:val="0"/>
          <w:numId w:val="1"/>
        </w:numPr>
        <w:kinsoku w:val="0"/>
        <w:ind w:left="2380" w:hanging="2380"/>
        <w:jc w:val="both"/>
        <w:outlineLvl w:val="0"/>
        <w:rPr>
          <w:rFonts w:ascii="標楷體" w:hAnsi="Arial"/>
          <w:bCs/>
          <w:kern w:val="0"/>
          <w:szCs w:val="52"/>
        </w:rPr>
      </w:pPr>
      <w:r w:rsidRPr="00F90DF0">
        <w:rPr>
          <w:rFonts w:ascii="標楷體" w:hAnsi="Arial" w:hint="eastAsia"/>
          <w:bCs/>
          <w:kern w:val="0"/>
          <w:szCs w:val="52"/>
        </w:rPr>
        <w:t>處理辦法：</w:t>
      </w:r>
    </w:p>
    <w:p w:rsidR="00145AD9" w:rsidRDefault="00145AD9" w:rsidP="00F90DF0">
      <w:pPr>
        <w:numPr>
          <w:ilvl w:val="1"/>
          <w:numId w:val="1"/>
        </w:numPr>
        <w:kinsoku w:val="0"/>
        <w:ind w:left="1020" w:hanging="680"/>
        <w:jc w:val="both"/>
        <w:outlineLvl w:val="1"/>
        <w:rPr>
          <w:rFonts w:ascii="標楷體" w:hAnsi="Arial"/>
          <w:bCs/>
          <w:kern w:val="0"/>
          <w:szCs w:val="48"/>
        </w:rPr>
      </w:pPr>
      <w:r>
        <w:rPr>
          <w:rFonts w:ascii="標楷體" w:hAnsi="Arial" w:hint="eastAsia"/>
          <w:bCs/>
          <w:kern w:val="0"/>
          <w:szCs w:val="48"/>
        </w:rPr>
        <w:t>調查意見一，提案糾正臺灣桃園地方檢察署。</w:t>
      </w:r>
    </w:p>
    <w:p w:rsidR="00145AD9" w:rsidRDefault="00145AD9" w:rsidP="00F90DF0">
      <w:pPr>
        <w:numPr>
          <w:ilvl w:val="1"/>
          <w:numId w:val="1"/>
        </w:numPr>
        <w:kinsoku w:val="0"/>
        <w:ind w:left="1020" w:hanging="680"/>
        <w:jc w:val="both"/>
        <w:outlineLvl w:val="1"/>
        <w:rPr>
          <w:rFonts w:ascii="標楷體" w:hAnsi="Arial"/>
          <w:bCs/>
          <w:kern w:val="0"/>
          <w:szCs w:val="48"/>
        </w:rPr>
      </w:pPr>
      <w:r>
        <w:rPr>
          <w:rFonts w:ascii="標楷體" w:hAnsi="Arial" w:hint="eastAsia"/>
          <w:bCs/>
          <w:kern w:val="0"/>
          <w:szCs w:val="48"/>
        </w:rPr>
        <w:t>調查意見二，提案糾正臺灣高等檢察署。</w:t>
      </w:r>
    </w:p>
    <w:p w:rsidR="00F90DF0" w:rsidRPr="00F90DF0" w:rsidRDefault="00F90DF0" w:rsidP="00F90DF0">
      <w:pPr>
        <w:numPr>
          <w:ilvl w:val="1"/>
          <w:numId w:val="1"/>
        </w:numPr>
        <w:kinsoku w:val="0"/>
        <w:ind w:left="1020" w:hanging="680"/>
        <w:jc w:val="both"/>
        <w:outlineLvl w:val="1"/>
        <w:rPr>
          <w:rFonts w:ascii="標楷體" w:hAnsi="Arial"/>
          <w:bCs/>
          <w:kern w:val="0"/>
          <w:szCs w:val="48"/>
        </w:rPr>
      </w:pPr>
      <w:r w:rsidRPr="00F90DF0">
        <w:rPr>
          <w:rFonts w:ascii="標楷體" w:hAnsi="Arial" w:hint="eastAsia"/>
          <w:bCs/>
          <w:kern w:val="0"/>
          <w:szCs w:val="48"/>
        </w:rPr>
        <w:t>調查意見</w:t>
      </w:r>
      <w:proofErr w:type="gramStart"/>
      <w:r w:rsidR="000A4623">
        <w:rPr>
          <w:rFonts w:ascii="標楷體" w:hAnsi="Arial" w:hint="eastAsia"/>
          <w:bCs/>
          <w:kern w:val="0"/>
          <w:szCs w:val="48"/>
        </w:rPr>
        <w:t>三</w:t>
      </w:r>
      <w:proofErr w:type="gramEnd"/>
      <w:r w:rsidR="00145AD9">
        <w:rPr>
          <w:rFonts w:ascii="標楷體" w:hAnsi="Arial" w:hint="eastAsia"/>
          <w:bCs/>
          <w:kern w:val="0"/>
          <w:szCs w:val="48"/>
        </w:rPr>
        <w:t>，</w:t>
      </w:r>
      <w:r w:rsidRPr="00F90DF0">
        <w:rPr>
          <w:rFonts w:ascii="標楷體" w:hAnsi="Arial" w:hint="eastAsia"/>
          <w:bCs/>
          <w:kern w:val="0"/>
          <w:szCs w:val="48"/>
        </w:rPr>
        <w:t>函請</w:t>
      </w:r>
      <w:r>
        <w:rPr>
          <w:rFonts w:ascii="標楷體" w:hAnsi="Arial" w:hint="eastAsia"/>
          <w:bCs/>
          <w:kern w:val="0"/>
          <w:szCs w:val="48"/>
        </w:rPr>
        <w:t>法務部</w:t>
      </w:r>
      <w:r w:rsidRPr="00F90DF0">
        <w:rPr>
          <w:rFonts w:ascii="標楷體" w:hAnsi="Arial" w:hint="eastAsia"/>
          <w:bCs/>
          <w:kern w:val="0"/>
          <w:szCs w:val="48"/>
        </w:rPr>
        <w:t>確實檢討改進</w:t>
      </w:r>
      <w:proofErr w:type="gramStart"/>
      <w:r w:rsidRPr="00F90DF0">
        <w:rPr>
          <w:rFonts w:ascii="標楷體" w:hAnsi="Arial" w:hint="eastAsia"/>
          <w:bCs/>
          <w:kern w:val="0"/>
          <w:szCs w:val="48"/>
        </w:rPr>
        <w:t>見復。</w:t>
      </w:r>
      <w:proofErr w:type="gramEnd"/>
    </w:p>
    <w:p w:rsidR="00F90DF0" w:rsidRPr="00F90DF0" w:rsidRDefault="00F90DF0" w:rsidP="00F90DF0">
      <w:pPr>
        <w:numPr>
          <w:ilvl w:val="1"/>
          <w:numId w:val="1"/>
        </w:numPr>
        <w:kinsoku w:val="0"/>
        <w:ind w:left="1020" w:hanging="680"/>
        <w:jc w:val="both"/>
        <w:outlineLvl w:val="1"/>
        <w:rPr>
          <w:rFonts w:ascii="標楷體" w:hAnsi="Arial"/>
          <w:bCs/>
          <w:kern w:val="0"/>
          <w:szCs w:val="48"/>
        </w:rPr>
      </w:pPr>
      <w:r w:rsidRPr="00F90DF0">
        <w:rPr>
          <w:rFonts w:ascii="標楷體" w:hAnsi="Arial" w:hint="eastAsia"/>
          <w:bCs/>
          <w:kern w:val="0"/>
          <w:szCs w:val="48"/>
        </w:rPr>
        <w:t>調查</w:t>
      </w:r>
      <w:proofErr w:type="gramStart"/>
      <w:r w:rsidRPr="00F90DF0">
        <w:rPr>
          <w:rFonts w:ascii="標楷體" w:hAnsi="Arial" w:hint="eastAsia"/>
          <w:bCs/>
          <w:kern w:val="0"/>
          <w:szCs w:val="48"/>
        </w:rPr>
        <w:t>意見函本案</w:t>
      </w:r>
      <w:proofErr w:type="gramEnd"/>
      <w:r w:rsidRPr="00F90DF0">
        <w:rPr>
          <w:rFonts w:ascii="標楷體" w:hAnsi="Arial" w:hint="eastAsia"/>
          <w:bCs/>
          <w:kern w:val="0"/>
          <w:szCs w:val="48"/>
        </w:rPr>
        <w:t>陳訴人。</w:t>
      </w:r>
    </w:p>
    <w:p w:rsidR="00F90DF0" w:rsidRPr="001B2EDB" w:rsidRDefault="00F90DF0" w:rsidP="00F90DF0">
      <w:pPr>
        <w:numPr>
          <w:ilvl w:val="1"/>
          <w:numId w:val="1"/>
        </w:numPr>
        <w:kinsoku w:val="0"/>
        <w:ind w:left="1020" w:hanging="680"/>
        <w:jc w:val="both"/>
        <w:outlineLvl w:val="1"/>
        <w:rPr>
          <w:rFonts w:ascii="標楷體" w:hAnsi="Arial" w:hint="eastAsia"/>
          <w:bCs/>
          <w:kern w:val="0"/>
          <w:szCs w:val="48"/>
        </w:rPr>
      </w:pPr>
      <w:r w:rsidRPr="00F90DF0">
        <w:rPr>
          <w:rFonts w:ascii="標楷體" w:hAnsi="Arial" w:hint="eastAsia"/>
          <w:bCs/>
          <w:color w:val="000000"/>
          <w:kern w:val="0"/>
          <w:szCs w:val="48"/>
        </w:rPr>
        <w:t>檢</w:t>
      </w:r>
      <w:proofErr w:type="gramStart"/>
      <w:r w:rsidRPr="00F90DF0">
        <w:rPr>
          <w:rFonts w:ascii="標楷體" w:hAnsi="Arial" w:hint="eastAsia"/>
          <w:bCs/>
          <w:color w:val="000000"/>
          <w:kern w:val="0"/>
          <w:szCs w:val="48"/>
        </w:rPr>
        <w:t>附派查函</w:t>
      </w:r>
      <w:proofErr w:type="gramEnd"/>
      <w:r w:rsidRPr="00F90DF0">
        <w:rPr>
          <w:rFonts w:ascii="標楷體" w:hAnsi="Arial" w:hint="eastAsia"/>
          <w:bCs/>
          <w:color w:val="000000"/>
          <w:kern w:val="0"/>
          <w:szCs w:val="48"/>
        </w:rPr>
        <w:t>及相關附件，送請</w:t>
      </w:r>
      <w:r>
        <w:rPr>
          <w:rFonts w:ascii="標楷體" w:hAnsi="Arial" w:hint="eastAsia"/>
          <w:bCs/>
          <w:color w:val="000000"/>
          <w:kern w:val="0"/>
          <w:szCs w:val="48"/>
        </w:rPr>
        <w:t>司法</w:t>
      </w:r>
      <w:r w:rsidRPr="00F90DF0">
        <w:rPr>
          <w:rFonts w:ascii="標楷體" w:hAnsi="Arial" w:hint="eastAsia"/>
          <w:bCs/>
          <w:color w:val="000000"/>
          <w:kern w:val="0"/>
          <w:szCs w:val="48"/>
        </w:rPr>
        <w:t>及</w:t>
      </w:r>
      <w:r>
        <w:rPr>
          <w:rFonts w:ascii="標楷體" w:hAnsi="Arial" w:hint="eastAsia"/>
          <w:bCs/>
          <w:color w:val="000000"/>
          <w:kern w:val="0"/>
          <w:szCs w:val="48"/>
        </w:rPr>
        <w:t>獄政</w:t>
      </w:r>
      <w:r w:rsidRPr="00F90DF0">
        <w:rPr>
          <w:rFonts w:ascii="標楷體" w:hAnsi="Arial" w:hint="eastAsia"/>
          <w:bCs/>
          <w:color w:val="000000"/>
          <w:kern w:val="0"/>
          <w:szCs w:val="48"/>
        </w:rPr>
        <w:t>委員會處理。</w:t>
      </w:r>
    </w:p>
    <w:p w:rsidR="001B2EDB" w:rsidRDefault="001B2EDB" w:rsidP="001B2EDB">
      <w:pPr>
        <w:kinsoku w:val="0"/>
        <w:ind w:left="340"/>
        <w:jc w:val="both"/>
        <w:outlineLvl w:val="1"/>
        <w:rPr>
          <w:rFonts w:ascii="標楷體" w:hAnsi="Arial" w:hint="eastAsia"/>
          <w:bCs/>
          <w:color w:val="000000"/>
          <w:kern w:val="0"/>
          <w:szCs w:val="48"/>
        </w:rPr>
      </w:pPr>
    </w:p>
    <w:p w:rsidR="001B2EDB" w:rsidRPr="00F90DF0" w:rsidRDefault="001B2EDB" w:rsidP="001B2EDB">
      <w:pPr>
        <w:kinsoku w:val="0"/>
        <w:ind w:left="340"/>
        <w:jc w:val="both"/>
        <w:outlineLvl w:val="1"/>
        <w:rPr>
          <w:rFonts w:ascii="標楷體" w:hAnsi="Arial"/>
          <w:bCs/>
          <w:kern w:val="0"/>
          <w:szCs w:val="48"/>
        </w:rPr>
      </w:pPr>
      <w:r>
        <w:rPr>
          <w:rFonts w:ascii="標楷體" w:hAnsi="Arial" w:hint="eastAsia"/>
          <w:bCs/>
          <w:color w:val="000000"/>
          <w:kern w:val="0"/>
          <w:szCs w:val="48"/>
        </w:rPr>
        <w:t xml:space="preserve">                         調查委員:林雅鋒</w:t>
      </w:r>
      <w:bookmarkStart w:id="51" w:name="_GoBack"/>
      <w:bookmarkEnd w:id="51"/>
    </w:p>
    <w:p w:rsidR="00F90DF0" w:rsidRPr="00F90DF0" w:rsidRDefault="00F90DF0" w:rsidP="00F90DF0">
      <w:pPr>
        <w:kinsoku w:val="0"/>
        <w:ind w:leftChars="1100" w:left="3742" w:firstLineChars="500" w:firstLine="2021"/>
        <w:jc w:val="both"/>
        <w:rPr>
          <w:rFonts w:ascii="標楷體"/>
          <w:bCs/>
          <w:spacing w:val="12"/>
          <w:kern w:val="0"/>
          <w:sz w:val="36"/>
        </w:rPr>
      </w:pPr>
    </w:p>
    <w:p w:rsidR="00F90DF0" w:rsidRPr="00F90DF0" w:rsidRDefault="00F90DF0" w:rsidP="00F90DF0">
      <w:pPr>
        <w:kinsoku w:val="0"/>
        <w:ind w:leftChars="1100" w:left="3742" w:firstLineChars="500" w:firstLine="2021"/>
        <w:jc w:val="both"/>
        <w:rPr>
          <w:rFonts w:ascii="標楷體"/>
          <w:bCs/>
          <w:spacing w:val="12"/>
          <w:kern w:val="0"/>
          <w:sz w:val="36"/>
        </w:rPr>
      </w:pPr>
    </w:p>
    <w:bookmarkEnd w:id="23"/>
    <w:p w:rsidR="00F90DF0" w:rsidRPr="00F90DF0" w:rsidRDefault="00F90DF0" w:rsidP="00F90DF0">
      <w:pPr>
        <w:kinsoku w:val="0"/>
        <w:ind w:leftChars="1100" w:left="3742" w:firstLineChars="500" w:firstLine="2021"/>
        <w:jc w:val="both"/>
        <w:rPr>
          <w:rFonts w:ascii="標楷體"/>
          <w:bCs/>
          <w:spacing w:val="12"/>
          <w:kern w:val="0"/>
          <w:sz w:val="36"/>
        </w:rPr>
      </w:pPr>
    </w:p>
    <w:sectPr w:rsidR="00F90DF0" w:rsidRPr="00F90DF0" w:rsidSect="00F52DC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2C4" w:rsidRDefault="008A62C4">
      <w:r>
        <w:separator/>
      </w:r>
    </w:p>
  </w:endnote>
  <w:endnote w:type="continuationSeparator" w:id="0">
    <w:p w:rsidR="008A62C4" w:rsidRDefault="008A6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DF0" w:rsidRDefault="00F90DF0">
    <w:pPr>
      <w:pStyle w:val="af0"/>
      <w:framePr w:wrap="around" w:vAnchor="text" w:hAnchor="margin" w:xAlign="center" w:y="1"/>
      <w:rPr>
        <w:rStyle w:val="a7"/>
        <w:sz w:val="24"/>
      </w:rPr>
    </w:pPr>
    <w:r>
      <w:rPr>
        <w:rStyle w:val="a7"/>
        <w:sz w:val="24"/>
      </w:rPr>
      <w:fldChar w:fldCharType="begin"/>
    </w:r>
    <w:r>
      <w:rPr>
        <w:rStyle w:val="a7"/>
        <w:sz w:val="24"/>
      </w:rPr>
      <w:instrText xml:space="preserve">PAGE  </w:instrText>
    </w:r>
    <w:r>
      <w:rPr>
        <w:rStyle w:val="a7"/>
        <w:sz w:val="24"/>
      </w:rPr>
      <w:fldChar w:fldCharType="separate"/>
    </w:r>
    <w:r w:rsidR="001B2EDB">
      <w:rPr>
        <w:rStyle w:val="a7"/>
        <w:noProof/>
        <w:sz w:val="24"/>
      </w:rPr>
      <w:t>12</w:t>
    </w:r>
    <w:r>
      <w:rPr>
        <w:rStyle w:val="a7"/>
        <w:sz w:val="24"/>
      </w:rPr>
      <w:fldChar w:fldCharType="end"/>
    </w:r>
  </w:p>
  <w:p w:rsidR="00F90DF0" w:rsidRDefault="00F90DF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2C4" w:rsidRDefault="008A62C4">
      <w:r>
        <w:separator/>
      </w:r>
    </w:p>
  </w:footnote>
  <w:footnote w:type="continuationSeparator" w:id="0">
    <w:p w:rsidR="008A62C4" w:rsidRDefault="008A62C4">
      <w:r>
        <w:continuationSeparator/>
      </w:r>
    </w:p>
  </w:footnote>
  <w:footnote w:id="1">
    <w:p w:rsidR="00F90DF0" w:rsidRPr="0068127D" w:rsidRDefault="00F90DF0" w:rsidP="00F90DF0">
      <w:pPr>
        <w:pStyle w:val="ae"/>
      </w:pPr>
      <w:r>
        <w:rPr>
          <w:rStyle w:val="af2"/>
        </w:rPr>
        <w:footnoteRef/>
      </w:r>
      <w:r>
        <w:rPr>
          <w:rFonts w:hint="eastAsia"/>
        </w:rPr>
        <w:t>監察院監察調查處</w:t>
      </w:r>
      <w:r w:rsidRPr="0068127D">
        <w:rPr>
          <w:rFonts w:hint="eastAsia"/>
        </w:rPr>
        <w:t>106</w:t>
      </w:r>
      <w:r w:rsidRPr="0068127D">
        <w:rPr>
          <w:rFonts w:hint="eastAsia"/>
        </w:rPr>
        <w:t>年</w:t>
      </w:r>
      <w:r w:rsidRPr="0068127D">
        <w:rPr>
          <w:rFonts w:hint="eastAsia"/>
        </w:rPr>
        <w:t>11</w:t>
      </w:r>
      <w:r w:rsidRPr="0068127D">
        <w:rPr>
          <w:rFonts w:hint="eastAsia"/>
        </w:rPr>
        <w:t>月</w:t>
      </w:r>
      <w:r w:rsidRPr="0068127D">
        <w:rPr>
          <w:rFonts w:hint="eastAsia"/>
        </w:rPr>
        <w:t>16</w:t>
      </w:r>
      <w:r w:rsidRPr="0068127D">
        <w:rPr>
          <w:rFonts w:hint="eastAsia"/>
        </w:rPr>
        <w:t>日處</w:t>
      </w:r>
      <w:proofErr w:type="gramStart"/>
      <w:r w:rsidRPr="0068127D">
        <w:rPr>
          <w:rFonts w:hint="eastAsia"/>
        </w:rPr>
        <w:t>台調壹字</w:t>
      </w:r>
      <w:proofErr w:type="gramEnd"/>
      <w:r w:rsidRPr="0068127D">
        <w:rPr>
          <w:rFonts w:hint="eastAsia"/>
        </w:rPr>
        <w:t>第</w:t>
      </w:r>
      <w:r w:rsidRPr="0068127D">
        <w:rPr>
          <w:rFonts w:hint="eastAsia"/>
        </w:rPr>
        <w:t>1060832133</w:t>
      </w:r>
      <w:r w:rsidRPr="0068127D">
        <w:rPr>
          <w:rFonts w:hint="eastAsia"/>
        </w:rPr>
        <w:t>號函</w:t>
      </w:r>
      <w:r w:rsidR="005510AC">
        <w:rPr>
          <w:rFonts w:hint="eastAsia"/>
        </w:rPr>
        <w:t>。</w:t>
      </w:r>
    </w:p>
  </w:footnote>
  <w:footnote w:id="2">
    <w:p w:rsidR="00F90DF0" w:rsidRPr="00394108" w:rsidRDefault="00F90DF0" w:rsidP="00F90DF0">
      <w:pPr>
        <w:pStyle w:val="ae"/>
      </w:pPr>
      <w:r>
        <w:rPr>
          <w:rStyle w:val="af2"/>
        </w:rPr>
        <w:footnoteRef/>
      </w:r>
      <w:r>
        <w:rPr>
          <w:rFonts w:hint="eastAsia"/>
        </w:rPr>
        <w:t>司法院刑事廳</w:t>
      </w:r>
      <w:proofErr w:type="gramStart"/>
      <w:r>
        <w:rPr>
          <w:rFonts w:hint="eastAsia"/>
        </w:rPr>
        <w:t>106</w:t>
      </w:r>
      <w:r>
        <w:rPr>
          <w:rFonts w:hint="eastAsia"/>
        </w:rPr>
        <w:t>年</w:t>
      </w:r>
      <w:r>
        <w:rPr>
          <w:rFonts w:hint="eastAsia"/>
        </w:rPr>
        <w:t>12</w:t>
      </w:r>
      <w:r>
        <w:rPr>
          <w:rFonts w:hint="eastAsia"/>
        </w:rPr>
        <w:t>月</w:t>
      </w:r>
      <w:r>
        <w:rPr>
          <w:rFonts w:hint="eastAsia"/>
        </w:rPr>
        <w:t>6</w:t>
      </w:r>
      <w:r>
        <w:rPr>
          <w:rFonts w:hint="eastAsia"/>
        </w:rPr>
        <w:t>日廳刑一字</w:t>
      </w:r>
      <w:proofErr w:type="gramEnd"/>
      <w:r>
        <w:rPr>
          <w:rFonts w:hint="eastAsia"/>
        </w:rPr>
        <w:t>第</w:t>
      </w:r>
      <w:r>
        <w:rPr>
          <w:rFonts w:hint="eastAsia"/>
        </w:rPr>
        <w:t>1060030396</w:t>
      </w:r>
      <w:r>
        <w:rPr>
          <w:rFonts w:hint="eastAsia"/>
        </w:rPr>
        <w:t>號函、內政部警政署</w:t>
      </w:r>
      <w:r>
        <w:rPr>
          <w:rFonts w:hint="eastAsia"/>
        </w:rPr>
        <w:t>106</w:t>
      </w:r>
      <w:r>
        <w:rPr>
          <w:rFonts w:hint="eastAsia"/>
        </w:rPr>
        <w:t>年</w:t>
      </w:r>
      <w:r>
        <w:rPr>
          <w:rFonts w:hint="eastAsia"/>
        </w:rPr>
        <w:t>12</w:t>
      </w:r>
      <w:r>
        <w:rPr>
          <w:rFonts w:hint="eastAsia"/>
        </w:rPr>
        <w:t>月</w:t>
      </w:r>
      <w:r>
        <w:rPr>
          <w:rFonts w:hint="eastAsia"/>
        </w:rPr>
        <w:t>14</w:t>
      </w:r>
      <w:r>
        <w:rPr>
          <w:rFonts w:hint="eastAsia"/>
        </w:rPr>
        <w:t>日警署刑偵字第</w:t>
      </w:r>
      <w:r>
        <w:rPr>
          <w:rFonts w:hint="eastAsia"/>
        </w:rPr>
        <w:t>1060164924</w:t>
      </w:r>
      <w:r>
        <w:rPr>
          <w:rFonts w:hint="eastAsia"/>
        </w:rPr>
        <w:t>號函</w:t>
      </w:r>
      <w:r w:rsidR="005510AC">
        <w:rPr>
          <w:rFonts w:hint="eastAsia"/>
        </w:rPr>
        <w:t>。</w:t>
      </w:r>
    </w:p>
  </w:footnote>
  <w:footnote w:id="3">
    <w:p w:rsidR="00F90DF0" w:rsidRDefault="00F90DF0" w:rsidP="00F90DF0">
      <w:pPr>
        <w:pStyle w:val="ae"/>
      </w:pPr>
      <w:r>
        <w:rPr>
          <w:rStyle w:val="af2"/>
        </w:rPr>
        <w:footnoteRef/>
      </w:r>
      <w:r>
        <w:rPr>
          <w:rFonts w:hint="eastAsia"/>
        </w:rPr>
        <w:t>法務部</w:t>
      </w:r>
      <w:r w:rsidRPr="0068127D">
        <w:rPr>
          <w:rFonts w:hint="eastAsia"/>
        </w:rPr>
        <w:t>106</w:t>
      </w:r>
      <w:r w:rsidRPr="0068127D">
        <w:rPr>
          <w:rFonts w:hint="eastAsia"/>
        </w:rPr>
        <w:t>年</w:t>
      </w:r>
      <w:r w:rsidRPr="0068127D">
        <w:rPr>
          <w:rFonts w:hint="eastAsia"/>
        </w:rPr>
        <w:t>11</w:t>
      </w:r>
      <w:r w:rsidRPr="0068127D">
        <w:rPr>
          <w:rFonts w:hint="eastAsia"/>
        </w:rPr>
        <w:t>月</w:t>
      </w:r>
      <w:r w:rsidRPr="0068127D">
        <w:rPr>
          <w:rFonts w:hint="eastAsia"/>
        </w:rPr>
        <w:t>22</w:t>
      </w:r>
      <w:r w:rsidRPr="0068127D">
        <w:rPr>
          <w:rFonts w:hint="eastAsia"/>
        </w:rPr>
        <w:t>日</w:t>
      </w:r>
      <w:proofErr w:type="gramStart"/>
      <w:r w:rsidRPr="0068127D">
        <w:rPr>
          <w:rFonts w:hint="eastAsia"/>
        </w:rPr>
        <w:t>法檢決字</w:t>
      </w:r>
      <w:proofErr w:type="gramEnd"/>
      <w:r w:rsidRPr="0068127D">
        <w:rPr>
          <w:rFonts w:hint="eastAsia"/>
        </w:rPr>
        <w:t>第</w:t>
      </w:r>
      <w:r w:rsidRPr="0068127D">
        <w:rPr>
          <w:rFonts w:hint="eastAsia"/>
        </w:rPr>
        <w:t>10600192900</w:t>
      </w:r>
      <w:r w:rsidRPr="0068127D">
        <w:rPr>
          <w:rFonts w:hint="eastAsia"/>
        </w:rPr>
        <w:t>號函</w:t>
      </w:r>
      <w:r w:rsidR="005510AC">
        <w:rPr>
          <w:rFonts w:hint="eastAsia"/>
        </w:rPr>
        <w:t>。</w:t>
      </w:r>
    </w:p>
  </w:footnote>
  <w:footnote w:id="4">
    <w:p w:rsidR="00F90DF0" w:rsidRPr="0068127D" w:rsidRDefault="00F90DF0" w:rsidP="00F90DF0">
      <w:pPr>
        <w:pStyle w:val="ae"/>
      </w:pPr>
      <w:r>
        <w:rPr>
          <w:rStyle w:val="af2"/>
        </w:rPr>
        <w:footnoteRef/>
      </w:r>
      <w:r>
        <w:rPr>
          <w:rFonts w:hint="eastAsia"/>
        </w:rPr>
        <w:t>高檢署</w:t>
      </w:r>
      <w:r w:rsidRPr="0068127D">
        <w:rPr>
          <w:rFonts w:hint="eastAsia"/>
        </w:rPr>
        <w:t>106</w:t>
      </w:r>
      <w:r w:rsidRPr="0068127D">
        <w:rPr>
          <w:rFonts w:hint="eastAsia"/>
        </w:rPr>
        <w:t>年</w:t>
      </w:r>
      <w:r w:rsidRPr="0068127D">
        <w:rPr>
          <w:rFonts w:hint="eastAsia"/>
        </w:rPr>
        <w:t>12</w:t>
      </w:r>
      <w:r w:rsidRPr="0068127D">
        <w:rPr>
          <w:rFonts w:hint="eastAsia"/>
        </w:rPr>
        <w:t>月</w:t>
      </w:r>
      <w:r w:rsidRPr="0068127D">
        <w:rPr>
          <w:rFonts w:hint="eastAsia"/>
        </w:rPr>
        <w:t>1</w:t>
      </w:r>
      <w:r w:rsidRPr="0068127D">
        <w:rPr>
          <w:rFonts w:hint="eastAsia"/>
        </w:rPr>
        <w:t>日</w:t>
      </w:r>
      <w:proofErr w:type="gramStart"/>
      <w:r w:rsidRPr="0068127D">
        <w:rPr>
          <w:rFonts w:hint="eastAsia"/>
        </w:rPr>
        <w:t>檢紀往</w:t>
      </w:r>
      <w:proofErr w:type="gramEnd"/>
      <w:r w:rsidRPr="0068127D">
        <w:rPr>
          <w:rFonts w:hint="eastAsia"/>
        </w:rPr>
        <w:t>106</w:t>
      </w:r>
      <w:r w:rsidRPr="0068127D">
        <w:rPr>
          <w:rFonts w:hint="eastAsia"/>
        </w:rPr>
        <w:t>調</w:t>
      </w:r>
      <w:r w:rsidRPr="0068127D">
        <w:rPr>
          <w:rFonts w:hint="eastAsia"/>
        </w:rPr>
        <w:t>543</w:t>
      </w:r>
      <w:r w:rsidRPr="0068127D">
        <w:rPr>
          <w:rFonts w:hint="eastAsia"/>
        </w:rPr>
        <w:t>字第</w:t>
      </w:r>
      <w:r w:rsidRPr="0068127D">
        <w:rPr>
          <w:rFonts w:hint="eastAsia"/>
        </w:rPr>
        <w:t>1060001228</w:t>
      </w:r>
      <w:r w:rsidRPr="0068127D">
        <w:rPr>
          <w:rFonts w:hint="eastAsia"/>
        </w:rPr>
        <w:t>號函</w:t>
      </w:r>
      <w:r w:rsidR="005510AC">
        <w:rPr>
          <w:rFonts w:hint="eastAsia"/>
        </w:rPr>
        <w:t>。</w:t>
      </w:r>
    </w:p>
  </w:footnote>
  <w:footnote w:id="5">
    <w:p w:rsidR="00F90DF0" w:rsidRDefault="00F90DF0" w:rsidP="00F90DF0">
      <w:pPr>
        <w:pStyle w:val="ae"/>
      </w:pPr>
      <w:r>
        <w:rPr>
          <w:rStyle w:val="af2"/>
        </w:rPr>
        <w:footnoteRef/>
      </w:r>
      <w:r>
        <w:rPr>
          <w:rFonts w:hint="eastAsia"/>
        </w:rPr>
        <w:t>高檢署</w:t>
      </w:r>
      <w:r w:rsidRPr="0068127D">
        <w:rPr>
          <w:rFonts w:hint="eastAsia"/>
        </w:rPr>
        <w:t>107</w:t>
      </w:r>
      <w:r w:rsidRPr="0068127D">
        <w:rPr>
          <w:rFonts w:hint="eastAsia"/>
        </w:rPr>
        <w:t>年</w:t>
      </w:r>
      <w:r w:rsidRPr="0068127D">
        <w:rPr>
          <w:rFonts w:hint="eastAsia"/>
        </w:rPr>
        <w:t>5</w:t>
      </w:r>
      <w:r w:rsidRPr="0068127D">
        <w:rPr>
          <w:rFonts w:hint="eastAsia"/>
        </w:rPr>
        <w:t>月</w:t>
      </w:r>
      <w:r w:rsidRPr="0068127D">
        <w:rPr>
          <w:rFonts w:hint="eastAsia"/>
        </w:rPr>
        <w:t>10</w:t>
      </w:r>
      <w:r w:rsidRPr="0068127D">
        <w:rPr>
          <w:rFonts w:hint="eastAsia"/>
        </w:rPr>
        <w:t>日</w:t>
      </w:r>
      <w:proofErr w:type="gramStart"/>
      <w:r w:rsidRPr="0068127D">
        <w:rPr>
          <w:rFonts w:hint="eastAsia"/>
        </w:rPr>
        <w:t>檢紀往</w:t>
      </w:r>
      <w:proofErr w:type="gramEnd"/>
      <w:r w:rsidRPr="0068127D">
        <w:rPr>
          <w:rFonts w:hint="eastAsia"/>
        </w:rPr>
        <w:t>107</w:t>
      </w:r>
      <w:r w:rsidRPr="0068127D">
        <w:rPr>
          <w:rFonts w:hint="eastAsia"/>
        </w:rPr>
        <w:t>調</w:t>
      </w:r>
      <w:r w:rsidRPr="0068127D">
        <w:rPr>
          <w:rFonts w:hint="eastAsia"/>
        </w:rPr>
        <w:t>263</w:t>
      </w:r>
      <w:r w:rsidRPr="0068127D">
        <w:rPr>
          <w:rFonts w:hint="eastAsia"/>
        </w:rPr>
        <w:t>字第</w:t>
      </w:r>
      <w:r w:rsidRPr="0068127D">
        <w:rPr>
          <w:rFonts w:hint="eastAsia"/>
        </w:rPr>
        <w:t>1070000491</w:t>
      </w:r>
      <w:r w:rsidRPr="0068127D">
        <w:rPr>
          <w:rFonts w:hint="eastAsia"/>
        </w:rPr>
        <w:t>號函</w:t>
      </w:r>
      <w:r w:rsidR="005510AC">
        <w:rPr>
          <w:rFonts w:hint="eastAsia"/>
        </w:rPr>
        <w:t>。</w:t>
      </w:r>
    </w:p>
  </w:footnote>
  <w:footnote w:id="6">
    <w:p w:rsidR="00F90DF0" w:rsidRDefault="00F90DF0" w:rsidP="00F90DF0">
      <w:pPr>
        <w:pStyle w:val="ae"/>
      </w:pPr>
      <w:r>
        <w:rPr>
          <w:rStyle w:val="af2"/>
        </w:rPr>
        <w:footnoteRef/>
      </w:r>
      <w:r>
        <w:rPr>
          <w:rFonts w:hint="eastAsia"/>
        </w:rPr>
        <w:t>法務部</w:t>
      </w:r>
      <w:r>
        <w:rPr>
          <w:rFonts w:hint="eastAsia"/>
        </w:rPr>
        <w:t>107</w:t>
      </w:r>
      <w:r>
        <w:rPr>
          <w:rFonts w:hint="eastAsia"/>
        </w:rPr>
        <w:t>年</w:t>
      </w:r>
      <w:r>
        <w:rPr>
          <w:rFonts w:hint="eastAsia"/>
        </w:rPr>
        <w:t>9</w:t>
      </w:r>
      <w:r>
        <w:rPr>
          <w:rFonts w:hint="eastAsia"/>
        </w:rPr>
        <w:t>月</w:t>
      </w:r>
      <w:r>
        <w:rPr>
          <w:rFonts w:hint="eastAsia"/>
        </w:rPr>
        <w:t>19</w:t>
      </w:r>
      <w:r>
        <w:rPr>
          <w:rFonts w:hint="eastAsia"/>
        </w:rPr>
        <w:t>日法檢字第</w:t>
      </w:r>
      <w:r>
        <w:rPr>
          <w:rFonts w:hint="eastAsia"/>
        </w:rPr>
        <w:t>10704533400</w:t>
      </w:r>
      <w:r>
        <w:rPr>
          <w:rFonts w:hint="eastAsia"/>
        </w:rPr>
        <w:t>號函</w:t>
      </w:r>
      <w:r>
        <w:rPr>
          <w:rFonts w:hint="eastAsia"/>
        </w:rPr>
        <w:t>107</w:t>
      </w:r>
      <w:r>
        <w:rPr>
          <w:rFonts w:hint="eastAsia"/>
        </w:rPr>
        <w:t>年</w:t>
      </w:r>
      <w:r>
        <w:rPr>
          <w:rFonts w:hint="eastAsia"/>
        </w:rPr>
        <w:t>10</w:t>
      </w:r>
      <w:r>
        <w:rPr>
          <w:rFonts w:hint="eastAsia"/>
        </w:rPr>
        <w:t>月</w:t>
      </w:r>
      <w:r>
        <w:rPr>
          <w:rFonts w:hint="eastAsia"/>
        </w:rPr>
        <w:t>8</w:t>
      </w:r>
      <w:r>
        <w:rPr>
          <w:rFonts w:hint="eastAsia"/>
        </w:rPr>
        <w:t>日法檢字第</w:t>
      </w:r>
      <w:r>
        <w:rPr>
          <w:rFonts w:hint="eastAsia"/>
        </w:rPr>
        <w:t>10700642440</w:t>
      </w:r>
      <w:r>
        <w:rPr>
          <w:rFonts w:hint="eastAsia"/>
        </w:rPr>
        <w:t>號函</w:t>
      </w:r>
      <w:r w:rsidR="005510AC">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5D4CBDCC"/>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0"/>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
  </w:num>
  <w:num w:numId="8">
    <w:abstractNumId w:val="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A80"/>
    <w:rsid w:val="00001E36"/>
    <w:rsid w:val="00002AC1"/>
    <w:rsid w:val="000263E3"/>
    <w:rsid w:val="0007178B"/>
    <w:rsid w:val="0007404A"/>
    <w:rsid w:val="000A4623"/>
    <w:rsid w:val="000D237B"/>
    <w:rsid w:val="000D43BA"/>
    <w:rsid w:val="000E4C13"/>
    <w:rsid w:val="00114F59"/>
    <w:rsid w:val="00123E66"/>
    <w:rsid w:val="00145AD9"/>
    <w:rsid w:val="00146987"/>
    <w:rsid w:val="00190041"/>
    <w:rsid w:val="00191835"/>
    <w:rsid w:val="001B25A3"/>
    <w:rsid w:val="001B2EDB"/>
    <w:rsid w:val="00207202"/>
    <w:rsid w:val="002339DA"/>
    <w:rsid w:val="0026596A"/>
    <w:rsid w:val="002752B7"/>
    <w:rsid w:val="002B5BCA"/>
    <w:rsid w:val="003011FC"/>
    <w:rsid w:val="003049F9"/>
    <w:rsid w:val="003341DD"/>
    <w:rsid w:val="00345F68"/>
    <w:rsid w:val="003633B0"/>
    <w:rsid w:val="0038009F"/>
    <w:rsid w:val="00391B52"/>
    <w:rsid w:val="00394108"/>
    <w:rsid w:val="0039551E"/>
    <w:rsid w:val="003B0835"/>
    <w:rsid w:val="004201BC"/>
    <w:rsid w:val="00423E4E"/>
    <w:rsid w:val="00431A7F"/>
    <w:rsid w:val="00456889"/>
    <w:rsid w:val="00483B0C"/>
    <w:rsid w:val="00496B49"/>
    <w:rsid w:val="004972F6"/>
    <w:rsid w:val="004B2AF3"/>
    <w:rsid w:val="004C153A"/>
    <w:rsid w:val="00506627"/>
    <w:rsid w:val="0050799A"/>
    <w:rsid w:val="00523C33"/>
    <w:rsid w:val="005510AC"/>
    <w:rsid w:val="005A4526"/>
    <w:rsid w:val="005A4E4E"/>
    <w:rsid w:val="005C1368"/>
    <w:rsid w:val="005D1B4A"/>
    <w:rsid w:val="005D48F8"/>
    <w:rsid w:val="005E79A0"/>
    <w:rsid w:val="005F26E3"/>
    <w:rsid w:val="006522D4"/>
    <w:rsid w:val="00652949"/>
    <w:rsid w:val="006579C3"/>
    <w:rsid w:val="00672B60"/>
    <w:rsid w:val="00672F49"/>
    <w:rsid w:val="006763FE"/>
    <w:rsid w:val="0068127D"/>
    <w:rsid w:val="006900BD"/>
    <w:rsid w:val="00697FD4"/>
    <w:rsid w:val="006F2F67"/>
    <w:rsid w:val="00744D9B"/>
    <w:rsid w:val="00772D29"/>
    <w:rsid w:val="00793D7C"/>
    <w:rsid w:val="007E37BF"/>
    <w:rsid w:val="007F1C54"/>
    <w:rsid w:val="00812DAD"/>
    <w:rsid w:val="00822053"/>
    <w:rsid w:val="00824E56"/>
    <w:rsid w:val="00855BE9"/>
    <w:rsid w:val="00880567"/>
    <w:rsid w:val="008825FD"/>
    <w:rsid w:val="008A62C4"/>
    <w:rsid w:val="008B56E5"/>
    <w:rsid w:val="008C57A7"/>
    <w:rsid w:val="008C75B3"/>
    <w:rsid w:val="008E2C1D"/>
    <w:rsid w:val="0090726C"/>
    <w:rsid w:val="009303E9"/>
    <w:rsid w:val="00933AFE"/>
    <w:rsid w:val="009633CE"/>
    <w:rsid w:val="00991874"/>
    <w:rsid w:val="00992323"/>
    <w:rsid w:val="00993882"/>
    <w:rsid w:val="009B55B4"/>
    <w:rsid w:val="009C3C64"/>
    <w:rsid w:val="009D4AD8"/>
    <w:rsid w:val="009E4033"/>
    <w:rsid w:val="00A02A95"/>
    <w:rsid w:val="00A722E5"/>
    <w:rsid w:val="00A82446"/>
    <w:rsid w:val="00AD7AFE"/>
    <w:rsid w:val="00B07444"/>
    <w:rsid w:val="00B43C18"/>
    <w:rsid w:val="00B43DCE"/>
    <w:rsid w:val="00B45E9C"/>
    <w:rsid w:val="00B47802"/>
    <w:rsid w:val="00B83735"/>
    <w:rsid w:val="00B95B14"/>
    <w:rsid w:val="00B9788A"/>
    <w:rsid w:val="00BB0B87"/>
    <w:rsid w:val="00BE31A8"/>
    <w:rsid w:val="00C042D3"/>
    <w:rsid w:val="00C16480"/>
    <w:rsid w:val="00C308E1"/>
    <w:rsid w:val="00C60A80"/>
    <w:rsid w:val="00C71D66"/>
    <w:rsid w:val="00C74186"/>
    <w:rsid w:val="00CB20D6"/>
    <w:rsid w:val="00CC16B9"/>
    <w:rsid w:val="00CC247A"/>
    <w:rsid w:val="00CE7085"/>
    <w:rsid w:val="00CF79C4"/>
    <w:rsid w:val="00D325F4"/>
    <w:rsid w:val="00D4061F"/>
    <w:rsid w:val="00D5308B"/>
    <w:rsid w:val="00D618D7"/>
    <w:rsid w:val="00D80818"/>
    <w:rsid w:val="00D8222D"/>
    <w:rsid w:val="00D9071B"/>
    <w:rsid w:val="00DC52D4"/>
    <w:rsid w:val="00E014CF"/>
    <w:rsid w:val="00E0371C"/>
    <w:rsid w:val="00E34994"/>
    <w:rsid w:val="00E54124"/>
    <w:rsid w:val="00E5598D"/>
    <w:rsid w:val="00E6472D"/>
    <w:rsid w:val="00ED15BB"/>
    <w:rsid w:val="00EF216D"/>
    <w:rsid w:val="00F05381"/>
    <w:rsid w:val="00F3753D"/>
    <w:rsid w:val="00F52DC0"/>
    <w:rsid w:val="00F52FB1"/>
    <w:rsid w:val="00F77921"/>
    <w:rsid w:val="00F807D5"/>
    <w:rsid w:val="00F90DF0"/>
    <w:rsid w:val="00FD2823"/>
    <w:rsid w:val="00FD508E"/>
    <w:rsid w:val="00FE2EB0"/>
    <w:rsid w:val="00FF61D4"/>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52DC0"/>
    <w:pPr>
      <w:widowControl w:val="0"/>
    </w:pPr>
    <w:rPr>
      <w:rFonts w:eastAsia="標楷體"/>
      <w:kern w:val="2"/>
      <w:sz w:val="32"/>
    </w:rPr>
  </w:style>
  <w:style w:type="paragraph" w:styleId="1">
    <w:name w:val="heading 1"/>
    <w:basedOn w:val="a1"/>
    <w:qFormat/>
    <w:rsid w:val="00F52DC0"/>
    <w:pPr>
      <w:numPr>
        <w:numId w:val="1"/>
      </w:numPr>
      <w:kinsoku w:val="0"/>
      <w:jc w:val="both"/>
      <w:outlineLvl w:val="0"/>
    </w:pPr>
    <w:rPr>
      <w:rFonts w:ascii="標楷體" w:hAnsi="Arial"/>
      <w:bCs/>
      <w:kern w:val="0"/>
      <w:szCs w:val="52"/>
    </w:rPr>
  </w:style>
  <w:style w:type="paragraph" w:styleId="2">
    <w:name w:val="heading 2"/>
    <w:basedOn w:val="a1"/>
    <w:qFormat/>
    <w:rsid w:val="00F52DC0"/>
    <w:pPr>
      <w:numPr>
        <w:ilvl w:val="1"/>
        <w:numId w:val="1"/>
      </w:numPr>
      <w:kinsoku w:val="0"/>
      <w:jc w:val="both"/>
      <w:outlineLvl w:val="1"/>
    </w:pPr>
    <w:rPr>
      <w:rFonts w:ascii="標楷體" w:hAnsi="Arial"/>
      <w:bCs/>
      <w:kern w:val="0"/>
      <w:szCs w:val="48"/>
    </w:rPr>
  </w:style>
  <w:style w:type="paragraph" w:styleId="3">
    <w:name w:val="heading 3"/>
    <w:basedOn w:val="a1"/>
    <w:qFormat/>
    <w:rsid w:val="00F52DC0"/>
    <w:pPr>
      <w:numPr>
        <w:ilvl w:val="2"/>
        <w:numId w:val="1"/>
      </w:numPr>
      <w:kinsoku w:val="0"/>
      <w:jc w:val="both"/>
      <w:outlineLvl w:val="2"/>
    </w:pPr>
    <w:rPr>
      <w:rFonts w:ascii="標楷體" w:hAnsi="Arial"/>
      <w:bCs/>
      <w:kern w:val="0"/>
      <w:szCs w:val="36"/>
    </w:rPr>
  </w:style>
  <w:style w:type="paragraph" w:styleId="4">
    <w:name w:val="heading 4"/>
    <w:basedOn w:val="a1"/>
    <w:qFormat/>
    <w:rsid w:val="00F52DC0"/>
    <w:pPr>
      <w:numPr>
        <w:ilvl w:val="3"/>
        <w:numId w:val="1"/>
      </w:numPr>
      <w:jc w:val="both"/>
      <w:outlineLvl w:val="3"/>
    </w:pPr>
    <w:rPr>
      <w:rFonts w:ascii="標楷體" w:hAnsi="Arial"/>
      <w:szCs w:val="36"/>
    </w:rPr>
  </w:style>
  <w:style w:type="paragraph" w:styleId="5">
    <w:name w:val="heading 5"/>
    <w:basedOn w:val="a1"/>
    <w:qFormat/>
    <w:rsid w:val="00F52DC0"/>
    <w:pPr>
      <w:numPr>
        <w:ilvl w:val="4"/>
        <w:numId w:val="1"/>
      </w:numPr>
      <w:kinsoku w:val="0"/>
      <w:jc w:val="both"/>
      <w:outlineLvl w:val="4"/>
    </w:pPr>
    <w:rPr>
      <w:rFonts w:ascii="標楷體" w:hAnsi="Arial"/>
      <w:bCs/>
      <w:szCs w:val="36"/>
    </w:rPr>
  </w:style>
  <w:style w:type="paragraph" w:styleId="6">
    <w:name w:val="heading 6"/>
    <w:basedOn w:val="a1"/>
    <w:qFormat/>
    <w:rsid w:val="00F52DC0"/>
    <w:pPr>
      <w:numPr>
        <w:ilvl w:val="5"/>
        <w:numId w:val="1"/>
      </w:numPr>
      <w:tabs>
        <w:tab w:val="left" w:pos="2094"/>
      </w:tabs>
      <w:kinsoku w:val="0"/>
      <w:jc w:val="both"/>
      <w:outlineLvl w:val="5"/>
    </w:pPr>
    <w:rPr>
      <w:rFonts w:ascii="標楷體" w:hAnsi="Arial"/>
      <w:szCs w:val="36"/>
    </w:rPr>
  </w:style>
  <w:style w:type="paragraph" w:styleId="7">
    <w:name w:val="heading 7"/>
    <w:basedOn w:val="a1"/>
    <w:qFormat/>
    <w:rsid w:val="00F52DC0"/>
    <w:pPr>
      <w:numPr>
        <w:ilvl w:val="6"/>
        <w:numId w:val="1"/>
      </w:numPr>
      <w:kinsoku w:val="0"/>
      <w:jc w:val="both"/>
      <w:outlineLvl w:val="6"/>
    </w:pPr>
    <w:rPr>
      <w:rFonts w:ascii="標楷體" w:hAnsi="Arial"/>
      <w:bCs/>
      <w:szCs w:val="36"/>
    </w:rPr>
  </w:style>
  <w:style w:type="paragraph" w:styleId="8">
    <w:name w:val="heading 8"/>
    <w:basedOn w:val="a1"/>
    <w:qFormat/>
    <w:rsid w:val="00F52DC0"/>
    <w:pPr>
      <w:numPr>
        <w:ilvl w:val="7"/>
        <w:numId w:val="1"/>
      </w:numPr>
      <w:kinsoku w:val="0"/>
      <w:jc w:val="both"/>
      <w:outlineLvl w:val="7"/>
    </w:pPr>
    <w:rPr>
      <w:rFonts w:ascii="標楷體" w:hAnsi="Arial"/>
      <w:szCs w:val="36"/>
    </w:rPr>
  </w:style>
  <w:style w:type="paragraph" w:styleId="9">
    <w:name w:val="heading 9"/>
    <w:basedOn w:val="a1"/>
    <w:link w:val="90"/>
    <w:uiPriority w:val="9"/>
    <w:unhideWhenUsed/>
    <w:qFormat/>
    <w:rsid w:val="00CC16B9"/>
    <w:pPr>
      <w:overflowPunct w:val="0"/>
      <w:autoSpaceDE w:val="0"/>
      <w:autoSpaceDN w:val="0"/>
      <w:ind w:left="3402" w:hanging="850"/>
      <w:jc w:val="both"/>
      <w:outlineLvl w:val="8"/>
    </w:pPr>
    <w:rPr>
      <w:rFonts w:ascii="標楷體" w:hAnsiTheme="majorHAnsi" w:cstheme="majorBidi"/>
      <w:kern w:val="32"/>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F52DC0"/>
    <w:pPr>
      <w:spacing w:before="720" w:after="720"/>
      <w:ind w:left="7371"/>
    </w:pPr>
    <w:rPr>
      <w:rFonts w:ascii="標楷體"/>
      <w:b/>
      <w:snapToGrid w:val="0"/>
      <w:spacing w:val="10"/>
      <w:sz w:val="36"/>
    </w:rPr>
  </w:style>
  <w:style w:type="paragraph" w:styleId="a6">
    <w:name w:val="endnote text"/>
    <w:basedOn w:val="a1"/>
    <w:semiHidden/>
    <w:rsid w:val="00F52DC0"/>
    <w:pPr>
      <w:spacing w:before="240"/>
      <w:ind w:left="1021" w:hanging="1021"/>
      <w:jc w:val="both"/>
    </w:pPr>
    <w:rPr>
      <w:rFonts w:ascii="標楷體"/>
      <w:snapToGrid w:val="0"/>
      <w:spacing w:val="10"/>
    </w:rPr>
  </w:style>
  <w:style w:type="paragraph" w:styleId="50">
    <w:name w:val="toc 5"/>
    <w:basedOn w:val="a1"/>
    <w:next w:val="a1"/>
    <w:autoRedefine/>
    <w:semiHidden/>
    <w:rsid w:val="00F52DC0"/>
    <w:pPr>
      <w:ind w:leftChars="400" w:left="600" w:rightChars="200" w:right="200" w:hangingChars="200" w:hanging="200"/>
    </w:pPr>
    <w:rPr>
      <w:rFonts w:ascii="標楷體"/>
    </w:rPr>
  </w:style>
  <w:style w:type="character" w:styleId="a7">
    <w:name w:val="page number"/>
    <w:semiHidden/>
    <w:rsid w:val="00F52DC0"/>
    <w:rPr>
      <w:rFonts w:ascii="標楷體" w:eastAsia="標楷體"/>
      <w:sz w:val="20"/>
    </w:rPr>
  </w:style>
  <w:style w:type="paragraph" w:styleId="60">
    <w:name w:val="toc 6"/>
    <w:basedOn w:val="a1"/>
    <w:next w:val="a1"/>
    <w:autoRedefine/>
    <w:semiHidden/>
    <w:rsid w:val="00F52DC0"/>
    <w:pPr>
      <w:ind w:leftChars="500" w:left="500"/>
    </w:pPr>
    <w:rPr>
      <w:rFonts w:ascii="標楷體"/>
    </w:rPr>
  </w:style>
  <w:style w:type="paragraph" w:customStyle="1" w:styleId="10">
    <w:name w:val="段落樣式1"/>
    <w:basedOn w:val="a1"/>
    <w:rsid w:val="00F52DC0"/>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F52DC0"/>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F52DC0"/>
    <w:pPr>
      <w:kinsoku w:val="0"/>
      <w:ind w:left="2443" w:rightChars="200" w:right="698" w:hangingChars="700" w:hanging="2443"/>
      <w:jc w:val="both"/>
    </w:pPr>
    <w:rPr>
      <w:rFonts w:ascii="標楷體"/>
      <w:noProof/>
      <w:szCs w:val="32"/>
    </w:rPr>
  </w:style>
  <w:style w:type="paragraph" w:styleId="21">
    <w:name w:val="toc 2"/>
    <w:basedOn w:val="a1"/>
    <w:next w:val="a1"/>
    <w:autoRedefine/>
    <w:semiHidden/>
    <w:rsid w:val="00F52DC0"/>
    <w:pPr>
      <w:kinsoku w:val="0"/>
      <w:ind w:leftChars="100" w:left="300" w:rightChars="200" w:right="200" w:hangingChars="200" w:hanging="200"/>
    </w:pPr>
    <w:rPr>
      <w:rFonts w:ascii="標楷體"/>
      <w:noProof/>
    </w:rPr>
  </w:style>
  <w:style w:type="paragraph" w:styleId="30">
    <w:name w:val="toc 3"/>
    <w:basedOn w:val="a1"/>
    <w:next w:val="a1"/>
    <w:autoRedefine/>
    <w:semiHidden/>
    <w:rsid w:val="00F52DC0"/>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F52DC0"/>
    <w:pPr>
      <w:kinsoku w:val="0"/>
      <w:ind w:leftChars="300" w:left="500" w:rightChars="200" w:right="200" w:hangingChars="200" w:hanging="200"/>
      <w:jc w:val="both"/>
    </w:pPr>
    <w:rPr>
      <w:rFonts w:ascii="標楷體"/>
    </w:rPr>
  </w:style>
  <w:style w:type="paragraph" w:styleId="70">
    <w:name w:val="toc 7"/>
    <w:basedOn w:val="a1"/>
    <w:next w:val="a1"/>
    <w:autoRedefine/>
    <w:semiHidden/>
    <w:rsid w:val="00F52DC0"/>
    <w:pPr>
      <w:ind w:leftChars="600" w:left="800" w:hangingChars="200" w:hanging="200"/>
    </w:pPr>
    <w:rPr>
      <w:rFonts w:ascii="標楷體"/>
    </w:rPr>
  </w:style>
  <w:style w:type="paragraph" w:styleId="80">
    <w:name w:val="toc 8"/>
    <w:basedOn w:val="a1"/>
    <w:next w:val="a1"/>
    <w:autoRedefine/>
    <w:semiHidden/>
    <w:rsid w:val="00F52DC0"/>
    <w:pPr>
      <w:ind w:leftChars="700" w:left="900" w:hangingChars="200" w:hanging="200"/>
    </w:pPr>
    <w:rPr>
      <w:rFonts w:ascii="標楷體"/>
    </w:rPr>
  </w:style>
  <w:style w:type="paragraph" w:styleId="91">
    <w:name w:val="toc 9"/>
    <w:basedOn w:val="a1"/>
    <w:next w:val="a1"/>
    <w:autoRedefine/>
    <w:semiHidden/>
    <w:rsid w:val="00F52DC0"/>
    <w:pPr>
      <w:ind w:leftChars="1600" w:left="3840"/>
    </w:pPr>
  </w:style>
  <w:style w:type="paragraph" w:styleId="a8">
    <w:name w:val="header"/>
    <w:basedOn w:val="a1"/>
    <w:semiHidden/>
    <w:rsid w:val="00F52DC0"/>
    <w:pPr>
      <w:tabs>
        <w:tab w:val="center" w:pos="4153"/>
        <w:tab w:val="right" w:pos="8306"/>
      </w:tabs>
      <w:snapToGrid w:val="0"/>
    </w:pPr>
    <w:rPr>
      <w:sz w:val="20"/>
    </w:rPr>
  </w:style>
  <w:style w:type="paragraph" w:customStyle="1" w:styleId="31">
    <w:name w:val="段落樣式3"/>
    <w:basedOn w:val="20"/>
    <w:rsid w:val="00F52DC0"/>
    <w:pPr>
      <w:ind w:leftChars="400" w:left="400"/>
    </w:pPr>
  </w:style>
  <w:style w:type="character" w:styleId="a9">
    <w:name w:val="Hyperlink"/>
    <w:semiHidden/>
    <w:rsid w:val="00F52DC0"/>
    <w:rPr>
      <w:color w:val="0000FF"/>
      <w:u w:val="single"/>
    </w:rPr>
  </w:style>
  <w:style w:type="paragraph" w:customStyle="1" w:styleId="aa">
    <w:name w:val="簽名日期"/>
    <w:basedOn w:val="a1"/>
    <w:rsid w:val="00F52DC0"/>
    <w:pPr>
      <w:kinsoku w:val="0"/>
      <w:jc w:val="distribute"/>
    </w:pPr>
    <w:rPr>
      <w:kern w:val="0"/>
    </w:rPr>
  </w:style>
  <w:style w:type="paragraph" w:customStyle="1" w:styleId="0">
    <w:name w:val="段落樣式0"/>
    <w:basedOn w:val="20"/>
    <w:rsid w:val="00F52DC0"/>
    <w:pPr>
      <w:ind w:leftChars="200" w:left="200" w:firstLineChars="0" w:firstLine="0"/>
    </w:pPr>
  </w:style>
  <w:style w:type="paragraph" w:customStyle="1" w:styleId="ab">
    <w:name w:val="附件"/>
    <w:basedOn w:val="a6"/>
    <w:rsid w:val="00F52DC0"/>
    <w:pPr>
      <w:kinsoku w:val="0"/>
      <w:spacing w:before="0"/>
      <w:ind w:left="1047" w:hangingChars="300" w:hanging="1047"/>
    </w:pPr>
    <w:rPr>
      <w:snapToGrid/>
      <w:spacing w:val="0"/>
      <w:kern w:val="0"/>
    </w:rPr>
  </w:style>
  <w:style w:type="paragraph" w:customStyle="1" w:styleId="41">
    <w:name w:val="段落樣式4"/>
    <w:basedOn w:val="31"/>
    <w:rsid w:val="00F52DC0"/>
    <w:pPr>
      <w:ind w:leftChars="500" w:left="500"/>
    </w:pPr>
  </w:style>
  <w:style w:type="paragraph" w:customStyle="1" w:styleId="51">
    <w:name w:val="段落樣式5"/>
    <w:basedOn w:val="41"/>
    <w:rsid w:val="00F52DC0"/>
    <w:pPr>
      <w:ind w:leftChars="600" w:left="600"/>
    </w:pPr>
  </w:style>
  <w:style w:type="paragraph" w:customStyle="1" w:styleId="61">
    <w:name w:val="段落樣式6"/>
    <w:basedOn w:val="51"/>
    <w:rsid w:val="00F52DC0"/>
    <w:pPr>
      <w:ind w:leftChars="700" w:left="700"/>
    </w:pPr>
  </w:style>
  <w:style w:type="paragraph" w:customStyle="1" w:styleId="71">
    <w:name w:val="段落樣式7"/>
    <w:basedOn w:val="61"/>
    <w:rsid w:val="00F52DC0"/>
  </w:style>
  <w:style w:type="paragraph" w:customStyle="1" w:styleId="81">
    <w:name w:val="段落樣式8"/>
    <w:basedOn w:val="71"/>
    <w:rsid w:val="00F52DC0"/>
    <w:pPr>
      <w:ind w:leftChars="800" w:left="800"/>
    </w:pPr>
  </w:style>
  <w:style w:type="paragraph" w:customStyle="1" w:styleId="a0">
    <w:name w:val="表樣式"/>
    <w:basedOn w:val="a1"/>
    <w:next w:val="a1"/>
    <w:rsid w:val="00F52DC0"/>
    <w:pPr>
      <w:numPr>
        <w:numId w:val="2"/>
      </w:numPr>
      <w:jc w:val="both"/>
    </w:pPr>
    <w:rPr>
      <w:rFonts w:ascii="標楷體"/>
      <w:kern w:val="0"/>
    </w:rPr>
  </w:style>
  <w:style w:type="paragraph" w:styleId="ac">
    <w:name w:val="Body Text Indent"/>
    <w:basedOn w:val="a1"/>
    <w:semiHidden/>
    <w:rsid w:val="00F52DC0"/>
    <w:pPr>
      <w:ind w:left="698" w:hangingChars="200" w:hanging="698"/>
    </w:pPr>
  </w:style>
  <w:style w:type="paragraph" w:customStyle="1" w:styleId="ad">
    <w:name w:val="調查報告"/>
    <w:basedOn w:val="a6"/>
    <w:rsid w:val="00F52DC0"/>
    <w:pPr>
      <w:kinsoku w:val="0"/>
      <w:spacing w:before="0"/>
      <w:ind w:left="1701" w:firstLine="0"/>
    </w:pPr>
    <w:rPr>
      <w:b/>
      <w:snapToGrid/>
      <w:spacing w:val="200"/>
      <w:kern w:val="0"/>
      <w:sz w:val="36"/>
    </w:rPr>
  </w:style>
  <w:style w:type="paragraph" w:styleId="ae">
    <w:name w:val="footnote text"/>
    <w:basedOn w:val="a1"/>
    <w:link w:val="af"/>
    <w:uiPriority w:val="99"/>
    <w:semiHidden/>
    <w:unhideWhenUsed/>
    <w:rsid w:val="00793D7C"/>
    <w:pPr>
      <w:snapToGrid w:val="0"/>
    </w:pPr>
    <w:rPr>
      <w:sz w:val="20"/>
    </w:rPr>
  </w:style>
  <w:style w:type="paragraph" w:customStyle="1" w:styleId="a">
    <w:name w:val="圖樣式"/>
    <w:basedOn w:val="a1"/>
    <w:next w:val="a1"/>
    <w:rsid w:val="00F52DC0"/>
    <w:pPr>
      <w:numPr>
        <w:numId w:val="3"/>
      </w:numPr>
      <w:tabs>
        <w:tab w:val="clear" w:pos="1440"/>
      </w:tabs>
      <w:ind w:left="400" w:hangingChars="400" w:hanging="400"/>
      <w:jc w:val="both"/>
    </w:pPr>
    <w:rPr>
      <w:rFonts w:ascii="標楷體"/>
    </w:rPr>
  </w:style>
  <w:style w:type="paragraph" w:styleId="af0">
    <w:name w:val="footer"/>
    <w:basedOn w:val="a1"/>
    <w:semiHidden/>
    <w:rsid w:val="00F52DC0"/>
    <w:pPr>
      <w:tabs>
        <w:tab w:val="center" w:pos="4153"/>
        <w:tab w:val="right" w:pos="8306"/>
      </w:tabs>
      <w:snapToGrid w:val="0"/>
    </w:pPr>
    <w:rPr>
      <w:sz w:val="20"/>
    </w:rPr>
  </w:style>
  <w:style w:type="paragraph" w:styleId="af1">
    <w:name w:val="table of figures"/>
    <w:basedOn w:val="a1"/>
    <w:next w:val="a1"/>
    <w:semiHidden/>
    <w:rsid w:val="00F52DC0"/>
    <w:pPr>
      <w:ind w:left="400" w:hangingChars="400" w:hanging="400"/>
    </w:pPr>
  </w:style>
  <w:style w:type="character" w:customStyle="1" w:styleId="af">
    <w:name w:val="註腳文字 字元"/>
    <w:basedOn w:val="a2"/>
    <w:link w:val="ae"/>
    <w:uiPriority w:val="99"/>
    <w:semiHidden/>
    <w:rsid w:val="00793D7C"/>
    <w:rPr>
      <w:rFonts w:eastAsia="標楷體"/>
      <w:kern w:val="2"/>
    </w:rPr>
  </w:style>
  <w:style w:type="character" w:styleId="af2">
    <w:name w:val="footnote reference"/>
    <w:basedOn w:val="a2"/>
    <w:uiPriority w:val="99"/>
    <w:semiHidden/>
    <w:unhideWhenUsed/>
    <w:rsid w:val="00793D7C"/>
    <w:rPr>
      <w:vertAlign w:val="superscript"/>
    </w:rPr>
  </w:style>
  <w:style w:type="paragraph" w:styleId="af3">
    <w:name w:val="Balloon Text"/>
    <w:basedOn w:val="a1"/>
    <w:link w:val="af4"/>
    <w:uiPriority w:val="99"/>
    <w:semiHidden/>
    <w:unhideWhenUsed/>
    <w:rsid w:val="008C75B3"/>
    <w:rPr>
      <w:rFonts w:asciiTheme="majorHAnsi" w:eastAsiaTheme="majorEastAsia" w:hAnsiTheme="majorHAnsi" w:cstheme="majorBidi"/>
      <w:sz w:val="18"/>
      <w:szCs w:val="18"/>
    </w:rPr>
  </w:style>
  <w:style w:type="character" w:customStyle="1" w:styleId="af4">
    <w:name w:val="註解方塊文字 字元"/>
    <w:basedOn w:val="a2"/>
    <w:link w:val="af3"/>
    <w:uiPriority w:val="99"/>
    <w:semiHidden/>
    <w:rsid w:val="008C75B3"/>
    <w:rPr>
      <w:rFonts w:asciiTheme="majorHAnsi" w:eastAsiaTheme="majorEastAsia" w:hAnsiTheme="majorHAnsi" w:cstheme="majorBidi"/>
      <w:kern w:val="2"/>
      <w:sz w:val="18"/>
      <w:szCs w:val="18"/>
    </w:rPr>
  </w:style>
  <w:style w:type="character" w:customStyle="1" w:styleId="90">
    <w:name w:val="標題 9 字元"/>
    <w:basedOn w:val="a2"/>
    <w:link w:val="9"/>
    <w:uiPriority w:val="9"/>
    <w:rsid w:val="00CC16B9"/>
    <w:rPr>
      <w:rFonts w:ascii="標楷體" w:eastAsia="標楷體" w:hAnsiTheme="majorHAnsi" w:cstheme="majorBidi"/>
      <w:kern w:val="32"/>
      <w:sz w:val="32"/>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52DC0"/>
    <w:pPr>
      <w:widowControl w:val="0"/>
    </w:pPr>
    <w:rPr>
      <w:rFonts w:eastAsia="標楷體"/>
      <w:kern w:val="2"/>
      <w:sz w:val="32"/>
    </w:rPr>
  </w:style>
  <w:style w:type="paragraph" w:styleId="1">
    <w:name w:val="heading 1"/>
    <w:basedOn w:val="a1"/>
    <w:qFormat/>
    <w:rsid w:val="00F52DC0"/>
    <w:pPr>
      <w:numPr>
        <w:numId w:val="1"/>
      </w:numPr>
      <w:kinsoku w:val="0"/>
      <w:jc w:val="both"/>
      <w:outlineLvl w:val="0"/>
    </w:pPr>
    <w:rPr>
      <w:rFonts w:ascii="標楷體" w:hAnsi="Arial"/>
      <w:bCs/>
      <w:kern w:val="0"/>
      <w:szCs w:val="52"/>
    </w:rPr>
  </w:style>
  <w:style w:type="paragraph" w:styleId="2">
    <w:name w:val="heading 2"/>
    <w:basedOn w:val="a1"/>
    <w:qFormat/>
    <w:rsid w:val="00F52DC0"/>
    <w:pPr>
      <w:numPr>
        <w:ilvl w:val="1"/>
        <w:numId w:val="1"/>
      </w:numPr>
      <w:kinsoku w:val="0"/>
      <w:jc w:val="both"/>
      <w:outlineLvl w:val="1"/>
    </w:pPr>
    <w:rPr>
      <w:rFonts w:ascii="標楷體" w:hAnsi="Arial"/>
      <w:bCs/>
      <w:kern w:val="0"/>
      <w:szCs w:val="48"/>
    </w:rPr>
  </w:style>
  <w:style w:type="paragraph" w:styleId="3">
    <w:name w:val="heading 3"/>
    <w:basedOn w:val="a1"/>
    <w:qFormat/>
    <w:rsid w:val="00F52DC0"/>
    <w:pPr>
      <w:numPr>
        <w:ilvl w:val="2"/>
        <w:numId w:val="1"/>
      </w:numPr>
      <w:kinsoku w:val="0"/>
      <w:jc w:val="both"/>
      <w:outlineLvl w:val="2"/>
    </w:pPr>
    <w:rPr>
      <w:rFonts w:ascii="標楷體" w:hAnsi="Arial"/>
      <w:bCs/>
      <w:kern w:val="0"/>
      <w:szCs w:val="36"/>
    </w:rPr>
  </w:style>
  <w:style w:type="paragraph" w:styleId="4">
    <w:name w:val="heading 4"/>
    <w:basedOn w:val="a1"/>
    <w:qFormat/>
    <w:rsid w:val="00F52DC0"/>
    <w:pPr>
      <w:numPr>
        <w:ilvl w:val="3"/>
        <w:numId w:val="1"/>
      </w:numPr>
      <w:jc w:val="both"/>
      <w:outlineLvl w:val="3"/>
    </w:pPr>
    <w:rPr>
      <w:rFonts w:ascii="標楷體" w:hAnsi="Arial"/>
      <w:szCs w:val="36"/>
    </w:rPr>
  </w:style>
  <w:style w:type="paragraph" w:styleId="5">
    <w:name w:val="heading 5"/>
    <w:basedOn w:val="a1"/>
    <w:qFormat/>
    <w:rsid w:val="00F52DC0"/>
    <w:pPr>
      <w:numPr>
        <w:ilvl w:val="4"/>
        <w:numId w:val="1"/>
      </w:numPr>
      <w:kinsoku w:val="0"/>
      <w:jc w:val="both"/>
      <w:outlineLvl w:val="4"/>
    </w:pPr>
    <w:rPr>
      <w:rFonts w:ascii="標楷體" w:hAnsi="Arial"/>
      <w:bCs/>
      <w:szCs w:val="36"/>
    </w:rPr>
  </w:style>
  <w:style w:type="paragraph" w:styleId="6">
    <w:name w:val="heading 6"/>
    <w:basedOn w:val="a1"/>
    <w:qFormat/>
    <w:rsid w:val="00F52DC0"/>
    <w:pPr>
      <w:numPr>
        <w:ilvl w:val="5"/>
        <w:numId w:val="1"/>
      </w:numPr>
      <w:tabs>
        <w:tab w:val="left" w:pos="2094"/>
      </w:tabs>
      <w:kinsoku w:val="0"/>
      <w:jc w:val="both"/>
      <w:outlineLvl w:val="5"/>
    </w:pPr>
    <w:rPr>
      <w:rFonts w:ascii="標楷體" w:hAnsi="Arial"/>
      <w:szCs w:val="36"/>
    </w:rPr>
  </w:style>
  <w:style w:type="paragraph" w:styleId="7">
    <w:name w:val="heading 7"/>
    <w:basedOn w:val="a1"/>
    <w:qFormat/>
    <w:rsid w:val="00F52DC0"/>
    <w:pPr>
      <w:numPr>
        <w:ilvl w:val="6"/>
        <w:numId w:val="1"/>
      </w:numPr>
      <w:kinsoku w:val="0"/>
      <w:jc w:val="both"/>
      <w:outlineLvl w:val="6"/>
    </w:pPr>
    <w:rPr>
      <w:rFonts w:ascii="標楷體" w:hAnsi="Arial"/>
      <w:bCs/>
      <w:szCs w:val="36"/>
    </w:rPr>
  </w:style>
  <w:style w:type="paragraph" w:styleId="8">
    <w:name w:val="heading 8"/>
    <w:basedOn w:val="a1"/>
    <w:qFormat/>
    <w:rsid w:val="00F52DC0"/>
    <w:pPr>
      <w:numPr>
        <w:ilvl w:val="7"/>
        <w:numId w:val="1"/>
      </w:numPr>
      <w:kinsoku w:val="0"/>
      <w:jc w:val="both"/>
      <w:outlineLvl w:val="7"/>
    </w:pPr>
    <w:rPr>
      <w:rFonts w:ascii="標楷體" w:hAnsi="Arial"/>
      <w:szCs w:val="36"/>
    </w:rPr>
  </w:style>
  <w:style w:type="paragraph" w:styleId="9">
    <w:name w:val="heading 9"/>
    <w:basedOn w:val="a1"/>
    <w:link w:val="90"/>
    <w:uiPriority w:val="9"/>
    <w:unhideWhenUsed/>
    <w:qFormat/>
    <w:rsid w:val="00CC16B9"/>
    <w:pPr>
      <w:overflowPunct w:val="0"/>
      <w:autoSpaceDE w:val="0"/>
      <w:autoSpaceDN w:val="0"/>
      <w:ind w:left="3402" w:hanging="850"/>
      <w:jc w:val="both"/>
      <w:outlineLvl w:val="8"/>
    </w:pPr>
    <w:rPr>
      <w:rFonts w:ascii="標楷體" w:hAnsiTheme="majorHAnsi" w:cstheme="majorBidi"/>
      <w:kern w:val="32"/>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F52DC0"/>
    <w:pPr>
      <w:spacing w:before="720" w:after="720"/>
      <w:ind w:left="7371"/>
    </w:pPr>
    <w:rPr>
      <w:rFonts w:ascii="標楷體"/>
      <w:b/>
      <w:snapToGrid w:val="0"/>
      <w:spacing w:val="10"/>
      <w:sz w:val="36"/>
    </w:rPr>
  </w:style>
  <w:style w:type="paragraph" w:styleId="a6">
    <w:name w:val="endnote text"/>
    <w:basedOn w:val="a1"/>
    <w:semiHidden/>
    <w:rsid w:val="00F52DC0"/>
    <w:pPr>
      <w:spacing w:before="240"/>
      <w:ind w:left="1021" w:hanging="1021"/>
      <w:jc w:val="both"/>
    </w:pPr>
    <w:rPr>
      <w:rFonts w:ascii="標楷體"/>
      <w:snapToGrid w:val="0"/>
      <w:spacing w:val="10"/>
    </w:rPr>
  </w:style>
  <w:style w:type="paragraph" w:styleId="50">
    <w:name w:val="toc 5"/>
    <w:basedOn w:val="a1"/>
    <w:next w:val="a1"/>
    <w:autoRedefine/>
    <w:semiHidden/>
    <w:rsid w:val="00F52DC0"/>
    <w:pPr>
      <w:ind w:leftChars="400" w:left="600" w:rightChars="200" w:right="200" w:hangingChars="200" w:hanging="200"/>
    </w:pPr>
    <w:rPr>
      <w:rFonts w:ascii="標楷體"/>
    </w:rPr>
  </w:style>
  <w:style w:type="character" w:styleId="a7">
    <w:name w:val="page number"/>
    <w:semiHidden/>
    <w:rsid w:val="00F52DC0"/>
    <w:rPr>
      <w:rFonts w:ascii="標楷體" w:eastAsia="標楷體"/>
      <w:sz w:val="20"/>
    </w:rPr>
  </w:style>
  <w:style w:type="paragraph" w:styleId="60">
    <w:name w:val="toc 6"/>
    <w:basedOn w:val="a1"/>
    <w:next w:val="a1"/>
    <w:autoRedefine/>
    <w:semiHidden/>
    <w:rsid w:val="00F52DC0"/>
    <w:pPr>
      <w:ind w:leftChars="500" w:left="500"/>
    </w:pPr>
    <w:rPr>
      <w:rFonts w:ascii="標楷體"/>
    </w:rPr>
  </w:style>
  <w:style w:type="paragraph" w:customStyle="1" w:styleId="10">
    <w:name w:val="段落樣式1"/>
    <w:basedOn w:val="a1"/>
    <w:rsid w:val="00F52DC0"/>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F52DC0"/>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F52DC0"/>
    <w:pPr>
      <w:kinsoku w:val="0"/>
      <w:ind w:left="2443" w:rightChars="200" w:right="698" w:hangingChars="700" w:hanging="2443"/>
      <w:jc w:val="both"/>
    </w:pPr>
    <w:rPr>
      <w:rFonts w:ascii="標楷體"/>
      <w:noProof/>
      <w:szCs w:val="32"/>
    </w:rPr>
  </w:style>
  <w:style w:type="paragraph" w:styleId="21">
    <w:name w:val="toc 2"/>
    <w:basedOn w:val="a1"/>
    <w:next w:val="a1"/>
    <w:autoRedefine/>
    <w:semiHidden/>
    <w:rsid w:val="00F52DC0"/>
    <w:pPr>
      <w:kinsoku w:val="0"/>
      <w:ind w:leftChars="100" w:left="300" w:rightChars="200" w:right="200" w:hangingChars="200" w:hanging="200"/>
    </w:pPr>
    <w:rPr>
      <w:rFonts w:ascii="標楷體"/>
      <w:noProof/>
    </w:rPr>
  </w:style>
  <w:style w:type="paragraph" w:styleId="30">
    <w:name w:val="toc 3"/>
    <w:basedOn w:val="a1"/>
    <w:next w:val="a1"/>
    <w:autoRedefine/>
    <w:semiHidden/>
    <w:rsid w:val="00F52DC0"/>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F52DC0"/>
    <w:pPr>
      <w:kinsoku w:val="0"/>
      <w:ind w:leftChars="300" w:left="500" w:rightChars="200" w:right="200" w:hangingChars="200" w:hanging="200"/>
      <w:jc w:val="both"/>
    </w:pPr>
    <w:rPr>
      <w:rFonts w:ascii="標楷體"/>
    </w:rPr>
  </w:style>
  <w:style w:type="paragraph" w:styleId="70">
    <w:name w:val="toc 7"/>
    <w:basedOn w:val="a1"/>
    <w:next w:val="a1"/>
    <w:autoRedefine/>
    <w:semiHidden/>
    <w:rsid w:val="00F52DC0"/>
    <w:pPr>
      <w:ind w:leftChars="600" w:left="800" w:hangingChars="200" w:hanging="200"/>
    </w:pPr>
    <w:rPr>
      <w:rFonts w:ascii="標楷體"/>
    </w:rPr>
  </w:style>
  <w:style w:type="paragraph" w:styleId="80">
    <w:name w:val="toc 8"/>
    <w:basedOn w:val="a1"/>
    <w:next w:val="a1"/>
    <w:autoRedefine/>
    <w:semiHidden/>
    <w:rsid w:val="00F52DC0"/>
    <w:pPr>
      <w:ind w:leftChars="700" w:left="900" w:hangingChars="200" w:hanging="200"/>
    </w:pPr>
    <w:rPr>
      <w:rFonts w:ascii="標楷體"/>
    </w:rPr>
  </w:style>
  <w:style w:type="paragraph" w:styleId="91">
    <w:name w:val="toc 9"/>
    <w:basedOn w:val="a1"/>
    <w:next w:val="a1"/>
    <w:autoRedefine/>
    <w:semiHidden/>
    <w:rsid w:val="00F52DC0"/>
    <w:pPr>
      <w:ind w:leftChars="1600" w:left="3840"/>
    </w:pPr>
  </w:style>
  <w:style w:type="paragraph" w:styleId="a8">
    <w:name w:val="header"/>
    <w:basedOn w:val="a1"/>
    <w:semiHidden/>
    <w:rsid w:val="00F52DC0"/>
    <w:pPr>
      <w:tabs>
        <w:tab w:val="center" w:pos="4153"/>
        <w:tab w:val="right" w:pos="8306"/>
      </w:tabs>
      <w:snapToGrid w:val="0"/>
    </w:pPr>
    <w:rPr>
      <w:sz w:val="20"/>
    </w:rPr>
  </w:style>
  <w:style w:type="paragraph" w:customStyle="1" w:styleId="31">
    <w:name w:val="段落樣式3"/>
    <w:basedOn w:val="20"/>
    <w:rsid w:val="00F52DC0"/>
    <w:pPr>
      <w:ind w:leftChars="400" w:left="400"/>
    </w:pPr>
  </w:style>
  <w:style w:type="character" w:styleId="a9">
    <w:name w:val="Hyperlink"/>
    <w:semiHidden/>
    <w:rsid w:val="00F52DC0"/>
    <w:rPr>
      <w:color w:val="0000FF"/>
      <w:u w:val="single"/>
    </w:rPr>
  </w:style>
  <w:style w:type="paragraph" w:customStyle="1" w:styleId="aa">
    <w:name w:val="簽名日期"/>
    <w:basedOn w:val="a1"/>
    <w:rsid w:val="00F52DC0"/>
    <w:pPr>
      <w:kinsoku w:val="0"/>
      <w:jc w:val="distribute"/>
    </w:pPr>
    <w:rPr>
      <w:kern w:val="0"/>
    </w:rPr>
  </w:style>
  <w:style w:type="paragraph" w:customStyle="1" w:styleId="0">
    <w:name w:val="段落樣式0"/>
    <w:basedOn w:val="20"/>
    <w:rsid w:val="00F52DC0"/>
    <w:pPr>
      <w:ind w:leftChars="200" w:left="200" w:firstLineChars="0" w:firstLine="0"/>
    </w:pPr>
  </w:style>
  <w:style w:type="paragraph" w:customStyle="1" w:styleId="ab">
    <w:name w:val="附件"/>
    <w:basedOn w:val="a6"/>
    <w:rsid w:val="00F52DC0"/>
    <w:pPr>
      <w:kinsoku w:val="0"/>
      <w:spacing w:before="0"/>
      <w:ind w:left="1047" w:hangingChars="300" w:hanging="1047"/>
    </w:pPr>
    <w:rPr>
      <w:snapToGrid/>
      <w:spacing w:val="0"/>
      <w:kern w:val="0"/>
    </w:rPr>
  </w:style>
  <w:style w:type="paragraph" w:customStyle="1" w:styleId="41">
    <w:name w:val="段落樣式4"/>
    <w:basedOn w:val="31"/>
    <w:rsid w:val="00F52DC0"/>
    <w:pPr>
      <w:ind w:leftChars="500" w:left="500"/>
    </w:pPr>
  </w:style>
  <w:style w:type="paragraph" w:customStyle="1" w:styleId="51">
    <w:name w:val="段落樣式5"/>
    <w:basedOn w:val="41"/>
    <w:rsid w:val="00F52DC0"/>
    <w:pPr>
      <w:ind w:leftChars="600" w:left="600"/>
    </w:pPr>
  </w:style>
  <w:style w:type="paragraph" w:customStyle="1" w:styleId="61">
    <w:name w:val="段落樣式6"/>
    <w:basedOn w:val="51"/>
    <w:rsid w:val="00F52DC0"/>
    <w:pPr>
      <w:ind w:leftChars="700" w:left="700"/>
    </w:pPr>
  </w:style>
  <w:style w:type="paragraph" w:customStyle="1" w:styleId="71">
    <w:name w:val="段落樣式7"/>
    <w:basedOn w:val="61"/>
    <w:rsid w:val="00F52DC0"/>
  </w:style>
  <w:style w:type="paragraph" w:customStyle="1" w:styleId="81">
    <w:name w:val="段落樣式8"/>
    <w:basedOn w:val="71"/>
    <w:rsid w:val="00F52DC0"/>
    <w:pPr>
      <w:ind w:leftChars="800" w:left="800"/>
    </w:pPr>
  </w:style>
  <w:style w:type="paragraph" w:customStyle="1" w:styleId="a0">
    <w:name w:val="表樣式"/>
    <w:basedOn w:val="a1"/>
    <w:next w:val="a1"/>
    <w:rsid w:val="00F52DC0"/>
    <w:pPr>
      <w:numPr>
        <w:numId w:val="2"/>
      </w:numPr>
      <w:jc w:val="both"/>
    </w:pPr>
    <w:rPr>
      <w:rFonts w:ascii="標楷體"/>
      <w:kern w:val="0"/>
    </w:rPr>
  </w:style>
  <w:style w:type="paragraph" w:styleId="ac">
    <w:name w:val="Body Text Indent"/>
    <w:basedOn w:val="a1"/>
    <w:semiHidden/>
    <w:rsid w:val="00F52DC0"/>
    <w:pPr>
      <w:ind w:left="698" w:hangingChars="200" w:hanging="698"/>
    </w:pPr>
  </w:style>
  <w:style w:type="paragraph" w:customStyle="1" w:styleId="ad">
    <w:name w:val="調查報告"/>
    <w:basedOn w:val="a6"/>
    <w:rsid w:val="00F52DC0"/>
    <w:pPr>
      <w:kinsoku w:val="0"/>
      <w:spacing w:before="0"/>
      <w:ind w:left="1701" w:firstLine="0"/>
    </w:pPr>
    <w:rPr>
      <w:b/>
      <w:snapToGrid/>
      <w:spacing w:val="200"/>
      <w:kern w:val="0"/>
      <w:sz w:val="36"/>
    </w:rPr>
  </w:style>
  <w:style w:type="paragraph" w:styleId="ae">
    <w:name w:val="footnote text"/>
    <w:basedOn w:val="a1"/>
    <w:link w:val="af"/>
    <w:uiPriority w:val="99"/>
    <w:semiHidden/>
    <w:unhideWhenUsed/>
    <w:rsid w:val="00793D7C"/>
    <w:pPr>
      <w:snapToGrid w:val="0"/>
    </w:pPr>
    <w:rPr>
      <w:sz w:val="20"/>
    </w:rPr>
  </w:style>
  <w:style w:type="paragraph" w:customStyle="1" w:styleId="a">
    <w:name w:val="圖樣式"/>
    <w:basedOn w:val="a1"/>
    <w:next w:val="a1"/>
    <w:rsid w:val="00F52DC0"/>
    <w:pPr>
      <w:numPr>
        <w:numId w:val="3"/>
      </w:numPr>
      <w:tabs>
        <w:tab w:val="clear" w:pos="1440"/>
      </w:tabs>
      <w:ind w:left="400" w:hangingChars="400" w:hanging="400"/>
      <w:jc w:val="both"/>
    </w:pPr>
    <w:rPr>
      <w:rFonts w:ascii="標楷體"/>
    </w:rPr>
  </w:style>
  <w:style w:type="paragraph" w:styleId="af0">
    <w:name w:val="footer"/>
    <w:basedOn w:val="a1"/>
    <w:semiHidden/>
    <w:rsid w:val="00F52DC0"/>
    <w:pPr>
      <w:tabs>
        <w:tab w:val="center" w:pos="4153"/>
        <w:tab w:val="right" w:pos="8306"/>
      </w:tabs>
      <w:snapToGrid w:val="0"/>
    </w:pPr>
    <w:rPr>
      <w:sz w:val="20"/>
    </w:rPr>
  </w:style>
  <w:style w:type="paragraph" w:styleId="af1">
    <w:name w:val="table of figures"/>
    <w:basedOn w:val="a1"/>
    <w:next w:val="a1"/>
    <w:semiHidden/>
    <w:rsid w:val="00F52DC0"/>
    <w:pPr>
      <w:ind w:left="400" w:hangingChars="400" w:hanging="400"/>
    </w:pPr>
  </w:style>
  <w:style w:type="character" w:customStyle="1" w:styleId="af">
    <w:name w:val="註腳文字 字元"/>
    <w:basedOn w:val="a2"/>
    <w:link w:val="ae"/>
    <w:uiPriority w:val="99"/>
    <w:semiHidden/>
    <w:rsid w:val="00793D7C"/>
    <w:rPr>
      <w:rFonts w:eastAsia="標楷體"/>
      <w:kern w:val="2"/>
    </w:rPr>
  </w:style>
  <w:style w:type="character" w:styleId="af2">
    <w:name w:val="footnote reference"/>
    <w:basedOn w:val="a2"/>
    <w:uiPriority w:val="99"/>
    <w:semiHidden/>
    <w:unhideWhenUsed/>
    <w:rsid w:val="00793D7C"/>
    <w:rPr>
      <w:vertAlign w:val="superscript"/>
    </w:rPr>
  </w:style>
  <w:style w:type="paragraph" w:styleId="af3">
    <w:name w:val="Balloon Text"/>
    <w:basedOn w:val="a1"/>
    <w:link w:val="af4"/>
    <w:uiPriority w:val="99"/>
    <w:semiHidden/>
    <w:unhideWhenUsed/>
    <w:rsid w:val="008C75B3"/>
    <w:rPr>
      <w:rFonts w:asciiTheme="majorHAnsi" w:eastAsiaTheme="majorEastAsia" w:hAnsiTheme="majorHAnsi" w:cstheme="majorBidi"/>
      <w:sz w:val="18"/>
      <w:szCs w:val="18"/>
    </w:rPr>
  </w:style>
  <w:style w:type="character" w:customStyle="1" w:styleId="af4">
    <w:name w:val="註解方塊文字 字元"/>
    <w:basedOn w:val="a2"/>
    <w:link w:val="af3"/>
    <w:uiPriority w:val="99"/>
    <w:semiHidden/>
    <w:rsid w:val="008C75B3"/>
    <w:rPr>
      <w:rFonts w:asciiTheme="majorHAnsi" w:eastAsiaTheme="majorEastAsia" w:hAnsiTheme="majorHAnsi" w:cstheme="majorBidi"/>
      <w:kern w:val="2"/>
      <w:sz w:val="18"/>
      <w:szCs w:val="18"/>
    </w:rPr>
  </w:style>
  <w:style w:type="character" w:customStyle="1" w:styleId="90">
    <w:name w:val="標題 9 字元"/>
    <w:basedOn w:val="a2"/>
    <w:link w:val="9"/>
    <w:uiPriority w:val="9"/>
    <w:rsid w:val="00CC16B9"/>
    <w:rPr>
      <w:rFonts w:ascii="標楷體" w:eastAsia="標楷體" w:hAnsiTheme="majorHAnsi" w:cstheme="majorBidi"/>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yem\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F0977-BC33-435D-83FF-B3AE07488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12</Pages>
  <Words>1084</Words>
  <Characters>6182</Characters>
  <Application>Microsoft Office Word</Application>
  <DocSecurity>0</DocSecurity>
  <Lines>51</Lines>
  <Paragraphs>14</Paragraphs>
  <ScaleCrop>false</ScaleCrop>
  <Company>cy</Company>
  <LinksUpToDate>false</LinksUpToDate>
  <CharactersWithSpaces>7252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stud01</dc:creator>
  <cp:lastModifiedBy>stud01</cp:lastModifiedBy>
  <cp:revision>3</cp:revision>
  <cp:lastPrinted>2018-11-07T08:24:00Z</cp:lastPrinted>
  <dcterms:created xsi:type="dcterms:W3CDTF">2019-04-24T09:05:00Z</dcterms:created>
  <dcterms:modified xsi:type="dcterms:W3CDTF">2019-04-24T09:06:00Z</dcterms:modified>
</cp:coreProperties>
</file>