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A7064" w:rsidRDefault="00A8273D" w:rsidP="00F37D7B">
      <w:pPr>
        <w:pStyle w:val="af2"/>
        <w:rPr>
          <w:b w:val="0"/>
          <w:sz w:val="24"/>
          <w:szCs w:val="24"/>
        </w:rPr>
      </w:pPr>
      <w:r>
        <w:rPr>
          <w:rFonts w:hint="eastAsia"/>
        </w:rPr>
        <w:t xml:space="preserve">  </w:t>
      </w:r>
      <w:r w:rsidR="0025106C" w:rsidRPr="00A636BB">
        <w:rPr>
          <w:rFonts w:hint="eastAsia"/>
        </w:rPr>
        <w:t>糾正案文</w:t>
      </w:r>
      <w:r w:rsidR="000330B9" w:rsidRPr="00CA7064">
        <w:rPr>
          <w:rFonts w:hint="eastAsia"/>
          <w:b w:val="0"/>
          <w:spacing w:val="0"/>
          <w:sz w:val="24"/>
          <w:szCs w:val="24"/>
        </w:rPr>
        <w:t>(公布版)</w:t>
      </w:r>
    </w:p>
    <w:p w:rsidR="00E25849" w:rsidRPr="00A636BB" w:rsidRDefault="0025106C" w:rsidP="00F231DC">
      <w:pPr>
        <w:pStyle w:val="1"/>
      </w:pPr>
      <w:r w:rsidRPr="00A636BB">
        <w:rPr>
          <w:rFonts w:hint="eastAsia"/>
        </w:rPr>
        <w:t>被糾正機關：</w:t>
      </w:r>
      <w:r w:rsidR="005A5767" w:rsidRPr="00A636BB">
        <w:rPr>
          <w:rFonts w:hAnsi="標楷體" w:hint="eastAsia"/>
        </w:rPr>
        <w:t>國防部</w:t>
      </w:r>
      <w:r w:rsidRPr="00A636BB">
        <w:rPr>
          <w:rFonts w:hint="eastAsia"/>
        </w:rPr>
        <w:t>。</w:t>
      </w:r>
    </w:p>
    <w:p w:rsidR="00E25849" w:rsidRPr="00A636BB" w:rsidRDefault="0025106C" w:rsidP="00FB00FB">
      <w:pPr>
        <w:pStyle w:val="1"/>
      </w:pPr>
      <w:r w:rsidRPr="00A636BB">
        <w:rPr>
          <w:rFonts w:hint="eastAsia"/>
        </w:rPr>
        <w:t>案　　　由：</w:t>
      </w:r>
      <w:r w:rsidR="007142A3" w:rsidRPr="007142A3">
        <w:rPr>
          <w:rFonts w:hint="eastAsia"/>
        </w:rPr>
        <w:t>國防部辦理化學消防車採購案，所組成之工作小組初審作業未確實提出具體之優缺點差異評述、諸多項目僅見</w:t>
      </w:r>
      <w:proofErr w:type="gramStart"/>
      <w:r w:rsidR="007142A3" w:rsidRPr="007142A3">
        <w:rPr>
          <w:rFonts w:hint="eastAsia"/>
        </w:rPr>
        <w:t>謄</w:t>
      </w:r>
      <w:proofErr w:type="gramEnd"/>
      <w:r w:rsidR="007142A3" w:rsidRPr="007142A3">
        <w:rPr>
          <w:rFonts w:hint="eastAsia"/>
        </w:rPr>
        <w:t>列摘要、未敘明優</w:t>
      </w:r>
      <w:proofErr w:type="gramStart"/>
      <w:r w:rsidR="007142A3" w:rsidRPr="007142A3">
        <w:rPr>
          <w:rFonts w:hint="eastAsia"/>
        </w:rPr>
        <w:t>規</w:t>
      </w:r>
      <w:proofErr w:type="gramEnd"/>
      <w:r w:rsidR="007142A3" w:rsidRPr="007142A3">
        <w:rPr>
          <w:rFonts w:hint="eastAsia"/>
        </w:rPr>
        <w:t>審查結果，有違採購評選委員會審議規則之規定，且採購過程之初審前置作業亦未嚴謹辦理</w:t>
      </w:r>
      <w:r w:rsidR="00535CF4">
        <w:rPr>
          <w:rFonts w:hint="eastAsia"/>
        </w:rPr>
        <w:t>；本採購案</w:t>
      </w:r>
      <w:r w:rsidR="007142A3" w:rsidRPr="007142A3">
        <w:rPr>
          <w:rFonts w:hint="eastAsia"/>
        </w:rPr>
        <w:t>預算金額高達9億餘元，係屬政府採購法</w:t>
      </w:r>
      <w:proofErr w:type="gramStart"/>
      <w:r w:rsidR="007142A3" w:rsidRPr="007142A3">
        <w:rPr>
          <w:rFonts w:hint="eastAsia"/>
        </w:rPr>
        <w:t>規</w:t>
      </w:r>
      <w:proofErr w:type="gramEnd"/>
      <w:r w:rsidR="007142A3" w:rsidRPr="007142A3">
        <w:rPr>
          <w:rFonts w:hint="eastAsia"/>
        </w:rPr>
        <w:t>之巨額採購，惟招標規範內之招標文件僅要求一般消防車履約實績，並未規定化學消防車之特定資格，</w:t>
      </w:r>
      <w:r w:rsidR="00535CF4">
        <w:rPr>
          <w:rFonts w:hint="eastAsia"/>
        </w:rPr>
        <w:t>國防</w:t>
      </w:r>
      <w:r w:rsidR="007142A3" w:rsidRPr="007142A3">
        <w:rPr>
          <w:rFonts w:hint="eastAsia"/>
        </w:rPr>
        <w:t>部未能事先就履約實績之</w:t>
      </w:r>
      <w:proofErr w:type="gramStart"/>
      <w:r w:rsidR="007142A3" w:rsidRPr="007142A3">
        <w:rPr>
          <w:rFonts w:hint="eastAsia"/>
        </w:rPr>
        <w:t>採</w:t>
      </w:r>
      <w:proofErr w:type="gramEnd"/>
      <w:r w:rsidR="007142A3" w:rsidRPr="007142A3">
        <w:rPr>
          <w:rFonts w:hint="eastAsia"/>
        </w:rPr>
        <w:t>認是否與招標</w:t>
      </w:r>
      <w:proofErr w:type="gramStart"/>
      <w:r w:rsidR="007142A3" w:rsidRPr="007142A3">
        <w:rPr>
          <w:rFonts w:hint="eastAsia"/>
        </w:rPr>
        <w:t>標</w:t>
      </w:r>
      <w:proofErr w:type="gramEnd"/>
      <w:r w:rsidR="007142A3" w:rsidRPr="007142A3">
        <w:rPr>
          <w:rFonts w:hint="eastAsia"/>
        </w:rPr>
        <w:t>的同性質或相當</w:t>
      </w:r>
      <w:r w:rsidR="00535CF4">
        <w:rPr>
          <w:rFonts w:hint="eastAsia"/>
        </w:rPr>
        <w:t>明確</w:t>
      </w:r>
      <w:r w:rsidR="007142A3" w:rsidRPr="007142A3">
        <w:rPr>
          <w:rFonts w:hint="eastAsia"/>
        </w:rPr>
        <w:t>訂定規範，逕自認定一般消防車均概括認列為履約實績</w:t>
      </w:r>
      <w:r w:rsidR="00535CF4">
        <w:rPr>
          <w:rFonts w:hint="eastAsia"/>
        </w:rPr>
        <w:t>等</w:t>
      </w:r>
      <w:r w:rsidR="007142A3" w:rsidRPr="007142A3">
        <w:rPr>
          <w:rFonts w:hint="eastAsia"/>
        </w:rPr>
        <w:t>，</w:t>
      </w:r>
      <w:proofErr w:type="gramStart"/>
      <w:r w:rsidR="0042577B" w:rsidRPr="00A636BB">
        <w:rPr>
          <w:rFonts w:hint="eastAsia"/>
        </w:rPr>
        <w:t>以上</w:t>
      </w:r>
      <w:r w:rsidR="00FB00FB" w:rsidRPr="00A636BB">
        <w:rPr>
          <w:rFonts w:hint="eastAsia"/>
        </w:rPr>
        <w:t>均</w:t>
      </w:r>
      <w:r w:rsidRPr="00A636BB">
        <w:rPr>
          <w:rFonts w:hint="eastAsia"/>
        </w:rPr>
        <w:t>有違</w:t>
      </w:r>
      <w:proofErr w:type="gramEnd"/>
      <w:r w:rsidRPr="00A636BB">
        <w:rPr>
          <w:rFonts w:hint="eastAsia"/>
        </w:rPr>
        <w:t>失</w:t>
      </w:r>
      <w:r w:rsidR="008B4841" w:rsidRPr="00A636BB">
        <w:rPr>
          <w:rFonts w:hAnsi="標楷體" w:hint="eastAsia"/>
        </w:rPr>
        <w:t>，</w:t>
      </w:r>
      <w:proofErr w:type="gramStart"/>
      <w:r w:rsidR="008B4841" w:rsidRPr="00A636BB">
        <w:rPr>
          <w:rFonts w:hint="eastAsia"/>
        </w:rPr>
        <w:t>爰</w:t>
      </w:r>
      <w:proofErr w:type="gramEnd"/>
      <w:r w:rsidR="008B4841" w:rsidRPr="00A636BB">
        <w:rPr>
          <w:rFonts w:hint="eastAsia"/>
        </w:rPr>
        <w:t>依法提案糾正</w:t>
      </w:r>
      <w:r w:rsidRPr="00A636BB">
        <w:rPr>
          <w:rFonts w:hint="eastAsia"/>
        </w:rPr>
        <w:t>。</w:t>
      </w:r>
    </w:p>
    <w:p w:rsidR="00E25849" w:rsidRPr="00A636BB"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636BB">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A636BB" w:rsidRDefault="00425863"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636BB">
        <w:rPr>
          <w:rFonts w:hint="eastAsia"/>
        </w:rPr>
        <w:t>國軍各營區消防車於民國(下同)78至83年起分批獲撥迄今，</w:t>
      </w:r>
      <w:proofErr w:type="gramStart"/>
      <w:r w:rsidRPr="00A636BB">
        <w:rPr>
          <w:rFonts w:hint="eastAsia"/>
        </w:rPr>
        <w:t>均已逾</w:t>
      </w:r>
      <w:proofErr w:type="gramEnd"/>
      <w:r w:rsidRPr="00A636BB">
        <w:rPr>
          <w:rFonts w:hint="eastAsia"/>
        </w:rPr>
        <w:t>20年以上（使用年限10年），裝備現況老舊，致造成年度維修預算逐年遞增；為使消防任務遂行，國防部104年12月21日核定責由陸軍司令部統籌各軍種需求建案籌購91輛化學消防車（陸軍39輛、海軍17輛、空軍32輛、軍備局3輛），編列預算計新臺幣(下同)9億1,673萬4,000元，</w:t>
      </w:r>
      <w:proofErr w:type="gramStart"/>
      <w:r w:rsidRPr="00A636BB">
        <w:rPr>
          <w:rFonts w:hint="eastAsia"/>
        </w:rPr>
        <w:t>嗣</w:t>
      </w:r>
      <w:proofErr w:type="gramEnd"/>
      <w:r w:rsidRPr="00A636BB">
        <w:rPr>
          <w:rFonts w:hint="eastAsia"/>
        </w:rPr>
        <w:t>於106年1月11日奉核定以最有利標方式辦理化學消防車採購案件。106年7月19日至8月18日辦理公開招標公告，同年8月18日開資格標，8月30日召開採購評選會議，同年9月18日宣布評選結果，依法</w:t>
      </w:r>
      <w:proofErr w:type="gramStart"/>
      <w:r w:rsidRPr="00A636BB">
        <w:rPr>
          <w:rFonts w:hint="eastAsia"/>
        </w:rPr>
        <w:t>決標予</w:t>
      </w:r>
      <w:r w:rsidR="000330B9">
        <w:rPr>
          <w:rFonts w:hint="eastAsia"/>
        </w:rPr>
        <w:t>○○</w:t>
      </w:r>
      <w:proofErr w:type="gramEnd"/>
      <w:r w:rsidRPr="00A636BB">
        <w:rPr>
          <w:rFonts w:hint="eastAsia"/>
        </w:rPr>
        <w:t>汽車股份有限公司。本案係本院接獲陳情人陳訴表示，國防部辦理前揭化學</w:t>
      </w:r>
      <w:r w:rsidR="000B5D9C">
        <w:rPr>
          <w:rFonts w:hint="eastAsia"/>
        </w:rPr>
        <w:t>消防</w:t>
      </w:r>
      <w:r w:rsidRPr="00A636BB">
        <w:rPr>
          <w:rFonts w:hint="eastAsia"/>
        </w:rPr>
        <w:t>車採購案，涉有違反</w:t>
      </w:r>
      <w:r w:rsidRPr="00A636BB">
        <w:rPr>
          <w:rFonts w:hint="eastAsia"/>
        </w:rPr>
        <w:lastRenderedPageBreak/>
        <w:t>相關規定等情，經本院調閱國防部相關資料，已</w:t>
      </w:r>
      <w:proofErr w:type="gramStart"/>
      <w:r w:rsidRPr="00A636BB">
        <w:rPr>
          <w:rFonts w:hint="eastAsia"/>
        </w:rPr>
        <w:t>調查竣事</w:t>
      </w:r>
      <w:proofErr w:type="gramEnd"/>
      <w:r w:rsidRPr="00A636BB">
        <w:rPr>
          <w:rFonts w:hint="eastAsia"/>
        </w:rPr>
        <w:t>，調查發現</w:t>
      </w:r>
      <w:r w:rsidR="007666F5" w:rsidRPr="00A636BB">
        <w:rPr>
          <w:rFonts w:hint="eastAsia"/>
          <w:bCs/>
        </w:rPr>
        <w:t>，</w:t>
      </w:r>
      <w:r w:rsidRPr="00A636BB">
        <w:rPr>
          <w:rFonts w:hint="eastAsia"/>
          <w:bCs/>
        </w:rPr>
        <w:t>國防部於辦理採購案</w:t>
      </w:r>
      <w:r w:rsidR="000B5D9C">
        <w:rPr>
          <w:rFonts w:hint="eastAsia"/>
          <w:bCs/>
        </w:rPr>
        <w:t>期間</w:t>
      </w:r>
      <w:r w:rsidRPr="00A636BB">
        <w:rPr>
          <w:rFonts w:hint="eastAsia"/>
          <w:bCs/>
        </w:rPr>
        <w:t>確有相關缺失</w:t>
      </w:r>
      <w:r w:rsidR="007666F5" w:rsidRPr="00A636BB">
        <w:rPr>
          <w:rFonts w:hint="eastAsia"/>
          <w:bCs/>
        </w:rPr>
        <w:t>，應予糾正促其注意改善。茲</w:t>
      </w:r>
      <w:proofErr w:type="gramStart"/>
      <w:r w:rsidR="007666F5" w:rsidRPr="00A636BB">
        <w:rPr>
          <w:rFonts w:hint="eastAsia"/>
          <w:bCs/>
        </w:rPr>
        <w:t>臚</w:t>
      </w:r>
      <w:proofErr w:type="gramEnd"/>
      <w:r w:rsidR="007666F5" w:rsidRPr="00A636BB">
        <w:rPr>
          <w:rFonts w:hint="eastAsia"/>
          <w:bCs/>
        </w:rPr>
        <w:t>列事實與理由如下</w:t>
      </w:r>
      <w:r w:rsidR="00B83C6B" w:rsidRPr="00A636BB">
        <w:rPr>
          <w:rFonts w:hAnsi="標楷體" w:hint="eastAsia"/>
          <w:spacing w:val="-6"/>
        </w:rPr>
        <w:t>：</w:t>
      </w:r>
    </w:p>
    <w:p w:rsidR="00231EC5" w:rsidRPr="00A636BB" w:rsidRDefault="00231EC5" w:rsidP="00231EC5">
      <w:pPr>
        <w:pStyle w:val="2"/>
        <w:numPr>
          <w:ilvl w:val="1"/>
          <w:numId w:val="1"/>
        </w:numPr>
      </w:pPr>
      <w:bookmarkStart w:id="41" w:name="_Hlk529338665"/>
      <w:bookmarkStart w:id="42" w:name="_Toc421794870"/>
      <w:bookmarkStart w:id="43" w:name="_Toc422728952"/>
      <w:r w:rsidRPr="00A636BB">
        <w:rPr>
          <w:rFonts w:hint="eastAsia"/>
        </w:rPr>
        <w:t>國防部辦理化學消防車採購案</w:t>
      </w:r>
      <w:proofErr w:type="gramStart"/>
      <w:r w:rsidR="000B5D9C">
        <w:rPr>
          <w:rFonts w:hint="eastAsia"/>
        </w:rPr>
        <w:t>期間</w:t>
      </w:r>
      <w:r w:rsidRPr="00A636BB">
        <w:rPr>
          <w:rFonts w:hint="eastAsia"/>
        </w:rPr>
        <w:t>，</w:t>
      </w:r>
      <w:proofErr w:type="gramEnd"/>
      <w:r w:rsidR="000B5D9C">
        <w:rPr>
          <w:rFonts w:hint="eastAsia"/>
        </w:rPr>
        <w:t>所組成之</w:t>
      </w:r>
      <w:r w:rsidRPr="00A636BB">
        <w:rPr>
          <w:rFonts w:hint="eastAsia"/>
        </w:rPr>
        <w:t>工作小組初審作業未確實提出具體之優缺點差異評述</w:t>
      </w:r>
      <w:r w:rsidR="000B5D9C">
        <w:rPr>
          <w:rFonts w:hint="eastAsia"/>
        </w:rPr>
        <w:t>、</w:t>
      </w:r>
      <w:r w:rsidRPr="00A636BB">
        <w:rPr>
          <w:rFonts w:hint="eastAsia"/>
        </w:rPr>
        <w:t>諸多項目僅見</w:t>
      </w:r>
      <w:proofErr w:type="gramStart"/>
      <w:r w:rsidRPr="00A636BB">
        <w:rPr>
          <w:rFonts w:hint="eastAsia"/>
        </w:rPr>
        <w:t>謄</w:t>
      </w:r>
      <w:proofErr w:type="gramEnd"/>
      <w:r w:rsidRPr="00A636BB">
        <w:rPr>
          <w:rFonts w:hint="eastAsia"/>
        </w:rPr>
        <w:t>列摘要</w:t>
      </w:r>
      <w:r w:rsidR="000B5D9C">
        <w:rPr>
          <w:rFonts w:hint="eastAsia"/>
        </w:rPr>
        <w:t>、</w:t>
      </w:r>
      <w:r w:rsidRPr="00A636BB">
        <w:rPr>
          <w:rFonts w:hint="eastAsia"/>
        </w:rPr>
        <w:t>未敘明優</w:t>
      </w:r>
      <w:proofErr w:type="gramStart"/>
      <w:r w:rsidRPr="00A636BB">
        <w:rPr>
          <w:rFonts w:hint="eastAsia"/>
        </w:rPr>
        <w:t>規</w:t>
      </w:r>
      <w:proofErr w:type="gramEnd"/>
      <w:r w:rsidRPr="00A636BB">
        <w:rPr>
          <w:rFonts w:hint="eastAsia"/>
        </w:rPr>
        <w:t>審查結果，</w:t>
      </w:r>
      <w:r w:rsidR="000B5D9C">
        <w:rPr>
          <w:rFonts w:hint="eastAsia"/>
        </w:rPr>
        <w:t>有違採購評選委員會審議規則之規定，且採購過程之初審前置作業亦未嚴謹辦理，</w:t>
      </w:r>
      <w:proofErr w:type="gramStart"/>
      <w:r w:rsidR="000B5D9C">
        <w:rPr>
          <w:rFonts w:hint="eastAsia"/>
        </w:rPr>
        <w:t>均核有怠</w:t>
      </w:r>
      <w:proofErr w:type="gramEnd"/>
      <w:r w:rsidR="000B5D9C">
        <w:rPr>
          <w:rFonts w:hint="eastAsia"/>
        </w:rPr>
        <w:t>失</w:t>
      </w:r>
    </w:p>
    <w:bookmarkEnd w:id="41"/>
    <w:p w:rsidR="00231EC5" w:rsidRPr="00A636BB" w:rsidRDefault="00231EC5" w:rsidP="00231EC5">
      <w:pPr>
        <w:pStyle w:val="3"/>
        <w:numPr>
          <w:ilvl w:val="2"/>
          <w:numId w:val="1"/>
        </w:numPr>
        <w:rPr>
          <w:rFonts w:hAnsi="標楷體"/>
        </w:rPr>
      </w:pPr>
      <w:r w:rsidRPr="00A636BB">
        <w:rPr>
          <w:rFonts w:hint="eastAsia"/>
        </w:rPr>
        <w:t>按採購評選委員會審議規則第3條規定</w:t>
      </w:r>
      <w:r w:rsidRPr="00A636BB">
        <w:rPr>
          <w:rFonts w:ascii="新細明體" w:eastAsia="新細明體" w:hAnsi="新細明體" w:hint="eastAsia"/>
        </w:rPr>
        <w:t>：</w:t>
      </w:r>
      <w:r w:rsidRPr="00A636BB">
        <w:rPr>
          <w:rFonts w:hint="eastAsia"/>
        </w:rPr>
        <w:t>「機關成立之工作小組應依據評選項目或本委員會指定之項目，就受評廠商資料擬具初審意見，載明下列事項，連同廠商資料送本委員會供評選參考：一、採購案名稱。二、工作小組人員姓名、職稱及專長。三、受評廠商於各評選項目所報內容是否符合招標文件規定。四、受評廠商於各評選項目之差異性。</w:t>
      </w:r>
      <w:r w:rsidRPr="00A636BB">
        <w:rPr>
          <w:rFonts w:ascii="新細明體" w:eastAsia="新細明體" w:hAnsi="新細明體" w:hint="eastAsia"/>
        </w:rPr>
        <w:t>」</w:t>
      </w:r>
      <w:r w:rsidRPr="00A636BB">
        <w:rPr>
          <w:rFonts w:hint="eastAsia"/>
        </w:rPr>
        <w:t>同規則第3條之1規定：「本委員會辦理廠商評選，應就各評選項目、受評廠商資料及工作小組初審意見，逐項討論後為之(第1項)。本委員會或個別委員評選結果與工作小組初審意見</w:t>
      </w:r>
      <w:proofErr w:type="gramStart"/>
      <w:r w:rsidRPr="00A636BB">
        <w:rPr>
          <w:rFonts w:hint="eastAsia"/>
        </w:rPr>
        <w:t>有異時</w:t>
      </w:r>
      <w:proofErr w:type="gramEnd"/>
      <w:r w:rsidRPr="00A636BB">
        <w:rPr>
          <w:rFonts w:hint="eastAsia"/>
        </w:rPr>
        <w:t>，</w:t>
      </w:r>
      <w:r w:rsidRPr="00A636BB">
        <w:rPr>
          <w:rFonts w:hAnsi="標楷體" w:hint="eastAsia"/>
        </w:rPr>
        <w:t>應由本委員會或該個別委員敘明理由，並列入會議紀錄(第2項)。」次按行政院公共工程委員會（下稱工程會）</w:t>
      </w:r>
      <w:r w:rsidRPr="00A636BB">
        <w:rPr>
          <w:rFonts w:ascii="新細明體" w:eastAsia="新細明體" w:hAnsi="新細明體" w:hint="eastAsia"/>
        </w:rPr>
        <w:t>「</w:t>
      </w:r>
      <w:r w:rsidRPr="00A636BB">
        <w:rPr>
          <w:rFonts w:hAnsi="標楷體" w:hint="eastAsia"/>
        </w:rPr>
        <w:t>最有利標作業手冊」工作小組初審意見簽辦範例摘</w:t>
      </w:r>
      <w:proofErr w:type="gramStart"/>
      <w:r w:rsidRPr="00A636BB">
        <w:rPr>
          <w:rFonts w:hAnsi="標楷體" w:hint="eastAsia"/>
        </w:rPr>
        <w:t>列如</w:t>
      </w:r>
      <w:proofErr w:type="gramEnd"/>
      <w:r w:rsidRPr="00A636BB">
        <w:rPr>
          <w:rFonts w:hAnsi="標楷體" w:hint="eastAsia"/>
        </w:rPr>
        <w:t>下表。</w:t>
      </w:r>
    </w:p>
    <w:tbl>
      <w:tblPr>
        <w:tblStyle w:val="af6"/>
        <w:tblW w:w="0" w:type="auto"/>
        <w:tblInd w:w="534" w:type="dxa"/>
        <w:tblLook w:val="04A0" w:firstRow="1" w:lastRow="0" w:firstColumn="1" w:lastColumn="0" w:noHBand="0" w:noVBand="1"/>
      </w:tblPr>
      <w:tblGrid>
        <w:gridCol w:w="1691"/>
        <w:gridCol w:w="2225"/>
        <w:gridCol w:w="2225"/>
        <w:gridCol w:w="2225"/>
      </w:tblGrid>
      <w:tr w:rsidR="00A636BB" w:rsidRPr="00A636BB" w:rsidTr="000D16A6">
        <w:tc>
          <w:tcPr>
            <w:tcW w:w="1691" w:type="dxa"/>
            <w:hideMark/>
          </w:tcPr>
          <w:p w:rsidR="00231EC5" w:rsidRPr="00A636BB" w:rsidRDefault="00231EC5" w:rsidP="000D16A6">
            <w:pPr>
              <w:spacing w:line="340" w:lineRule="exact"/>
              <w:jc w:val="center"/>
              <w:rPr>
                <w:rFonts w:hAnsi="標楷體"/>
                <w:spacing w:val="-14"/>
                <w:sz w:val="28"/>
                <w:szCs w:val="28"/>
              </w:rPr>
            </w:pPr>
            <w:r w:rsidRPr="00A636BB">
              <w:rPr>
                <w:rFonts w:hAnsi="標楷體" w:hint="eastAsia"/>
                <w:spacing w:val="-14"/>
                <w:sz w:val="28"/>
                <w:szCs w:val="28"/>
              </w:rPr>
              <w:t>評選項目</w:t>
            </w:r>
          </w:p>
        </w:tc>
        <w:tc>
          <w:tcPr>
            <w:tcW w:w="2225" w:type="dxa"/>
            <w:hideMark/>
          </w:tcPr>
          <w:p w:rsidR="00231EC5" w:rsidRPr="00A636BB" w:rsidRDefault="00231EC5" w:rsidP="000D16A6">
            <w:pPr>
              <w:spacing w:line="340" w:lineRule="exact"/>
              <w:jc w:val="center"/>
              <w:rPr>
                <w:rFonts w:hAnsi="標楷體"/>
                <w:spacing w:val="-14"/>
                <w:sz w:val="28"/>
                <w:szCs w:val="28"/>
              </w:rPr>
            </w:pPr>
            <w:r w:rsidRPr="00A636BB">
              <w:rPr>
                <w:rFonts w:hAnsi="標楷體" w:hint="eastAsia"/>
                <w:spacing w:val="-14"/>
                <w:sz w:val="28"/>
                <w:szCs w:val="28"/>
              </w:rPr>
              <w:t>○○公司</w:t>
            </w:r>
          </w:p>
        </w:tc>
        <w:tc>
          <w:tcPr>
            <w:tcW w:w="2225" w:type="dxa"/>
            <w:hideMark/>
          </w:tcPr>
          <w:p w:rsidR="00231EC5" w:rsidRPr="00A636BB" w:rsidRDefault="00231EC5" w:rsidP="000D16A6">
            <w:pPr>
              <w:spacing w:line="340" w:lineRule="exact"/>
              <w:jc w:val="center"/>
              <w:rPr>
                <w:rFonts w:hAnsi="標楷體"/>
                <w:spacing w:val="-14"/>
                <w:sz w:val="28"/>
                <w:szCs w:val="28"/>
              </w:rPr>
            </w:pPr>
            <w:r w:rsidRPr="00A636BB">
              <w:rPr>
                <w:rFonts w:hAnsi="標楷體" w:hint="eastAsia"/>
                <w:spacing w:val="-14"/>
                <w:sz w:val="28"/>
                <w:szCs w:val="28"/>
              </w:rPr>
              <w:t>○○公司</w:t>
            </w:r>
          </w:p>
        </w:tc>
        <w:tc>
          <w:tcPr>
            <w:tcW w:w="2225" w:type="dxa"/>
            <w:hideMark/>
          </w:tcPr>
          <w:p w:rsidR="00231EC5" w:rsidRPr="00A636BB" w:rsidRDefault="00231EC5" w:rsidP="000D16A6">
            <w:pPr>
              <w:spacing w:line="340" w:lineRule="exact"/>
              <w:jc w:val="center"/>
              <w:rPr>
                <w:rFonts w:hAnsi="標楷體"/>
                <w:spacing w:val="-14"/>
                <w:sz w:val="28"/>
                <w:szCs w:val="28"/>
              </w:rPr>
            </w:pPr>
            <w:r w:rsidRPr="00A636BB">
              <w:rPr>
                <w:rFonts w:hAnsi="標楷體" w:hint="eastAsia"/>
                <w:spacing w:val="-14"/>
                <w:sz w:val="28"/>
                <w:szCs w:val="28"/>
              </w:rPr>
              <w:t>○○公司</w:t>
            </w:r>
          </w:p>
        </w:tc>
      </w:tr>
      <w:tr w:rsidR="00A636BB" w:rsidRPr="00A636BB" w:rsidTr="000D16A6">
        <w:tc>
          <w:tcPr>
            <w:tcW w:w="1691" w:type="dxa"/>
            <w:hideMark/>
          </w:tcPr>
          <w:p w:rsidR="00231EC5" w:rsidRPr="00A636BB" w:rsidRDefault="00231EC5" w:rsidP="000D16A6">
            <w:pPr>
              <w:spacing w:line="340" w:lineRule="exact"/>
              <w:rPr>
                <w:rFonts w:hAnsi="標楷體"/>
                <w:b/>
                <w:spacing w:val="-14"/>
                <w:sz w:val="28"/>
                <w:szCs w:val="28"/>
              </w:rPr>
            </w:pPr>
            <w:r w:rsidRPr="00A636BB">
              <w:rPr>
                <w:rFonts w:hAnsi="標楷體" w:hint="eastAsia"/>
                <w:b/>
                <w:spacing w:val="-14"/>
                <w:sz w:val="28"/>
                <w:szCs w:val="28"/>
              </w:rPr>
              <w:t>評選項目A</w:t>
            </w:r>
          </w:p>
        </w:tc>
        <w:tc>
          <w:tcPr>
            <w:tcW w:w="2225" w:type="dxa"/>
          </w:tcPr>
          <w:p w:rsidR="00231EC5" w:rsidRPr="00A636BB" w:rsidRDefault="00231EC5" w:rsidP="000D16A6">
            <w:pPr>
              <w:spacing w:line="340" w:lineRule="exact"/>
              <w:rPr>
                <w:rFonts w:hAnsi="標楷體"/>
                <w:spacing w:val="-14"/>
                <w:sz w:val="28"/>
                <w:szCs w:val="28"/>
              </w:rPr>
            </w:pPr>
          </w:p>
        </w:tc>
        <w:tc>
          <w:tcPr>
            <w:tcW w:w="2225" w:type="dxa"/>
          </w:tcPr>
          <w:p w:rsidR="00231EC5" w:rsidRPr="00A636BB" w:rsidRDefault="00231EC5" w:rsidP="000D16A6">
            <w:pPr>
              <w:spacing w:line="340" w:lineRule="exact"/>
              <w:rPr>
                <w:rFonts w:hAnsi="標楷體"/>
                <w:spacing w:val="-14"/>
                <w:sz w:val="28"/>
                <w:szCs w:val="28"/>
              </w:rPr>
            </w:pPr>
          </w:p>
        </w:tc>
        <w:tc>
          <w:tcPr>
            <w:tcW w:w="2225" w:type="dxa"/>
          </w:tcPr>
          <w:p w:rsidR="00231EC5" w:rsidRPr="00A636BB" w:rsidRDefault="00231EC5" w:rsidP="000D16A6">
            <w:pPr>
              <w:spacing w:line="340" w:lineRule="exact"/>
              <w:rPr>
                <w:rFonts w:hAnsi="標楷體"/>
                <w:spacing w:val="-14"/>
                <w:sz w:val="28"/>
                <w:szCs w:val="28"/>
              </w:rPr>
            </w:pPr>
          </w:p>
        </w:tc>
      </w:tr>
      <w:tr w:rsidR="00A636BB" w:rsidRPr="00A636BB" w:rsidTr="000D16A6">
        <w:tc>
          <w:tcPr>
            <w:tcW w:w="1691" w:type="dxa"/>
            <w:hideMark/>
          </w:tcPr>
          <w:p w:rsidR="00231EC5" w:rsidRPr="00A636BB" w:rsidRDefault="00231EC5" w:rsidP="00231EC5">
            <w:pPr>
              <w:spacing w:line="340" w:lineRule="exact"/>
              <w:ind w:left="572" w:hangingChars="210" w:hanging="572"/>
              <w:rPr>
                <w:rFonts w:hAnsi="標楷體"/>
                <w:spacing w:val="-14"/>
                <w:sz w:val="28"/>
                <w:szCs w:val="28"/>
              </w:rPr>
            </w:pPr>
            <w:r w:rsidRPr="00A636BB">
              <w:rPr>
                <w:rFonts w:hAnsi="標楷體" w:hint="eastAsia"/>
                <w:spacing w:val="-14"/>
                <w:sz w:val="28"/>
                <w:szCs w:val="28"/>
              </w:rPr>
              <w:t xml:space="preserve">　</w:t>
            </w:r>
            <w:proofErr w:type="gramStart"/>
            <w:r w:rsidRPr="00A636BB">
              <w:rPr>
                <w:rFonts w:hAnsi="標楷體" w:hint="eastAsia"/>
                <w:spacing w:val="-14"/>
                <w:sz w:val="28"/>
                <w:szCs w:val="28"/>
              </w:rPr>
              <w:t>評選子項</w:t>
            </w:r>
            <w:proofErr w:type="gramEnd"/>
            <w:r w:rsidRPr="00A636BB">
              <w:rPr>
                <w:rFonts w:hAnsi="標楷體" w:hint="eastAsia"/>
                <w:spacing w:val="-14"/>
                <w:sz w:val="28"/>
                <w:szCs w:val="28"/>
              </w:rPr>
              <w:t>A-1</w:t>
            </w:r>
          </w:p>
        </w:tc>
        <w:tc>
          <w:tcPr>
            <w:tcW w:w="2225" w:type="dxa"/>
            <w:hideMark/>
          </w:tcPr>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1.投標文件內容摘要及差異分析：</w:t>
            </w:r>
          </w:p>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2.優點：</w:t>
            </w:r>
          </w:p>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3.缺點：</w:t>
            </w:r>
          </w:p>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4.建議</w:t>
            </w:r>
            <w:proofErr w:type="gramStart"/>
            <w:r w:rsidRPr="00A636BB">
              <w:rPr>
                <w:rFonts w:hAnsi="標楷體" w:hint="eastAsia"/>
                <w:spacing w:val="-14"/>
                <w:sz w:val="28"/>
                <w:szCs w:val="28"/>
              </w:rPr>
              <w:t>洽</w:t>
            </w:r>
            <w:proofErr w:type="gramEnd"/>
            <w:r w:rsidRPr="00A636BB">
              <w:rPr>
                <w:rFonts w:hAnsi="標楷體" w:hint="eastAsia"/>
                <w:spacing w:val="-14"/>
                <w:sz w:val="28"/>
                <w:szCs w:val="28"/>
              </w:rPr>
              <w:t>廠商說明事項：</w:t>
            </w:r>
          </w:p>
        </w:tc>
        <w:tc>
          <w:tcPr>
            <w:tcW w:w="2225" w:type="dxa"/>
            <w:hideMark/>
          </w:tcPr>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1.投標文件內容摘要及差異分析：</w:t>
            </w:r>
          </w:p>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2.優點：</w:t>
            </w:r>
          </w:p>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3.缺點：</w:t>
            </w:r>
          </w:p>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4.建議</w:t>
            </w:r>
            <w:proofErr w:type="gramStart"/>
            <w:r w:rsidRPr="00A636BB">
              <w:rPr>
                <w:rFonts w:hAnsi="標楷體" w:hint="eastAsia"/>
                <w:spacing w:val="-14"/>
                <w:sz w:val="28"/>
                <w:szCs w:val="28"/>
              </w:rPr>
              <w:t>洽</w:t>
            </w:r>
            <w:proofErr w:type="gramEnd"/>
            <w:r w:rsidRPr="00A636BB">
              <w:rPr>
                <w:rFonts w:hAnsi="標楷體" w:hint="eastAsia"/>
                <w:spacing w:val="-14"/>
                <w:sz w:val="28"/>
                <w:szCs w:val="28"/>
              </w:rPr>
              <w:t>廠商說明事項：</w:t>
            </w:r>
          </w:p>
        </w:tc>
        <w:tc>
          <w:tcPr>
            <w:tcW w:w="2225" w:type="dxa"/>
            <w:hideMark/>
          </w:tcPr>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1.投標文件內容摘要及差異分析：</w:t>
            </w:r>
          </w:p>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2.優點：</w:t>
            </w:r>
          </w:p>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3.缺點：</w:t>
            </w:r>
          </w:p>
          <w:p w:rsidR="00231EC5" w:rsidRPr="00A636BB" w:rsidRDefault="00231EC5" w:rsidP="00231EC5">
            <w:pPr>
              <w:spacing w:line="340" w:lineRule="exact"/>
              <w:ind w:left="267" w:hangingChars="98" w:hanging="267"/>
              <w:rPr>
                <w:rFonts w:hAnsi="標楷體"/>
                <w:spacing w:val="-14"/>
                <w:sz w:val="28"/>
                <w:szCs w:val="28"/>
              </w:rPr>
            </w:pPr>
            <w:r w:rsidRPr="00A636BB">
              <w:rPr>
                <w:rFonts w:hAnsi="標楷體" w:hint="eastAsia"/>
                <w:spacing w:val="-14"/>
                <w:sz w:val="28"/>
                <w:szCs w:val="28"/>
              </w:rPr>
              <w:t>4.建議</w:t>
            </w:r>
            <w:proofErr w:type="gramStart"/>
            <w:r w:rsidRPr="00A636BB">
              <w:rPr>
                <w:rFonts w:hAnsi="標楷體" w:hint="eastAsia"/>
                <w:spacing w:val="-14"/>
                <w:sz w:val="28"/>
                <w:szCs w:val="28"/>
              </w:rPr>
              <w:t>洽</w:t>
            </w:r>
            <w:proofErr w:type="gramEnd"/>
            <w:r w:rsidRPr="00A636BB">
              <w:rPr>
                <w:rFonts w:hAnsi="標楷體" w:hint="eastAsia"/>
                <w:spacing w:val="-14"/>
                <w:sz w:val="28"/>
                <w:szCs w:val="28"/>
              </w:rPr>
              <w:t>廠商說明事項：</w:t>
            </w:r>
          </w:p>
        </w:tc>
      </w:tr>
    </w:tbl>
    <w:p w:rsidR="00231EC5" w:rsidRPr="00A636BB" w:rsidRDefault="00231EC5" w:rsidP="00231EC5">
      <w:pPr>
        <w:pStyle w:val="3"/>
        <w:numPr>
          <w:ilvl w:val="2"/>
          <w:numId w:val="1"/>
        </w:numPr>
      </w:pPr>
      <w:r w:rsidRPr="00A636BB">
        <w:rPr>
          <w:rFonts w:hint="eastAsia"/>
        </w:rPr>
        <w:lastRenderedPageBreak/>
        <w:t>經查本案工作小組106年8月25日初審意見「六、受評廠商於各評選項目之差異性」，本院發現：</w:t>
      </w:r>
    </w:p>
    <w:p w:rsidR="00231EC5" w:rsidRPr="00A636BB" w:rsidRDefault="00231EC5" w:rsidP="00231EC5">
      <w:pPr>
        <w:pStyle w:val="4"/>
        <w:numPr>
          <w:ilvl w:val="3"/>
          <w:numId w:val="1"/>
        </w:numPr>
        <w:rPr>
          <w:b/>
        </w:rPr>
      </w:pPr>
      <w:r w:rsidRPr="00A636BB">
        <w:rPr>
          <w:rFonts w:hint="eastAsia"/>
          <w:b/>
        </w:rPr>
        <w:t>僅見</w:t>
      </w:r>
      <w:proofErr w:type="gramStart"/>
      <w:r w:rsidRPr="00A636BB">
        <w:rPr>
          <w:rFonts w:hint="eastAsia"/>
          <w:b/>
        </w:rPr>
        <w:t>謄</w:t>
      </w:r>
      <w:proofErr w:type="gramEnd"/>
      <w:r w:rsidRPr="00A636BB">
        <w:rPr>
          <w:rFonts w:hint="eastAsia"/>
          <w:b/>
        </w:rPr>
        <w:t>列部分履約實績，未以一致方式或相同計算基準呈現，或予履約實績類型差異分析</w:t>
      </w:r>
    </w:p>
    <w:p w:rsidR="00231EC5" w:rsidRPr="00A636BB" w:rsidRDefault="00231EC5" w:rsidP="00231EC5">
      <w:pPr>
        <w:pStyle w:val="41"/>
        <w:ind w:left="1701" w:firstLine="680"/>
      </w:pPr>
      <w:r w:rsidRPr="00A636BB">
        <w:rPr>
          <w:rFonts w:hint="eastAsia"/>
        </w:rPr>
        <w:t>本案初審意見表「一、廠商組織架構、財務狀況及履約實績3.近五年有關</w:t>
      </w:r>
      <w:proofErr w:type="gramStart"/>
      <w:r w:rsidRPr="00A636BB">
        <w:rPr>
          <w:rFonts w:hint="eastAsia"/>
        </w:rPr>
        <w:t>消防車類案履約</w:t>
      </w:r>
      <w:proofErr w:type="gramEnd"/>
      <w:r w:rsidRPr="00A636BB">
        <w:rPr>
          <w:rFonts w:hint="eastAsia"/>
        </w:rPr>
        <w:t>實績之差異分析</w:t>
      </w:r>
      <w:r w:rsidRPr="00A636BB">
        <w:rPr>
          <w:rFonts w:ascii="新細明體" w:eastAsia="新細明體" w:hAnsi="新細明體" w:hint="eastAsia"/>
        </w:rPr>
        <w:t>：</w:t>
      </w:r>
      <w:r w:rsidRPr="00A636BB">
        <w:rPr>
          <w:rFonts w:hint="eastAsia"/>
        </w:rPr>
        <w:t>『A廠商提供完成執行各式消防車案契約金額約為790萬至7,425萬元；B廠商履約金額計38億餘元，提供完成執行機場用消防車案契約金額約為6億元；C廠商提供完成執行各式消防車案契約金額約為293萬至1億2,000萬元；D廠商</w:t>
      </w:r>
      <w:proofErr w:type="gramStart"/>
      <w:r w:rsidRPr="00A636BB">
        <w:rPr>
          <w:rFonts w:hint="eastAsia"/>
        </w:rPr>
        <w:t>提供本軍重型</w:t>
      </w:r>
      <w:proofErr w:type="gramEnd"/>
      <w:r w:rsidRPr="00A636BB">
        <w:rPr>
          <w:rFonts w:hint="eastAsia"/>
        </w:rPr>
        <w:t>消毒車契約金額為5億餘元；E廠商提供完成執行各式消防車案契約金額約為706萬至1,224萬8,000元。</w:t>
      </w:r>
      <w:r w:rsidRPr="00A636BB">
        <w:rPr>
          <w:rFonts w:hAnsi="標楷體" w:hint="eastAsia"/>
        </w:rPr>
        <w:t>』</w:t>
      </w:r>
      <w:r w:rsidRPr="00A636BB">
        <w:rPr>
          <w:rFonts w:ascii="新細明體" w:eastAsia="新細明體" w:hAnsi="新細明體" w:hint="eastAsia"/>
        </w:rPr>
        <w:t>」</w:t>
      </w:r>
      <w:r w:rsidRPr="00A636BB">
        <w:rPr>
          <w:rFonts w:hint="eastAsia"/>
        </w:rPr>
        <w:t>僅見</w:t>
      </w:r>
      <w:proofErr w:type="gramStart"/>
      <w:r w:rsidRPr="00A636BB">
        <w:rPr>
          <w:rFonts w:hint="eastAsia"/>
        </w:rPr>
        <w:t>謄</w:t>
      </w:r>
      <w:proofErr w:type="gramEnd"/>
      <w:r w:rsidRPr="00A636BB">
        <w:rPr>
          <w:rFonts w:hint="eastAsia"/>
        </w:rPr>
        <w:t>列部分履約實績，且未以一致方式或相同計算基準列明，而係3家廠商以單一契約履約金額呈現、另2家廠商則以總計履約金額呈現，亦未就廠商提供之履約實績類型予以分析，顯無法呈現各廠商履約能力之差異性。</w:t>
      </w:r>
    </w:p>
    <w:p w:rsidR="00231EC5" w:rsidRPr="00A636BB" w:rsidRDefault="00231EC5" w:rsidP="00231EC5">
      <w:pPr>
        <w:pStyle w:val="4"/>
        <w:numPr>
          <w:ilvl w:val="3"/>
          <w:numId w:val="1"/>
        </w:numPr>
        <w:rPr>
          <w:b/>
        </w:rPr>
      </w:pPr>
      <w:proofErr w:type="gramStart"/>
      <w:r w:rsidRPr="00A636BB">
        <w:rPr>
          <w:rFonts w:hint="eastAsia"/>
          <w:b/>
        </w:rPr>
        <w:t>逕</w:t>
      </w:r>
      <w:proofErr w:type="gramEnd"/>
      <w:r w:rsidRPr="00A636BB">
        <w:rPr>
          <w:rFonts w:hint="eastAsia"/>
          <w:b/>
        </w:rPr>
        <w:t>認非屬「直轄市縣市消防車輛裝備及其人力配置標準」附表二所列消防車種類之「化學消毒車」為消防車</w:t>
      </w:r>
    </w:p>
    <w:p w:rsidR="00231EC5" w:rsidRPr="00A636BB" w:rsidRDefault="00231EC5" w:rsidP="00231EC5">
      <w:pPr>
        <w:pStyle w:val="41"/>
        <w:ind w:leftChars="501" w:left="1704" w:firstLine="680"/>
      </w:pPr>
      <w:r w:rsidRPr="00A636BB">
        <w:rPr>
          <w:rFonts w:hint="eastAsia"/>
        </w:rPr>
        <w:t>本案工作小組初審認列D廠商所提</w:t>
      </w:r>
      <w:r w:rsidRPr="00A636BB">
        <w:rPr>
          <w:rFonts w:ascii="新細明體" w:eastAsia="新細明體" w:hAnsi="新細明體" w:hint="eastAsia"/>
        </w:rPr>
        <w:t>「</w:t>
      </w:r>
      <w:r w:rsidRPr="00A636BB">
        <w:rPr>
          <w:rFonts w:hint="eastAsia"/>
        </w:rPr>
        <w:t>重型消毒車</w:t>
      </w:r>
      <w:r w:rsidRPr="00A636BB">
        <w:rPr>
          <w:rFonts w:ascii="新細明體" w:eastAsia="新細明體" w:hAnsi="新細明體" w:hint="eastAsia"/>
        </w:rPr>
        <w:t>」</w:t>
      </w:r>
      <w:r w:rsidRPr="00A636BB">
        <w:rPr>
          <w:rFonts w:hint="eastAsia"/>
        </w:rPr>
        <w:t>契約金額5億餘元為履約實績</w:t>
      </w:r>
      <w:proofErr w:type="gramStart"/>
      <w:r w:rsidRPr="00A636BB">
        <w:rPr>
          <w:rFonts w:hint="eastAsia"/>
        </w:rPr>
        <w:t>等情已如</w:t>
      </w:r>
      <w:proofErr w:type="gramEnd"/>
      <w:r w:rsidRPr="00A636BB">
        <w:rPr>
          <w:rFonts w:hint="eastAsia"/>
        </w:rPr>
        <w:t>前述。惟按「直轄市縣市消防車輛裝備及其人力配置標準」附表二所列消防車種類：</w:t>
      </w:r>
      <w:r w:rsidRPr="00A636BB">
        <w:rPr>
          <w:rFonts w:ascii="新細明體" w:eastAsia="新細明體" w:hAnsi="新細明體" w:hint="eastAsia"/>
        </w:rPr>
        <w:t>「</w:t>
      </w:r>
      <w:r w:rsidRPr="00A636BB">
        <w:rPr>
          <w:rFonts w:hint="eastAsia"/>
        </w:rPr>
        <w:t>（一）雲梯消防車。（二）化學消防車（三）水箱消防車。（四）水庫消防車。（五）泡沫消防車。（六）幫浦消防車。（七）超高壓消防車」顯示，本案D廠商履約實績提報「雲梯消防車(維修實績)」及「重型消</w:t>
      </w:r>
      <w:r w:rsidRPr="00A636BB">
        <w:rPr>
          <w:rFonts w:hint="eastAsia"/>
        </w:rPr>
        <w:lastRenderedPageBreak/>
        <w:t>毒車(供應實績，契約金額5億元)」，其中「重型消毒車」應非屬前揭消防車種類，且就功能與定義上亦不符救火任務之車輛。工作小組未經徵詢消防主管機關意見，</w:t>
      </w:r>
      <w:proofErr w:type="gramStart"/>
      <w:r w:rsidRPr="00A636BB">
        <w:rPr>
          <w:rFonts w:hint="eastAsia"/>
        </w:rPr>
        <w:t>釐</w:t>
      </w:r>
      <w:proofErr w:type="gramEnd"/>
      <w:r w:rsidRPr="00A636BB">
        <w:rPr>
          <w:rFonts w:hint="eastAsia"/>
        </w:rPr>
        <w:t>清疑義，</w:t>
      </w:r>
      <w:proofErr w:type="gramStart"/>
      <w:r w:rsidRPr="00A636BB">
        <w:rPr>
          <w:rFonts w:hint="eastAsia"/>
        </w:rPr>
        <w:t>逕</w:t>
      </w:r>
      <w:proofErr w:type="gramEnd"/>
      <w:r w:rsidRPr="00A636BB">
        <w:rPr>
          <w:rFonts w:hint="eastAsia"/>
        </w:rPr>
        <w:t>以「因重型消毒車與消防車同屬道路交通安全規則第2條第7項所稱特種車，且其與目前國內廠商製造消防車之系統整合與車體打造方式有部分雷同」為由，自行認定與本案招標</w:t>
      </w:r>
      <w:proofErr w:type="gramStart"/>
      <w:r w:rsidRPr="00A636BB">
        <w:rPr>
          <w:rFonts w:hint="eastAsia"/>
        </w:rPr>
        <w:t>標</w:t>
      </w:r>
      <w:proofErr w:type="gramEnd"/>
      <w:r w:rsidRPr="00A636BB">
        <w:rPr>
          <w:rFonts w:hint="eastAsia"/>
        </w:rPr>
        <w:t>的類似，致「5年內消防車類履約實績」之規定形同具文。本案招標文件既訂定履約實績之規定，本案工作小組允應就廠商實績確實審查。</w:t>
      </w:r>
    </w:p>
    <w:p w:rsidR="00231EC5" w:rsidRPr="00A636BB" w:rsidRDefault="00231EC5" w:rsidP="00231EC5">
      <w:pPr>
        <w:pStyle w:val="4"/>
        <w:numPr>
          <w:ilvl w:val="3"/>
          <w:numId w:val="1"/>
        </w:numPr>
        <w:rPr>
          <w:b/>
        </w:rPr>
      </w:pPr>
      <w:r w:rsidRPr="00A636BB">
        <w:rPr>
          <w:rFonts w:hint="eastAsia"/>
          <w:b/>
        </w:rPr>
        <w:t>未就廠商提報為優</w:t>
      </w:r>
      <w:proofErr w:type="gramStart"/>
      <w:r w:rsidRPr="00A636BB">
        <w:rPr>
          <w:rFonts w:hint="eastAsia"/>
          <w:b/>
        </w:rPr>
        <w:t>規</w:t>
      </w:r>
      <w:proofErr w:type="gramEnd"/>
      <w:r w:rsidRPr="00A636BB">
        <w:rPr>
          <w:rFonts w:hint="eastAsia"/>
          <w:b/>
        </w:rPr>
        <w:t>之項目逐一列明於紀錄並審查是否符合優</w:t>
      </w:r>
      <w:proofErr w:type="gramStart"/>
      <w:r w:rsidRPr="00A636BB">
        <w:rPr>
          <w:rFonts w:hint="eastAsia"/>
          <w:b/>
        </w:rPr>
        <w:t>規</w:t>
      </w:r>
      <w:proofErr w:type="gramEnd"/>
    </w:p>
    <w:p w:rsidR="00231EC5" w:rsidRPr="00A636BB" w:rsidRDefault="00231EC5" w:rsidP="00231EC5">
      <w:pPr>
        <w:pStyle w:val="41"/>
        <w:ind w:left="1701" w:firstLine="680"/>
      </w:pPr>
      <w:r w:rsidRPr="00A636BB">
        <w:rPr>
          <w:rFonts w:hint="eastAsia"/>
        </w:rPr>
        <w:t>本案初審意見表「二、系統性能1.提供裝備車輛性能優於需求規範」，發現該工作小組並未就廠商提報為優</w:t>
      </w:r>
      <w:proofErr w:type="gramStart"/>
      <w:r w:rsidRPr="00A636BB">
        <w:rPr>
          <w:rFonts w:hint="eastAsia"/>
        </w:rPr>
        <w:t>規</w:t>
      </w:r>
      <w:proofErr w:type="gramEnd"/>
      <w:r w:rsidRPr="00A636BB">
        <w:rPr>
          <w:rFonts w:hint="eastAsia"/>
        </w:rPr>
        <w:t>之項目逐一列明於紀錄並審查是否符合優</w:t>
      </w:r>
      <w:proofErr w:type="gramStart"/>
      <w:r w:rsidRPr="00A636BB">
        <w:rPr>
          <w:rFonts w:hint="eastAsia"/>
        </w:rPr>
        <w:t>規</w:t>
      </w:r>
      <w:proofErr w:type="gramEnd"/>
      <w:r w:rsidRPr="00A636BB">
        <w:rPr>
          <w:rFonts w:hint="eastAsia"/>
        </w:rPr>
        <w:t>，例如E廠商提供之產品規格「壹、車輛底盤及性能-二、性能(八)爬坡能力100%」優於契約規範「爬坡能力35%」；「參、水箱-二、</w:t>
      </w:r>
      <w:proofErr w:type="gramStart"/>
      <w:r w:rsidRPr="00A636BB">
        <w:rPr>
          <w:rFonts w:hint="eastAsia"/>
        </w:rPr>
        <w:t>箱體材質</w:t>
      </w:r>
      <w:proofErr w:type="gramEnd"/>
      <w:r w:rsidRPr="00A636BB">
        <w:rPr>
          <w:rFonts w:hint="eastAsia"/>
        </w:rPr>
        <w:t>、厚度(二)</w:t>
      </w:r>
      <w:proofErr w:type="gramStart"/>
      <w:r w:rsidRPr="00A636BB">
        <w:rPr>
          <w:rFonts w:hint="eastAsia"/>
        </w:rPr>
        <w:t>箱體外板</w:t>
      </w:r>
      <w:proofErr w:type="gramEnd"/>
      <w:r w:rsidRPr="00A636BB">
        <w:rPr>
          <w:rFonts w:hint="eastAsia"/>
        </w:rPr>
        <w:t>厚度需為3mm(含以上)，檢附化學消防車幫浦管線圖-立體圖，</w:t>
      </w:r>
      <w:proofErr w:type="gramStart"/>
      <w:r w:rsidRPr="00A636BB">
        <w:rPr>
          <w:rFonts w:hint="eastAsia"/>
        </w:rPr>
        <w:t>標示外板厚度</w:t>
      </w:r>
      <w:proofErr w:type="gramEnd"/>
      <w:r w:rsidRPr="00A636BB">
        <w:rPr>
          <w:rFonts w:hint="eastAsia"/>
        </w:rPr>
        <w:t>為3-5mm不等」優於契約規範「3mm(含以上)」；「壹拾貳、破壞油壓組-撐、拉、剪三合一油壓工具組(二)最大</w:t>
      </w:r>
      <w:proofErr w:type="gramStart"/>
      <w:r w:rsidRPr="00A636BB">
        <w:rPr>
          <w:rFonts w:hint="eastAsia"/>
        </w:rPr>
        <w:t>撐開力</w:t>
      </w:r>
      <w:proofErr w:type="gramEnd"/>
      <w:r w:rsidRPr="00A636BB">
        <w:rPr>
          <w:rFonts w:hint="eastAsia"/>
        </w:rPr>
        <w:t>211Kn或以上、(三)最大剪斷力380Kn或以上、(四)最大拉動力51Kn或以上、(五)重量14.2公斤或以下」皆優於契約規範「(二)最大</w:t>
      </w:r>
      <w:proofErr w:type="gramStart"/>
      <w:r w:rsidRPr="00A636BB">
        <w:rPr>
          <w:rFonts w:hint="eastAsia"/>
        </w:rPr>
        <w:t>撐開力</w:t>
      </w:r>
      <w:proofErr w:type="gramEnd"/>
      <w:r w:rsidRPr="00A636BB">
        <w:rPr>
          <w:rFonts w:hint="eastAsia"/>
        </w:rPr>
        <w:t>85Kn或以上、(三)最大剪斷力450Kn或以上、(四)最大拉動力50Kn或以上、(五)重量16公斤或以下」。</w:t>
      </w:r>
      <w:proofErr w:type="gramStart"/>
      <w:r w:rsidRPr="00A636BB">
        <w:rPr>
          <w:rFonts w:hint="eastAsia"/>
        </w:rPr>
        <w:t>餘如</w:t>
      </w:r>
      <w:proofErr w:type="gramEnd"/>
      <w:r w:rsidRPr="00A636BB">
        <w:rPr>
          <w:rFonts w:ascii="新細明體" w:eastAsia="新細明體" w:hAnsi="新細明體" w:hint="eastAsia"/>
        </w:rPr>
        <w:t>「</w:t>
      </w:r>
      <w:r w:rsidRPr="00A636BB">
        <w:rPr>
          <w:rFonts w:hint="eastAsia"/>
        </w:rPr>
        <w:t>壹拾伍、附件(每輛消防車</w:t>
      </w:r>
      <w:proofErr w:type="gramStart"/>
      <w:r w:rsidRPr="00A636BB">
        <w:rPr>
          <w:rFonts w:hint="eastAsia"/>
        </w:rPr>
        <w:t>配附乙</w:t>
      </w:r>
      <w:proofErr w:type="gramEnd"/>
      <w:r w:rsidRPr="00A636BB">
        <w:rPr>
          <w:rFonts w:hint="eastAsia"/>
        </w:rPr>
        <w:t>組)乾粉滅火器、</w:t>
      </w:r>
      <w:r w:rsidRPr="00A636BB">
        <w:rPr>
          <w:rFonts w:hint="eastAsia"/>
        </w:rPr>
        <w:lastRenderedPageBreak/>
        <w:t>泡沫瞄子、水帶、</w:t>
      </w:r>
      <w:proofErr w:type="gramStart"/>
      <w:r w:rsidRPr="00A636BB">
        <w:rPr>
          <w:rFonts w:hint="eastAsia"/>
        </w:rPr>
        <w:t>火斧、消防衣組</w:t>
      </w:r>
      <w:proofErr w:type="gramEnd"/>
      <w:r w:rsidRPr="00A636BB">
        <w:rPr>
          <w:rFonts w:ascii="新細明體" w:eastAsia="新細明體" w:hAnsi="新細明體" w:hint="eastAsia"/>
        </w:rPr>
        <w:t>」</w:t>
      </w:r>
      <w:r w:rsidRPr="00A636BB">
        <w:rPr>
          <w:rFonts w:hint="eastAsia"/>
        </w:rPr>
        <w:t>等等</w:t>
      </w:r>
      <w:proofErr w:type="gramStart"/>
      <w:r w:rsidRPr="00A636BB">
        <w:rPr>
          <w:rFonts w:hint="eastAsia"/>
        </w:rPr>
        <w:t>攸</w:t>
      </w:r>
      <w:proofErr w:type="gramEnd"/>
      <w:r w:rsidRPr="00A636BB">
        <w:rPr>
          <w:rFonts w:hint="eastAsia"/>
        </w:rPr>
        <w:t>關消防安全之品項，則全未見優</w:t>
      </w:r>
      <w:proofErr w:type="gramStart"/>
      <w:r w:rsidRPr="00A636BB">
        <w:rPr>
          <w:rFonts w:hint="eastAsia"/>
        </w:rPr>
        <w:t>規</w:t>
      </w:r>
      <w:proofErr w:type="gramEnd"/>
      <w:r w:rsidRPr="00A636BB">
        <w:rPr>
          <w:rFonts w:hint="eastAsia"/>
        </w:rPr>
        <w:t>與否之分析與差異性比較，此有本案5家參標廠商服務建議書與工作小組初審意見記錄在卷可</w:t>
      </w:r>
      <w:proofErr w:type="gramStart"/>
      <w:r w:rsidRPr="00A636BB">
        <w:rPr>
          <w:rFonts w:hint="eastAsia"/>
        </w:rPr>
        <w:t>稽</w:t>
      </w:r>
      <w:proofErr w:type="gramEnd"/>
      <w:r w:rsidRPr="00A636BB">
        <w:rPr>
          <w:rFonts w:hint="eastAsia"/>
        </w:rPr>
        <w:t>。</w:t>
      </w:r>
      <w:proofErr w:type="gramStart"/>
      <w:r w:rsidRPr="00A636BB">
        <w:rPr>
          <w:rFonts w:hint="eastAsia"/>
        </w:rPr>
        <w:t>縱前揭所</w:t>
      </w:r>
      <w:proofErr w:type="gramEnd"/>
      <w:r w:rsidRPr="00A636BB">
        <w:rPr>
          <w:rFonts w:hint="eastAsia"/>
        </w:rPr>
        <w:t>述係因工作小組經初審後認廠商所</w:t>
      </w:r>
      <w:proofErr w:type="gramStart"/>
      <w:r w:rsidRPr="00A636BB">
        <w:rPr>
          <w:rFonts w:hint="eastAsia"/>
        </w:rPr>
        <w:t>提雖合</w:t>
      </w:r>
      <w:proofErr w:type="gramEnd"/>
      <w:r w:rsidRPr="00A636BB">
        <w:rPr>
          <w:rFonts w:hint="eastAsia"/>
        </w:rPr>
        <w:t>於契約規範但尚非屬優</w:t>
      </w:r>
      <w:proofErr w:type="gramStart"/>
      <w:r w:rsidRPr="00A636BB">
        <w:rPr>
          <w:rFonts w:hint="eastAsia"/>
        </w:rPr>
        <w:t>規</w:t>
      </w:r>
      <w:proofErr w:type="gramEnd"/>
      <w:r w:rsidRPr="00A636BB">
        <w:rPr>
          <w:rFonts w:hint="eastAsia"/>
        </w:rPr>
        <w:t>項目，亦未見註明於初審意見。</w:t>
      </w:r>
    </w:p>
    <w:p w:rsidR="00231EC5" w:rsidRPr="00A636BB" w:rsidRDefault="00231EC5" w:rsidP="00231EC5">
      <w:pPr>
        <w:pStyle w:val="4"/>
        <w:numPr>
          <w:ilvl w:val="3"/>
          <w:numId w:val="1"/>
        </w:numPr>
        <w:rPr>
          <w:b/>
        </w:rPr>
      </w:pPr>
      <w:r w:rsidRPr="00A636BB">
        <w:rPr>
          <w:rFonts w:hint="eastAsia"/>
          <w:b/>
        </w:rPr>
        <w:t>僅見</w:t>
      </w:r>
      <w:proofErr w:type="gramStart"/>
      <w:r w:rsidRPr="00A636BB">
        <w:rPr>
          <w:rFonts w:hint="eastAsia"/>
          <w:b/>
        </w:rPr>
        <w:t>謄</w:t>
      </w:r>
      <w:proofErr w:type="gramEnd"/>
      <w:r w:rsidRPr="00A636BB">
        <w:rPr>
          <w:rFonts w:hint="eastAsia"/>
          <w:b/>
        </w:rPr>
        <w:t>列廠商服務建議書之摘要及差異，未能依採購標的及標案需求提出優、缺點分析，及建議</w:t>
      </w:r>
      <w:proofErr w:type="gramStart"/>
      <w:r w:rsidRPr="00A636BB">
        <w:rPr>
          <w:rFonts w:hint="eastAsia"/>
          <w:b/>
        </w:rPr>
        <w:t>洽</w:t>
      </w:r>
      <w:proofErr w:type="gramEnd"/>
      <w:r w:rsidRPr="00A636BB">
        <w:rPr>
          <w:rFonts w:hint="eastAsia"/>
          <w:b/>
        </w:rPr>
        <w:t>廠商說明事項</w:t>
      </w:r>
    </w:p>
    <w:p w:rsidR="00231EC5" w:rsidRPr="00A636BB" w:rsidRDefault="00231EC5" w:rsidP="00231EC5">
      <w:pPr>
        <w:pStyle w:val="41"/>
        <w:ind w:left="1701" w:firstLine="680"/>
      </w:pPr>
      <w:r w:rsidRPr="00A636BB">
        <w:rPr>
          <w:rFonts w:hint="eastAsia"/>
        </w:rPr>
        <w:t>本案初審意見「二、系統性能」之「2.裝備具國家檢驗機構合格或國際檢驗認證機構合格」、「3.提供之車輛附屬工具實用性」及「三、整體後勤執行計畫」之「</w:t>
      </w:r>
      <w:r w:rsidRPr="00A636BB">
        <w:t>1.</w:t>
      </w:r>
      <w:r w:rsidRPr="00A636BB">
        <w:rPr>
          <w:rFonts w:hint="eastAsia"/>
        </w:rPr>
        <w:t>包裝、交運、測試、訓練、售後維修服務計畫及保固計畫之便利性、經濟性、完整性」、「2.備份料件提供之適宜性、完整性與可行性」、「3.保固期滿後勤維修服務規劃。」、「4.教育訓練規劃」僅見</w:t>
      </w:r>
      <w:proofErr w:type="gramStart"/>
      <w:r w:rsidRPr="00A636BB">
        <w:rPr>
          <w:rFonts w:hint="eastAsia"/>
        </w:rPr>
        <w:t>謄</w:t>
      </w:r>
      <w:proofErr w:type="gramEnd"/>
      <w:r w:rsidRPr="00A636BB">
        <w:rPr>
          <w:rFonts w:hint="eastAsia"/>
        </w:rPr>
        <w:t>列廠商服務建議書之摘要及各項數據，未能依採購標的及標案需求提出優、缺點分析。其中就各廠商因報價架構各異，而於評選項目「四、價格」之「2.標價合理性」分項報價計算方式相當歧異，例</w:t>
      </w:r>
      <w:r w:rsidRPr="00A636BB">
        <w:rPr>
          <w:rFonts w:ascii="新細明體" w:eastAsia="新細明體" w:hAnsi="新細明體" w:hint="eastAsia"/>
        </w:rPr>
        <w:t>：</w:t>
      </w:r>
      <w:r w:rsidRPr="00A636BB">
        <w:rPr>
          <w:rFonts w:hint="eastAsia"/>
        </w:rPr>
        <w:t>A廠商利潤0.49%、E廠商利潤6%；B廠商及D廠商均提報將於原招標規範要求外，再延長保固3年，則該項人力物料成本反映於報價中是否合理</w:t>
      </w:r>
      <w:r w:rsidRPr="00A636BB">
        <w:rPr>
          <w:rFonts w:hAnsi="標楷體" w:hint="eastAsia"/>
        </w:rPr>
        <w:t>？</w:t>
      </w:r>
      <w:r w:rsidRPr="00A636BB">
        <w:rPr>
          <w:rFonts w:ascii="新細明體" w:eastAsia="新細明體" w:hAnsi="新細明體" w:hint="eastAsia"/>
        </w:rPr>
        <w:t>「</w:t>
      </w:r>
      <w:r w:rsidRPr="00A636BB">
        <w:rPr>
          <w:rFonts w:hAnsi="標楷體" w:hint="eastAsia"/>
        </w:rPr>
        <w:t>二、系統性能</w:t>
      </w:r>
      <w:r w:rsidRPr="00A636BB">
        <w:rPr>
          <w:rFonts w:ascii="新細明體" w:eastAsia="新細明體" w:hAnsi="新細明體" w:hint="eastAsia"/>
        </w:rPr>
        <w:t>」</w:t>
      </w:r>
      <w:r w:rsidRPr="00A636BB">
        <w:rPr>
          <w:rFonts w:hAnsi="標楷體" w:hint="eastAsia"/>
        </w:rPr>
        <w:t>項目之個別設備品項與報價是否合理？</w:t>
      </w:r>
      <w:proofErr w:type="gramStart"/>
      <w:r w:rsidRPr="00A636BB">
        <w:rPr>
          <w:rFonts w:hAnsi="標楷體" w:hint="eastAsia"/>
        </w:rPr>
        <w:t>本案參標</w:t>
      </w:r>
      <w:proofErr w:type="gramEnd"/>
      <w:r w:rsidRPr="00A636BB">
        <w:rPr>
          <w:rFonts w:hAnsi="標楷體" w:hint="eastAsia"/>
        </w:rPr>
        <w:t>廠商投標價格價差約1億元，參標</w:t>
      </w:r>
      <w:proofErr w:type="gramStart"/>
      <w:r w:rsidRPr="00A636BB">
        <w:rPr>
          <w:rFonts w:hAnsi="標楷體" w:hint="eastAsia"/>
        </w:rPr>
        <w:t>廠商間因製造</w:t>
      </w:r>
      <w:proofErr w:type="gramEnd"/>
      <w:r w:rsidRPr="00A636BB">
        <w:rPr>
          <w:rFonts w:hAnsi="標楷體" w:hint="eastAsia"/>
        </w:rPr>
        <w:t>、供應或</w:t>
      </w:r>
      <w:proofErr w:type="gramStart"/>
      <w:r w:rsidRPr="00A636BB">
        <w:rPr>
          <w:rFonts w:hAnsi="標楷體" w:hint="eastAsia"/>
        </w:rPr>
        <w:t>承作</w:t>
      </w:r>
      <w:proofErr w:type="gramEnd"/>
      <w:r w:rsidRPr="00A636BB">
        <w:rPr>
          <w:rFonts w:hAnsi="標楷體" w:hint="eastAsia"/>
        </w:rPr>
        <w:t>方式之不同，報價是否合理或完整？</w:t>
      </w:r>
      <w:r w:rsidRPr="00A636BB">
        <w:rPr>
          <w:rFonts w:hint="eastAsia"/>
        </w:rPr>
        <w:t>工作小組就此僅</w:t>
      </w:r>
      <w:proofErr w:type="gramStart"/>
      <w:r w:rsidRPr="00A636BB">
        <w:rPr>
          <w:rFonts w:hint="eastAsia"/>
        </w:rPr>
        <w:t>謄</w:t>
      </w:r>
      <w:proofErr w:type="gramEnd"/>
      <w:r w:rsidRPr="00A636BB">
        <w:rPr>
          <w:rFonts w:hint="eastAsia"/>
        </w:rPr>
        <w:t>列各項數據，未予分析或建議應洽廠商說明。</w:t>
      </w:r>
    </w:p>
    <w:p w:rsidR="00231EC5" w:rsidRPr="00A636BB" w:rsidRDefault="00231EC5" w:rsidP="00231EC5">
      <w:pPr>
        <w:pStyle w:val="4"/>
        <w:numPr>
          <w:ilvl w:val="3"/>
          <w:numId w:val="1"/>
        </w:numPr>
      </w:pPr>
      <w:r w:rsidRPr="00A636BB">
        <w:rPr>
          <w:rFonts w:hint="eastAsia"/>
        </w:rPr>
        <w:t>據上，工作小組辦理初審作業</w:t>
      </w:r>
      <w:proofErr w:type="gramStart"/>
      <w:r w:rsidRPr="00A636BB">
        <w:rPr>
          <w:rFonts w:hint="eastAsia"/>
        </w:rPr>
        <w:t>時倘未</w:t>
      </w:r>
      <w:proofErr w:type="gramEnd"/>
      <w:r w:rsidRPr="00A636BB">
        <w:rPr>
          <w:rFonts w:hint="eastAsia"/>
        </w:rPr>
        <w:t>就各廠商之</w:t>
      </w:r>
      <w:r w:rsidRPr="00A636BB">
        <w:rPr>
          <w:rFonts w:hint="eastAsia"/>
        </w:rPr>
        <w:lastRenderedPageBreak/>
        <w:t>「投標文件內容摘要及差異分析、優點、缺點、建議</w:t>
      </w:r>
      <w:proofErr w:type="gramStart"/>
      <w:r w:rsidRPr="00A636BB">
        <w:rPr>
          <w:rFonts w:hint="eastAsia"/>
        </w:rPr>
        <w:t>洽</w:t>
      </w:r>
      <w:proofErr w:type="gramEnd"/>
      <w:r w:rsidRPr="00A636BB">
        <w:rPr>
          <w:rFonts w:hint="eastAsia"/>
        </w:rPr>
        <w:t>廠商說明事項」等事項予以審查、</w:t>
      </w:r>
      <w:proofErr w:type="gramStart"/>
      <w:r w:rsidRPr="00A636BB">
        <w:rPr>
          <w:rFonts w:hint="eastAsia"/>
        </w:rPr>
        <w:t>釐</w:t>
      </w:r>
      <w:proofErr w:type="gramEnd"/>
      <w:r w:rsidRPr="00A636BB">
        <w:rPr>
          <w:rFonts w:hint="eastAsia"/>
        </w:rPr>
        <w:t>清後列明，形同無以</w:t>
      </w:r>
      <w:proofErr w:type="gramStart"/>
      <w:r w:rsidRPr="00A636BB">
        <w:rPr>
          <w:rFonts w:hint="eastAsia"/>
        </w:rPr>
        <w:t>踐行</w:t>
      </w:r>
      <w:proofErr w:type="gramEnd"/>
      <w:r w:rsidRPr="00A636BB">
        <w:rPr>
          <w:rFonts w:hint="eastAsia"/>
        </w:rPr>
        <w:t>採購評選委員會審議規則第3條之1所定「委員會或個別委員評選結果與工作小組初審意見</w:t>
      </w:r>
      <w:proofErr w:type="gramStart"/>
      <w:r w:rsidRPr="00A636BB">
        <w:rPr>
          <w:rFonts w:hint="eastAsia"/>
        </w:rPr>
        <w:t>有異時</w:t>
      </w:r>
      <w:proofErr w:type="gramEnd"/>
      <w:r w:rsidRPr="00A636BB">
        <w:rPr>
          <w:rFonts w:hint="eastAsia"/>
        </w:rPr>
        <w:t>，應由本委員會或該個別委員敘明理由，並列入會議紀錄</w:t>
      </w:r>
      <w:r w:rsidRPr="00A636BB">
        <w:rPr>
          <w:rFonts w:ascii="新細明體" w:eastAsia="新細明體" w:hAnsi="新細明體" w:hint="eastAsia"/>
        </w:rPr>
        <w:t>」</w:t>
      </w:r>
      <w:r w:rsidRPr="00A636BB">
        <w:rPr>
          <w:rFonts w:hint="eastAsia"/>
        </w:rPr>
        <w:t>程序，作業難謂確實。</w:t>
      </w:r>
    </w:p>
    <w:p w:rsidR="00231EC5" w:rsidRPr="00A636BB" w:rsidRDefault="00231EC5" w:rsidP="00231EC5">
      <w:pPr>
        <w:pStyle w:val="3"/>
        <w:numPr>
          <w:ilvl w:val="2"/>
          <w:numId w:val="1"/>
        </w:numPr>
      </w:pPr>
      <w:proofErr w:type="gramStart"/>
      <w:r w:rsidRPr="00A636BB">
        <w:rPr>
          <w:rFonts w:hint="eastAsia"/>
        </w:rPr>
        <w:t>末按本</w:t>
      </w:r>
      <w:proofErr w:type="gramEnd"/>
      <w:r w:rsidRPr="00A636BB">
        <w:rPr>
          <w:rFonts w:hint="eastAsia"/>
        </w:rPr>
        <w:t>案最有利標評選須知-肆、最有利標評定方式規定</w:t>
      </w:r>
      <w:r w:rsidRPr="00A636BB">
        <w:rPr>
          <w:rFonts w:ascii="新細明體" w:eastAsia="新細明體" w:hAnsi="新細明體" w:hint="eastAsia"/>
        </w:rPr>
        <w:t>：</w:t>
      </w:r>
      <w:r w:rsidRPr="00A636BB">
        <w:rPr>
          <w:rFonts w:hint="eastAsia"/>
        </w:rPr>
        <w:t>…</w:t>
      </w:r>
      <w:proofErr w:type="gramStart"/>
      <w:r w:rsidRPr="00A636BB">
        <w:rPr>
          <w:rFonts w:hint="eastAsia"/>
        </w:rPr>
        <w:t>…</w:t>
      </w:r>
      <w:proofErr w:type="gramEnd"/>
      <w:r w:rsidRPr="00A636BB">
        <w:rPr>
          <w:rFonts w:hint="eastAsia"/>
        </w:rPr>
        <w:t>四、序位第一（序位合計值最低）之廠商有2家以上相同，</w:t>
      </w:r>
      <w:proofErr w:type="gramStart"/>
      <w:r w:rsidRPr="00A636BB">
        <w:rPr>
          <w:rFonts w:hint="eastAsia"/>
        </w:rPr>
        <w:t>且均得為</w:t>
      </w:r>
      <w:proofErr w:type="gramEnd"/>
      <w:r w:rsidRPr="00A636BB">
        <w:rPr>
          <w:rFonts w:hint="eastAsia"/>
        </w:rPr>
        <w:t>決標對象時，決定最有利標之方式如下…</w:t>
      </w:r>
      <w:proofErr w:type="gramStart"/>
      <w:r w:rsidRPr="00A636BB">
        <w:rPr>
          <w:rFonts w:hint="eastAsia"/>
        </w:rPr>
        <w:t>…擇配分</w:t>
      </w:r>
      <w:proofErr w:type="gramEnd"/>
      <w:r w:rsidRPr="00A636BB">
        <w:rPr>
          <w:rFonts w:hint="eastAsia"/>
        </w:rPr>
        <w:t>最高之評選項目「二、系統性能」之得分合計值較</w:t>
      </w:r>
      <w:proofErr w:type="gramStart"/>
      <w:r w:rsidRPr="00A636BB">
        <w:rPr>
          <w:rFonts w:hint="eastAsia"/>
        </w:rPr>
        <w:t>高者決標</w:t>
      </w:r>
      <w:proofErr w:type="gramEnd"/>
      <w:r w:rsidRPr="00A636BB">
        <w:rPr>
          <w:rFonts w:hint="eastAsia"/>
        </w:rPr>
        <w:t>。可知</w:t>
      </w:r>
      <w:r w:rsidRPr="00A636BB">
        <w:rPr>
          <w:rFonts w:hAnsi="標楷體" w:hint="eastAsia"/>
        </w:rPr>
        <w:t>配分最高之評選項目「二、系統性能」</w:t>
      </w:r>
      <w:proofErr w:type="gramStart"/>
      <w:r w:rsidRPr="00A636BB">
        <w:rPr>
          <w:rFonts w:hAnsi="標楷體" w:hint="eastAsia"/>
        </w:rPr>
        <w:t>攸</w:t>
      </w:r>
      <w:proofErr w:type="gramEnd"/>
      <w:r w:rsidRPr="00A636BB">
        <w:rPr>
          <w:rFonts w:hAnsi="標楷體" w:hint="eastAsia"/>
        </w:rPr>
        <w:t>關本案最有利標之擇定。惟</w:t>
      </w:r>
      <w:proofErr w:type="gramStart"/>
      <w:r w:rsidRPr="00A636BB">
        <w:rPr>
          <w:rFonts w:hAnsi="標楷體" w:hint="eastAsia"/>
        </w:rPr>
        <w:t>其子項或</w:t>
      </w:r>
      <w:proofErr w:type="gramEnd"/>
      <w:r w:rsidRPr="00A636BB">
        <w:rPr>
          <w:rFonts w:hAnsi="標楷體" w:hint="eastAsia"/>
        </w:rPr>
        <w:t>有</w:t>
      </w:r>
      <w:proofErr w:type="gramStart"/>
      <w:r w:rsidRPr="00A636BB">
        <w:rPr>
          <w:rFonts w:hAnsi="標楷體" w:hint="eastAsia"/>
        </w:rPr>
        <w:t>未逐一</w:t>
      </w:r>
      <w:proofErr w:type="gramEnd"/>
      <w:r w:rsidRPr="00A636BB">
        <w:rPr>
          <w:rFonts w:hAnsi="標楷體" w:hint="eastAsia"/>
        </w:rPr>
        <w:t>審查優</w:t>
      </w:r>
      <w:proofErr w:type="gramStart"/>
      <w:r w:rsidRPr="00A636BB">
        <w:rPr>
          <w:rFonts w:hAnsi="標楷體" w:hint="eastAsia"/>
        </w:rPr>
        <w:t>規</w:t>
      </w:r>
      <w:proofErr w:type="gramEnd"/>
      <w:r w:rsidRPr="00A636BB">
        <w:rPr>
          <w:rFonts w:hAnsi="標楷體" w:hint="eastAsia"/>
        </w:rPr>
        <w:t>與否、或有未列明優缺點差異分析</w:t>
      </w:r>
      <w:proofErr w:type="gramStart"/>
      <w:r w:rsidRPr="00A636BB">
        <w:rPr>
          <w:rFonts w:hAnsi="標楷體" w:hint="eastAsia"/>
        </w:rPr>
        <w:t>等情已如</w:t>
      </w:r>
      <w:proofErr w:type="gramEnd"/>
      <w:r w:rsidRPr="00A636BB">
        <w:rPr>
          <w:rFonts w:hAnsi="標楷體" w:hint="eastAsia"/>
        </w:rPr>
        <w:t>前述，</w:t>
      </w:r>
      <w:r w:rsidR="000B5D9C">
        <w:rPr>
          <w:rFonts w:hAnsi="標楷體" w:hint="eastAsia"/>
        </w:rPr>
        <w:t>國防</w:t>
      </w:r>
      <w:r w:rsidRPr="00A636BB">
        <w:rPr>
          <w:rFonts w:hAnsi="標楷體" w:hint="eastAsia"/>
        </w:rPr>
        <w:t>部</w:t>
      </w:r>
      <w:r w:rsidR="000B5D9C">
        <w:rPr>
          <w:rFonts w:hAnsi="標楷體" w:hint="eastAsia"/>
        </w:rPr>
        <w:t>辦理採購之</w:t>
      </w:r>
      <w:r w:rsidRPr="00A636BB">
        <w:rPr>
          <w:rFonts w:hAnsi="標楷體" w:hint="eastAsia"/>
        </w:rPr>
        <w:t>工作小組初審作業</w:t>
      </w:r>
      <w:r w:rsidR="000B5D9C">
        <w:rPr>
          <w:rFonts w:hAnsi="標楷體" w:hint="eastAsia"/>
        </w:rPr>
        <w:t>顯有檢討</w:t>
      </w:r>
      <w:r w:rsidRPr="00A636BB">
        <w:rPr>
          <w:rFonts w:hAnsi="標楷體" w:hint="eastAsia"/>
        </w:rPr>
        <w:t>精進</w:t>
      </w:r>
      <w:r w:rsidR="000B5D9C">
        <w:rPr>
          <w:rFonts w:hAnsi="標楷體" w:hint="eastAsia"/>
        </w:rPr>
        <w:t>空間</w:t>
      </w:r>
      <w:r w:rsidRPr="00A636BB">
        <w:rPr>
          <w:rFonts w:hAnsi="標楷體" w:hint="eastAsia"/>
        </w:rPr>
        <w:t>，以利採購效能，提升國軍消防安全。</w:t>
      </w:r>
    </w:p>
    <w:p w:rsidR="000B5D9C" w:rsidRPr="000B5D9C" w:rsidRDefault="000B5D9C" w:rsidP="000B5D9C">
      <w:pPr>
        <w:pStyle w:val="3"/>
      </w:pPr>
      <w:r>
        <w:rPr>
          <w:rFonts w:hint="eastAsia"/>
        </w:rPr>
        <w:t>綜上，</w:t>
      </w:r>
      <w:r w:rsidRPr="000B5D9C">
        <w:rPr>
          <w:rFonts w:hint="eastAsia"/>
        </w:rPr>
        <w:t>國防部辦理化學消防車採購案</w:t>
      </w:r>
      <w:proofErr w:type="gramStart"/>
      <w:r w:rsidRPr="000B5D9C">
        <w:rPr>
          <w:rFonts w:hint="eastAsia"/>
        </w:rPr>
        <w:t>期間，</w:t>
      </w:r>
      <w:proofErr w:type="gramEnd"/>
      <w:r w:rsidRPr="000B5D9C">
        <w:rPr>
          <w:rFonts w:hint="eastAsia"/>
        </w:rPr>
        <w:t>所組成之工作小組初審作業未確實提出具體之優缺點差異評述、諸多項目僅見</w:t>
      </w:r>
      <w:proofErr w:type="gramStart"/>
      <w:r w:rsidRPr="000B5D9C">
        <w:rPr>
          <w:rFonts w:hint="eastAsia"/>
        </w:rPr>
        <w:t>謄</w:t>
      </w:r>
      <w:proofErr w:type="gramEnd"/>
      <w:r w:rsidRPr="000B5D9C">
        <w:rPr>
          <w:rFonts w:hint="eastAsia"/>
        </w:rPr>
        <w:t>列摘要、未敘明優</w:t>
      </w:r>
      <w:proofErr w:type="gramStart"/>
      <w:r w:rsidRPr="000B5D9C">
        <w:rPr>
          <w:rFonts w:hint="eastAsia"/>
        </w:rPr>
        <w:t>規</w:t>
      </w:r>
      <w:proofErr w:type="gramEnd"/>
      <w:r w:rsidRPr="000B5D9C">
        <w:rPr>
          <w:rFonts w:hint="eastAsia"/>
        </w:rPr>
        <w:t>審查結果，有違採購評選委員會審議規則之規定，且採購過程之初審前置作業亦未嚴謹辦理，</w:t>
      </w:r>
      <w:proofErr w:type="gramStart"/>
      <w:r w:rsidRPr="000B5D9C">
        <w:rPr>
          <w:rFonts w:hint="eastAsia"/>
        </w:rPr>
        <w:t>均核有怠</w:t>
      </w:r>
      <w:proofErr w:type="gramEnd"/>
      <w:r w:rsidRPr="000B5D9C">
        <w:rPr>
          <w:rFonts w:hint="eastAsia"/>
        </w:rPr>
        <w:t>失</w:t>
      </w:r>
      <w:r>
        <w:rPr>
          <w:rFonts w:hint="eastAsia"/>
        </w:rPr>
        <w:t>。</w:t>
      </w:r>
    </w:p>
    <w:p w:rsidR="00231EC5" w:rsidRPr="00E0343C" w:rsidRDefault="00E0343C" w:rsidP="00231EC5">
      <w:pPr>
        <w:pStyle w:val="2"/>
        <w:numPr>
          <w:ilvl w:val="1"/>
          <w:numId w:val="1"/>
        </w:numPr>
      </w:pPr>
      <w:r>
        <w:rPr>
          <w:rFonts w:hint="eastAsia"/>
        </w:rPr>
        <w:t>國防部辦理</w:t>
      </w:r>
      <w:r w:rsidR="00826A25">
        <w:rPr>
          <w:rFonts w:hint="eastAsia"/>
        </w:rPr>
        <w:t>預算金額高達9億餘元之</w:t>
      </w:r>
      <w:r>
        <w:rPr>
          <w:rFonts w:hint="eastAsia"/>
        </w:rPr>
        <w:t>化學消防車採購案，</w:t>
      </w:r>
      <w:r w:rsidR="00826A25">
        <w:rPr>
          <w:rFonts w:hint="eastAsia"/>
        </w:rPr>
        <w:t>係屬政府採購法</w:t>
      </w:r>
      <w:proofErr w:type="gramStart"/>
      <w:r w:rsidR="00826A25">
        <w:rPr>
          <w:rFonts w:hint="eastAsia"/>
        </w:rPr>
        <w:t>規</w:t>
      </w:r>
      <w:proofErr w:type="gramEnd"/>
      <w:r w:rsidR="00826A25">
        <w:rPr>
          <w:rFonts w:hint="eastAsia"/>
        </w:rPr>
        <w:t>之巨額採購，惟</w:t>
      </w:r>
      <w:r>
        <w:rPr>
          <w:rFonts w:hint="eastAsia"/>
        </w:rPr>
        <w:t>招標規範</w:t>
      </w:r>
      <w:r w:rsidR="00826A25">
        <w:rPr>
          <w:rFonts w:hint="eastAsia"/>
        </w:rPr>
        <w:t>內之</w:t>
      </w:r>
      <w:r w:rsidR="00231EC5" w:rsidRPr="00E0343C">
        <w:rPr>
          <w:rFonts w:hint="eastAsia"/>
        </w:rPr>
        <w:t>招標文件僅要求</w:t>
      </w:r>
      <w:r w:rsidR="00826A25">
        <w:rPr>
          <w:rFonts w:hint="eastAsia"/>
        </w:rPr>
        <w:t>一般</w:t>
      </w:r>
      <w:r w:rsidR="00231EC5" w:rsidRPr="00E0343C">
        <w:rPr>
          <w:rFonts w:hint="eastAsia"/>
        </w:rPr>
        <w:t>消防車履約實績，並未</w:t>
      </w:r>
      <w:r w:rsidR="00826A25">
        <w:rPr>
          <w:rFonts w:hint="eastAsia"/>
        </w:rPr>
        <w:t>規定化學消防車之特定資格</w:t>
      </w:r>
      <w:r w:rsidR="00231EC5" w:rsidRPr="00E0343C">
        <w:rPr>
          <w:rFonts w:hint="eastAsia"/>
        </w:rPr>
        <w:t>，</w:t>
      </w:r>
      <w:r w:rsidR="00826A25">
        <w:rPr>
          <w:rFonts w:hint="eastAsia"/>
        </w:rPr>
        <w:t>該</w:t>
      </w:r>
      <w:r w:rsidR="00231EC5" w:rsidRPr="00E0343C">
        <w:rPr>
          <w:rFonts w:hint="eastAsia"/>
        </w:rPr>
        <w:t>部未能事先就履約實績之</w:t>
      </w:r>
      <w:proofErr w:type="gramStart"/>
      <w:r w:rsidR="00231EC5" w:rsidRPr="00E0343C">
        <w:rPr>
          <w:rFonts w:hint="eastAsia"/>
        </w:rPr>
        <w:t>採</w:t>
      </w:r>
      <w:proofErr w:type="gramEnd"/>
      <w:r w:rsidR="00231EC5" w:rsidRPr="00E0343C">
        <w:rPr>
          <w:rFonts w:hint="eastAsia"/>
        </w:rPr>
        <w:t>認是否與招標</w:t>
      </w:r>
      <w:proofErr w:type="gramStart"/>
      <w:r w:rsidR="00231EC5" w:rsidRPr="00E0343C">
        <w:rPr>
          <w:rFonts w:hint="eastAsia"/>
        </w:rPr>
        <w:t>標</w:t>
      </w:r>
      <w:proofErr w:type="gramEnd"/>
      <w:r w:rsidR="00231EC5" w:rsidRPr="00E0343C">
        <w:rPr>
          <w:rFonts w:hint="eastAsia"/>
        </w:rPr>
        <w:t>的同性質或相當</w:t>
      </w:r>
      <w:r w:rsidR="00535CF4">
        <w:rPr>
          <w:rFonts w:hint="eastAsia"/>
        </w:rPr>
        <w:t>明確</w:t>
      </w:r>
      <w:r w:rsidR="00826A25">
        <w:rPr>
          <w:rFonts w:hint="eastAsia"/>
        </w:rPr>
        <w:t>訂定規範</w:t>
      </w:r>
      <w:r w:rsidR="00231EC5" w:rsidRPr="00E0343C">
        <w:rPr>
          <w:rFonts w:hint="eastAsia"/>
        </w:rPr>
        <w:t>，逕自認定</w:t>
      </w:r>
      <w:r w:rsidR="00826A25">
        <w:rPr>
          <w:rFonts w:hint="eastAsia"/>
        </w:rPr>
        <w:t>一般</w:t>
      </w:r>
      <w:r w:rsidR="00231EC5" w:rsidRPr="00E0343C">
        <w:rPr>
          <w:rFonts w:hint="eastAsia"/>
        </w:rPr>
        <w:t>消防車</w:t>
      </w:r>
      <w:r w:rsidR="00826A25">
        <w:rPr>
          <w:rFonts w:hint="eastAsia"/>
        </w:rPr>
        <w:t>均</w:t>
      </w:r>
      <w:r w:rsidR="00231EC5" w:rsidRPr="00E0343C">
        <w:rPr>
          <w:rFonts w:hint="eastAsia"/>
        </w:rPr>
        <w:t>概括認列為履約實績，核有疏失</w:t>
      </w:r>
    </w:p>
    <w:p w:rsidR="00E0343C" w:rsidRPr="009804B6" w:rsidRDefault="00E0343C" w:rsidP="00006A4A">
      <w:pPr>
        <w:pStyle w:val="3"/>
      </w:pPr>
      <w:r w:rsidRPr="009804B6">
        <w:rPr>
          <w:rFonts w:hint="eastAsia"/>
        </w:rPr>
        <w:t>投標廠商資格與特殊或巨額採購認定標準</w:t>
      </w:r>
      <w:r w:rsidR="009804B6" w:rsidRPr="009804B6">
        <w:rPr>
          <w:rFonts w:hint="eastAsia"/>
        </w:rPr>
        <w:t>第2條規</w:t>
      </w:r>
      <w:r w:rsidR="009804B6" w:rsidRPr="009804B6">
        <w:rPr>
          <w:rFonts w:hint="eastAsia"/>
        </w:rPr>
        <w:lastRenderedPageBreak/>
        <w:t>定：「機關辦理採購，得依採購案件之特性及實際需要，就下列事項訂定投標</w:t>
      </w:r>
      <w:r w:rsidR="009804B6" w:rsidRPr="000330B9">
        <w:rPr>
          <w:rFonts w:hint="eastAsia"/>
        </w:rPr>
        <w:t>廠商之基本資格，並載明於招標文件：一、與提供招標</w:t>
      </w:r>
      <w:proofErr w:type="gramStart"/>
      <w:r w:rsidR="009804B6" w:rsidRPr="000330B9">
        <w:rPr>
          <w:rFonts w:hint="eastAsia"/>
        </w:rPr>
        <w:t>標</w:t>
      </w:r>
      <w:proofErr w:type="gramEnd"/>
      <w:r w:rsidR="009804B6" w:rsidRPr="000330B9">
        <w:rPr>
          <w:rFonts w:hint="eastAsia"/>
        </w:rPr>
        <w:t>的有關者。二、與履約能力有關者。」第5條第1項規定：「機關辦理特殊或巨額採購，除依第2條規定訂定基本資格外，得視採購案件之特性及實際需要，就下列事項擇定投標廠商之特定資格，並載明於招標文件：一、具有相當經驗或實績者。其範圍得包括於截止投標日前5年內，完成與招標</w:t>
      </w:r>
      <w:proofErr w:type="gramStart"/>
      <w:r w:rsidR="009804B6" w:rsidRPr="000330B9">
        <w:rPr>
          <w:rFonts w:hint="eastAsia"/>
        </w:rPr>
        <w:t>標</w:t>
      </w:r>
      <w:proofErr w:type="gramEnd"/>
      <w:r w:rsidR="009804B6" w:rsidRPr="000330B9">
        <w:rPr>
          <w:rFonts w:hint="eastAsia"/>
        </w:rPr>
        <w:t>的同性質或相當之</w:t>
      </w:r>
      <w:r w:rsidR="009804B6" w:rsidRPr="009804B6">
        <w:rPr>
          <w:rFonts w:hint="eastAsia"/>
        </w:rPr>
        <w:t>工程、財物或勞務契約，其單次契約金額或數量不低於招標</w:t>
      </w:r>
      <w:proofErr w:type="gramStart"/>
      <w:r w:rsidR="009804B6" w:rsidRPr="009804B6">
        <w:rPr>
          <w:rFonts w:hint="eastAsia"/>
        </w:rPr>
        <w:t>標</w:t>
      </w:r>
      <w:proofErr w:type="gramEnd"/>
      <w:r w:rsidR="009804B6" w:rsidRPr="009804B6">
        <w:rPr>
          <w:rFonts w:hint="eastAsia"/>
        </w:rPr>
        <w:t>的預算金額或數量之五分之二，或累計金額或數量不低於招標</w:t>
      </w:r>
      <w:proofErr w:type="gramStart"/>
      <w:r w:rsidR="009804B6" w:rsidRPr="009804B6">
        <w:rPr>
          <w:rFonts w:hint="eastAsia"/>
        </w:rPr>
        <w:t>標</w:t>
      </w:r>
      <w:proofErr w:type="gramEnd"/>
      <w:r w:rsidR="009804B6" w:rsidRPr="009804B6">
        <w:rPr>
          <w:rFonts w:hint="eastAsia"/>
        </w:rPr>
        <w:t>的預算金額或數量，並得含採購機關（構）出具之驗收證明或啟用後功能正常之使用情形證明。</w:t>
      </w:r>
      <w:r w:rsidR="009804B6">
        <w:rPr>
          <w:rFonts w:hint="eastAsia"/>
        </w:rPr>
        <w:t>…</w:t>
      </w:r>
      <w:proofErr w:type="gramStart"/>
      <w:r w:rsidR="009804B6">
        <w:rPr>
          <w:rFonts w:hint="eastAsia"/>
        </w:rPr>
        <w:t>…</w:t>
      </w:r>
      <w:proofErr w:type="gramEnd"/>
      <w:r w:rsidR="009804B6">
        <w:rPr>
          <w:rFonts w:hint="eastAsia"/>
        </w:rPr>
        <w:t>」第8條規定：「採購金額在下列金額以上者，為巨額採購：一、工程採購，為2</w:t>
      </w:r>
      <w:r w:rsidR="009804B6" w:rsidRPr="000330B9">
        <w:rPr>
          <w:rFonts w:hint="eastAsia"/>
        </w:rPr>
        <w:t>億元。二、財物採購，為1億元。三、勞務</w:t>
      </w:r>
      <w:r w:rsidR="009804B6">
        <w:rPr>
          <w:rFonts w:hint="eastAsia"/>
        </w:rPr>
        <w:t>採購，為2</w:t>
      </w:r>
      <w:proofErr w:type="gramStart"/>
      <w:r w:rsidR="009804B6">
        <w:rPr>
          <w:rFonts w:hint="eastAsia"/>
        </w:rPr>
        <w:t>千萬</w:t>
      </w:r>
      <w:proofErr w:type="gramEnd"/>
      <w:r w:rsidR="009804B6">
        <w:rPr>
          <w:rFonts w:hint="eastAsia"/>
        </w:rPr>
        <w:t>元。」</w:t>
      </w:r>
    </w:p>
    <w:p w:rsidR="00231EC5" w:rsidRPr="00A636BB" w:rsidRDefault="00826A25" w:rsidP="00231EC5">
      <w:pPr>
        <w:pStyle w:val="3"/>
        <w:numPr>
          <w:ilvl w:val="2"/>
          <w:numId w:val="1"/>
        </w:numPr>
        <w:rPr>
          <w:rFonts w:hAnsi="標楷體"/>
        </w:rPr>
      </w:pPr>
      <w:r>
        <w:rPr>
          <w:rFonts w:hint="eastAsia"/>
        </w:rPr>
        <w:t>查</w:t>
      </w:r>
      <w:r w:rsidR="00231EC5" w:rsidRPr="00A636BB">
        <w:rPr>
          <w:rFonts w:hint="eastAsia"/>
        </w:rPr>
        <w:t>本</w:t>
      </w:r>
      <w:r>
        <w:rPr>
          <w:rFonts w:hint="eastAsia"/>
        </w:rPr>
        <w:t>採購案</w:t>
      </w:r>
      <w:r w:rsidR="00231EC5" w:rsidRPr="00A636BB">
        <w:rPr>
          <w:rFonts w:hint="eastAsia"/>
        </w:rPr>
        <w:t>招標文件</w:t>
      </w:r>
      <w:r>
        <w:rPr>
          <w:rFonts w:hint="eastAsia"/>
        </w:rPr>
        <w:t>中，</w:t>
      </w:r>
      <w:r w:rsidR="00231EC5" w:rsidRPr="00A636BB">
        <w:rPr>
          <w:rFonts w:hint="eastAsia"/>
        </w:rPr>
        <w:t>「最有利標評選須知」貳、七、(五)、1.(3)係規定「貳、評選程序、…</w:t>
      </w:r>
      <w:proofErr w:type="gramStart"/>
      <w:r w:rsidR="00231EC5" w:rsidRPr="00A636BB">
        <w:rPr>
          <w:rFonts w:hint="eastAsia"/>
        </w:rPr>
        <w:t>…</w:t>
      </w:r>
      <w:proofErr w:type="gramEnd"/>
      <w:r w:rsidR="00231EC5" w:rsidRPr="00A636BB">
        <w:rPr>
          <w:rFonts w:hint="eastAsia"/>
        </w:rPr>
        <w:t>七、服務建議書內容及格式撰擬原則…</w:t>
      </w:r>
      <w:proofErr w:type="gramStart"/>
      <w:r w:rsidR="00231EC5" w:rsidRPr="00A636BB">
        <w:rPr>
          <w:rFonts w:hint="eastAsia"/>
        </w:rPr>
        <w:t>…</w:t>
      </w:r>
      <w:proofErr w:type="gramEnd"/>
      <w:r w:rsidR="00231EC5" w:rsidRPr="00A636BB">
        <w:rPr>
          <w:rFonts w:hint="eastAsia"/>
        </w:rPr>
        <w:t>：…</w:t>
      </w:r>
      <w:proofErr w:type="gramStart"/>
      <w:r w:rsidR="00231EC5" w:rsidRPr="00A636BB">
        <w:rPr>
          <w:rFonts w:hint="eastAsia"/>
        </w:rPr>
        <w:t>…</w:t>
      </w:r>
      <w:proofErr w:type="gramEnd"/>
      <w:r w:rsidR="00231EC5" w:rsidRPr="00A636BB">
        <w:rPr>
          <w:rFonts w:hint="eastAsia"/>
        </w:rPr>
        <w:t>(五)『廠商服務建議書』…</w:t>
      </w:r>
      <w:proofErr w:type="gramStart"/>
      <w:r w:rsidR="00231EC5" w:rsidRPr="00A636BB">
        <w:rPr>
          <w:rFonts w:hint="eastAsia"/>
        </w:rPr>
        <w:t>…</w:t>
      </w:r>
      <w:proofErr w:type="gramEnd"/>
      <w:r w:rsidR="00231EC5" w:rsidRPr="00A636BB">
        <w:rPr>
          <w:rFonts w:hint="eastAsia"/>
        </w:rPr>
        <w:t>各章節內容之要求如下：…</w:t>
      </w:r>
      <w:proofErr w:type="gramStart"/>
      <w:r w:rsidR="00231EC5" w:rsidRPr="00A636BB">
        <w:rPr>
          <w:rFonts w:hint="eastAsia"/>
        </w:rPr>
        <w:t>…</w:t>
      </w:r>
      <w:proofErr w:type="gramEnd"/>
      <w:r w:rsidR="00231EC5" w:rsidRPr="00A636BB">
        <w:rPr>
          <w:rFonts w:hint="eastAsia"/>
        </w:rPr>
        <w:t>(3)廠商於截止投標日前5年內</w:t>
      </w:r>
      <w:proofErr w:type="gramStart"/>
      <w:r w:rsidR="00231EC5" w:rsidRPr="00A636BB">
        <w:rPr>
          <w:rFonts w:hint="eastAsia"/>
        </w:rPr>
        <w:t>消防車類案製造</w:t>
      </w:r>
      <w:proofErr w:type="gramEnd"/>
      <w:r w:rsidR="00231EC5" w:rsidRPr="00A636BB">
        <w:rPr>
          <w:rFonts w:hint="eastAsia"/>
        </w:rPr>
        <w:t>、</w:t>
      </w:r>
      <w:proofErr w:type="gramStart"/>
      <w:r w:rsidR="00231EC5" w:rsidRPr="00A636BB">
        <w:rPr>
          <w:rFonts w:hint="eastAsia"/>
        </w:rPr>
        <w:t>供應或承做</w:t>
      </w:r>
      <w:proofErr w:type="gramEnd"/>
      <w:r w:rsidR="00231EC5" w:rsidRPr="00A636BB">
        <w:rPr>
          <w:rFonts w:hint="eastAsia"/>
        </w:rPr>
        <w:t>能力之實績證明及契約等文件，…</w:t>
      </w:r>
      <w:proofErr w:type="gramStart"/>
      <w:r w:rsidR="00231EC5" w:rsidRPr="00A636BB">
        <w:rPr>
          <w:rFonts w:hint="eastAsia"/>
        </w:rPr>
        <w:t>…</w:t>
      </w:r>
      <w:proofErr w:type="gramEnd"/>
      <w:r w:rsidR="00231EC5" w:rsidRPr="00A636BB">
        <w:rPr>
          <w:rFonts w:hint="eastAsia"/>
        </w:rPr>
        <w:t>」</w:t>
      </w:r>
      <w:r>
        <w:rPr>
          <w:rFonts w:hint="eastAsia"/>
        </w:rPr>
        <w:t>國防部</w:t>
      </w:r>
      <w:r w:rsidR="00231EC5" w:rsidRPr="00A636BB">
        <w:rPr>
          <w:rFonts w:hint="eastAsia"/>
        </w:rPr>
        <w:t>僅要求投標廠商提出</w:t>
      </w:r>
      <w:r>
        <w:rPr>
          <w:rFonts w:hint="eastAsia"/>
        </w:rPr>
        <w:t>一般</w:t>
      </w:r>
      <w:proofErr w:type="gramStart"/>
      <w:r w:rsidR="00231EC5" w:rsidRPr="00A636BB">
        <w:rPr>
          <w:rFonts w:hint="eastAsia"/>
        </w:rPr>
        <w:t>消防車類案之</w:t>
      </w:r>
      <w:proofErr w:type="gramEnd"/>
      <w:r w:rsidR="00231EC5" w:rsidRPr="00A636BB">
        <w:rPr>
          <w:rFonts w:hint="eastAsia"/>
        </w:rPr>
        <w:t>履約實績，並未就</w:t>
      </w:r>
      <w:r>
        <w:rPr>
          <w:rFonts w:hint="eastAsia"/>
        </w:rPr>
        <w:t>化學</w:t>
      </w:r>
      <w:r w:rsidR="00231EC5" w:rsidRPr="00A636BB">
        <w:rPr>
          <w:rFonts w:hint="eastAsia"/>
        </w:rPr>
        <w:t>消防車之種類為特定，且查「直轄市縣市消防車輛裝備及其人力配置標準」附表二、消防車輛種類含「化學消防車」，其定義為「以泡沫、乾粉或其他滅火劑，執行化學物質火災等救火任務之車輛。」</w:t>
      </w:r>
    </w:p>
    <w:p w:rsidR="00231EC5" w:rsidRPr="00A636BB" w:rsidRDefault="00231EC5" w:rsidP="00231EC5">
      <w:pPr>
        <w:pStyle w:val="3"/>
        <w:numPr>
          <w:ilvl w:val="2"/>
          <w:numId w:val="1"/>
        </w:numPr>
        <w:rPr>
          <w:rFonts w:hAnsi="標楷體"/>
        </w:rPr>
      </w:pPr>
      <w:proofErr w:type="gramStart"/>
      <w:r w:rsidRPr="00A636BB">
        <w:rPr>
          <w:rFonts w:hint="eastAsia"/>
        </w:rPr>
        <w:lastRenderedPageBreak/>
        <w:t>惟查據</w:t>
      </w:r>
      <w:proofErr w:type="gramEnd"/>
      <w:r w:rsidRPr="00A636BB">
        <w:rPr>
          <w:rFonts w:hint="eastAsia"/>
        </w:rPr>
        <w:t>內政部消防署資料顯示</w:t>
      </w:r>
      <w:r w:rsidRPr="00A636BB">
        <w:rPr>
          <w:rStyle w:val="afc"/>
          <w:rFonts w:hAnsi="標楷體"/>
        </w:rPr>
        <w:footnoteReference w:id="1"/>
      </w:r>
      <w:r w:rsidRPr="00A636BB">
        <w:rPr>
          <w:rFonts w:hint="eastAsia"/>
        </w:rPr>
        <w:t>，「化學消防車應備裝置須同時具備下列二項或其中一項：（一）消防泵浦、水箱及泡沫</w:t>
      </w:r>
      <w:proofErr w:type="gramStart"/>
      <w:r w:rsidRPr="00A636BB">
        <w:rPr>
          <w:rFonts w:hint="eastAsia"/>
        </w:rPr>
        <w:t>原液槽</w:t>
      </w:r>
      <w:proofErr w:type="gramEnd"/>
      <w:r w:rsidRPr="00A636BB">
        <w:rPr>
          <w:rFonts w:hint="eastAsia"/>
        </w:rPr>
        <w:t>、泡沫產生器。（二）乾粉或其他</w:t>
      </w:r>
      <w:proofErr w:type="gramStart"/>
      <w:r w:rsidRPr="00A636BB">
        <w:rPr>
          <w:rFonts w:hint="eastAsia"/>
        </w:rPr>
        <w:t>滅火劑儲槽</w:t>
      </w:r>
      <w:proofErr w:type="gramEnd"/>
      <w:r w:rsidRPr="00A636BB">
        <w:rPr>
          <w:rFonts w:hint="eastAsia"/>
        </w:rPr>
        <w:t>、高壓驅動氣體壓力槽。有關化學消防車所使用之泡沫系統，因使用泡沫有所不同，其混合比例國內消防單位多以3%或6%為主，另裝配有以高壓驅動氣體壓力槽之乾粉或其他</w:t>
      </w:r>
      <w:proofErr w:type="gramStart"/>
      <w:r w:rsidRPr="00A636BB">
        <w:rPr>
          <w:rFonts w:hint="eastAsia"/>
        </w:rPr>
        <w:t>滅火劑儲槽</w:t>
      </w:r>
      <w:proofErr w:type="gramEnd"/>
      <w:r w:rsidRPr="00A636BB">
        <w:rPr>
          <w:rFonts w:hint="eastAsia"/>
        </w:rPr>
        <w:t>。」</w:t>
      </w:r>
      <w:r w:rsidRPr="000330B9">
        <w:rPr>
          <w:rFonts w:hint="eastAsia"/>
        </w:rPr>
        <w:t>是化學消防車若以應備裝置與滅火任務觀之，自與</w:t>
      </w:r>
      <w:r w:rsidR="00AD795B" w:rsidRPr="000330B9">
        <w:rPr>
          <w:rFonts w:hint="eastAsia"/>
        </w:rPr>
        <w:t>一般</w:t>
      </w:r>
      <w:r w:rsidRPr="000330B9">
        <w:rPr>
          <w:rFonts w:hint="eastAsia"/>
        </w:rPr>
        <w:t>消防車類有別。且經本</w:t>
      </w:r>
      <w:proofErr w:type="gramStart"/>
      <w:r w:rsidRPr="000330B9">
        <w:rPr>
          <w:rFonts w:hint="eastAsia"/>
        </w:rPr>
        <w:t>院查據</w:t>
      </w:r>
      <w:proofErr w:type="gramEnd"/>
      <w:r w:rsidRPr="000330B9">
        <w:rPr>
          <w:rFonts w:hint="eastAsia"/>
        </w:rPr>
        <w:t>本案國防部簽辦招標文件及第1次評選會議紀錄(討論評選項目、標準及評定方式)，</w:t>
      </w:r>
      <w:proofErr w:type="gramStart"/>
      <w:r w:rsidRPr="000330B9">
        <w:rPr>
          <w:rFonts w:hint="eastAsia"/>
        </w:rPr>
        <w:t>均未見</w:t>
      </w:r>
      <w:proofErr w:type="gramEnd"/>
      <w:r w:rsidRPr="000330B9">
        <w:rPr>
          <w:rFonts w:hint="eastAsia"/>
        </w:rPr>
        <w:t>就履約實績「與標的同性質或相當」之認定範圍有所討論</w:t>
      </w:r>
      <w:r w:rsidRPr="000330B9">
        <w:rPr>
          <w:rFonts w:hAnsi="標楷體" w:hint="eastAsia"/>
        </w:rPr>
        <w:t>。本案未經分析其技術門檻及消防車種差異性，即以</w:t>
      </w:r>
      <w:r w:rsidRPr="00A636BB">
        <w:rPr>
          <w:rFonts w:hAnsi="標楷體" w:hint="eastAsia"/>
        </w:rPr>
        <w:t>各式消防車類概括認列為履約實績，</w:t>
      </w:r>
      <w:r w:rsidR="00AD795B">
        <w:rPr>
          <w:rFonts w:hAnsi="標楷體" w:hint="eastAsia"/>
        </w:rPr>
        <w:t>本採購案屬財物採購，預算金額高達9億餘元，係屬政府採購法</w:t>
      </w:r>
      <w:proofErr w:type="gramStart"/>
      <w:r w:rsidR="00AD795B">
        <w:rPr>
          <w:rFonts w:hAnsi="標楷體" w:hint="eastAsia"/>
        </w:rPr>
        <w:t>規</w:t>
      </w:r>
      <w:proofErr w:type="gramEnd"/>
      <w:r w:rsidR="00AD795B">
        <w:rPr>
          <w:rFonts w:hAnsi="標楷體" w:hint="eastAsia"/>
        </w:rPr>
        <w:t>認定之巨額採購，國防部未依前揭</w:t>
      </w:r>
      <w:r w:rsidR="00AD795B" w:rsidRPr="00AD795B">
        <w:rPr>
          <w:rFonts w:hAnsi="標楷體" w:hint="eastAsia"/>
        </w:rPr>
        <w:t>投標廠商資格與特殊或巨額採購認定標準</w:t>
      </w:r>
      <w:r w:rsidR="00AD795B">
        <w:rPr>
          <w:rFonts w:hAnsi="標楷體" w:hint="eastAsia"/>
        </w:rPr>
        <w:t>之規定，再行訂定與採購標的同性質化學消防車之特定資格，對採購案之結果恐生品質風險</w:t>
      </w:r>
      <w:r w:rsidRPr="00A636BB">
        <w:rPr>
          <w:rFonts w:hAnsi="標楷體" w:hint="eastAsia"/>
        </w:rPr>
        <w:t>。</w:t>
      </w:r>
    </w:p>
    <w:p w:rsidR="00231EC5" w:rsidRPr="00A636BB" w:rsidRDefault="00231EC5" w:rsidP="00D93669">
      <w:pPr>
        <w:pStyle w:val="3"/>
        <w:numPr>
          <w:ilvl w:val="2"/>
          <w:numId w:val="1"/>
        </w:numPr>
      </w:pPr>
      <w:r w:rsidRPr="00A636BB">
        <w:rPr>
          <w:rFonts w:hint="eastAsia"/>
        </w:rPr>
        <w:t>綜上，</w:t>
      </w:r>
      <w:r w:rsidR="007142A3" w:rsidRPr="007142A3">
        <w:rPr>
          <w:rFonts w:hint="eastAsia"/>
        </w:rPr>
        <w:t>國防部辦理預算金額高達9億餘元之化學消防車採購案，係屬政府採購法</w:t>
      </w:r>
      <w:proofErr w:type="gramStart"/>
      <w:r w:rsidR="007142A3" w:rsidRPr="007142A3">
        <w:rPr>
          <w:rFonts w:hint="eastAsia"/>
        </w:rPr>
        <w:t>規</w:t>
      </w:r>
      <w:proofErr w:type="gramEnd"/>
      <w:r w:rsidR="007142A3" w:rsidRPr="007142A3">
        <w:rPr>
          <w:rFonts w:hint="eastAsia"/>
        </w:rPr>
        <w:t>之巨額採購，惟招標規範內之招標文件僅要求一般消防車履約實績，並未規定化學消防車之特定資格，該部未能事先就履約實績之</w:t>
      </w:r>
      <w:proofErr w:type="gramStart"/>
      <w:r w:rsidR="007142A3" w:rsidRPr="007142A3">
        <w:rPr>
          <w:rFonts w:hint="eastAsia"/>
        </w:rPr>
        <w:t>採</w:t>
      </w:r>
      <w:proofErr w:type="gramEnd"/>
      <w:r w:rsidR="007142A3" w:rsidRPr="007142A3">
        <w:rPr>
          <w:rFonts w:hint="eastAsia"/>
        </w:rPr>
        <w:t>認是否與招標</w:t>
      </w:r>
      <w:proofErr w:type="gramStart"/>
      <w:r w:rsidR="007142A3" w:rsidRPr="007142A3">
        <w:rPr>
          <w:rFonts w:hint="eastAsia"/>
        </w:rPr>
        <w:t>標</w:t>
      </w:r>
      <w:proofErr w:type="gramEnd"/>
      <w:r w:rsidR="007142A3" w:rsidRPr="007142A3">
        <w:rPr>
          <w:rFonts w:hint="eastAsia"/>
        </w:rPr>
        <w:t>的同性質或相當</w:t>
      </w:r>
      <w:r w:rsidR="00535CF4">
        <w:rPr>
          <w:rFonts w:hint="eastAsia"/>
        </w:rPr>
        <w:t>明確</w:t>
      </w:r>
      <w:r w:rsidR="007142A3" w:rsidRPr="007142A3">
        <w:rPr>
          <w:rFonts w:hint="eastAsia"/>
        </w:rPr>
        <w:t>訂定規範，逕自認定一般消防車均概括認列為履約實績，核有疏失</w:t>
      </w:r>
      <w:r w:rsidRPr="00A636BB">
        <w:rPr>
          <w:rFonts w:hint="eastAsia"/>
        </w:rPr>
        <w:t>。</w:t>
      </w:r>
    </w:p>
    <w:p w:rsidR="007142A3" w:rsidRPr="00A636BB" w:rsidRDefault="00E25849" w:rsidP="00C86866">
      <w:pPr>
        <w:pStyle w:val="10"/>
        <w:ind w:left="680" w:firstLine="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bookmarkEnd w:id="42"/>
      <w:bookmarkEnd w:id="43"/>
      <w:r w:rsidRPr="00A636BB">
        <w:br w:type="page"/>
      </w:r>
      <w:bookmarkStart w:id="54" w:name="_Toc524902730"/>
      <w:bookmarkEnd w:id="44"/>
      <w:bookmarkEnd w:id="45"/>
      <w:bookmarkEnd w:id="46"/>
      <w:bookmarkEnd w:id="47"/>
      <w:bookmarkEnd w:id="48"/>
      <w:bookmarkEnd w:id="49"/>
      <w:bookmarkEnd w:id="50"/>
      <w:bookmarkEnd w:id="51"/>
      <w:bookmarkEnd w:id="52"/>
      <w:bookmarkEnd w:id="53"/>
      <w:r w:rsidR="007142A3">
        <w:rPr>
          <w:rFonts w:hint="eastAsia"/>
        </w:rPr>
        <w:lastRenderedPageBreak/>
        <w:t>據</w:t>
      </w:r>
      <w:proofErr w:type="gramStart"/>
      <w:r w:rsidR="007142A3">
        <w:rPr>
          <w:rFonts w:hint="eastAsia"/>
        </w:rPr>
        <w:t>上論結</w:t>
      </w:r>
      <w:proofErr w:type="gramEnd"/>
      <w:r w:rsidR="007142A3">
        <w:rPr>
          <w:rFonts w:hint="eastAsia"/>
        </w:rPr>
        <w:t>，</w:t>
      </w:r>
      <w:r w:rsidR="00535CF4" w:rsidRPr="00535CF4">
        <w:rPr>
          <w:rFonts w:hint="eastAsia"/>
        </w:rPr>
        <w:t>國防部辦理化學消防車採購案，所組成之工作小組初審作業未確實提出具體之優缺點差異評述、諸多項目僅見</w:t>
      </w:r>
      <w:proofErr w:type="gramStart"/>
      <w:r w:rsidR="00535CF4" w:rsidRPr="00535CF4">
        <w:rPr>
          <w:rFonts w:hint="eastAsia"/>
        </w:rPr>
        <w:t>謄</w:t>
      </w:r>
      <w:proofErr w:type="gramEnd"/>
      <w:r w:rsidR="00535CF4" w:rsidRPr="00535CF4">
        <w:rPr>
          <w:rFonts w:hint="eastAsia"/>
        </w:rPr>
        <w:t>列摘要、未敘明優</w:t>
      </w:r>
      <w:proofErr w:type="gramStart"/>
      <w:r w:rsidR="00535CF4" w:rsidRPr="00535CF4">
        <w:rPr>
          <w:rFonts w:hint="eastAsia"/>
        </w:rPr>
        <w:t>規</w:t>
      </w:r>
      <w:proofErr w:type="gramEnd"/>
      <w:r w:rsidR="00535CF4" w:rsidRPr="00535CF4">
        <w:rPr>
          <w:rFonts w:hint="eastAsia"/>
        </w:rPr>
        <w:t>審查結果，有違採購評選委員會審議規則之規定，且採購過程之初審前置作業亦未嚴謹辦理；本採購案預算金額高達9億餘元，係屬政府採購法</w:t>
      </w:r>
      <w:proofErr w:type="gramStart"/>
      <w:r w:rsidR="00535CF4" w:rsidRPr="00535CF4">
        <w:rPr>
          <w:rFonts w:hint="eastAsia"/>
        </w:rPr>
        <w:t>規</w:t>
      </w:r>
      <w:proofErr w:type="gramEnd"/>
      <w:r w:rsidR="00535CF4" w:rsidRPr="00535CF4">
        <w:rPr>
          <w:rFonts w:hint="eastAsia"/>
        </w:rPr>
        <w:t>之巨額採購，惟招標規範內之招標文件僅要求一般消防車履約實績，並未規定化學消防車之特定資格，國防部未能事先就履約實績之</w:t>
      </w:r>
      <w:proofErr w:type="gramStart"/>
      <w:r w:rsidR="00535CF4" w:rsidRPr="00535CF4">
        <w:rPr>
          <w:rFonts w:hint="eastAsia"/>
        </w:rPr>
        <w:t>採</w:t>
      </w:r>
      <w:proofErr w:type="gramEnd"/>
      <w:r w:rsidR="00535CF4" w:rsidRPr="00535CF4">
        <w:rPr>
          <w:rFonts w:hint="eastAsia"/>
        </w:rPr>
        <w:t>認是否與招標</w:t>
      </w:r>
      <w:proofErr w:type="gramStart"/>
      <w:r w:rsidR="00535CF4" w:rsidRPr="00535CF4">
        <w:rPr>
          <w:rFonts w:hint="eastAsia"/>
        </w:rPr>
        <w:t>標</w:t>
      </w:r>
      <w:proofErr w:type="gramEnd"/>
      <w:r w:rsidR="00535CF4" w:rsidRPr="00535CF4">
        <w:rPr>
          <w:rFonts w:hint="eastAsia"/>
        </w:rPr>
        <w:t>的同性質或相當明確訂定規範，逕自認定一般消防車均概括認列為履約實績等，</w:t>
      </w:r>
      <w:proofErr w:type="gramStart"/>
      <w:r w:rsidR="00535CF4" w:rsidRPr="00535CF4">
        <w:rPr>
          <w:rFonts w:hint="eastAsia"/>
        </w:rPr>
        <w:t>以上均有違</w:t>
      </w:r>
      <w:proofErr w:type="gramEnd"/>
      <w:r w:rsidR="00535CF4" w:rsidRPr="00535CF4">
        <w:rPr>
          <w:rFonts w:hint="eastAsia"/>
        </w:rPr>
        <w:t>失</w:t>
      </w:r>
      <w:r w:rsidR="007142A3" w:rsidRPr="00A636BB">
        <w:rPr>
          <w:rFonts w:hint="eastAsia"/>
        </w:rPr>
        <w:t>，</w:t>
      </w:r>
      <w:proofErr w:type="gramStart"/>
      <w:r w:rsidR="007142A3" w:rsidRPr="00A636BB">
        <w:rPr>
          <w:rFonts w:hint="eastAsia"/>
        </w:rPr>
        <w:t>爰</w:t>
      </w:r>
      <w:proofErr w:type="gramEnd"/>
      <w:r w:rsidR="007142A3" w:rsidRPr="00A636BB">
        <w:rPr>
          <w:rFonts w:hint="eastAsia"/>
        </w:rPr>
        <w:t>依</w:t>
      </w:r>
      <w:r w:rsidR="007142A3" w:rsidRPr="00A636BB">
        <w:rPr>
          <w:rFonts w:hint="eastAsia"/>
          <w:bCs/>
        </w:rPr>
        <w:t>憲法第97條第1項及</w:t>
      </w:r>
      <w:r w:rsidR="007142A3" w:rsidRPr="00A636BB">
        <w:rPr>
          <w:rFonts w:hint="eastAsia"/>
        </w:rPr>
        <w:t>監察法第24條之規定提案糾正，移送行政院轉</w:t>
      </w:r>
      <w:proofErr w:type="gramStart"/>
      <w:r w:rsidR="007142A3" w:rsidRPr="00A636BB">
        <w:rPr>
          <w:rFonts w:hint="eastAsia"/>
        </w:rPr>
        <w:t>飭</w:t>
      </w:r>
      <w:proofErr w:type="gramEnd"/>
      <w:r w:rsidR="007142A3" w:rsidRPr="00A636BB">
        <w:rPr>
          <w:rFonts w:hint="eastAsia"/>
        </w:rPr>
        <w:t>所屬確實檢討改善</w:t>
      </w:r>
      <w:proofErr w:type="gramStart"/>
      <w:r w:rsidR="007142A3" w:rsidRPr="00A636BB">
        <w:rPr>
          <w:rFonts w:hint="eastAsia"/>
        </w:rPr>
        <w:t>見復。</w:t>
      </w:r>
      <w:proofErr w:type="gramEnd"/>
    </w:p>
    <w:p w:rsidR="007142A3" w:rsidRPr="00CA7064" w:rsidRDefault="00CA7064" w:rsidP="00CA7064">
      <w:pPr>
        <w:pStyle w:val="aa"/>
        <w:spacing w:beforeLines="150" w:before="685" w:after="0"/>
        <w:ind w:left="0" w:firstLineChars="400" w:firstLine="1778"/>
        <w:rPr>
          <w:bCs/>
          <w:snapToGrid/>
          <w:spacing w:val="12"/>
          <w:kern w:val="0"/>
          <w:sz w:val="40"/>
        </w:rPr>
      </w:pPr>
      <w:bookmarkStart w:id="55" w:name="_Toc524895649"/>
      <w:bookmarkStart w:id="56" w:name="_Toc524896195"/>
      <w:bookmarkStart w:id="57" w:name="_Toc524896225"/>
      <w:bookmarkEnd w:id="55"/>
      <w:bookmarkEnd w:id="56"/>
      <w:bookmarkEnd w:id="57"/>
      <w:r w:rsidRPr="00CA7064">
        <w:rPr>
          <w:rFonts w:hint="eastAsia"/>
          <w:bCs/>
          <w:snapToGrid/>
          <w:spacing w:val="12"/>
          <w:kern w:val="0"/>
          <w:sz w:val="40"/>
          <w:lang w:eastAsia="zh-HK"/>
        </w:rPr>
        <w:t>提案委員</w:t>
      </w:r>
      <w:r w:rsidRPr="00CA7064">
        <w:rPr>
          <w:rFonts w:hAnsi="標楷體" w:hint="eastAsia"/>
          <w:bCs/>
          <w:snapToGrid/>
          <w:spacing w:val="12"/>
          <w:kern w:val="0"/>
          <w:sz w:val="40"/>
          <w:lang w:eastAsia="zh-HK"/>
        </w:rPr>
        <w:t>：</w:t>
      </w:r>
      <w:r w:rsidRPr="00CA7064">
        <w:rPr>
          <w:rFonts w:hint="eastAsia"/>
          <w:bCs/>
          <w:snapToGrid/>
          <w:spacing w:val="12"/>
          <w:kern w:val="0"/>
          <w:sz w:val="40"/>
        </w:rPr>
        <w:t>劉德勳、李月德</w:t>
      </w:r>
      <w:bookmarkStart w:id="58" w:name="_GoBack"/>
      <w:bookmarkEnd w:id="58"/>
    </w:p>
    <w:p w:rsidR="007142A3" w:rsidRDefault="007142A3" w:rsidP="00286B1B">
      <w:pPr>
        <w:pStyle w:val="aa"/>
        <w:spacing w:beforeLines="50" w:before="228" w:after="0"/>
        <w:ind w:leftChars="1100" w:left="3742"/>
        <w:rPr>
          <w:b w:val="0"/>
          <w:bCs/>
          <w:snapToGrid/>
          <w:spacing w:val="0"/>
          <w:kern w:val="0"/>
        </w:rPr>
      </w:pPr>
    </w:p>
    <w:p w:rsidR="00535CF4" w:rsidRPr="00A636BB" w:rsidRDefault="00535CF4" w:rsidP="00286B1B">
      <w:pPr>
        <w:pStyle w:val="aa"/>
        <w:spacing w:beforeLines="50" w:before="228" w:after="0"/>
        <w:ind w:leftChars="1100" w:left="3742"/>
        <w:rPr>
          <w:b w:val="0"/>
          <w:bCs/>
          <w:snapToGrid/>
          <w:spacing w:val="0"/>
          <w:kern w:val="0"/>
        </w:rPr>
      </w:pPr>
    </w:p>
    <w:p w:rsidR="007142A3" w:rsidRPr="00A636BB" w:rsidRDefault="007142A3" w:rsidP="00286B1B">
      <w:pPr>
        <w:pStyle w:val="aa"/>
        <w:spacing w:beforeLines="50" w:before="228" w:after="0"/>
        <w:ind w:leftChars="1100" w:left="3742"/>
        <w:rPr>
          <w:b w:val="0"/>
          <w:bCs/>
          <w:snapToGrid/>
          <w:spacing w:val="0"/>
          <w:kern w:val="0"/>
        </w:rPr>
      </w:pPr>
    </w:p>
    <w:bookmarkEnd w:id="54"/>
    <w:p w:rsidR="00416721" w:rsidRPr="00A636BB" w:rsidRDefault="00416721" w:rsidP="00133AA2">
      <w:pPr>
        <w:pStyle w:val="af"/>
        <w:rPr>
          <w:rFonts w:hAnsi="標楷體"/>
          <w:bCs/>
        </w:rPr>
      </w:pPr>
    </w:p>
    <w:p w:rsidR="00451E78" w:rsidRPr="00A636BB" w:rsidRDefault="00451E78" w:rsidP="00133AA2">
      <w:pPr>
        <w:pStyle w:val="af"/>
        <w:rPr>
          <w:rFonts w:hAnsi="標楷體"/>
          <w:bCs/>
        </w:rPr>
      </w:pPr>
    </w:p>
    <w:p w:rsidR="00451E78" w:rsidRPr="00A636BB" w:rsidRDefault="00451E78" w:rsidP="00133AA2">
      <w:pPr>
        <w:pStyle w:val="af"/>
        <w:rPr>
          <w:bCs/>
        </w:rPr>
      </w:pPr>
    </w:p>
    <w:sectPr w:rsidR="00451E78" w:rsidRPr="00A636B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AC8" w:rsidRDefault="00A81AC8">
      <w:r>
        <w:separator/>
      </w:r>
    </w:p>
  </w:endnote>
  <w:endnote w:type="continuationSeparator" w:id="0">
    <w:p w:rsidR="00A81AC8" w:rsidRDefault="00A8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A7064">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AC8" w:rsidRDefault="00A81AC8">
      <w:r>
        <w:separator/>
      </w:r>
    </w:p>
  </w:footnote>
  <w:footnote w:type="continuationSeparator" w:id="0">
    <w:p w:rsidR="00A81AC8" w:rsidRDefault="00A81AC8">
      <w:r>
        <w:continuationSeparator/>
      </w:r>
    </w:p>
  </w:footnote>
  <w:footnote w:id="1">
    <w:p w:rsidR="00231EC5" w:rsidRDefault="00231EC5" w:rsidP="00231EC5">
      <w:pPr>
        <w:pStyle w:val="afa"/>
      </w:pPr>
      <w:r>
        <w:rPr>
          <w:rStyle w:val="afc"/>
        </w:rPr>
        <w:footnoteRef/>
      </w:r>
      <w:r>
        <w:t xml:space="preserve"> </w:t>
      </w:r>
      <w:r>
        <w:rPr>
          <w:rFonts w:hint="eastAsia"/>
        </w:rPr>
        <w:t>內政部消防署92年6月12日第7期及93年4月15日第51期消防電子報</w:t>
      </w:r>
      <w:r w:rsidRPr="00FA656C">
        <w:rPr>
          <w:rFonts w:hint="eastAsia"/>
        </w:rPr>
        <w:t>：化學消防車介紹</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30B9"/>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5D9C"/>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1EC5"/>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2577B"/>
    <w:rsid w:val="00425863"/>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5CF4"/>
    <w:rsid w:val="00536BC2"/>
    <w:rsid w:val="005425E1"/>
    <w:rsid w:val="005427C5"/>
    <w:rsid w:val="00542CF6"/>
    <w:rsid w:val="00553C03"/>
    <w:rsid w:val="00563692"/>
    <w:rsid w:val="00571349"/>
    <w:rsid w:val="005908B8"/>
    <w:rsid w:val="0059512E"/>
    <w:rsid w:val="005A5767"/>
    <w:rsid w:val="005A6DD2"/>
    <w:rsid w:val="005C385D"/>
    <w:rsid w:val="005C5314"/>
    <w:rsid w:val="005D3B20"/>
    <w:rsid w:val="005E5C68"/>
    <w:rsid w:val="005E65C0"/>
    <w:rsid w:val="005F0390"/>
    <w:rsid w:val="00612023"/>
    <w:rsid w:val="00614190"/>
    <w:rsid w:val="00622A99"/>
    <w:rsid w:val="00622E67"/>
    <w:rsid w:val="00626EDC"/>
    <w:rsid w:val="00644441"/>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142A3"/>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A25"/>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04B6"/>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6BB"/>
    <w:rsid w:val="00A639F4"/>
    <w:rsid w:val="00A81A32"/>
    <w:rsid w:val="00A81AC8"/>
    <w:rsid w:val="00A8273D"/>
    <w:rsid w:val="00A835BD"/>
    <w:rsid w:val="00A97B15"/>
    <w:rsid w:val="00AA42D5"/>
    <w:rsid w:val="00AB2FAB"/>
    <w:rsid w:val="00AB5C14"/>
    <w:rsid w:val="00AC1EE7"/>
    <w:rsid w:val="00AC333F"/>
    <w:rsid w:val="00AC585C"/>
    <w:rsid w:val="00AD1925"/>
    <w:rsid w:val="00AD795B"/>
    <w:rsid w:val="00AE067D"/>
    <w:rsid w:val="00AE1257"/>
    <w:rsid w:val="00AF1181"/>
    <w:rsid w:val="00AF2F79"/>
    <w:rsid w:val="00AF4653"/>
    <w:rsid w:val="00AF7DB7"/>
    <w:rsid w:val="00B443E4"/>
    <w:rsid w:val="00B563EA"/>
    <w:rsid w:val="00B60E51"/>
    <w:rsid w:val="00B6363C"/>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A7064"/>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43C"/>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1711A"/>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00FB"/>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231EC5"/>
    <w:pPr>
      <w:snapToGrid w:val="0"/>
      <w:jc w:val="left"/>
    </w:pPr>
    <w:rPr>
      <w:sz w:val="20"/>
    </w:rPr>
  </w:style>
  <w:style w:type="character" w:customStyle="1" w:styleId="afb">
    <w:name w:val="註腳文字 字元"/>
    <w:basedOn w:val="a7"/>
    <w:link w:val="afa"/>
    <w:uiPriority w:val="99"/>
    <w:semiHidden/>
    <w:rsid w:val="00231EC5"/>
    <w:rPr>
      <w:rFonts w:ascii="標楷體" w:eastAsia="標楷體"/>
      <w:kern w:val="2"/>
    </w:rPr>
  </w:style>
  <w:style w:type="character" w:styleId="afc">
    <w:name w:val="footnote reference"/>
    <w:basedOn w:val="a7"/>
    <w:uiPriority w:val="99"/>
    <w:semiHidden/>
    <w:unhideWhenUsed/>
    <w:rsid w:val="00231E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231EC5"/>
    <w:pPr>
      <w:snapToGrid w:val="0"/>
      <w:jc w:val="left"/>
    </w:pPr>
    <w:rPr>
      <w:sz w:val="20"/>
    </w:rPr>
  </w:style>
  <w:style w:type="character" w:customStyle="1" w:styleId="afb">
    <w:name w:val="註腳文字 字元"/>
    <w:basedOn w:val="a7"/>
    <w:link w:val="afa"/>
    <w:uiPriority w:val="99"/>
    <w:semiHidden/>
    <w:rsid w:val="00231EC5"/>
    <w:rPr>
      <w:rFonts w:ascii="標楷體" w:eastAsia="標楷體"/>
      <w:kern w:val="2"/>
    </w:rPr>
  </w:style>
  <w:style w:type="character" w:styleId="afc">
    <w:name w:val="footnote reference"/>
    <w:basedOn w:val="a7"/>
    <w:uiPriority w:val="99"/>
    <w:semiHidden/>
    <w:unhideWhenUsed/>
    <w:rsid w:val="00231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9D0A-6324-496F-84A1-31E9FF59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9</Pages>
  <Words>2566</Words>
  <Characters>2670</Characters>
  <Application>Microsoft Office Word</Application>
  <DocSecurity>0</DocSecurity>
  <Lines>178</Lines>
  <Paragraphs>145</Paragraphs>
  <ScaleCrop>false</ScaleCrop>
  <Company>cy</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陳姵綸</dc:creator>
  <cp:lastModifiedBy>邱俊能</cp:lastModifiedBy>
  <cp:revision>2</cp:revision>
  <cp:lastPrinted>2015-06-11T03:52:00Z</cp:lastPrinted>
  <dcterms:created xsi:type="dcterms:W3CDTF">2019-04-08T08:43:00Z</dcterms:created>
  <dcterms:modified xsi:type="dcterms:W3CDTF">2019-04-08T08:43:00Z</dcterms:modified>
</cp:coreProperties>
</file>