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6833AC" w:rsidRDefault="00ED0255" w:rsidP="00F37D7B">
      <w:pPr>
        <w:pStyle w:val="af2"/>
        <w:rPr>
          <w:color w:val="000000" w:themeColor="text1"/>
        </w:rPr>
      </w:pPr>
      <w:r w:rsidRPr="006833AC">
        <w:rPr>
          <w:rFonts w:hint="eastAsia"/>
          <w:color w:val="000000" w:themeColor="text1"/>
        </w:rPr>
        <w:t>調查報告</w:t>
      </w:r>
    </w:p>
    <w:p w:rsidR="00F158AF" w:rsidRPr="006833AC" w:rsidRDefault="00E25849" w:rsidP="00F158AF">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6833AC">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158AF" w:rsidRPr="006833AC">
        <w:rPr>
          <w:color w:val="000000" w:themeColor="text1"/>
        </w:rPr>
        <w:t>據訴，臺東縣政府核發美麗灣渡假村建築執照與使用執照過程涉有瀆職及圖利之嫌，經於民國(下同)101年12月4日向臺灣臺</w:t>
      </w:r>
      <w:r w:rsidR="004E05F7" w:rsidRPr="006833AC">
        <w:rPr>
          <w:color w:val="000000" w:themeColor="text1"/>
        </w:rPr>
        <w:t>東地方</w:t>
      </w:r>
      <w:r w:rsidR="00F158AF" w:rsidRPr="006833AC">
        <w:rPr>
          <w:color w:val="000000" w:themeColor="text1"/>
        </w:rPr>
        <w:t>檢察署按鈴申告，迄今近6年，檢方未有任何偵查作為，認檢察機關有司法怠惰情事。據悉，該案開發之初即刻意迴避環境影響評估程序，遭到法院多次判決環境影響評估程序與建照發放皆屬違法，105年4月21日，最高行政法院判決撤銷臺東縣政府准許業者復工的行政處分定讞。而陳訴人既然於101年即按鈴申告臺東縣政府涉嫌瀆職及圖利，迄今近6年，自有了解檢察機關有否怠惰未查及其調查結果之必要案。</w:t>
      </w:r>
    </w:p>
    <w:p w:rsidR="00416721" w:rsidRPr="006833AC" w:rsidRDefault="00084A3B" w:rsidP="004350CE">
      <w:pPr>
        <w:pStyle w:val="1"/>
        <w:rPr>
          <w:bCs w:val="0"/>
          <w:color w:val="000000" w:themeColor="text1"/>
          <w:kern w:val="0"/>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6833AC">
        <w:rPr>
          <w:rFonts w:hint="eastAsia"/>
          <w:color w:val="000000" w:themeColor="text1"/>
        </w:rPr>
        <w:t>調查意見</w:t>
      </w:r>
      <w:r w:rsidR="004350CE" w:rsidRPr="006833AC">
        <w:rPr>
          <w:rFonts w:hint="eastAsia"/>
          <w:color w:val="000000" w:themeColor="text1"/>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084A3B" w:rsidRPr="006833AC" w:rsidRDefault="00084A3B" w:rsidP="006D111E">
      <w:pPr>
        <w:pStyle w:val="2"/>
        <w:numPr>
          <w:ilvl w:val="0"/>
          <w:numId w:val="0"/>
        </w:numPr>
        <w:ind w:left="700" w:firstLineChars="201" w:firstLine="684"/>
        <w:rPr>
          <w:color w:val="000000" w:themeColor="text1"/>
        </w:rPr>
      </w:pPr>
      <w:r w:rsidRPr="006833AC">
        <w:rPr>
          <w:rFonts w:hint="eastAsia"/>
          <w:color w:val="000000" w:themeColor="text1"/>
        </w:rPr>
        <w:t>據訴，臺灣環境保護聯盟臺東分會人員認為臺東縣政府核發美麗灣渡假村建築執照與使用執照過程有瀆職與圖利之嫌，於民國(下同)101年12月4日委託律師赴臺灣臺東地方檢察署(下稱臺東地檢署)按鈴告發，並後續補充理由2次至今，時隔近6年，告發人迄未獲該檢察署傳喚或通知相關辦理情形。告發人遂向本院陳訴(下稱陳訴人)，請求調查臺東地檢署於收案後對於其提出告發之處理程序是否適當及有無怠惰。案經臺東地檢署</w:t>
      </w:r>
      <w:r w:rsidRPr="006833AC">
        <w:rPr>
          <w:rStyle w:val="afe"/>
          <w:color w:val="000000" w:themeColor="text1"/>
        </w:rPr>
        <w:footnoteReference w:id="1"/>
      </w:r>
      <w:r w:rsidRPr="006833AC">
        <w:rPr>
          <w:rFonts w:hint="eastAsia"/>
          <w:color w:val="000000" w:themeColor="text1"/>
        </w:rPr>
        <w:t>、臺灣高等檢察署</w:t>
      </w:r>
      <w:r w:rsidRPr="006833AC">
        <w:rPr>
          <w:rStyle w:val="afe"/>
          <w:color w:val="000000" w:themeColor="text1"/>
        </w:rPr>
        <w:footnoteReference w:id="2"/>
      </w:r>
      <w:r w:rsidRPr="006833AC">
        <w:rPr>
          <w:rFonts w:hint="eastAsia"/>
          <w:color w:val="000000" w:themeColor="text1"/>
        </w:rPr>
        <w:t>(下稱高檢署)及法務部</w:t>
      </w:r>
      <w:r w:rsidRPr="006833AC">
        <w:rPr>
          <w:rStyle w:val="afe"/>
          <w:color w:val="000000" w:themeColor="text1"/>
        </w:rPr>
        <w:footnoteReference w:id="3"/>
      </w:r>
      <w:r w:rsidRPr="006833AC">
        <w:rPr>
          <w:rFonts w:hint="eastAsia"/>
          <w:color w:val="000000" w:themeColor="text1"/>
        </w:rPr>
        <w:t>提供書面說明及相關卷證資料</w:t>
      </w:r>
      <w:r w:rsidR="00E059E2" w:rsidRPr="006833AC">
        <w:rPr>
          <w:rFonts w:hAnsi="標楷體" w:hint="eastAsia"/>
          <w:color w:val="000000" w:themeColor="text1"/>
        </w:rPr>
        <w:t>；經檢視</w:t>
      </w:r>
      <w:r w:rsidR="0085083D" w:rsidRPr="006833AC">
        <w:rPr>
          <w:rFonts w:hint="eastAsia"/>
          <w:color w:val="000000" w:themeColor="text1"/>
        </w:rPr>
        <w:t>卷證資料發現</w:t>
      </w:r>
      <w:r w:rsidR="00E059E2" w:rsidRPr="006833AC">
        <w:rPr>
          <w:rFonts w:hint="eastAsia"/>
          <w:color w:val="000000" w:themeColor="text1"/>
        </w:rPr>
        <w:t>本案爭點明</w:t>
      </w:r>
      <w:r w:rsidR="00E059E2" w:rsidRPr="006833AC">
        <w:rPr>
          <w:rFonts w:hint="eastAsia"/>
          <w:color w:val="000000" w:themeColor="text1"/>
        </w:rPr>
        <w:lastRenderedPageBreak/>
        <w:t>確</w:t>
      </w:r>
      <w:r w:rsidR="00E059E2" w:rsidRPr="006833AC">
        <w:rPr>
          <w:rFonts w:hAnsi="標楷體" w:hint="eastAsia"/>
          <w:color w:val="000000" w:themeColor="text1"/>
        </w:rPr>
        <w:t>，</w:t>
      </w:r>
      <w:r w:rsidR="00E059E2" w:rsidRPr="006833AC">
        <w:rPr>
          <w:rFonts w:hint="eastAsia"/>
          <w:color w:val="000000" w:themeColor="text1"/>
        </w:rPr>
        <w:t>主要在於檢察官未通知被併案件告發人其告發已簽結</w:t>
      </w:r>
      <w:r w:rsidR="00E059E2" w:rsidRPr="006833AC">
        <w:rPr>
          <w:rFonts w:hAnsi="標楷體" w:hint="eastAsia"/>
          <w:color w:val="000000" w:themeColor="text1"/>
        </w:rPr>
        <w:t>，</w:t>
      </w:r>
      <w:r w:rsidR="00E059E2" w:rsidRPr="006833AC">
        <w:rPr>
          <w:rFonts w:hint="eastAsia"/>
          <w:color w:val="000000" w:themeColor="text1"/>
        </w:rPr>
        <w:t>致其誤認檢察機關受理告發後皆無進展</w:t>
      </w:r>
      <w:r w:rsidR="00E059E2" w:rsidRPr="006833AC">
        <w:rPr>
          <w:rFonts w:hAnsi="標楷體" w:hint="eastAsia"/>
          <w:color w:val="000000" w:themeColor="text1"/>
        </w:rPr>
        <w:t>，</w:t>
      </w:r>
      <w:r w:rsidR="0085083D" w:rsidRPr="006833AC">
        <w:rPr>
          <w:rFonts w:hint="eastAsia"/>
          <w:color w:val="000000" w:themeColor="text1"/>
        </w:rPr>
        <w:t>爰未另</w:t>
      </w:r>
      <w:r w:rsidR="00E059E2" w:rsidRPr="006833AC">
        <w:rPr>
          <w:color w:val="000000" w:themeColor="text1"/>
        </w:rPr>
        <w:t>詢</w:t>
      </w:r>
      <w:r w:rsidR="0085083D" w:rsidRPr="006833AC">
        <w:rPr>
          <w:rFonts w:hint="eastAsia"/>
          <w:color w:val="000000" w:themeColor="text1"/>
        </w:rPr>
        <w:t>問</w:t>
      </w:r>
      <w:r w:rsidR="00E059E2" w:rsidRPr="006833AC">
        <w:rPr>
          <w:rFonts w:hint="eastAsia"/>
          <w:color w:val="000000" w:themeColor="text1"/>
        </w:rPr>
        <w:t>相關機關</w:t>
      </w:r>
      <w:r w:rsidR="0085083D" w:rsidRPr="006833AC">
        <w:rPr>
          <w:rFonts w:hAnsi="標楷體" w:hint="eastAsia"/>
          <w:color w:val="000000" w:themeColor="text1"/>
        </w:rPr>
        <w:t>，</w:t>
      </w:r>
      <w:r w:rsidR="006D111E" w:rsidRPr="006833AC">
        <w:rPr>
          <w:rFonts w:hint="eastAsia"/>
          <w:color w:val="000000" w:themeColor="text1"/>
        </w:rPr>
        <w:t>業已調查竣事</w:t>
      </w:r>
      <w:r w:rsidR="006D111E" w:rsidRPr="006833AC">
        <w:rPr>
          <w:rFonts w:hAnsi="標楷體" w:hint="eastAsia"/>
          <w:color w:val="000000" w:themeColor="text1"/>
        </w:rPr>
        <w:t>。</w:t>
      </w:r>
      <w:r w:rsidR="006D111E" w:rsidRPr="006833AC">
        <w:rPr>
          <w:rFonts w:hint="eastAsia"/>
          <w:color w:val="000000" w:themeColor="text1"/>
        </w:rPr>
        <w:t>茲臚列調查意見如下：</w:t>
      </w:r>
    </w:p>
    <w:p w:rsidR="000D7BF1" w:rsidRPr="000B2CBA" w:rsidRDefault="000D7BF1" w:rsidP="000D7BF1">
      <w:pPr>
        <w:pStyle w:val="2"/>
        <w:numPr>
          <w:ilvl w:val="1"/>
          <w:numId w:val="1"/>
        </w:numPr>
        <w:rPr>
          <w:color w:val="000000" w:themeColor="text1"/>
        </w:rPr>
      </w:pPr>
      <w:r w:rsidRPr="000B2CBA">
        <w:rPr>
          <w:rFonts w:hint="eastAsia"/>
          <w:b/>
          <w:color w:val="000000" w:themeColor="text1"/>
        </w:rPr>
        <w:t>臺東地檢署自99年間起陸續接獲告發人具狀告發美麗灣渡假村開發案涉有弊端等情，前後共分12件</w:t>
      </w:r>
      <w:r w:rsidRPr="000B2CBA">
        <w:rPr>
          <w:rFonts w:hAnsi="標楷體" w:hint="eastAsia"/>
          <w:b/>
          <w:color w:val="000000" w:themeColor="text1"/>
        </w:rPr>
        <w:t>「</w:t>
      </w:r>
      <w:r w:rsidRPr="000B2CBA">
        <w:rPr>
          <w:rFonts w:hint="eastAsia"/>
          <w:b/>
          <w:color w:val="000000" w:themeColor="text1"/>
        </w:rPr>
        <w:t>他</w:t>
      </w:r>
      <w:r w:rsidRPr="000B2CBA">
        <w:rPr>
          <w:rFonts w:hAnsi="標楷體" w:hint="eastAsia"/>
          <w:b/>
          <w:color w:val="000000" w:themeColor="text1"/>
        </w:rPr>
        <w:t>」</w:t>
      </w:r>
      <w:r w:rsidRPr="000B2CBA">
        <w:rPr>
          <w:rFonts w:hint="eastAsia"/>
          <w:b/>
          <w:color w:val="000000" w:themeColor="text1"/>
        </w:rPr>
        <w:t>字案</w:t>
      </w:r>
      <w:r w:rsidRPr="000B2CBA">
        <w:rPr>
          <w:rFonts w:hAnsi="標楷體" w:hint="eastAsia"/>
          <w:b/>
          <w:color w:val="000000" w:themeColor="text1"/>
        </w:rPr>
        <w:t>。</w:t>
      </w:r>
      <w:r w:rsidRPr="000B2CBA">
        <w:rPr>
          <w:rFonts w:hint="eastAsia"/>
          <w:b/>
          <w:color w:val="000000" w:themeColor="text1"/>
        </w:rPr>
        <w:t>陳訴人於101年12月4日告發之101年度他字第639號案</w:t>
      </w:r>
      <w:r w:rsidRPr="000B2CBA">
        <w:rPr>
          <w:rFonts w:hAnsi="標楷體" w:hint="eastAsia"/>
          <w:b/>
          <w:color w:val="000000" w:themeColor="text1"/>
        </w:rPr>
        <w:t>，經簽准併入99年度他字第131號案後，</w:t>
      </w:r>
      <w:r w:rsidRPr="000B2CBA">
        <w:rPr>
          <w:rFonts w:hint="eastAsia"/>
          <w:b/>
          <w:color w:val="000000" w:themeColor="text1"/>
        </w:rPr>
        <w:t>其中徐慶元等6人簽結</w:t>
      </w:r>
      <w:r w:rsidRPr="000B2CBA">
        <w:rPr>
          <w:rFonts w:hAnsi="標楷體" w:hint="eastAsia"/>
          <w:b/>
          <w:color w:val="000000" w:themeColor="text1"/>
        </w:rPr>
        <w:t>，黃健庭部分簽准併入</w:t>
      </w:r>
      <w:r w:rsidRPr="000B2CBA">
        <w:rPr>
          <w:rFonts w:hint="eastAsia"/>
          <w:b/>
          <w:color w:val="000000" w:themeColor="text1"/>
        </w:rPr>
        <w:t>103年度他字第474號案</w:t>
      </w:r>
      <w:r w:rsidRPr="000B2CBA">
        <w:rPr>
          <w:rFonts w:hAnsi="標楷體" w:hint="eastAsia"/>
          <w:b/>
          <w:color w:val="000000" w:themeColor="text1"/>
        </w:rPr>
        <w:t>，嗣該案</w:t>
      </w:r>
      <w:r w:rsidRPr="000B2CBA">
        <w:rPr>
          <w:rFonts w:hint="eastAsia"/>
          <w:b/>
          <w:color w:val="000000" w:themeColor="text1"/>
        </w:rPr>
        <w:t>黃健庭等4人簽結</w:t>
      </w:r>
      <w:r w:rsidRPr="000B2CBA">
        <w:rPr>
          <w:rFonts w:hAnsi="標楷體" w:hint="eastAsia"/>
          <w:b/>
          <w:color w:val="000000" w:themeColor="text1"/>
        </w:rPr>
        <w:t>，許瑞貴、賴旻炫簽准併入</w:t>
      </w:r>
      <w:r w:rsidRPr="000B2CBA">
        <w:rPr>
          <w:rFonts w:hint="eastAsia"/>
          <w:b/>
          <w:color w:val="000000" w:themeColor="text1"/>
        </w:rPr>
        <w:t>102年度偵字第1135號案</w:t>
      </w:r>
      <w:r w:rsidRPr="000B2CBA">
        <w:rPr>
          <w:rFonts w:hAnsi="標楷體" w:hint="eastAsia"/>
          <w:b/>
          <w:color w:val="000000" w:themeColor="text1"/>
        </w:rPr>
        <w:t>，</w:t>
      </w:r>
      <w:r w:rsidRPr="000B2CBA">
        <w:rPr>
          <w:rFonts w:hint="eastAsia"/>
          <w:b/>
          <w:color w:val="000000" w:themeColor="text1"/>
        </w:rPr>
        <w:t>該2人獲不起訴處分並經高檢署花蓮檢察分署駁回再議確定在案</w:t>
      </w:r>
      <w:r w:rsidRPr="000B2CBA">
        <w:rPr>
          <w:rFonts w:hAnsi="標楷體" w:hint="eastAsia"/>
          <w:b/>
          <w:color w:val="000000" w:themeColor="text1"/>
        </w:rPr>
        <w:t>。</w:t>
      </w:r>
      <w:r w:rsidRPr="000B2CBA">
        <w:rPr>
          <w:rFonts w:hint="eastAsia"/>
          <w:b/>
          <w:color w:val="000000" w:themeColor="text1"/>
        </w:rPr>
        <w:t>現行「臺灣高等檢察署所屬各地方檢察署及其檢察分署辦理他案應行注意事項」第11點雖規定檢察官辦理</w:t>
      </w:r>
      <w:r w:rsidRPr="000B2CBA">
        <w:rPr>
          <w:rFonts w:hAnsi="標楷體" w:hint="eastAsia"/>
          <w:b/>
          <w:color w:val="000000" w:themeColor="text1"/>
        </w:rPr>
        <w:t>「</w:t>
      </w:r>
      <w:r w:rsidRPr="000B2CBA">
        <w:rPr>
          <w:rFonts w:hint="eastAsia"/>
          <w:b/>
          <w:color w:val="000000" w:themeColor="text1"/>
        </w:rPr>
        <w:t>他</w:t>
      </w:r>
      <w:r w:rsidRPr="000B2CBA">
        <w:rPr>
          <w:rFonts w:hAnsi="標楷體" w:hint="eastAsia"/>
          <w:b/>
          <w:color w:val="000000" w:themeColor="text1"/>
        </w:rPr>
        <w:t>」</w:t>
      </w:r>
      <w:r w:rsidRPr="000B2CBA">
        <w:rPr>
          <w:rFonts w:hint="eastAsia"/>
          <w:b/>
          <w:color w:val="000000" w:themeColor="text1"/>
        </w:rPr>
        <w:t>案於簽結後應即將法律上之原因通知</w:t>
      </w:r>
      <w:r w:rsidRPr="000B2CBA">
        <w:rPr>
          <w:rFonts w:hAnsi="標楷體" w:hint="eastAsia"/>
          <w:b/>
          <w:color w:val="000000" w:themeColor="text1"/>
        </w:rPr>
        <w:t>「</w:t>
      </w:r>
      <w:r w:rsidRPr="000B2CBA">
        <w:rPr>
          <w:rFonts w:hint="eastAsia"/>
          <w:b/>
          <w:color w:val="000000" w:themeColor="text1"/>
        </w:rPr>
        <w:t>告發人</w:t>
      </w:r>
      <w:r w:rsidRPr="000B2CBA">
        <w:rPr>
          <w:rFonts w:hAnsi="標楷體" w:hint="eastAsia"/>
          <w:b/>
          <w:color w:val="000000" w:themeColor="text1"/>
        </w:rPr>
        <w:t>」</w:t>
      </w:r>
      <w:r w:rsidRPr="000B2CBA">
        <w:rPr>
          <w:rFonts w:hint="eastAsia"/>
          <w:b/>
          <w:color w:val="000000" w:themeColor="text1"/>
        </w:rPr>
        <w:t>，惟是否包括被併案件之告發人未予明定</w:t>
      </w:r>
      <w:r w:rsidRPr="000B2CBA">
        <w:rPr>
          <w:rFonts w:hAnsi="標楷體" w:hint="eastAsia"/>
          <w:b/>
          <w:color w:val="000000" w:themeColor="text1"/>
        </w:rPr>
        <w:t>，故臺東地檢署僅通知併案後存續案件之告發人。本案</w:t>
      </w:r>
      <w:r w:rsidRPr="000B2CBA">
        <w:rPr>
          <w:rFonts w:hint="eastAsia"/>
          <w:b/>
          <w:color w:val="000000" w:themeColor="text1"/>
        </w:rPr>
        <w:t>陳訴人告發案係屬被併案件</w:t>
      </w:r>
      <w:r w:rsidRPr="000B2CBA">
        <w:rPr>
          <w:rFonts w:hAnsi="標楷體" w:hint="eastAsia"/>
          <w:b/>
          <w:color w:val="000000" w:themeColor="text1"/>
        </w:rPr>
        <w:t>，</w:t>
      </w:r>
      <w:r w:rsidRPr="000B2CBA">
        <w:rPr>
          <w:rFonts w:hint="eastAsia"/>
          <w:b/>
          <w:color w:val="000000" w:themeColor="text1"/>
        </w:rPr>
        <w:t>因未接獲檢察官簽結之通知致其有6年來檢方未有任何偵查作為之認知</w:t>
      </w:r>
      <w:r w:rsidRPr="000B2CBA">
        <w:rPr>
          <w:rFonts w:hAnsi="標楷體" w:hint="eastAsia"/>
          <w:b/>
          <w:color w:val="000000" w:themeColor="text1"/>
        </w:rPr>
        <w:t>，</w:t>
      </w:r>
      <w:r w:rsidRPr="000B2CBA">
        <w:rPr>
          <w:rFonts w:hint="eastAsia"/>
          <w:b/>
          <w:color w:val="000000" w:themeColor="text1"/>
        </w:rPr>
        <w:t>爰上開應行注意事項允宜明定告發人之範圍</w:t>
      </w:r>
      <w:r w:rsidRPr="000B2CBA">
        <w:rPr>
          <w:rFonts w:hAnsi="標楷體" w:hint="eastAsia"/>
          <w:b/>
          <w:color w:val="000000" w:themeColor="text1"/>
        </w:rPr>
        <w:t>，</w:t>
      </w:r>
      <w:r w:rsidRPr="000B2CBA">
        <w:rPr>
          <w:rFonts w:hint="eastAsia"/>
          <w:b/>
          <w:color w:val="000000" w:themeColor="text1"/>
        </w:rPr>
        <w:t>避免類此被併案件之告發人不知其告發案結果之情形發生</w:t>
      </w:r>
      <w:r w:rsidRPr="000B2CBA">
        <w:rPr>
          <w:rFonts w:hAnsi="標楷體" w:hint="eastAsia"/>
          <w:b/>
          <w:color w:val="000000" w:themeColor="text1"/>
        </w:rPr>
        <w:t>。</w:t>
      </w:r>
    </w:p>
    <w:p w:rsidR="00C67F06" w:rsidRPr="006833AC" w:rsidRDefault="00E93080" w:rsidP="004350CE">
      <w:pPr>
        <w:pStyle w:val="3"/>
        <w:rPr>
          <w:b/>
          <w:color w:val="000000" w:themeColor="text1"/>
        </w:rPr>
      </w:pPr>
      <w:r w:rsidRPr="006833AC">
        <w:rPr>
          <w:rFonts w:hint="eastAsia"/>
          <w:b/>
          <w:color w:val="000000" w:themeColor="text1"/>
        </w:rPr>
        <w:t>美麗灣渡假村開發案經過情形</w:t>
      </w:r>
      <w:r w:rsidR="00882CFB" w:rsidRPr="006833AC">
        <w:rPr>
          <w:rFonts w:hAnsi="標楷體" w:hint="eastAsia"/>
          <w:b/>
          <w:color w:val="000000" w:themeColor="text1"/>
        </w:rPr>
        <w:t>：</w:t>
      </w:r>
    </w:p>
    <w:p w:rsidR="00E93080" w:rsidRPr="006833AC" w:rsidRDefault="00E93080" w:rsidP="00E93080">
      <w:pPr>
        <w:pStyle w:val="4"/>
        <w:rPr>
          <w:color w:val="000000" w:themeColor="text1"/>
        </w:rPr>
      </w:pPr>
      <w:r w:rsidRPr="006833AC">
        <w:rPr>
          <w:rFonts w:hint="eastAsia"/>
          <w:color w:val="000000" w:themeColor="text1"/>
          <w:szCs w:val="48"/>
        </w:rPr>
        <w:t>緣臺東縣政府</w:t>
      </w:r>
      <w:r w:rsidRPr="006833AC">
        <w:rPr>
          <w:color w:val="000000" w:themeColor="text1"/>
          <w:szCs w:val="48"/>
        </w:rPr>
        <w:t>(</w:t>
      </w:r>
      <w:r w:rsidR="00264CB4" w:rsidRPr="006833AC">
        <w:rPr>
          <w:rFonts w:hint="eastAsia"/>
          <w:color w:val="000000" w:themeColor="text1"/>
          <w:szCs w:val="48"/>
        </w:rPr>
        <w:t>徐</w:t>
      </w:r>
      <w:r w:rsidR="000D7BF1">
        <w:rPr>
          <w:rFonts w:hint="eastAsia"/>
          <w:color w:val="000000" w:themeColor="text1"/>
          <w:szCs w:val="48"/>
        </w:rPr>
        <w:t>慶元</w:t>
      </w:r>
      <w:r w:rsidRPr="006833AC">
        <w:rPr>
          <w:rFonts w:hint="eastAsia"/>
          <w:color w:val="000000" w:themeColor="text1"/>
          <w:szCs w:val="48"/>
        </w:rPr>
        <w:t>擔任縣長任內</w:t>
      </w:r>
      <w:r w:rsidRPr="006833AC">
        <w:rPr>
          <w:color w:val="000000" w:themeColor="text1"/>
          <w:szCs w:val="48"/>
        </w:rPr>
        <w:t>)</w:t>
      </w:r>
      <w:r w:rsidRPr="006833AC">
        <w:rPr>
          <w:rFonts w:hint="eastAsia"/>
          <w:color w:val="000000" w:themeColor="text1"/>
          <w:szCs w:val="48"/>
        </w:rPr>
        <w:t>與美麗灣渡假村股份有限公司</w:t>
      </w:r>
      <w:r w:rsidRPr="006833AC">
        <w:rPr>
          <w:color w:val="000000" w:themeColor="text1"/>
          <w:szCs w:val="48"/>
        </w:rPr>
        <w:t>(</w:t>
      </w:r>
      <w:r w:rsidRPr="006833AC">
        <w:rPr>
          <w:rFonts w:hint="eastAsia"/>
          <w:color w:val="000000" w:themeColor="text1"/>
          <w:szCs w:val="48"/>
        </w:rPr>
        <w:t>下稱美麗灣公司</w:t>
      </w:r>
      <w:r w:rsidRPr="006833AC">
        <w:rPr>
          <w:color w:val="000000" w:themeColor="text1"/>
          <w:szCs w:val="48"/>
        </w:rPr>
        <w:t>)</w:t>
      </w:r>
      <w:r w:rsidRPr="006833AC">
        <w:rPr>
          <w:rFonts w:hint="eastAsia"/>
          <w:color w:val="000000" w:themeColor="text1"/>
          <w:szCs w:val="48"/>
        </w:rPr>
        <w:t>於</w:t>
      </w:r>
      <w:r w:rsidRPr="006833AC">
        <w:rPr>
          <w:color w:val="000000" w:themeColor="text1"/>
          <w:szCs w:val="48"/>
        </w:rPr>
        <w:t>93</w:t>
      </w:r>
      <w:r w:rsidRPr="006833AC">
        <w:rPr>
          <w:rFonts w:hint="eastAsia"/>
          <w:color w:val="000000" w:themeColor="text1"/>
          <w:szCs w:val="48"/>
        </w:rPr>
        <w:t>年</w:t>
      </w:r>
      <w:r w:rsidRPr="006833AC">
        <w:rPr>
          <w:color w:val="000000" w:themeColor="text1"/>
          <w:szCs w:val="48"/>
        </w:rPr>
        <w:t>12</w:t>
      </w:r>
      <w:r w:rsidRPr="006833AC">
        <w:rPr>
          <w:rFonts w:hint="eastAsia"/>
          <w:color w:val="000000" w:themeColor="text1"/>
          <w:szCs w:val="48"/>
        </w:rPr>
        <w:t>月</w:t>
      </w:r>
      <w:r w:rsidRPr="006833AC">
        <w:rPr>
          <w:color w:val="000000" w:themeColor="text1"/>
          <w:szCs w:val="48"/>
        </w:rPr>
        <w:t>14</w:t>
      </w:r>
      <w:r w:rsidRPr="006833AC">
        <w:rPr>
          <w:rFonts w:hint="eastAsia"/>
          <w:color w:val="000000" w:themeColor="text1"/>
          <w:szCs w:val="48"/>
        </w:rPr>
        <w:t>日簽訂「徵求民間參與杉原海水浴場經營案興建暨營運契約</w:t>
      </w:r>
      <w:r w:rsidRPr="006833AC">
        <w:rPr>
          <w:rFonts w:hAnsi="標楷體" w:hint="eastAsia"/>
          <w:color w:val="000000" w:themeColor="text1"/>
          <w:szCs w:val="48"/>
        </w:rPr>
        <w:t>」，</w:t>
      </w:r>
      <w:r w:rsidRPr="006833AC">
        <w:rPr>
          <w:rFonts w:hint="eastAsia"/>
          <w:color w:val="000000" w:themeColor="text1"/>
          <w:szCs w:val="48"/>
        </w:rPr>
        <w:t>雙方約定由臺東縣政府設定坐落在臺東縣卑南鄉加路蘭段</w:t>
      </w:r>
      <w:r w:rsidRPr="006833AC">
        <w:rPr>
          <w:color w:val="000000" w:themeColor="text1"/>
          <w:szCs w:val="48"/>
        </w:rPr>
        <w:t>(</w:t>
      </w:r>
      <w:r w:rsidRPr="006833AC">
        <w:rPr>
          <w:rFonts w:hint="eastAsia"/>
          <w:color w:val="000000" w:themeColor="text1"/>
          <w:szCs w:val="48"/>
        </w:rPr>
        <w:t>下稱加路蘭段</w:t>
      </w:r>
      <w:r w:rsidRPr="006833AC">
        <w:rPr>
          <w:color w:val="000000" w:themeColor="text1"/>
          <w:szCs w:val="48"/>
        </w:rPr>
        <w:t>)</w:t>
      </w:r>
      <w:r w:rsidRPr="006833AC">
        <w:rPr>
          <w:rFonts w:hint="eastAsia"/>
          <w:color w:val="000000" w:themeColor="text1"/>
          <w:szCs w:val="48"/>
        </w:rPr>
        <w:t>第</w:t>
      </w:r>
      <w:r w:rsidRPr="006833AC">
        <w:rPr>
          <w:color w:val="000000" w:themeColor="text1"/>
          <w:szCs w:val="48"/>
        </w:rPr>
        <w:t>346</w:t>
      </w:r>
      <w:r w:rsidRPr="006833AC">
        <w:rPr>
          <w:rFonts w:hint="eastAsia"/>
          <w:color w:val="000000" w:themeColor="text1"/>
        </w:rPr>
        <w:t>、</w:t>
      </w:r>
      <w:r w:rsidRPr="006833AC">
        <w:rPr>
          <w:color w:val="000000" w:themeColor="text1"/>
          <w:szCs w:val="48"/>
        </w:rPr>
        <w:t>346-2</w:t>
      </w:r>
      <w:r w:rsidRPr="006833AC">
        <w:rPr>
          <w:rFonts w:hint="eastAsia"/>
          <w:color w:val="000000" w:themeColor="text1"/>
          <w:szCs w:val="48"/>
        </w:rPr>
        <w:t>地號、面積合計</w:t>
      </w:r>
      <w:r w:rsidRPr="006833AC">
        <w:rPr>
          <w:color w:val="000000" w:themeColor="text1"/>
          <w:szCs w:val="48"/>
        </w:rPr>
        <w:t>5.9956</w:t>
      </w:r>
      <w:r w:rsidRPr="006833AC">
        <w:rPr>
          <w:rFonts w:hint="eastAsia"/>
          <w:color w:val="000000" w:themeColor="text1"/>
          <w:szCs w:val="48"/>
        </w:rPr>
        <w:t>公頃、期間為</w:t>
      </w:r>
      <w:r w:rsidRPr="006833AC">
        <w:rPr>
          <w:color w:val="000000" w:themeColor="text1"/>
          <w:szCs w:val="48"/>
        </w:rPr>
        <w:t>50</w:t>
      </w:r>
      <w:r w:rsidRPr="006833AC">
        <w:rPr>
          <w:rFonts w:hint="eastAsia"/>
          <w:color w:val="000000" w:themeColor="text1"/>
          <w:szCs w:val="48"/>
        </w:rPr>
        <w:t>年之地上權予美麗灣公司，美麗灣公司須支付開發權利金新臺幣</w:t>
      </w:r>
      <w:r w:rsidRPr="006833AC">
        <w:rPr>
          <w:color w:val="000000" w:themeColor="text1"/>
          <w:szCs w:val="48"/>
        </w:rPr>
        <w:t>500</w:t>
      </w:r>
      <w:r w:rsidRPr="006833AC">
        <w:rPr>
          <w:rFonts w:hint="eastAsia"/>
          <w:color w:val="000000" w:themeColor="text1"/>
          <w:szCs w:val="48"/>
        </w:rPr>
        <w:t>萬元，並在前開土地上興建、營運「美麗灣渡假酒店</w:t>
      </w:r>
      <w:r w:rsidRPr="006833AC">
        <w:rPr>
          <w:rFonts w:hAnsi="標楷體" w:hint="eastAsia"/>
          <w:color w:val="000000" w:themeColor="text1"/>
          <w:szCs w:val="48"/>
        </w:rPr>
        <w:t>」，</w:t>
      </w:r>
      <w:r w:rsidRPr="006833AC">
        <w:rPr>
          <w:rFonts w:hint="eastAsia"/>
          <w:color w:val="000000" w:themeColor="text1"/>
          <w:szCs w:val="48"/>
        </w:rPr>
        <w:t>且自營運</w:t>
      </w:r>
      <w:r w:rsidRPr="006833AC">
        <w:rPr>
          <w:rFonts w:hint="eastAsia"/>
          <w:color w:val="000000" w:themeColor="text1"/>
          <w:szCs w:val="48"/>
        </w:rPr>
        <w:lastRenderedPageBreak/>
        <w:t>開始日起每年繳納營業額總收入</w:t>
      </w:r>
      <w:r w:rsidRPr="006833AC">
        <w:rPr>
          <w:color w:val="000000" w:themeColor="text1"/>
          <w:szCs w:val="48"/>
        </w:rPr>
        <w:t>2%</w:t>
      </w:r>
      <w:r w:rsidRPr="006833AC">
        <w:rPr>
          <w:rFonts w:hint="eastAsia"/>
          <w:color w:val="000000" w:themeColor="text1"/>
          <w:szCs w:val="48"/>
        </w:rPr>
        <w:t>之營運權利金給臺東縣政府，俟營運期間屆滿後，移轉前開土地上建物所有權予臺東縣政府。</w:t>
      </w:r>
    </w:p>
    <w:p w:rsidR="00882CFB" w:rsidRPr="006833AC" w:rsidRDefault="00882CFB" w:rsidP="00E93080">
      <w:pPr>
        <w:pStyle w:val="4"/>
        <w:rPr>
          <w:color w:val="000000" w:themeColor="text1"/>
        </w:rPr>
      </w:pPr>
      <w:r w:rsidRPr="006833AC">
        <w:rPr>
          <w:rFonts w:hint="eastAsia"/>
          <w:color w:val="000000" w:themeColor="text1"/>
        </w:rPr>
        <w:t>後美麗灣公司於</w:t>
      </w:r>
      <w:r w:rsidRPr="006833AC">
        <w:rPr>
          <w:color w:val="000000" w:themeColor="text1"/>
        </w:rPr>
        <w:t>94</w:t>
      </w:r>
      <w:r w:rsidRPr="006833AC">
        <w:rPr>
          <w:rFonts w:hint="eastAsia"/>
          <w:color w:val="000000" w:themeColor="text1"/>
        </w:rPr>
        <w:t>年</w:t>
      </w:r>
      <w:r w:rsidRPr="006833AC">
        <w:rPr>
          <w:color w:val="000000" w:themeColor="text1"/>
        </w:rPr>
        <w:t>3</w:t>
      </w:r>
      <w:r w:rsidRPr="006833AC">
        <w:rPr>
          <w:rFonts w:hint="eastAsia"/>
          <w:color w:val="000000" w:themeColor="text1"/>
        </w:rPr>
        <w:t>月</w:t>
      </w:r>
      <w:r w:rsidRPr="006833AC">
        <w:rPr>
          <w:color w:val="000000" w:themeColor="text1"/>
        </w:rPr>
        <w:t>8</w:t>
      </w:r>
      <w:r w:rsidRPr="006833AC">
        <w:rPr>
          <w:rFonts w:hint="eastAsia"/>
          <w:color w:val="000000" w:themeColor="text1"/>
        </w:rPr>
        <w:t>日經臺東縣政府同意將加路蘭段第</w:t>
      </w:r>
      <w:r w:rsidRPr="006833AC">
        <w:rPr>
          <w:color w:val="000000" w:themeColor="text1"/>
        </w:rPr>
        <w:t>346</w:t>
      </w:r>
      <w:r w:rsidRPr="006833AC">
        <w:rPr>
          <w:rFonts w:hint="eastAsia"/>
          <w:color w:val="000000" w:themeColor="text1"/>
        </w:rPr>
        <w:t>、</w:t>
      </w:r>
      <w:r w:rsidRPr="006833AC">
        <w:rPr>
          <w:color w:val="000000" w:themeColor="text1"/>
        </w:rPr>
        <w:t>346-2</w:t>
      </w:r>
      <w:r w:rsidRPr="006833AC">
        <w:rPr>
          <w:rFonts w:hint="eastAsia"/>
          <w:color w:val="000000" w:themeColor="text1"/>
        </w:rPr>
        <w:t>地號合併分割面積分別為</w:t>
      </w:r>
      <w:r w:rsidRPr="006833AC">
        <w:rPr>
          <w:color w:val="000000" w:themeColor="text1"/>
        </w:rPr>
        <w:t>4.9959</w:t>
      </w:r>
      <w:r w:rsidRPr="006833AC">
        <w:rPr>
          <w:rFonts w:hint="eastAsia"/>
          <w:color w:val="000000" w:themeColor="text1"/>
        </w:rPr>
        <w:t>公頃、</w:t>
      </w:r>
      <w:r w:rsidRPr="006833AC">
        <w:rPr>
          <w:color w:val="000000" w:themeColor="text1"/>
        </w:rPr>
        <w:t>0.9997</w:t>
      </w:r>
      <w:r w:rsidRPr="006833AC">
        <w:rPr>
          <w:rFonts w:hint="eastAsia"/>
          <w:color w:val="000000" w:themeColor="text1"/>
        </w:rPr>
        <w:t>公頃之加路蘭段第</w:t>
      </w:r>
      <w:r w:rsidRPr="006833AC">
        <w:rPr>
          <w:color w:val="000000" w:themeColor="text1"/>
        </w:rPr>
        <w:t>346</w:t>
      </w:r>
      <w:r w:rsidRPr="006833AC">
        <w:rPr>
          <w:rFonts w:hint="eastAsia"/>
          <w:color w:val="000000" w:themeColor="text1"/>
        </w:rPr>
        <w:t>、3</w:t>
      </w:r>
      <w:r w:rsidRPr="006833AC">
        <w:rPr>
          <w:color w:val="000000" w:themeColor="text1"/>
        </w:rPr>
        <w:t>46-4</w:t>
      </w:r>
      <w:r w:rsidRPr="006833AC">
        <w:rPr>
          <w:rFonts w:hint="eastAsia"/>
          <w:color w:val="000000" w:themeColor="text1"/>
        </w:rPr>
        <w:t>地號兩筆土地，再於</w:t>
      </w:r>
      <w:r w:rsidRPr="006833AC">
        <w:rPr>
          <w:color w:val="000000" w:themeColor="text1"/>
        </w:rPr>
        <w:t>94</w:t>
      </w:r>
      <w:r w:rsidRPr="006833AC">
        <w:rPr>
          <w:rFonts w:hint="eastAsia"/>
          <w:color w:val="000000" w:themeColor="text1"/>
        </w:rPr>
        <w:t>年</w:t>
      </w:r>
      <w:r w:rsidRPr="006833AC">
        <w:rPr>
          <w:color w:val="000000" w:themeColor="text1"/>
        </w:rPr>
        <w:t>9</w:t>
      </w:r>
      <w:r w:rsidRPr="006833AC">
        <w:rPr>
          <w:rFonts w:hint="eastAsia"/>
          <w:color w:val="000000" w:themeColor="text1"/>
        </w:rPr>
        <w:t>月</w:t>
      </w:r>
      <w:r w:rsidRPr="006833AC">
        <w:rPr>
          <w:color w:val="000000" w:themeColor="text1"/>
        </w:rPr>
        <w:t>16</w:t>
      </w:r>
      <w:r w:rsidRPr="006833AC">
        <w:rPr>
          <w:rFonts w:hint="eastAsia"/>
          <w:color w:val="000000" w:themeColor="text1"/>
        </w:rPr>
        <w:t>日辦理臺東縣政府旅遊局</w:t>
      </w:r>
      <w:r w:rsidRPr="006833AC">
        <w:rPr>
          <w:color w:val="000000" w:themeColor="text1"/>
        </w:rPr>
        <w:t>(</w:t>
      </w:r>
      <w:r w:rsidRPr="006833AC">
        <w:rPr>
          <w:rFonts w:hint="eastAsia"/>
          <w:color w:val="000000" w:themeColor="text1"/>
        </w:rPr>
        <w:t>現改制為觀光旅遊處</w:t>
      </w:r>
      <w:r w:rsidRPr="006833AC">
        <w:rPr>
          <w:color w:val="000000" w:themeColor="text1"/>
        </w:rPr>
        <w:t>)</w:t>
      </w:r>
      <w:r w:rsidRPr="006833AC">
        <w:rPr>
          <w:rFonts w:hint="eastAsia"/>
          <w:color w:val="000000" w:themeColor="text1"/>
        </w:rPr>
        <w:t>簽會環境保護局(下稱環保局)協助判定「徵求民間參與杉原海水浴場投資經營案</w:t>
      </w:r>
      <w:r w:rsidR="00E659FD" w:rsidRPr="006833AC">
        <w:rPr>
          <w:rFonts w:hint="eastAsia"/>
          <w:color w:val="000000" w:themeColor="text1"/>
        </w:rPr>
        <w:t>」是否須進行環境影響評估</w:t>
      </w:r>
      <w:r w:rsidRPr="006833AC">
        <w:rPr>
          <w:rFonts w:hint="eastAsia"/>
          <w:color w:val="000000" w:themeColor="text1"/>
        </w:rPr>
        <w:t>案時，僅以旅遊局所提送前開契約飯店主體工程所在不足</w:t>
      </w:r>
      <w:r w:rsidRPr="006833AC">
        <w:rPr>
          <w:color w:val="000000" w:themeColor="text1"/>
        </w:rPr>
        <w:t>1</w:t>
      </w:r>
      <w:r w:rsidRPr="006833AC">
        <w:rPr>
          <w:rFonts w:hint="eastAsia"/>
          <w:color w:val="000000" w:themeColor="text1"/>
        </w:rPr>
        <w:t>公頃之加路蘭段第</w:t>
      </w:r>
      <w:r w:rsidRPr="006833AC">
        <w:rPr>
          <w:color w:val="000000" w:themeColor="text1"/>
        </w:rPr>
        <w:t>346-4</w:t>
      </w:r>
      <w:r w:rsidRPr="006833AC">
        <w:rPr>
          <w:rFonts w:hint="eastAsia"/>
          <w:color w:val="000000" w:themeColor="text1"/>
        </w:rPr>
        <w:t>地號土地用以審查，美麗灣公司於申請第一次建照時，係以</w:t>
      </w:r>
      <w:r w:rsidRPr="006833AC">
        <w:rPr>
          <w:color w:val="000000" w:themeColor="text1"/>
        </w:rPr>
        <w:t>94</w:t>
      </w:r>
      <w:r w:rsidRPr="006833AC">
        <w:rPr>
          <w:rFonts w:hint="eastAsia"/>
          <w:color w:val="000000" w:themeColor="text1"/>
        </w:rPr>
        <w:t>年間提送之變更投資執行計畫，僅規劃於</w:t>
      </w:r>
      <w:r w:rsidRPr="006833AC">
        <w:rPr>
          <w:color w:val="000000" w:themeColor="text1"/>
        </w:rPr>
        <w:t>1</w:t>
      </w:r>
      <w:r w:rsidRPr="006833AC">
        <w:rPr>
          <w:rFonts w:hint="eastAsia"/>
          <w:color w:val="000000" w:themeColor="text1"/>
        </w:rPr>
        <w:t>公頃範圍內</w:t>
      </w:r>
      <w:r w:rsidRPr="006833AC">
        <w:rPr>
          <w:color w:val="000000" w:themeColor="text1"/>
        </w:rPr>
        <w:t>(</w:t>
      </w:r>
      <w:r w:rsidRPr="006833AC">
        <w:rPr>
          <w:rFonts w:hint="eastAsia"/>
          <w:color w:val="000000" w:themeColor="text1"/>
        </w:rPr>
        <w:t>即</w:t>
      </w:r>
      <w:r w:rsidRPr="006833AC">
        <w:rPr>
          <w:color w:val="000000" w:themeColor="text1"/>
        </w:rPr>
        <w:t>346-4</w:t>
      </w:r>
      <w:r w:rsidRPr="006833AC">
        <w:rPr>
          <w:rFonts w:hint="eastAsia"/>
          <w:color w:val="000000" w:themeColor="text1"/>
        </w:rPr>
        <w:t>地號土地</w:t>
      </w:r>
      <w:r w:rsidRPr="006833AC">
        <w:rPr>
          <w:color w:val="000000" w:themeColor="text1"/>
        </w:rPr>
        <w:t>)</w:t>
      </w:r>
      <w:r w:rsidRPr="006833AC">
        <w:rPr>
          <w:rFonts w:hint="eastAsia"/>
          <w:color w:val="000000" w:themeColor="text1"/>
        </w:rPr>
        <w:t>興建</w:t>
      </w:r>
      <w:r w:rsidRPr="006833AC">
        <w:rPr>
          <w:color w:val="000000" w:themeColor="text1"/>
        </w:rPr>
        <w:t>80</w:t>
      </w:r>
      <w:r w:rsidRPr="006833AC">
        <w:rPr>
          <w:rFonts w:hint="eastAsia"/>
          <w:color w:val="000000" w:themeColor="text1"/>
        </w:rPr>
        <w:t>間客房之一般旅館。經縣政府環保局承辦人員在簽稿會核單簽註「本案經書面審查未達</w:t>
      </w:r>
      <w:r w:rsidRPr="006833AC">
        <w:rPr>
          <w:rFonts w:hAnsi="標楷體" w:hint="eastAsia"/>
          <w:color w:val="000000" w:themeColor="text1"/>
        </w:rPr>
        <w:t>『</w:t>
      </w:r>
      <w:r w:rsidRPr="006833AC">
        <w:rPr>
          <w:rFonts w:hint="eastAsia"/>
          <w:color w:val="000000" w:themeColor="text1"/>
        </w:rPr>
        <w:t>開發行為應實施環境影響評估細目及認定標準</w:t>
      </w:r>
      <w:r w:rsidRPr="006833AC">
        <w:rPr>
          <w:rFonts w:hAnsi="標楷體" w:hint="eastAsia"/>
          <w:color w:val="000000" w:themeColor="text1"/>
        </w:rPr>
        <w:t>』</w:t>
      </w:r>
      <w:r w:rsidRPr="006833AC">
        <w:rPr>
          <w:rFonts w:hint="eastAsia"/>
          <w:color w:val="000000" w:themeColor="text1"/>
        </w:rPr>
        <w:t>第</w:t>
      </w:r>
      <w:r w:rsidRPr="006833AC">
        <w:rPr>
          <w:color w:val="000000" w:themeColor="text1"/>
        </w:rPr>
        <w:t>31</w:t>
      </w:r>
      <w:r w:rsidRPr="006833AC">
        <w:rPr>
          <w:rFonts w:hint="eastAsia"/>
          <w:color w:val="000000" w:themeColor="text1"/>
        </w:rPr>
        <w:t>條第</w:t>
      </w:r>
      <w:r w:rsidRPr="006833AC">
        <w:rPr>
          <w:color w:val="000000" w:themeColor="text1"/>
        </w:rPr>
        <w:t>1</w:t>
      </w:r>
      <w:r w:rsidRPr="006833AC">
        <w:rPr>
          <w:rFonts w:hint="eastAsia"/>
          <w:color w:val="000000" w:themeColor="text1"/>
        </w:rPr>
        <w:t>項第</w:t>
      </w:r>
      <w:r w:rsidRPr="006833AC">
        <w:rPr>
          <w:color w:val="000000" w:themeColor="text1"/>
        </w:rPr>
        <w:t>13</w:t>
      </w:r>
      <w:r w:rsidRPr="006833AC">
        <w:rPr>
          <w:rFonts w:hint="eastAsia"/>
          <w:color w:val="000000" w:themeColor="text1"/>
        </w:rPr>
        <w:t>款規定，依法免實施環境影響評估」後，由縣政府建管承辦人員於</w:t>
      </w:r>
      <w:r w:rsidRPr="006833AC">
        <w:rPr>
          <w:color w:val="000000" w:themeColor="text1"/>
        </w:rPr>
        <w:t>94</w:t>
      </w:r>
      <w:r w:rsidRPr="006833AC">
        <w:rPr>
          <w:rFonts w:hint="eastAsia"/>
          <w:color w:val="000000" w:themeColor="text1"/>
        </w:rPr>
        <w:t>年</w:t>
      </w:r>
      <w:r w:rsidRPr="006833AC">
        <w:rPr>
          <w:color w:val="000000" w:themeColor="text1"/>
        </w:rPr>
        <w:t>10</w:t>
      </w:r>
      <w:r w:rsidRPr="006833AC">
        <w:rPr>
          <w:rFonts w:hint="eastAsia"/>
          <w:color w:val="000000" w:themeColor="text1"/>
        </w:rPr>
        <w:t>月</w:t>
      </w:r>
      <w:r w:rsidRPr="006833AC">
        <w:rPr>
          <w:color w:val="000000" w:themeColor="text1"/>
        </w:rPr>
        <w:t>7</w:t>
      </w:r>
      <w:r w:rsidRPr="006833AC">
        <w:rPr>
          <w:rFonts w:hint="eastAsia"/>
          <w:color w:val="000000" w:themeColor="text1"/>
        </w:rPr>
        <w:t>日，同意核發府城建字第</w:t>
      </w:r>
      <w:r w:rsidRPr="006833AC">
        <w:rPr>
          <w:color w:val="000000" w:themeColor="text1"/>
        </w:rPr>
        <w:t>0947005050</w:t>
      </w:r>
      <w:r w:rsidRPr="006833AC">
        <w:rPr>
          <w:rFonts w:hint="eastAsia"/>
          <w:color w:val="000000" w:themeColor="text1"/>
        </w:rPr>
        <w:t>號建築執照【飯店主體工程</w:t>
      </w:r>
      <w:r w:rsidRPr="006833AC">
        <w:rPr>
          <w:color w:val="000000" w:themeColor="text1"/>
        </w:rPr>
        <w:t>(</w:t>
      </w:r>
      <w:r w:rsidRPr="006833AC">
        <w:rPr>
          <w:rFonts w:hint="eastAsia"/>
          <w:color w:val="000000" w:themeColor="text1"/>
        </w:rPr>
        <w:t>第一次建照</w:t>
      </w:r>
      <w:r w:rsidRPr="006833AC">
        <w:rPr>
          <w:color w:val="000000" w:themeColor="text1"/>
        </w:rPr>
        <w:t>)</w:t>
      </w:r>
      <w:r w:rsidRPr="006833AC">
        <w:rPr>
          <w:rFonts w:hint="eastAsia"/>
          <w:color w:val="000000" w:themeColor="text1"/>
        </w:rPr>
        <w:t>】</w:t>
      </w:r>
      <w:r w:rsidRPr="006833AC">
        <w:rPr>
          <w:rFonts w:hAnsi="標楷體" w:hint="eastAsia"/>
          <w:color w:val="000000" w:themeColor="text1"/>
        </w:rPr>
        <w:t>。</w:t>
      </w:r>
    </w:p>
    <w:p w:rsidR="00882CFB" w:rsidRPr="006833AC" w:rsidRDefault="00882CFB" w:rsidP="00E93080">
      <w:pPr>
        <w:pStyle w:val="4"/>
        <w:rPr>
          <w:color w:val="000000" w:themeColor="text1"/>
        </w:rPr>
      </w:pPr>
      <w:r w:rsidRPr="006833AC">
        <w:rPr>
          <w:rFonts w:hint="eastAsia"/>
          <w:color w:val="000000" w:themeColor="text1"/>
        </w:rPr>
        <w:t>臺東縣政府</w:t>
      </w:r>
      <w:r w:rsidRPr="006833AC">
        <w:rPr>
          <w:color w:val="000000" w:themeColor="text1"/>
        </w:rPr>
        <w:t>(</w:t>
      </w:r>
      <w:r w:rsidR="00264CB4" w:rsidRPr="006833AC">
        <w:rPr>
          <w:rFonts w:hint="eastAsia"/>
          <w:color w:val="000000" w:themeColor="text1"/>
        </w:rPr>
        <w:t>鄺</w:t>
      </w:r>
      <w:r w:rsidR="000D7BF1" w:rsidRPr="006833AC">
        <w:rPr>
          <w:rFonts w:hint="eastAsia"/>
          <w:color w:val="000000" w:themeColor="text1"/>
        </w:rPr>
        <w:t>○</w:t>
      </w:r>
      <w:r w:rsidR="000D7BF1">
        <w:rPr>
          <w:rFonts w:hint="eastAsia"/>
          <w:color w:val="000000" w:themeColor="text1"/>
        </w:rPr>
        <w:t>貞</w:t>
      </w:r>
      <w:r w:rsidRPr="006833AC">
        <w:rPr>
          <w:rFonts w:hint="eastAsia"/>
          <w:color w:val="000000" w:themeColor="text1"/>
        </w:rPr>
        <w:t>擔任縣長任內</w:t>
      </w:r>
      <w:r w:rsidRPr="006833AC">
        <w:rPr>
          <w:color w:val="000000" w:themeColor="text1"/>
        </w:rPr>
        <w:t>)</w:t>
      </w:r>
      <w:r w:rsidRPr="006833AC">
        <w:rPr>
          <w:rFonts w:hint="eastAsia"/>
          <w:color w:val="000000" w:themeColor="text1"/>
        </w:rPr>
        <w:t>於</w:t>
      </w:r>
      <w:r w:rsidRPr="006833AC">
        <w:rPr>
          <w:color w:val="000000" w:themeColor="text1"/>
        </w:rPr>
        <w:t>96</w:t>
      </w:r>
      <w:r w:rsidRPr="006833AC">
        <w:rPr>
          <w:rFonts w:hint="eastAsia"/>
          <w:color w:val="000000" w:themeColor="text1"/>
        </w:rPr>
        <w:t>年</w:t>
      </w:r>
      <w:r w:rsidRPr="006833AC">
        <w:rPr>
          <w:color w:val="000000" w:themeColor="text1"/>
        </w:rPr>
        <w:t>7</w:t>
      </w:r>
      <w:r w:rsidRPr="006833AC">
        <w:rPr>
          <w:rFonts w:hint="eastAsia"/>
          <w:color w:val="000000" w:themeColor="text1"/>
        </w:rPr>
        <w:t>月</w:t>
      </w:r>
      <w:r w:rsidRPr="006833AC">
        <w:rPr>
          <w:color w:val="000000" w:themeColor="text1"/>
        </w:rPr>
        <w:t>9</w:t>
      </w:r>
      <w:r w:rsidRPr="006833AC">
        <w:rPr>
          <w:rFonts w:hint="eastAsia"/>
          <w:color w:val="000000" w:themeColor="text1"/>
        </w:rPr>
        <w:t>日接獲行政院環境保護署環署綜字第</w:t>
      </w:r>
      <w:r w:rsidRPr="006833AC">
        <w:rPr>
          <w:color w:val="000000" w:themeColor="text1"/>
        </w:rPr>
        <w:t>0960049484</w:t>
      </w:r>
      <w:r w:rsidRPr="006833AC">
        <w:rPr>
          <w:rFonts w:hint="eastAsia"/>
          <w:color w:val="000000" w:themeColor="text1"/>
        </w:rPr>
        <w:t>號函知臺東縣政府，應以整體開發總面積作為是否進行環境影響評估標準之解釋後，而以目的事業主管機關之身分，依環境影響評估法第</w:t>
      </w:r>
      <w:r w:rsidRPr="006833AC">
        <w:rPr>
          <w:color w:val="000000" w:themeColor="text1"/>
        </w:rPr>
        <w:t>22</w:t>
      </w:r>
      <w:r w:rsidRPr="006833AC">
        <w:rPr>
          <w:rFonts w:hint="eastAsia"/>
          <w:color w:val="000000" w:themeColor="text1"/>
        </w:rPr>
        <w:t>條逕命美麗灣公司在加路蘭段第</w:t>
      </w:r>
      <w:r w:rsidRPr="006833AC">
        <w:rPr>
          <w:color w:val="000000" w:themeColor="text1"/>
        </w:rPr>
        <w:t>346</w:t>
      </w:r>
      <w:r w:rsidRPr="006833AC">
        <w:rPr>
          <w:rFonts w:hint="eastAsia"/>
          <w:color w:val="000000" w:themeColor="text1"/>
        </w:rPr>
        <w:t>地號土地上停止開發行為。嗣因美麗灣公司於</w:t>
      </w:r>
      <w:r w:rsidRPr="006833AC">
        <w:rPr>
          <w:color w:val="000000" w:themeColor="text1"/>
        </w:rPr>
        <w:t>95</w:t>
      </w:r>
      <w:r w:rsidRPr="006833AC">
        <w:rPr>
          <w:rFonts w:hint="eastAsia"/>
          <w:color w:val="000000" w:themeColor="text1"/>
        </w:rPr>
        <w:t>年</w:t>
      </w:r>
      <w:r w:rsidRPr="006833AC">
        <w:rPr>
          <w:color w:val="000000" w:themeColor="text1"/>
        </w:rPr>
        <w:t>9</w:t>
      </w:r>
      <w:r w:rsidRPr="006833AC">
        <w:rPr>
          <w:rFonts w:hint="eastAsia"/>
          <w:color w:val="000000" w:themeColor="text1"/>
        </w:rPr>
        <w:t>月再提變更投資計畫，並規劃新增</w:t>
      </w:r>
      <w:r w:rsidRPr="006833AC">
        <w:rPr>
          <w:color w:val="000000" w:themeColor="text1"/>
        </w:rPr>
        <w:t>2</w:t>
      </w:r>
      <w:r w:rsidRPr="006833AC">
        <w:rPr>
          <w:rFonts w:hint="eastAsia"/>
          <w:color w:val="000000" w:themeColor="text1"/>
        </w:rPr>
        <w:t>期開發</w:t>
      </w:r>
      <w:r w:rsidRPr="006833AC">
        <w:rPr>
          <w:rFonts w:hint="eastAsia"/>
          <w:color w:val="000000" w:themeColor="text1"/>
        </w:rPr>
        <w:lastRenderedPageBreak/>
        <w:t>區，臺東縣政府就此次變更認已達辦理環境影響評估之開發規模，均有依法評估審核。另因業者於未完成環境影響評估前即先行開發，臺東縣政府另於</w:t>
      </w:r>
      <w:r w:rsidRPr="006833AC">
        <w:rPr>
          <w:color w:val="000000" w:themeColor="text1"/>
        </w:rPr>
        <w:t>96</w:t>
      </w:r>
      <w:r w:rsidRPr="006833AC">
        <w:rPr>
          <w:rFonts w:hint="eastAsia"/>
          <w:color w:val="000000" w:themeColor="text1"/>
        </w:rPr>
        <w:t>年</w:t>
      </w:r>
      <w:r w:rsidRPr="006833AC">
        <w:rPr>
          <w:color w:val="000000" w:themeColor="text1"/>
        </w:rPr>
        <w:t>4</w:t>
      </w:r>
      <w:r w:rsidRPr="006833AC">
        <w:rPr>
          <w:rFonts w:hint="eastAsia"/>
          <w:color w:val="000000" w:themeColor="text1"/>
        </w:rPr>
        <w:t>月</w:t>
      </w:r>
      <w:r w:rsidRPr="006833AC">
        <w:rPr>
          <w:color w:val="000000" w:themeColor="text1"/>
        </w:rPr>
        <w:t>9</w:t>
      </w:r>
      <w:r w:rsidRPr="006833AC">
        <w:rPr>
          <w:rFonts w:hint="eastAsia"/>
          <w:color w:val="000000" w:themeColor="text1"/>
        </w:rPr>
        <w:t>日以府環一字第</w:t>
      </w:r>
      <w:r w:rsidRPr="006833AC">
        <w:rPr>
          <w:color w:val="000000" w:themeColor="text1"/>
        </w:rPr>
        <w:t>0966100425</w:t>
      </w:r>
      <w:r w:rsidR="00E659FD" w:rsidRPr="006833AC">
        <w:rPr>
          <w:rFonts w:hint="eastAsia"/>
          <w:color w:val="000000" w:themeColor="text1"/>
        </w:rPr>
        <w:t>號函送違反環境影響評估法案件裁處書，其</w:t>
      </w:r>
      <w:r w:rsidRPr="006833AC">
        <w:rPr>
          <w:rFonts w:hint="eastAsia"/>
          <w:color w:val="000000" w:themeColor="text1"/>
        </w:rPr>
        <w:t>間未涉及不法等情。</w:t>
      </w:r>
    </w:p>
    <w:p w:rsidR="00882CFB" w:rsidRPr="006833AC" w:rsidRDefault="00882CFB" w:rsidP="00882CFB">
      <w:pPr>
        <w:pStyle w:val="4"/>
        <w:rPr>
          <w:color w:val="000000" w:themeColor="text1"/>
        </w:rPr>
      </w:pPr>
      <w:r w:rsidRPr="006833AC">
        <w:rPr>
          <w:rFonts w:hint="eastAsia"/>
          <w:color w:val="000000" w:themeColor="text1"/>
        </w:rPr>
        <w:t>嗣美麗灣公司於95年9月26日申請開發美麗灣渡假村新建工程(全部開發面積59,956平方公尺)，並檢具環境影響說明書送審，經臺東縣政府依法組成環境影響評估審查委員會(下稱環評會)審查，於97年6月15日第5次審查會議作成「有條件通過環境影響評估」結論，並於97年7月22日以府環水字第0976101385B號公告。惟該結論嗣經高雄高等行政法院98年8月10日98年度訴字第47號判決「訴願決定及原處分均撤銷」，臺東縣政府不服提起上訴，嗣經最高行政法院</w:t>
      </w:r>
      <w:r w:rsidRPr="006833AC">
        <w:rPr>
          <w:color w:val="000000" w:themeColor="text1"/>
        </w:rPr>
        <w:t>101</w:t>
      </w:r>
      <w:r w:rsidRPr="006833AC">
        <w:rPr>
          <w:rFonts w:hint="eastAsia"/>
          <w:color w:val="000000" w:themeColor="text1"/>
        </w:rPr>
        <w:t>年</w:t>
      </w:r>
      <w:r w:rsidRPr="006833AC">
        <w:rPr>
          <w:color w:val="000000" w:themeColor="text1"/>
        </w:rPr>
        <w:t>1</w:t>
      </w:r>
      <w:r w:rsidRPr="006833AC">
        <w:rPr>
          <w:rFonts w:hint="eastAsia"/>
          <w:color w:val="000000" w:themeColor="text1"/>
        </w:rPr>
        <w:t>月</w:t>
      </w:r>
      <w:r w:rsidRPr="006833AC">
        <w:rPr>
          <w:color w:val="000000" w:themeColor="text1"/>
        </w:rPr>
        <w:t>19</w:t>
      </w:r>
      <w:r w:rsidRPr="006833AC">
        <w:rPr>
          <w:rFonts w:hint="eastAsia"/>
          <w:color w:val="000000" w:themeColor="text1"/>
        </w:rPr>
        <w:t>日</w:t>
      </w:r>
      <w:r w:rsidRPr="006833AC">
        <w:rPr>
          <w:color w:val="000000" w:themeColor="text1"/>
        </w:rPr>
        <w:t>101</w:t>
      </w:r>
      <w:r w:rsidRPr="006833AC">
        <w:rPr>
          <w:rFonts w:hint="eastAsia"/>
          <w:color w:val="000000" w:themeColor="text1"/>
        </w:rPr>
        <w:t>年度判字第</w:t>
      </w:r>
      <w:r w:rsidRPr="006833AC">
        <w:rPr>
          <w:color w:val="000000" w:themeColor="text1"/>
        </w:rPr>
        <w:t>55</w:t>
      </w:r>
      <w:r w:rsidRPr="006833AC">
        <w:rPr>
          <w:rFonts w:hint="eastAsia"/>
          <w:color w:val="000000" w:themeColor="text1"/>
        </w:rPr>
        <w:t>號判決「駁回上訴」。</w:t>
      </w:r>
    </w:p>
    <w:p w:rsidR="00882CFB" w:rsidRPr="006833AC" w:rsidRDefault="00882CFB" w:rsidP="00882CFB">
      <w:pPr>
        <w:pStyle w:val="4"/>
        <w:rPr>
          <w:color w:val="000000" w:themeColor="text1"/>
        </w:rPr>
      </w:pPr>
      <w:r w:rsidRPr="006833AC">
        <w:rPr>
          <w:rFonts w:hint="eastAsia"/>
          <w:color w:val="000000" w:themeColor="text1"/>
        </w:rPr>
        <w:t>臺東縣政府</w:t>
      </w:r>
      <w:r w:rsidRPr="006833AC">
        <w:rPr>
          <w:color w:val="000000" w:themeColor="text1"/>
        </w:rPr>
        <w:t>(</w:t>
      </w:r>
      <w:r w:rsidR="00264CB4" w:rsidRPr="006833AC">
        <w:rPr>
          <w:rFonts w:hint="eastAsia"/>
          <w:color w:val="000000" w:themeColor="text1"/>
        </w:rPr>
        <w:t>黃</w:t>
      </w:r>
      <w:r w:rsidR="000D7BF1" w:rsidRPr="006833AC">
        <w:rPr>
          <w:rFonts w:hint="eastAsia"/>
          <w:color w:val="000000" w:themeColor="text1"/>
        </w:rPr>
        <w:t>○</w:t>
      </w:r>
      <w:r w:rsidR="00264CB4" w:rsidRPr="006833AC">
        <w:rPr>
          <w:rFonts w:hint="eastAsia"/>
          <w:color w:val="000000" w:themeColor="text1"/>
        </w:rPr>
        <w:t>庭</w:t>
      </w:r>
      <w:r w:rsidRPr="006833AC">
        <w:rPr>
          <w:rFonts w:hint="eastAsia"/>
          <w:color w:val="000000" w:themeColor="text1"/>
        </w:rPr>
        <w:t>擔任縣長任內</w:t>
      </w:r>
      <w:r w:rsidRPr="006833AC">
        <w:rPr>
          <w:color w:val="000000" w:themeColor="text1"/>
        </w:rPr>
        <w:t>)</w:t>
      </w:r>
      <w:r w:rsidRPr="006833AC">
        <w:rPr>
          <w:rFonts w:hint="eastAsia"/>
          <w:color w:val="000000" w:themeColor="text1"/>
        </w:rPr>
        <w:t>遂由縣政府建管承辦人員於</w:t>
      </w:r>
      <w:r w:rsidRPr="006833AC">
        <w:rPr>
          <w:color w:val="000000" w:themeColor="text1"/>
        </w:rPr>
        <w:t>99</w:t>
      </w:r>
      <w:r w:rsidRPr="006833AC">
        <w:rPr>
          <w:rFonts w:hint="eastAsia"/>
          <w:color w:val="000000" w:themeColor="text1"/>
        </w:rPr>
        <w:t>年</w:t>
      </w:r>
      <w:r w:rsidRPr="006833AC">
        <w:rPr>
          <w:color w:val="000000" w:themeColor="text1"/>
        </w:rPr>
        <w:t>8</w:t>
      </w:r>
      <w:r w:rsidRPr="006833AC">
        <w:rPr>
          <w:rFonts w:hint="eastAsia"/>
          <w:color w:val="000000" w:themeColor="text1"/>
        </w:rPr>
        <w:t>月</w:t>
      </w:r>
      <w:r w:rsidRPr="006833AC">
        <w:rPr>
          <w:color w:val="000000" w:themeColor="text1"/>
        </w:rPr>
        <w:t>11</w:t>
      </w:r>
      <w:r w:rsidRPr="006833AC">
        <w:rPr>
          <w:rFonts w:hint="eastAsia"/>
          <w:color w:val="000000" w:themeColor="text1"/>
        </w:rPr>
        <w:t>日再核發府城建字第</w:t>
      </w:r>
      <w:r w:rsidRPr="006833AC">
        <w:rPr>
          <w:color w:val="000000" w:themeColor="text1"/>
        </w:rPr>
        <w:t>A0997002105</w:t>
      </w:r>
      <w:r w:rsidRPr="006833AC">
        <w:rPr>
          <w:rFonts w:hint="eastAsia"/>
          <w:color w:val="000000" w:themeColor="text1"/>
        </w:rPr>
        <w:t>號建築執照</w:t>
      </w:r>
      <w:r w:rsidRPr="006833AC">
        <w:rPr>
          <w:color w:val="000000" w:themeColor="text1"/>
        </w:rPr>
        <w:t>(</w:t>
      </w:r>
      <w:r w:rsidRPr="006833AC">
        <w:rPr>
          <w:rFonts w:hint="eastAsia"/>
          <w:color w:val="000000" w:themeColor="text1"/>
        </w:rPr>
        <w:t>第二次建照</w:t>
      </w:r>
      <w:r w:rsidRPr="006833AC">
        <w:rPr>
          <w:color w:val="000000" w:themeColor="text1"/>
        </w:rPr>
        <w:t>)</w:t>
      </w:r>
      <w:r w:rsidRPr="006833AC">
        <w:rPr>
          <w:rFonts w:hAnsi="標楷體" w:hint="eastAsia"/>
          <w:color w:val="000000" w:themeColor="text1"/>
        </w:rPr>
        <w:t>；</w:t>
      </w:r>
      <w:r w:rsidRPr="006833AC">
        <w:rPr>
          <w:color w:val="000000" w:themeColor="text1"/>
        </w:rPr>
        <w:t>99</w:t>
      </w:r>
      <w:r w:rsidRPr="006833AC">
        <w:rPr>
          <w:rFonts w:hint="eastAsia"/>
          <w:color w:val="000000" w:themeColor="text1"/>
        </w:rPr>
        <w:t>年</w:t>
      </w:r>
      <w:r w:rsidRPr="006833AC">
        <w:rPr>
          <w:color w:val="000000" w:themeColor="text1"/>
        </w:rPr>
        <w:t>9</w:t>
      </w:r>
      <w:r w:rsidRPr="006833AC">
        <w:rPr>
          <w:rFonts w:hint="eastAsia"/>
          <w:color w:val="000000" w:themeColor="text1"/>
        </w:rPr>
        <w:t>月</w:t>
      </w:r>
      <w:r w:rsidRPr="006833AC">
        <w:rPr>
          <w:color w:val="000000" w:themeColor="text1"/>
        </w:rPr>
        <w:t>21</w:t>
      </w:r>
      <w:r w:rsidRPr="006833AC">
        <w:rPr>
          <w:rFonts w:hint="eastAsia"/>
          <w:color w:val="000000" w:themeColor="text1"/>
        </w:rPr>
        <w:t>日核發府城建字第</w:t>
      </w:r>
      <w:r w:rsidRPr="006833AC">
        <w:rPr>
          <w:color w:val="000000" w:themeColor="text1"/>
        </w:rPr>
        <w:t>C0997002602</w:t>
      </w:r>
      <w:r w:rsidRPr="006833AC">
        <w:rPr>
          <w:rFonts w:hint="eastAsia"/>
          <w:color w:val="000000" w:themeColor="text1"/>
        </w:rPr>
        <w:t>號使用執照</w:t>
      </w:r>
      <w:r w:rsidRPr="006833AC">
        <w:rPr>
          <w:rFonts w:hAnsi="標楷體" w:hint="eastAsia"/>
          <w:color w:val="000000" w:themeColor="text1"/>
        </w:rPr>
        <w:t>；</w:t>
      </w:r>
      <w:r w:rsidRPr="006833AC">
        <w:rPr>
          <w:rFonts w:hint="eastAsia"/>
          <w:color w:val="000000" w:themeColor="text1"/>
        </w:rPr>
        <w:t>嗣臺東縣建築師公會於</w:t>
      </w:r>
      <w:r w:rsidRPr="006833AC">
        <w:rPr>
          <w:color w:val="000000" w:themeColor="text1"/>
        </w:rPr>
        <w:t>101</w:t>
      </w:r>
      <w:r w:rsidRPr="006833AC">
        <w:rPr>
          <w:rFonts w:hint="eastAsia"/>
          <w:color w:val="000000" w:themeColor="text1"/>
        </w:rPr>
        <w:t>年</w:t>
      </w:r>
      <w:r w:rsidRPr="006833AC">
        <w:rPr>
          <w:color w:val="000000" w:themeColor="text1"/>
        </w:rPr>
        <w:t>1</w:t>
      </w:r>
      <w:r w:rsidRPr="006833AC">
        <w:rPr>
          <w:rFonts w:hint="eastAsia"/>
          <w:color w:val="000000" w:themeColor="text1"/>
        </w:rPr>
        <w:t>月</w:t>
      </w:r>
      <w:r w:rsidRPr="006833AC">
        <w:rPr>
          <w:color w:val="000000" w:themeColor="text1"/>
        </w:rPr>
        <w:t>5</w:t>
      </w:r>
      <w:r w:rsidRPr="006833AC">
        <w:rPr>
          <w:rFonts w:hint="eastAsia"/>
          <w:color w:val="000000" w:themeColor="text1"/>
        </w:rPr>
        <w:t>日以</w:t>
      </w:r>
      <w:r w:rsidRPr="006833AC">
        <w:rPr>
          <w:color w:val="000000" w:themeColor="text1"/>
        </w:rPr>
        <w:t>101</w:t>
      </w:r>
      <w:r w:rsidRPr="006833AC">
        <w:rPr>
          <w:rFonts w:hint="eastAsia"/>
          <w:color w:val="000000" w:themeColor="text1"/>
        </w:rPr>
        <w:t>東建師俊字第</w:t>
      </w:r>
      <w:r w:rsidRPr="006833AC">
        <w:rPr>
          <w:color w:val="000000" w:themeColor="text1"/>
        </w:rPr>
        <w:t>1010105</w:t>
      </w:r>
      <w:r w:rsidRPr="006833AC">
        <w:rPr>
          <w:rFonts w:hint="eastAsia"/>
          <w:color w:val="000000" w:themeColor="text1"/>
        </w:rPr>
        <w:t>號函檢送其已審核通過美麗灣渡假村室內裝修許可予臺東縣政府，該府遂於</w:t>
      </w:r>
      <w:r w:rsidRPr="006833AC">
        <w:rPr>
          <w:color w:val="000000" w:themeColor="text1"/>
        </w:rPr>
        <w:t>101</w:t>
      </w:r>
      <w:r w:rsidRPr="006833AC">
        <w:rPr>
          <w:rFonts w:hint="eastAsia"/>
          <w:color w:val="000000" w:themeColor="text1"/>
        </w:rPr>
        <w:t>年</w:t>
      </w:r>
      <w:r w:rsidRPr="006833AC">
        <w:rPr>
          <w:color w:val="000000" w:themeColor="text1"/>
        </w:rPr>
        <w:t>1</w:t>
      </w:r>
      <w:r w:rsidRPr="006833AC">
        <w:rPr>
          <w:rFonts w:hint="eastAsia"/>
          <w:color w:val="000000" w:themeColor="text1"/>
        </w:rPr>
        <w:t>月</w:t>
      </w:r>
      <w:r w:rsidRPr="006833AC">
        <w:rPr>
          <w:color w:val="000000" w:themeColor="text1"/>
        </w:rPr>
        <w:t>12</w:t>
      </w:r>
      <w:r w:rsidRPr="006833AC">
        <w:rPr>
          <w:rFonts w:hint="eastAsia"/>
          <w:color w:val="000000" w:themeColor="text1"/>
        </w:rPr>
        <w:t>日發給府建管字第</w:t>
      </w:r>
      <w:r w:rsidRPr="006833AC">
        <w:rPr>
          <w:color w:val="000000" w:themeColor="text1"/>
        </w:rPr>
        <w:t>E1010003644</w:t>
      </w:r>
      <w:r w:rsidRPr="006833AC">
        <w:rPr>
          <w:rFonts w:hint="eastAsia"/>
          <w:color w:val="000000" w:themeColor="text1"/>
        </w:rPr>
        <w:t>號建築物室內裝修合格證明。</w:t>
      </w:r>
    </w:p>
    <w:p w:rsidR="00882CFB" w:rsidRPr="006833AC" w:rsidRDefault="00882CFB" w:rsidP="00882CFB">
      <w:pPr>
        <w:pStyle w:val="4"/>
        <w:rPr>
          <w:color w:val="000000" w:themeColor="text1"/>
        </w:rPr>
      </w:pPr>
      <w:r w:rsidRPr="006833AC">
        <w:rPr>
          <w:rFonts w:hint="eastAsia"/>
          <w:color w:val="000000" w:themeColor="text1"/>
        </w:rPr>
        <w:t>上開97年公告之環評審查結論撤銷確定後，美麗灣公司再於101年4月20日將「黃金海開發計畫」納入環境影響說明書及開發行為對海洋生物暨對生態可能影響相關文件資料，向臺東縣政府申</w:t>
      </w:r>
      <w:r w:rsidRPr="006833AC">
        <w:rPr>
          <w:rFonts w:hint="eastAsia"/>
          <w:color w:val="000000" w:themeColor="text1"/>
        </w:rPr>
        <w:lastRenderedPageBreak/>
        <w:t>請進行環境影響評估，案經環評會分別於101年6月2日及同年12月22日召開第6次及第7次環評審查會議，於101年12年22日第7次會議作成「有條件通過環境影響評估審查」之審查結論，並經臺東縣政府以102年2月1日府授環水字第1020002429B號公告。惟該結論嗣經高雄高等行政法院103年10月28日102年度訴字第228號判決「訴願決定及原處分均撤銷」，臺東縣政府不服提起上訴，嗣經最高行政法院</w:t>
      </w:r>
      <w:r w:rsidRPr="006833AC">
        <w:rPr>
          <w:color w:val="000000" w:themeColor="text1"/>
        </w:rPr>
        <w:t>10</w:t>
      </w:r>
      <w:r w:rsidRPr="006833AC">
        <w:rPr>
          <w:rFonts w:hint="eastAsia"/>
          <w:color w:val="000000" w:themeColor="text1"/>
        </w:rPr>
        <w:t>5年3月31日</w:t>
      </w:r>
      <w:r w:rsidRPr="006833AC">
        <w:rPr>
          <w:color w:val="000000" w:themeColor="text1"/>
        </w:rPr>
        <w:t>10</w:t>
      </w:r>
      <w:r w:rsidRPr="006833AC">
        <w:rPr>
          <w:rFonts w:hint="eastAsia"/>
          <w:color w:val="000000" w:themeColor="text1"/>
        </w:rPr>
        <w:t>5年</w:t>
      </w:r>
      <w:r w:rsidR="001A511A" w:rsidRPr="006833AC">
        <w:rPr>
          <w:rFonts w:hint="eastAsia"/>
          <w:color w:val="000000" w:themeColor="text1"/>
        </w:rPr>
        <w:t>度</w:t>
      </w:r>
      <w:r w:rsidRPr="006833AC">
        <w:rPr>
          <w:rFonts w:hint="eastAsia"/>
          <w:color w:val="000000" w:themeColor="text1"/>
        </w:rPr>
        <w:t>判字第123號判決「駁回上訴」。</w:t>
      </w:r>
    </w:p>
    <w:p w:rsidR="00882CFB" w:rsidRPr="006833AC" w:rsidRDefault="00882CFB" w:rsidP="00882CFB">
      <w:pPr>
        <w:pStyle w:val="3"/>
        <w:rPr>
          <w:color w:val="000000" w:themeColor="text1"/>
        </w:rPr>
      </w:pPr>
      <w:r w:rsidRPr="006833AC">
        <w:rPr>
          <w:rFonts w:hint="eastAsia"/>
          <w:b/>
          <w:color w:val="000000" w:themeColor="text1"/>
        </w:rPr>
        <w:t>臺東地檢署受理民眾告發後之偵辦情形</w:t>
      </w:r>
    </w:p>
    <w:p w:rsidR="00882CFB" w:rsidRPr="006833AC" w:rsidRDefault="00882CFB" w:rsidP="00882CFB">
      <w:pPr>
        <w:pStyle w:val="4"/>
        <w:rPr>
          <w:color w:val="000000" w:themeColor="text1"/>
        </w:rPr>
      </w:pPr>
      <w:r w:rsidRPr="006833AC">
        <w:rPr>
          <w:rFonts w:hint="eastAsia"/>
          <w:color w:val="000000" w:themeColor="text1"/>
        </w:rPr>
        <w:t>自99年間起即陸續接獲多件告發人具狀告發開發案涉有弊端等情</w:t>
      </w:r>
      <w:r w:rsidRPr="006833AC">
        <w:rPr>
          <w:rFonts w:hAnsi="標楷體" w:hint="eastAsia"/>
          <w:color w:val="000000" w:themeColor="text1"/>
        </w:rPr>
        <w:t>，</w:t>
      </w:r>
      <w:r w:rsidRPr="006833AC">
        <w:rPr>
          <w:rFonts w:hint="eastAsia"/>
          <w:color w:val="000000" w:themeColor="text1"/>
        </w:rPr>
        <w:t>併案及簽結情形如下</w:t>
      </w:r>
      <w:r w:rsidRPr="006833AC">
        <w:rPr>
          <w:rFonts w:hAnsi="標楷體" w:hint="eastAsia"/>
          <w:color w:val="000000" w:themeColor="text1"/>
        </w:rPr>
        <w:t>：</w:t>
      </w:r>
      <w:r w:rsidRPr="006833AC">
        <w:rPr>
          <w:rFonts w:hint="eastAsia"/>
          <w:color w:val="000000" w:themeColor="text1"/>
        </w:rPr>
        <w:t xml:space="preserve"> </w:t>
      </w:r>
    </w:p>
    <w:p w:rsidR="00882CFB" w:rsidRPr="006833AC" w:rsidRDefault="00882CFB" w:rsidP="00882CFB">
      <w:pPr>
        <w:pStyle w:val="5"/>
        <w:rPr>
          <w:color w:val="000000" w:themeColor="text1"/>
        </w:rPr>
      </w:pPr>
      <w:r w:rsidRPr="006833AC">
        <w:rPr>
          <w:rFonts w:hint="eastAsia"/>
          <w:color w:val="000000" w:themeColor="text1"/>
        </w:rPr>
        <w:t>99年度他字第131號：於103年12月25日就被告</w:t>
      </w:r>
      <w:r w:rsidR="00264CB4" w:rsidRPr="006833AC">
        <w:rPr>
          <w:rFonts w:hint="eastAsia"/>
          <w:color w:val="000000" w:themeColor="text1"/>
        </w:rPr>
        <w:t>徐○○</w:t>
      </w:r>
      <w:r w:rsidRPr="006833AC">
        <w:rPr>
          <w:rFonts w:hint="eastAsia"/>
          <w:color w:val="000000" w:themeColor="text1"/>
        </w:rPr>
        <w:t>、</w:t>
      </w:r>
      <w:r w:rsidR="00264CB4" w:rsidRPr="006833AC">
        <w:rPr>
          <w:rFonts w:hint="eastAsia"/>
          <w:color w:val="000000" w:themeColor="text1"/>
        </w:rPr>
        <w:t>鄺○○</w:t>
      </w:r>
      <w:r w:rsidRPr="006833AC">
        <w:rPr>
          <w:rFonts w:hint="eastAsia"/>
          <w:color w:val="000000" w:themeColor="text1"/>
        </w:rPr>
        <w:t>、</w:t>
      </w:r>
      <w:r w:rsidR="00264CB4" w:rsidRPr="006833AC">
        <w:rPr>
          <w:rFonts w:hint="eastAsia"/>
          <w:color w:val="000000" w:themeColor="text1"/>
        </w:rPr>
        <w:t>黃○恩</w:t>
      </w:r>
      <w:r w:rsidRPr="006833AC">
        <w:rPr>
          <w:rFonts w:hint="eastAsia"/>
          <w:color w:val="000000" w:themeColor="text1"/>
        </w:rPr>
        <w:t>、</w:t>
      </w:r>
      <w:r w:rsidR="00264CB4" w:rsidRPr="006833AC">
        <w:rPr>
          <w:rFonts w:hint="eastAsia"/>
          <w:color w:val="000000" w:themeColor="text1"/>
        </w:rPr>
        <w:t>張○○</w:t>
      </w:r>
      <w:r w:rsidRPr="006833AC">
        <w:rPr>
          <w:rFonts w:hint="eastAsia"/>
          <w:color w:val="000000" w:themeColor="text1"/>
        </w:rPr>
        <w:t>、</w:t>
      </w:r>
      <w:r w:rsidR="00264CB4" w:rsidRPr="006833AC">
        <w:rPr>
          <w:rFonts w:hint="eastAsia"/>
          <w:color w:val="000000" w:themeColor="text1"/>
        </w:rPr>
        <w:t>黃○發</w:t>
      </w:r>
      <w:r w:rsidRPr="006833AC">
        <w:rPr>
          <w:rFonts w:hint="eastAsia"/>
          <w:color w:val="000000" w:themeColor="text1"/>
        </w:rPr>
        <w:t>、</w:t>
      </w:r>
      <w:r w:rsidR="00264CB4" w:rsidRPr="006833AC">
        <w:rPr>
          <w:rFonts w:hint="eastAsia"/>
          <w:color w:val="000000" w:themeColor="text1"/>
        </w:rPr>
        <w:t>羅○○</w:t>
      </w:r>
      <w:r w:rsidRPr="006833AC">
        <w:rPr>
          <w:rFonts w:hint="eastAsia"/>
          <w:color w:val="000000" w:themeColor="text1"/>
        </w:rPr>
        <w:t>以查無具體違法事證予以簽結；被告</w:t>
      </w:r>
      <w:r w:rsidR="00264CB4" w:rsidRPr="006833AC">
        <w:rPr>
          <w:rFonts w:hint="eastAsia"/>
          <w:color w:val="000000" w:themeColor="text1"/>
        </w:rPr>
        <w:t>黃○庭</w:t>
      </w:r>
      <w:r w:rsidRPr="006833AC">
        <w:rPr>
          <w:rFonts w:hint="eastAsia"/>
          <w:color w:val="000000" w:themeColor="text1"/>
        </w:rPr>
        <w:t>簽併103年度他字第474號；被告</w:t>
      </w:r>
      <w:r w:rsidR="00264CB4" w:rsidRPr="006833AC">
        <w:rPr>
          <w:rFonts w:hint="eastAsia"/>
          <w:color w:val="000000" w:themeColor="text1"/>
        </w:rPr>
        <w:t>許○○</w:t>
      </w:r>
      <w:r w:rsidRPr="006833AC">
        <w:rPr>
          <w:rFonts w:hint="eastAsia"/>
          <w:color w:val="000000" w:themeColor="text1"/>
        </w:rPr>
        <w:t>、</w:t>
      </w:r>
      <w:r w:rsidR="00264CB4" w:rsidRPr="006833AC">
        <w:rPr>
          <w:rFonts w:hint="eastAsia"/>
          <w:color w:val="000000" w:themeColor="text1"/>
        </w:rPr>
        <w:t>賴○○</w:t>
      </w:r>
      <w:r w:rsidRPr="006833AC">
        <w:rPr>
          <w:rFonts w:hint="eastAsia"/>
          <w:color w:val="000000" w:themeColor="text1"/>
        </w:rPr>
        <w:t>部分簽併102年度偵字第1135號案。</w:t>
      </w:r>
    </w:p>
    <w:p w:rsidR="00882CFB" w:rsidRPr="006833AC" w:rsidRDefault="00882CFB" w:rsidP="00882CFB">
      <w:pPr>
        <w:pStyle w:val="5"/>
        <w:rPr>
          <w:color w:val="000000" w:themeColor="text1"/>
        </w:rPr>
      </w:pPr>
      <w:r w:rsidRPr="006833AC">
        <w:rPr>
          <w:rFonts w:hint="eastAsia"/>
          <w:color w:val="000000" w:themeColor="text1"/>
        </w:rPr>
        <w:t>99年度他字第238號：就被告</w:t>
      </w:r>
      <w:r w:rsidR="00264CB4" w:rsidRPr="006833AC">
        <w:rPr>
          <w:rFonts w:hint="eastAsia"/>
          <w:color w:val="000000" w:themeColor="text1"/>
        </w:rPr>
        <w:t>羅○○</w:t>
      </w:r>
      <w:r w:rsidRPr="006833AC">
        <w:rPr>
          <w:rFonts w:hint="eastAsia"/>
          <w:color w:val="000000" w:themeColor="text1"/>
        </w:rPr>
        <w:t>、賴</w:t>
      </w:r>
      <w:r w:rsidR="00264CB4" w:rsidRPr="006833AC">
        <w:rPr>
          <w:rFonts w:hint="eastAsia"/>
          <w:color w:val="000000" w:themeColor="text1"/>
        </w:rPr>
        <w:t>○</w:t>
      </w:r>
      <w:r w:rsidRPr="006833AC">
        <w:rPr>
          <w:rFonts w:hint="eastAsia"/>
          <w:color w:val="000000" w:themeColor="text1"/>
        </w:rPr>
        <w:t>政(應為</w:t>
      </w:r>
      <w:r w:rsidR="00264CB4" w:rsidRPr="006833AC">
        <w:rPr>
          <w:rFonts w:hint="eastAsia"/>
          <w:color w:val="000000" w:themeColor="text1"/>
        </w:rPr>
        <w:t>賴○○</w:t>
      </w:r>
      <w:r w:rsidRPr="006833AC">
        <w:rPr>
          <w:rFonts w:hint="eastAsia"/>
          <w:color w:val="000000" w:themeColor="text1"/>
        </w:rPr>
        <w:t>)、</w:t>
      </w:r>
      <w:r w:rsidR="00264CB4" w:rsidRPr="006833AC">
        <w:rPr>
          <w:rFonts w:hint="eastAsia"/>
          <w:color w:val="000000" w:themeColor="text1"/>
        </w:rPr>
        <w:t>鄺○○</w:t>
      </w:r>
      <w:r w:rsidRPr="006833AC">
        <w:rPr>
          <w:rFonts w:hint="eastAsia"/>
          <w:color w:val="000000" w:themeColor="text1"/>
        </w:rPr>
        <w:t>、</w:t>
      </w:r>
      <w:r w:rsidR="00264CB4" w:rsidRPr="006833AC">
        <w:rPr>
          <w:rFonts w:hint="eastAsia"/>
          <w:color w:val="000000" w:themeColor="text1"/>
        </w:rPr>
        <w:t>黃○庭</w:t>
      </w:r>
      <w:r w:rsidRPr="006833AC">
        <w:rPr>
          <w:rFonts w:hint="eastAsia"/>
          <w:color w:val="000000" w:themeColor="text1"/>
        </w:rPr>
        <w:t>、</w:t>
      </w:r>
      <w:r w:rsidR="00264CB4" w:rsidRPr="006833AC">
        <w:rPr>
          <w:rFonts w:hint="eastAsia"/>
          <w:color w:val="000000" w:themeColor="text1"/>
        </w:rPr>
        <w:t>黃○發</w:t>
      </w:r>
      <w:r w:rsidRPr="006833AC">
        <w:rPr>
          <w:rFonts w:hint="eastAsia"/>
          <w:color w:val="000000" w:themeColor="text1"/>
        </w:rPr>
        <w:t>部分於102年8月28日簽併99年度他字第131號。</w:t>
      </w:r>
    </w:p>
    <w:p w:rsidR="00882CFB" w:rsidRPr="006833AC" w:rsidRDefault="00882CFB" w:rsidP="00882CFB">
      <w:pPr>
        <w:pStyle w:val="5"/>
        <w:rPr>
          <w:color w:val="000000" w:themeColor="text1"/>
        </w:rPr>
      </w:pPr>
      <w:r w:rsidRPr="006833AC">
        <w:rPr>
          <w:rFonts w:hint="eastAsia"/>
          <w:color w:val="000000" w:themeColor="text1"/>
        </w:rPr>
        <w:t>101年度他字第140、154、158號：就共同被告</w:t>
      </w:r>
      <w:r w:rsidR="00264CB4" w:rsidRPr="006833AC">
        <w:rPr>
          <w:rFonts w:hint="eastAsia"/>
          <w:color w:val="000000" w:themeColor="text1"/>
        </w:rPr>
        <w:t>許○○</w:t>
      </w:r>
      <w:r w:rsidRPr="006833AC">
        <w:rPr>
          <w:rFonts w:hint="eastAsia"/>
          <w:color w:val="000000" w:themeColor="text1"/>
        </w:rPr>
        <w:t>、</w:t>
      </w:r>
      <w:r w:rsidR="00264CB4" w:rsidRPr="006833AC">
        <w:rPr>
          <w:rFonts w:hint="eastAsia"/>
          <w:color w:val="000000" w:themeColor="text1"/>
        </w:rPr>
        <w:t>賴○○</w:t>
      </w:r>
      <w:r w:rsidRPr="006833AC">
        <w:rPr>
          <w:rFonts w:hint="eastAsia"/>
          <w:color w:val="000000" w:themeColor="text1"/>
        </w:rPr>
        <w:t>部分，於102年5月29日簽分102年度偵字第1135號案。</w:t>
      </w:r>
    </w:p>
    <w:p w:rsidR="00882CFB" w:rsidRPr="006833AC" w:rsidRDefault="00882CFB" w:rsidP="00882CFB">
      <w:pPr>
        <w:pStyle w:val="5"/>
        <w:rPr>
          <w:color w:val="000000" w:themeColor="text1"/>
        </w:rPr>
      </w:pPr>
      <w:r w:rsidRPr="006833AC">
        <w:rPr>
          <w:rFonts w:hint="eastAsia"/>
          <w:color w:val="000000" w:themeColor="text1"/>
        </w:rPr>
        <w:t>陳訴人於101年12月4日具狀告發被告</w:t>
      </w:r>
      <w:r w:rsidR="00264CB4" w:rsidRPr="006833AC">
        <w:rPr>
          <w:rFonts w:hint="eastAsia"/>
          <w:color w:val="000000" w:themeColor="text1"/>
        </w:rPr>
        <w:t>徐○○</w:t>
      </w:r>
      <w:r w:rsidRPr="006833AC">
        <w:rPr>
          <w:rFonts w:hint="eastAsia"/>
          <w:color w:val="000000" w:themeColor="text1"/>
        </w:rPr>
        <w:t>等8人涉嫌圖利，以101年度他字第639號案件偵辦，於102年8月28日簽併99年度他字第131號。</w:t>
      </w:r>
    </w:p>
    <w:p w:rsidR="00882CFB" w:rsidRPr="006833AC" w:rsidRDefault="00882CFB" w:rsidP="00882CFB">
      <w:pPr>
        <w:pStyle w:val="5"/>
        <w:rPr>
          <w:color w:val="000000" w:themeColor="text1"/>
        </w:rPr>
      </w:pPr>
      <w:r w:rsidRPr="006833AC">
        <w:rPr>
          <w:rFonts w:hint="eastAsia"/>
          <w:color w:val="000000" w:themeColor="text1"/>
        </w:rPr>
        <w:t>102年度他字第282、283號：就被告</w:t>
      </w:r>
      <w:r w:rsidR="00264CB4" w:rsidRPr="006833AC">
        <w:rPr>
          <w:rFonts w:hint="eastAsia"/>
          <w:color w:val="000000" w:themeColor="text1"/>
        </w:rPr>
        <w:t>許○○</w:t>
      </w:r>
      <w:r w:rsidRPr="006833AC">
        <w:rPr>
          <w:rFonts w:hint="eastAsia"/>
          <w:color w:val="000000" w:themeColor="text1"/>
        </w:rPr>
        <w:t>、</w:t>
      </w:r>
      <w:r w:rsidR="00264CB4" w:rsidRPr="006833AC">
        <w:rPr>
          <w:rFonts w:hint="eastAsia"/>
          <w:color w:val="000000" w:themeColor="text1"/>
        </w:rPr>
        <w:t>黃○發</w:t>
      </w:r>
      <w:r w:rsidRPr="006833AC">
        <w:rPr>
          <w:rFonts w:hint="eastAsia"/>
          <w:color w:val="000000" w:themeColor="text1"/>
        </w:rPr>
        <w:t>、</w:t>
      </w:r>
      <w:r w:rsidR="00264CB4" w:rsidRPr="006833AC">
        <w:rPr>
          <w:rFonts w:hint="eastAsia"/>
          <w:color w:val="000000" w:themeColor="text1"/>
        </w:rPr>
        <w:t>賴○○</w:t>
      </w:r>
      <w:r w:rsidRPr="006833AC">
        <w:rPr>
          <w:rFonts w:hint="eastAsia"/>
          <w:color w:val="000000" w:themeColor="text1"/>
        </w:rPr>
        <w:t>部分於102年8月28日簽併99年度他字第131號案。</w:t>
      </w:r>
    </w:p>
    <w:p w:rsidR="00882CFB" w:rsidRPr="006833AC" w:rsidRDefault="00882CFB" w:rsidP="00882CFB">
      <w:pPr>
        <w:pStyle w:val="5"/>
        <w:rPr>
          <w:color w:val="000000" w:themeColor="text1"/>
        </w:rPr>
      </w:pPr>
      <w:r w:rsidRPr="006833AC">
        <w:rPr>
          <w:rFonts w:hint="eastAsia"/>
          <w:color w:val="000000" w:themeColor="text1"/>
        </w:rPr>
        <w:lastRenderedPageBreak/>
        <w:t>103年度他字第285號：就被告</w:t>
      </w:r>
      <w:r w:rsidR="00264CB4" w:rsidRPr="006833AC">
        <w:rPr>
          <w:rFonts w:hint="eastAsia"/>
          <w:color w:val="000000" w:themeColor="text1"/>
        </w:rPr>
        <w:t>黃○庭</w:t>
      </w:r>
      <w:r w:rsidRPr="006833AC">
        <w:rPr>
          <w:rFonts w:hint="eastAsia"/>
          <w:color w:val="000000" w:themeColor="text1"/>
        </w:rPr>
        <w:t>部分於103年11月18日簽併103年度他字第474號；就被告</w:t>
      </w:r>
      <w:r w:rsidR="00264CB4" w:rsidRPr="006833AC">
        <w:rPr>
          <w:rFonts w:hint="eastAsia"/>
          <w:color w:val="000000" w:themeColor="text1"/>
        </w:rPr>
        <w:t>許○○</w:t>
      </w:r>
      <w:r w:rsidRPr="006833AC">
        <w:rPr>
          <w:rFonts w:hint="eastAsia"/>
          <w:color w:val="000000" w:themeColor="text1"/>
        </w:rPr>
        <w:t>、</w:t>
      </w:r>
      <w:r w:rsidR="00264CB4" w:rsidRPr="006833AC">
        <w:rPr>
          <w:rFonts w:hint="eastAsia"/>
          <w:color w:val="000000" w:themeColor="text1"/>
        </w:rPr>
        <w:t>賴○○</w:t>
      </w:r>
      <w:r w:rsidRPr="006833AC">
        <w:rPr>
          <w:rFonts w:hint="eastAsia"/>
          <w:color w:val="000000" w:themeColor="text1"/>
        </w:rPr>
        <w:t>部分於103年11月18日簽併102年度偵字第1135號案。</w:t>
      </w:r>
    </w:p>
    <w:p w:rsidR="00882CFB" w:rsidRPr="006833AC" w:rsidRDefault="00882CFB" w:rsidP="00882CFB">
      <w:pPr>
        <w:pStyle w:val="5"/>
        <w:rPr>
          <w:color w:val="000000" w:themeColor="text1"/>
        </w:rPr>
      </w:pPr>
      <w:r w:rsidRPr="006833AC">
        <w:rPr>
          <w:rFonts w:hint="eastAsia"/>
          <w:color w:val="000000" w:themeColor="text1"/>
        </w:rPr>
        <w:t>103年度他字第288、368號：就共同被告</w:t>
      </w:r>
      <w:r w:rsidR="00264CB4" w:rsidRPr="006833AC">
        <w:rPr>
          <w:rFonts w:hint="eastAsia"/>
          <w:color w:val="000000" w:themeColor="text1"/>
        </w:rPr>
        <w:t>許○○</w:t>
      </w:r>
      <w:r w:rsidRPr="006833AC">
        <w:rPr>
          <w:rFonts w:hint="eastAsia"/>
          <w:color w:val="000000" w:themeColor="text1"/>
        </w:rPr>
        <w:t>、</w:t>
      </w:r>
      <w:r w:rsidR="00264CB4" w:rsidRPr="006833AC">
        <w:rPr>
          <w:rFonts w:hint="eastAsia"/>
          <w:color w:val="000000" w:themeColor="text1"/>
        </w:rPr>
        <w:t>賴○○</w:t>
      </w:r>
      <w:r w:rsidRPr="006833AC">
        <w:rPr>
          <w:rFonts w:hint="eastAsia"/>
          <w:color w:val="000000" w:themeColor="text1"/>
        </w:rPr>
        <w:t>部分於103年8月23日簽併103年度他字第285號案。</w:t>
      </w:r>
    </w:p>
    <w:p w:rsidR="00882CFB" w:rsidRPr="006833AC" w:rsidRDefault="00882CFB" w:rsidP="00882CFB">
      <w:pPr>
        <w:pStyle w:val="5"/>
        <w:rPr>
          <w:color w:val="000000" w:themeColor="text1"/>
        </w:rPr>
      </w:pPr>
      <w:r w:rsidRPr="006833AC">
        <w:rPr>
          <w:rFonts w:hint="eastAsia"/>
          <w:color w:val="000000" w:themeColor="text1"/>
        </w:rPr>
        <w:t>103年度他字第474號：於104年7月9日就被告</w:t>
      </w:r>
      <w:r w:rsidR="00264CB4" w:rsidRPr="006833AC">
        <w:rPr>
          <w:rFonts w:hint="eastAsia"/>
          <w:color w:val="000000" w:themeColor="text1"/>
        </w:rPr>
        <w:t>黃○庭</w:t>
      </w:r>
      <w:r w:rsidRPr="006833AC">
        <w:rPr>
          <w:rFonts w:hint="eastAsia"/>
          <w:color w:val="000000" w:themeColor="text1"/>
        </w:rPr>
        <w:t>、</w:t>
      </w:r>
      <w:r w:rsidR="00264CB4" w:rsidRPr="006833AC">
        <w:rPr>
          <w:rFonts w:hint="eastAsia"/>
          <w:color w:val="000000" w:themeColor="text1"/>
        </w:rPr>
        <w:t>江○○</w:t>
      </w:r>
      <w:r w:rsidRPr="006833AC">
        <w:rPr>
          <w:rFonts w:hint="eastAsia"/>
          <w:color w:val="000000" w:themeColor="text1"/>
        </w:rPr>
        <w:t>、</w:t>
      </w:r>
      <w:r w:rsidR="00264CB4" w:rsidRPr="006833AC">
        <w:rPr>
          <w:rFonts w:hint="eastAsia"/>
          <w:color w:val="000000" w:themeColor="text1"/>
        </w:rPr>
        <w:t>陳○○</w:t>
      </w:r>
      <w:r w:rsidRPr="006833AC">
        <w:rPr>
          <w:rFonts w:hint="eastAsia"/>
          <w:color w:val="000000" w:themeColor="text1"/>
        </w:rPr>
        <w:t>、</w:t>
      </w:r>
      <w:r w:rsidR="00264CB4" w:rsidRPr="006833AC">
        <w:rPr>
          <w:rFonts w:hint="eastAsia"/>
          <w:color w:val="000000" w:themeColor="text1"/>
        </w:rPr>
        <w:t>李○○</w:t>
      </w:r>
      <w:r w:rsidRPr="006833AC">
        <w:rPr>
          <w:rFonts w:hint="eastAsia"/>
          <w:color w:val="000000" w:themeColor="text1"/>
        </w:rPr>
        <w:t>以查無具體事證予以簽結；就被告</w:t>
      </w:r>
      <w:r w:rsidR="00264CB4" w:rsidRPr="006833AC">
        <w:rPr>
          <w:rFonts w:hint="eastAsia"/>
          <w:color w:val="000000" w:themeColor="text1"/>
        </w:rPr>
        <w:t>許○○</w:t>
      </w:r>
      <w:r w:rsidRPr="006833AC">
        <w:rPr>
          <w:rFonts w:hint="eastAsia"/>
          <w:color w:val="000000" w:themeColor="text1"/>
        </w:rPr>
        <w:t>、</w:t>
      </w:r>
      <w:r w:rsidR="00264CB4" w:rsidRPr="006833AC">
        <w:rPr>
          <w:rFonts w:hint="eastAsia"/>
          <w:color w:val="000000" w:themeColor="text1"/>
        </w:rPr>
        <w:t>賴○○</w:t>
      </w:r>
      <w:r w:rsidRPr="006833AC">
        <w:rPr>
          <w:rFonts w:hint="eastAsia"/>
          <w:color w:val="000000" w:themeColor="text1"/>
        </w:rPr>
        <w:t>部分簽併102年度偵字第1135號案。</w:t>
      </w:r>
    </w:p>
    <w:p w:rsidR="00882CFB" w:rsidRPr="006833AC" w:rsidRDefault="00882CFB" w:rsidP="00882CFB">
      <w:pPr>
        <w:pStyle w:val="5"/>
        <w:rPr>
          <w:color w:val="000000" w:themeColor="text1"/>
        </w:rPr>
      </w:pPr>
      <w:r w:rsidRPr="006833AC">
        <w:rPr>
          <w:rFonts w:hint="eastAsia"/>
          <w:color w:val="000000" w:themeColor="text1"/>
        </w:rPr>
        <w:t>102年度偵字第1135號案件，業於104年7月24日就被告</w:t>
      </w:r>
      <w:r w:rsidR="00264CB4" w:rsidRPr="006833AC">
        <w:rPr>
          <w:rFonts w:hint="eastAsia"/>
          <w:color w:val="000000" w:themeColor="text1"/>
        </w:rPr>
        <w:t>許○○</w:t>
      </w:r>
      <w:r w:rsidRPr="006833AC">
        <w:rPr>
          <w:rFonts w:hint="eastAsia"/>
          <w:color w:val="000000" w:themeColor="text1"/>
        </w:rPr>
        <w:t>、</w:t>
      </w:r>
      <w:r w:rsidR="00264CB4" w:rsidRPr="006833AC">
        <w:rPr>
          <w:rFonts w:hint="eastAsia"/>
          <w:color w:val="000000" w:themeColor="text1"/>
        </w:rPr>
        <w:t>賴○○</w:t>
      </w:r>
      <w:r w:rsidRPr="006833AC">
        <w:rPr>
          <w:rFonts w:hint="eastAsia"/>
          <w:color w:val="000000" w:themeColor="text1"/>
        </w:rPr>
        <w:t>為不起訴處分，嗣經高檢署花蓮檢察分署於104年8月12日以104年度上職議字第1182號處分書駁回確定。</w:t>
      </w:r>
    </w:p>
    <w:p w:rsidR="00B13DF7" w:rsidRPr="006833AC" w:rsidRDefault="00B13DF7" w:rsidP="00B13DF7">
      <w:pPr>
        <w:rPr>
          <w:color w:val="000000" w:themeColor="text1"/>
        </w:rPr>
      </w:pPr>
    </w:p>
    <w:p w:rsidR="00B13DF7" w:rsidRPr="006833AC" w:rsidRDefault="00B13DF7">
      <w:pPr>
        <w:widowControl/>
        <w:overflowPunct/>
        <w:autoSpaceDE/>
        <w:autoSpaceDN/>
        <w:jc w:val="left"/>
        <w:rPr>
          <w:rFonts w:hAnsi="Arial"/>
          <w:color w:val="000000" w:themeColor="text1"/>
          <w:kern w:val="32"/>
          <w:szCs w:val="36"/>
        </w:rPr>
      </w:pPr>
      <w:r w:rsidRPr="006833AC">
        <w:rPr>
          <w:color w:val="000000" w:themeColor="text1"/>
        </w:rPr>
        <w:br w:type="page"/>
      </w:r>
    </w:p>
    <w:p w:rsidR="00882CFB" w:rsidRPr="006833AC" w:rsidRDefault="00882CFB" w:rsidP="00882CFB">
      <w:pPr>
        <w:pStyle w:val="4"/>
        <w:rPr>
          <w:color w:val="000000" w:themeColor="text1"/>
        </w:rPr>
      </w:pPr>
      <w:r w:rsidRPr="006833AC">
        <w:rPr>
          <w:rFonts w:hint="eastAsia"/>
          <w:color w:val="000000" w:themeColor="text1"/>
        </w:rPr>
        <w:lastRenderedPageBreak/>
        <w:t>上開併案情形如下圖：</w:t>
      </w:r>
    </w:p>
    <w:p w:rsidR="002810CF" w:rsidRPr="006833AC" w:rsidRDefault="002810CF" w:rsidP="002810CF">
      <w:pPr>
        <w:rPr>
          <w:color w:val="000000" w:themeColor="text1"/>
        </w:rPr>
      </w:pPr>
      <w:r w:rsidRPr="006833AC">
        <w:rPr>
          <w:noProof/>
          <w:color w:val="000000" w:themeColor="text1"/>
        </w:rPr>
        <w:drawing>
          <wp:anchor distT="0" distB="0" distL="114300" distR="114300" simplePos="0" relativeHeight="251694080" behindDoc="1" locked="0" layoutInCell="1" allowOverlap="1" wp14:anchorId="021C20D0" wp14:editId="0C238E67">
            <wp:simplePos x="0" y="0"/>
            <wp:positionH relativeFrom="column">
              <wp:posOffset>-763905</wp:posOffset>
            </wp:positionH>
            <wp:positionV relativeFrom="paragraph">
              <wp:posOffset>342265</wp:posOffset>
            </wp:positionV>
            <wp:extent cx="6973570" cy="6578600"/>
            <wp:effectExtent l="0" t="0" r="0" b="0"/>
            <wp:wrapTight wrapText="bothSides">
              <wp:wrapPolygon edited="0">
                <wp:start x="0" y="0"/>
                <wp:lineTo x="0" y="21517"/>
                <wp:lineTo x="21537" y="21517"/>
                <wp:lineTo x="21537" y="0"/>
                <wp:lineTo x="0" y="0"/>
              </wp:wrapPolygon>
            </wp:wrapTight>
            <wp:docPr id="388" name="圖片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73570" cy="6578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1067" w:rsidRPr="006833AC" w:rsidRDefault="008F1067" w:rsidP="008F1067">
      <w:pPr>
        <w:pStyle w:val="4"/>
        <w:numPr>
          <w:ilvl w:val="0"/>
          <w:numId w:val="0"/>
        </w:numPr>
        <w:jc w:val="left"/>
        <w:rPr>
          <w:color w:val="000000" w:themeColor="text1"/>
        </w:rPr>
      </w:pPr>
    </w:p>
    <w:p w:rsidR="008F1067" w:rsidRPr="006833AC" w:rsidRDefault="008F1067" w:rsidP="008F1067">
      <w:pPr>
        <w:pStyle w:val="4"/>
        <w:numPr>
          <w:ilvl w:val="0"/>
          <w:numId w:val="0"/>
        </w:numPr>
        <w:jc w:val="left"/>
        <w:rPr>
          <w:color w:val="000000" w:themeColor="text1"/>
          <w:sz w:val="24"/>
          <w:szCs w:val="24"/>
        </w:rPr>
      </w:pPr>
      <w:r w:rsidRPr="006833AC">
        <w:rPr>
          <w:rFonts w:hint="eastAsia"/>
          <w:color w:val="000000" w:themeColor="text1"/>
          <w:sz w:val="24"/>
          <w:szCs w:val="24"/>
        </w:rPr>
        <w:t>資料來源：本院整理自高檢署及臺東地檢署提供資料。</w:t>
      </w:r>
    </w:p>
    <w:p w:rsidR="002810CF" w:rsidRPr="006833AC" w:rsidRDefault="002810CF">
      <w:pPr>
        <w:widowControl/>
        <w:overflowPunct/>
        <w:autoSpaceDE/>
        <w:autoSpaceDN/>
        <w:jc w:val="left"/>
        <w:rPr>
          <w:rFonts w:hAnsi="Arial"/>
          <w:color w:val="000000" w:themeColor="text1"/>
          <w:kern w:val="32"/>
          <w:szCs w:val="36"/>
        </w:rPr>
      </w:pPr>
      <w:r w:rsidRPr="006833AC">
        <w:rPr>
          <w:color w:val="000000" w:themeColor="text1"/>
        </w:rPr>
        <w:br w:type="page"/>
      </w:r>
    </w:p>
    <w:p w:rsidR="008F1067" w:rsidRPr="006833AC" w:rsidRDefault="008F1067" w:rsidP="008F1067">
      <w:pPr>
        <w:pStyle w:val="3"/>
        <w:rPr>
          <w:color w:val="000000" w:themeColor="text1"/>
        </w:rPr>
      </w:pPr>
      <w:r w:rsidRPr="006833AC">
        <w:rPr>
          <w:rFonts w:hint="eastAsia"/>
          <w:b/>
          <w:color w:val="000000" w:themeColor="text1"/>
        </w:rPr>
        <w:lastRenderedPageBreak/>
        <w:t>現行「臺灣高等檢察署所屬各地方檢察署及其檢察分署辦理他案應行注意事項」第11點規定應通知之</w:t>
      </w:r>
      <w:r w:rsidRPr="006833AC">
        <w:rPr>
          <w:rFonts w:hAnsi="標楷體" w:hint="eastAsia"/>
          <w:b/>
          <w:color w:val="000000" w:themeColor="text1"/>
        </w:rPr>
        <w:t>「</w:t>
      </w:r>
      <w:r w:rsidRPr="006833AC">
        <w:rPr>
          <w:rFonts w:hint="eastAsia"/>
          <w:b/>
          <w:color w:val="000000" w:themeColor="text1"/>
        </w:rPr>
        <w:t>告發人</w:t>
      </w:r>
      <w:r w:rsidRPr="006833AC">
        <w:rPr>
          <w:rFonts w:hAnsi="標楷體" w:hint="eastAsia"/>
          <w:b/>
          <w:color w:val="000000" w:themeColor="text1"/>
        </w:rPr>
        <w:t>」範圍不明確：</w:t>
      </w:r>
    </w:p>
    <w:p w:rsidR="00E622A3" w:rsidRPr="006833AC" w:rsidRDefault="00E622A3" w:rsidP="00E622A3">
      <w:pPr>
        <w:pStyle w:val="4"/>
        <w:rPr>
          <w:color w:val="000000" w:themeColor="text1"/>
        </w:rPr>
      </w:pPr>
      <w:r w:rsidRPr="006833AC">
        <w:rPr>
          <w:rFonts w:hint="eastAsia"/>
          <w:color w:val="000000" w:themeColor="text1"/>
        </w:rPr>
        <w:t>按「臺灣高等檢察署所屬各地方檢察署及其檢察分署辦理他案應行注意事項」</w:t>
      </w:r>
      <w:r w:rsidRPr="006833AC">
        <w:rPr>
          <w:rFonts w:hAnsi="標楷體" w:hint="eastAsia"/>
          <w:color w:val="000000" w:themeColor="text1"/>
        </w:rPr>
        <w:t>：</w:t>
      </w:r>
    </w:p>
    <w:p w:rsidR="00E622A3" w:rsidRPr="006833AC" w:rsidRDefault="00E622A3" w:rsidP="00E622A3">
      <w:pPr>
        <w:pStyle w:val="5"/>
        <w:rPr>
          <w:color w:val="000000" w:themeColor="text1"/>
        </w:rPr>
      </w:pPr>
      <w:r w:rsidRPr="006833AC">
        <w:rPr>
          <w:rFonts w:hint="eastAsia"/>
          <w:color w:val="000000" w:themeColor="text1"/>
        </w:rPr>
        <w:t>第2點第1款規定：「各地方檢察署及其檢察分署受理之案件有下列各款情形之一者，得分『他』案辦理：(一)告訴、告發之案件，告訴人或告發人是否確有其人或其告訴、告發之事實，是否涉及特定人有犯罪嫌疑，尚不明瞭。」</w:t>
      </w:r>
    </w:p>
    <w:p w:rsidR="00E622A3" w:rsidRPr="006833AC" w:rsidRDefault="00E622A3" w:rsidP="00E622A3">
      <w:pPr>
        <w:pStyle w:val="5"/>
        <w:rPr>
          <w:color w:val="000000" w:themeColor="text1"/>
        </w:rPr>
      </w:pPr>
      <w:r w:rsidRPr="006833AC">
        <w:rPr>
          <w:rFonts w:hint="eastAsia"/>
          <w:color w:val="000000" w:themeColor="text1"/>
        </w:rPr>
        <w:t>第3點規定：「『他』案有下列情形之一者，檢察官得逕行簽請報結：(一)匿名告發且告發內容空泛。(二)就已分案或結案之同一事實再重複告發。(三)依陳述事實或告發內容，顯與犯罪無關。(四)陳述事實或告發內容係虛擬或經驗上不可能。(五)對公務員依法執行公務不服而申告，但對構成刑責之要件嫌疑事實未有任何具體指摘，或提出相關事證或指出涉案事證所在。(六)經常提出申告之人，所告案件均查非事實或已判決無罪或不起訴處分確定，復再申告。」</w:t>
      </w:r>
    </w:p>
    <w:p w:rsidR="00E622A3" w:rsidRPr="006833AC" w:rsidRDefault="00E622A3" w:rsidP="00E622A3">
      <w:pPr>
        <w:pStyle w:val="5"/>
        <w:rPr>
          <w:color w:val="000000" w:themeColor="text1"/>
        </w:rPr>
      </w:pPr>
      <w:r w:rsidRPr="006833AC">
        <w:rPr>
          <w:rFonts w:hint="eastAsia"/>
          <w:color w:val="000000" w:themeColor="text1"/>
        </w:rPr>
        <w:t>第10點規定：「檢察官辦理『他』字案件，經調查後，如認尚無特定人涉有犯罪嫌疑或有第3點情形之一，得簽請報結時，檢察長應詳細審核，如發現有調查未盡之情形，應命繼續調查。」</w:t>
      </w:r>
    </w:p>
    <w:p w:rsidR="00E622A3" w:rsidRPr="006833AC" w:rsidRDefault="00E622A3" w:rsidP="00E622A3">
      <w:pPr>
        <w:pStyle w:val="5"/>
        <w:rPr>
          <w:color w:val="000000" w:themeColor="text1"/>
        </w:rPr>
      </w:pPr>
      <w:r w:rsidRPr="006833AC">
        <w:rPr>
          <w:rFonts w:hint="eastAsia"/>
          <w:color w:val="000000" w:themeColor="text1"/>
        </w:rPr>
        <w:t>第11點規定：「檢察官辦理『他』案於簽結後，應即將法律上之原因通知告訴人、『告發人』、受調查人及其選任辯護人，不得用本案簽結作復。告訴人、告發人如有異議時應就其異議部分詳為審酌，以決定是否應再行調查或簽報檢</w:t>
      </w:r>
      <w:r w:rsidRPr="006833AC">
        <w:rPr>
          <w:rFonts w:hint="eastAsia"/>
          <w:color w:val="000000" w:themeColor="text1"/>
        </w:rPr>
        <w:lastRenderedPageBreak/>
        <w:t>察長後，復知告訴人、告發人。」準此，「他」案僅係於簽結後，始需通知告發人。而「他」案如非簽結而係因同一案件尚有其他案件偵辦中，即可併入同一案件之案號合併偵辦，待偵辦結束後再行通知告發人。</w:t>
      </w:r>
    </w:p>
    <w:p w:rsidR="00E622A3" w:rsidRPr="006833AC" w:rsidRDefault="00E622A3" w:rsidP="00E622A3">
      <w:pPr>
        <w:pStyle w:val="4"/>
        <w:rPr>
          <w:color w:val="000000" w:themeColor="text1"/>
        </w:rPr>
      </w:pPr>
      <w:r w:rsidRPr="006833AC">
        <w:rPr>
          <w:rFonts w:hint="eastAsia"/>
          <w:color w:val="000000" w:themeColor="text1"/>
        </w:rPr>
        <w:t>據臺東地檢署函復併案後</w:t>
      </w:r>
      <w:r w:rsidRPr="006833AC">
        <w:rPr>
          <w:rFonts w:hint="eastAsia"/>
          <w:bCs/>
          <w:color w:val="000000" w:themeColor="text1"/>
        </w:rPr>
        <w:t>因案件尚在偵辦中，不需通知告發人</w:t>
      </w:r>
      <w:r w:rsidRPr="006833AC">
        <w:rPr>
          <w:rFonts w:hint="eastAsia"/>
          <w:color w:val="000000" w:themeColor="text1"/>
        </w:rPr>
        <w:t>：</w:t>
      </w:r>
    </w:p>
    <w:p w:rsidR="00E622A3" w:rsidRPr="006833AC" w:rsidRDefault="00E622A3" w:rsidP="00E622A3">
      <w:pPr>
        <w:pStyle w:val="5"/>
        <w:rPr>
          <w:color w:val="000000" w:themeColor="text1"/>
        </w:rPr>
      </w:pPr>
      <w:r w:rsidRPr="006833AC">
        <w:rPr>
          <w:rFonts w:hint="eastAsia"/>
          <w:color w:val="000000" w:themeColor="text1"/>
        </w:rPr>
        <w:t>101年度他字第639號案簽併99年度他字第131號案、99年度他字第131號案被告</w:t>
      </w:r>
      <w:r w:rsidR="00264CB4" w:rsidRPr="006833AC">
        <w:rPr>
          <w:rFonts w:hint="eastAsia"/>
          <w:color w:val="000000" w:themeColor="text1"/>
        </w:rPr>
        <w:t>黃○庭</w:t>
      </w:r>
      <w:r w:rsidRPr="006833AC">
        <w:rPr>
          <w:rFonts w:hint="eastAsia"/>
          <w:color w:val="000000" w:themeColor="text1"/>
        </w:rPr>
        <w:t>部分簽併103年度他字第474號案、被告</w:t>
      </w:r>
      <w:r w:rsidR="00264CB4" w:rsidRPr="006833AC">
        <w:rPr>
          <w:rFonts w:hint="eastAsia"/>
          <w:color w:val="000000" w:themeColor="text1"/>
        </w:rPr>
        <w:t>許○○</w:t>
      </w:r>
      <w:r w:rsidRPr="006833AC">
        <w:rPr>
          <w:rFonts w:hint="eastAsia"/>
          <w:color w:val="000000" w:themeColor="text1"/>
        </w:rPr>
        <w:t>、</w:t>
      </w:r>
      <w:r w:rsidR="00264CB4" w:rsidRPr="006833AC">
        <w:rPr>
          <w:rFonts w:hint="eastAsia"/>
          <w:color w:val="000000" w:themeColor="text1"/>
        </w:rPr>
        <w:t>賴○○</w:t>
      </w:r>
      <w:r w:rsidRPr="006833AC">
        <w:rPr>
          <w:rFonts w:hint="eastAsia"/>
          <w:color w:val="000000" w:themeColor="text1"/>
        </w:rPr>
        <w:t>部分簽併102年度偵字第1135號案之決定，因案件尚在偵辦中，故不需通知告發人。</w:t>
      </w:r>
    </w:p>
    <w:p w:rsidR="00E622A3" w:rsidRPr="006833AC" w:rsidRDefault="00E622A3" w:rsidP="00E622A3">
      <w:pPr>
        <w:pStyle w:val="5"/>
        <w:rPr>
          <w:color w:val="000000" w:themeColor="text1"/>
        </w:rPr>
      </w:pPr>
      <w:r w:rsidRPr="006833AC">
        <w:rPr>
          <w:rFonts w:hint="eastAsia"/>
          <w:color w:val="000000" w:themeColor="text1"/>
        </w:rPr>
        <w:t>99年度他字第131號案被告</w:t>
      </w:r>
      <w:r w:rsidR="00264CB4" w:rsidRPr="006833AC">
        <w:rPr>
          <w:rFonts w:hint="eastAsia"/>
          <w:color w:val="000000" w:themeColor="text1"/>
        </w:rPr>
        <w:t>徐○○</w:t>
      </w:r>
      <w:r w:rsidRPr="006833AC">
        <w:rPr>
          <w:rFonts w:hint="eastAsia"/>
          <w:color w:val="000000" w:themeColor="text1"/>
        </w:rPr>
        <w:t>等6人簽結及103年度他字第474號案被告</w:t>
      </w:r>
      <w:r w:rsidR="00264CB4" w:rsidRPr="006833AC">
        <w:rPr>
          <w:rFonts w:hint="eastAsia"/>
          <w:color w:val="000000" w:themeColor="text1"/>
        </w:rPr>
        <w:t>黃○庭</w:t>
      </w:r>
      <w:r w:rsidRPr="006833AC">
        <w:rPr>
          <w:rFonts w:hint="eastAsia"/>
          <w:color w:val="000000" w:themeColor="text1"/>
        </w:rPr>
        <w:t>等4人簽結部分，因案件簽結時，102年度偵字第1135號案件尚在偵辦中，故亦未通知告發人。</w:t>
      </w:r>
    </w:p>
    <w:p w:rsidR="00E622A3" w:rsidRPr="006833AC" w:rsidRDefault="00E622A3" w:rsidP="00E622A3">
      <w:pPr>
        <w:pStyle w:val="4"/>
        <w:rPr>
          <w:color w:val="000000" w:themeColor="text1"/>
        </w:rPr>
      </w:pPr>
      <w:r w:rsidRPr="006833AC">
        <w:rPr>
          <w:rFonts w:hint="eastAsia"/>
          <w:color w:val="000000" w:themeColor="text1"/>
        </w:rPr>
        <w:t>上開應行注意事項第11點雖規定檢察官辦理</w:t>
      </w:r>
      <w:r w:rsidRPr="006833AC">
        <w:rPr>
          <w:rFonts w:hAnsi="標楷體" w:hint="eastAsia"/>
          <w:color w:val="000000" w:themeColor="text1"/>
        </w:rPr>
        <w:t>「</w:t>
      </w:r>
      <w:r w:rsidRPr="006833AC">
        <w:rPr>
          <w:rFonts w:hint="eastAsia"/>
          <w:color w:val="000000" w:themeColor="text1"/>
        </w:rPr>
        <w:t>他</w:t>
      </w:r>
      <w:r w:rsidRPr="006833AC">
        <w:rPr>
          <w:rFonts w:hAnsi="標楷體" w:hint="eastAsia"/>
          <w:color w:val="000000" w:themeColor="text1"/>
        </w:rPr>
        <w:t>」</w:t>
      </w:r>
      <w:r w:rsidRPr="006833AC">
        <w:rPr>
          <w:rFonts w:hint="eastAsia"/>
          <w:color w:val="000000" w:themeColor="text1"/>
        </w:rPr>
        <w:t>案於簽結後應即將法律上之原因通知</w:t>
      </w:r>
      <w:r w:rsidRPr="006833AC">
        <w:rPr>
          <w:rFonts w:hAnsi="標楷體" w:hint="eastAsia"/>
          <w:color w:val="000000" w:themeColor="text1"/>
        </w:rPr>
        <w:t>「</w:t>
      </w:r>
      <w:r w:rsidRPr="006833AC">
        <w:rPr>
          <w:rFonts w:hint="eastAsia"/>
          <w:color w:val="000000" w:themeColor="text1"/>
        </w:rPr>
        <w:t>告發人</w:t>
      </w:r>
      <w:r w:rsidRPr="006833AC">
        <w:rPr>
          <w:rFonts w:hAnsi="標楷體" w:hint="eastAsia"/>
          <w:color w:val="000000" w:themeColor="text1"/>
        </w:rPr>
        <w:t>」</w:t>
      </w:r>
      <w:r w:rsidRPr="006833AC">
        <w:rPr>
          <w:rFonts w:hint="eastAsia"/>
          <w:color w:val="000000" w:themeColor="text1"/>
        </w:rPr>
        <w:t>，惟是否包括被併案件之告發人未予明定</w:t>
      </w:r>
      <w:r w:rsidRPr="006833AC">
        <w:rPr>
          <w:rFonts w:hAnsi="標楷體" w:hint="eastAsia"/>
          <w:color w:val="000000" w:themeColor="text1"/>
        </w:rPr>
        <w:t>，故臺東地檢署僅通知併案後存續案件之告發人。本案</w:t>
      </w:r>
      <w:r w:rsidRPr="006833AC">
        <w:rPr>
          <w:rFonts w:hint="eastAsia"/>
          <w:color w:val="000000" w:themeColor="text1"/>
        </w:rPr>
        <w:t>陳訴人告發案係屬被併案件</w:t>
      </w:r>
      <w:r w:rsidRPr="006833AC">
        <w:rPr>
          <w:rFonts w:hAnsi="標楷體" w:hint="eastAsia"/>
          <w:color w:val="000000" w:themeColor="text1"/>
        </w:rPr>
        <w:t>，</w:t>
      </w:r>
      <w:r w:rsidRPr="006833AC">
        <w:rPr>
          <w:rFonts w:hint="eastAsia"/>
          <w:color w:val="000000" w:themeColor="text1"/>
        </w:rPr>
        <w:t>因未接獲檢察官簽結之通知致其有6年來檢方未有任何偵查作為之認知</w:t>
      </w:r>
      <w:r w:rsidRPr="006833AC">
        <w:rPr>
          <w:rFonts w:hAnsi="標楷體" w:hint="eastAsia"/>
          <w:color w:val="000000" w:themeColor="text1"/>
        </w:rPr>
        <w:t>，</w:t>
      </w:r>
      <w:r w:rsidRPr="006833AC">
        <w:rPr>
          <w:rFonts w:hint="eastAsia"/>
          <w:color w:val="000000" w:themeColor="text1"/>
        </w:rPr>
        <w:t>爰上開應行注意事項允宜明定告發人之範圍</w:t>
      </w:r>
      <w:r w:rsidRPr="006833AC">
        <w:rPr>
          <w:rFonts w:hAnsi="標楷體" w:hint="eastAsia"/>
          <w:color w:val="000000" w:themeColor="text1"/>
        </w:rPr>
        <w:t>。</w:t>
      </w:r>
    </w:p>
    <w:p w:rsidR="00E622A3" w:rsidRPr="006833AC" w:rsidRDefault="00E622A3" w:rsidP="00E622A3">
      <w:pPr>
        <w:pStyle w:val="3"/>
        <w:rPr>
          <w:color w:val="000000" w:themeColor="text1"/>
        </w:rPr>
      </w:pPr>
      <w:r w:rsidRPr="006833AC">
        <w:rPr>
          <w:rFonts w:hint="eastAsia"/>
          <w:color w:val="000000" w:themeColor="text1"/>
        </w:rPr>
        <w:t>綜上</w:t>
      </w:r>
      <w:r w:rsidRPr="006833AC">
        <w:rPr>
          <w:rFonts w:hAnsi="標楷體" w:hint="eastAsia"/>
          <w:color w:val="000000" w:themeColor="text1"/>
        </w:rPr>
        <w:t>，</w:t>
      </w:r>
      <w:r w:rsidRPr="006833AC">
        <w:rPr>
          <w:rFonts w:hint="eastAsia"/>
          <w:color w:val="000000" w:themeColor="text1"/>
        </w:rPr>
        <w:t>現行「臺灣高等檢察署所屬各地方檢察署及其檢察分署辦理他案應行注意事項」第11點雖規定檢察官辦理</w:t>
      </w:r>
      <w:r w:rsidRPr="006833AC">
        <w:rPr>
          <w:rFonts w:hAnsi="標楷體" w:hint="eastAsia"/>
          <w:color w:val="000000" w:themeColor="text1"/>
        </w:rPr>
        <w:t>「</w:t>
      </w:r>
      <w:r w:rsidRPr="006833AC">
        <w:rPr>
          <w:rFonts w:hint="eastAsia"/>
          <w:color w:val="000000" w:themeColor="text1"/>
        </w:rPr>
        <w:t>他</w:t>
      </w:r>
      <w:r w:rsidRPr="006833AC">
        <w:rPr>
          <w:rFonts w:hAnsi="標楷體" w:hint="eastAsia"/>
          <w:color w:val="000000" w:themeColor="text1"/>
        </w:rPr>
        <w:t>」</w:t>
      </w:r>
      <w:r w:rsidRPr="006833AC">
        <w:rPr>
          <w:rFonts w:hint="eastAsia"/>
          <w:color w:val="000000" w:themeColor="text1"/>
        </w:rPr>
        <w:t>案於簽結後應即將法律上之原因通知</w:t>
      </w:r>
      <w:r w:rsidRPr="006833AC">
        <w:rPr>
          <w:rFonts w:hAnsi="標楷體" w:hint="eastAsia"/>
          <w:color w:val="000000" w:themeColor="text1"/>
        </w:rPr>
        <w:t>「</w:t>
      </w:r>
      <w:r w:rsidRPr="006833AC">
        <w:rPr>
          <w:rFonts w:hint="eastAsia"/>
          <w:color w:val="000000" w:themeColor="text1"/>
        </w:rPr>
        <w:t>告發人</w:t>
      </w:r>
      <w:r w:rsidRPr="006833AC">
        <w:rPr>
          <w:rFonts w:hAnsi="標楷體" w:hint="eastAsia"/>
          <w:color w:val="000000" w:themeColor="text1"/>
        </w:rPr>
        <w:t>」</w:t>
      </w:r>
      <w:r w:rsidRPr="006833AC">
        <w:rPr>
          <w:rFonts w:hint="eastAsia"/>
          <w:color w:val="000000" w:themeColor="text1"/>
        </w:rPr>
        <w:t>，惟是否包括被併案件之告發人未予明定</w:t>
      </w:r>
      <w:r w:rsidRPr="006833AC">
        <w:rPr>
          <w:rFonts w:hAnsi="標楷體" w:hint="eastAsia"/>
          <w:color w:val="000000" w:themeColor="text1"/>
        </w:rPr>
        <w:t>，故臺東地檢署僅通知併案後存續案件之告發人。本案</w:t>
      </w:r>
      <w:r w:rsidRPr="006833AC">
        <w:rPr>
          <w:rFonts w:hint="eastAsia"/>
          <w:color w:val="000000" w:themeColor="text1"/>
        </w:rPr>
        <w:t>陳訴人告發案係屬被併案件</w:t>
      </w:r>
      <w:r w:rsidRPr="006833AC">
        <w:rPr>
          <w:rFonts w:hAnsi="標楷體" w:hint="eastAsia"/>
          <w:color w:val="000000" w:themeColor="text1"/>
        </w:rPr>
        <w:t>，</w:t>
      </w:r>
      <w:r w:rsidRPr="006833AC">
        <w:rPr>
          <w:rFonts w:hint="eastAsia"/>
          <w:color w:val="000000" w:themeColor="text1"/>
        </w:rPr>
        <w:t>因未接獲</w:t>
      </w:r>
      <w:r w:rsidRPr="006833AC">
        <w:rPr>
          <w:rFonts w:hint="eastAsia"/>
          <w:color w:val="000000" w:themeColor="text1"/>
        </w:rPr>
        <w:lastRenderedPageBreak/>
        <w:t>檢察官簽結之通知致其有6年來檢方未有任何偵查作為之認知</w:t>
      </w:r>
      <w:r w:rsidRPr="006833AC">
        <w:rPr>
          <w:rFonts w:hAnsi="標楷體" w:hint="eastAsia"/>
          <w:color w:val="000000" w:themeColor="text1"/>
        </w:rPr>
        <w:t>，</w:t>
      </w:r>
      <w:r w:rsidRPr="006833AC">
        <w:rPr>
          <w:rFonts w:hint="eastAsia"/>
          <w:color w:val="000000" w:themeColor="text1"/>
        </w:rPr>
        <w:t>爰上開應行注意事項允宜明定告發人之範圍</w:t>
      </w:r>
      <w:r w:rsidRPr="006833AC">
        <w:rPr>
          <w:rFonts w:hAnsi="標楷體" w:hint="eastAsia"/>
          <w:color w:val="000000" w:themeColor="text1"/>
        </w:rPr>
        <w:t>，</w:t>
      </w:r>
      <w:r w:rsidR="00A913E3" w:rsidRPr="006833AC">
        <w:rPr>
          <w:rFonts w:hint="eastAsia"/>
          <w:color w:val="000000" w:themeColor="text1"/>
        </w:rPr>
        <w:t>避</w:t>
      </w:r>
      <w:r w:rsidRPr="006833AC">
        <w:rPr>
          <w:rFonts w:hint="eastAsia"/>
          <w:color w:val="000000" w:themeColor="text1"/>
        </w:rPr>
        <w:t>免類此被併案件之告發人不知其告發案結果之情形發生</w:t>
      </w:r>
      <w:r w:rsidRPr="006833AC">
        <w:rPr>
          <w:rFonts w:hAnsi="標楷體" w:hint="eastAsia"/>
          <w:color w:val="000000" w:themeColor="text1"/>
        </w:rPr>
        <w:t>。</w:t>
      </w:r>
    </w:p>
    <w:p w:rsidR="00492ECB" w:rsidRPr="006833AC" w:rsidRDefault="005B5D70" w:rsidP="0085083D">
      <w:pPr>
        <w:pStyle w:val="2"/>
        <w:rPr>
          <w:b/>
          <w:color w:val="000000" w:themeColor="text1"/>
        </w:rPr>
      </w:pPr>
      <w:r w:rsidRPr="006833AC">
        <w:rPr>
          <w:rFonts w:hint="eastAsia"/>
          <w:b/>
          <w:color w:val="000000" w:themeColor="text1"/>
        </w:rPr>
        <w:t>臺東地檢署</w:t>
      </w:r>
      <w:r w:rsidR="007A22A7" w:rsidRPr="006833AC">
        <w:rPr>
          <w:rFonts w:hint="eastAsia"/>
          <w:b/>
          <w:color w:val="000000" w:themeColor="text1"/>
        </w:rPr>
        <w:t>於</w:t>
      </w:r>
      <w:r w:rsidRPr="006833AC">
        <w:rPr>
          <w:rFonts w:hint="eastAsia"/>
          <w:b/>
          <w:color w:val="000000" w:themeColor="text1"/>
        </w:rPr>
        <w:t>99年間</w:t>
      </w:r>
      <w:r w:rsidR="007A22A7" w:rsidRPr="006833AC">
        <w:rPr>
          <w:rFonts w:hint="eastAsia"/>
          <w:b/>
          <w:color w:val="000000" w:themeColor="text1"/>
        </w:rPr>
        <w:t>首度</w:t>
      </w:r>
      <w:r w:rsidRPr="006833AC">
        <w:rPr>
          <w:rFonts w:hint="eastAsia"/>
          <w:b/>
          <w:color w:val="000000" w:themeColor="text1"/>
        </w:rPr>
        <w:t>受理美麗灣開發案告發後</w:t>
      </w:r>
      <w:r w:rsidR="007A22A7" w:rsidRPr="006833AC">
        <w:rPr>
          <w:rFonts w:hint="eastAsia"/>
          <w:b/>
          <w:color w:val="000000" w:themeColor="text1"/>
        </w:rPr>
        <w:t>分案為99年度他字第131號案，因承辦檢察官逾「檢察機關辦案期限及防止稽延實施要點」第35點第1款規定之8個月期限尚未偵結，自100年3月起列為逾期未結案件，臺東地檢署及高檢署皆函復表示</w:t>
      </w:r>
      <w:r w:rsidRPr="006833AC">
        <w:rPr>
          <w:rFonts w:hint="eastAsia"/>
          <w:b/>
          <w:color w:val="000000" w:themeColor="text1"/>
        </w:rPr>
        <w:t>本案有前開實施要點第34點第2項第9款規定刑事偵查案件未依期限進行之正當理由</w:t>
      </w:r>
      <w:r w:rsidR="007A22A7" w:rsidRPr="006833AC">
        <w:rPr>
          <w:rFonts w:hAnsi="標楷體" w:hint="eastAsia"/>
          <w:b/>
          <w:color w:val="000000" w:themeColor="text1"/>
        </w:rPr>
        <w:t>，</w:t>
      </w:r>
      <w:r w:rsidR="007A22A7" w:rsidRPr="006833AC">
        <w:rPr>
          <w:rFonts w:hint="eastAsia"/>
          <w:b/>
          <w:color w:val="000000" w:themeColor="text1"/>
        </w:rPr>
        <w:t>並</w:t>
      </w:r>
      <w:r w:rsidR="00F26483" w:rsidRPr="006833AC">
        <w:rPr>
          <w:rFonts w:hint="eastAsia"/>
          <w:b/>
          <w:color w:val="000000" w:themeColor="text1"/>
        </w:rPr>
        <w:t>依規定對承辦檢察官加以督考</w:t>
      </w:r>
      <w:r w:rsidR="00F26483" w:rsidRPr="006833AC">
        <w:rPr>
          <w:rFonts w:hAnsi="標楷體" w:hint="eastAsia"/>
          <w:b/>
          <w:color w:val="000000" w:themeColor="text1"/>
        </w:rPr>
        <w:t>；</w:t>
      </w:r>
      <w:r w:rsidR="00F26483" w:rsidRPr="006833AC">
        <w:rPr>
          <w:rFonts w:hint="eastAsia"/>
          <w:b/>
          <w:color w:val="000000" w:themeColor="text1"/>
        </w:rPr>
        <w:t>另高檢署花蓮檢察分署並依前開實施要點第40點第3項規定按季派員檢查是否有無故拖延不結之情形</w:t>
      </w:r>
      <w:r w:rsidR="00F26483" w:rsidRPr="006833AC">
        <w:rPr>
          <w:rFonts w:hAnsi="標楷體" w:hint="eastAsia"/>
          <w:b/>
          <w:color w:val="000000" w:themeColor="text1"/>
        </w:rPr>
        <w:t>，</w:t>
      </w:r>
      <w:r w:rsidR="00F26483" w:rsidRPr="006833AC">
        <w:rPr>
          <w:rFonts w:hint="eastAsia"/>
          <w:b/>
          <w:color w:val="000000" w:themeColor="text1"/>
        </w:rPr>
        <w:t>爰承辦檢察官之偵辦時限及檢察機關之督考程序符合相關規定</w:t>
      </w:r>
      <w:r w:rsidR="00F26483" w:rsidRPr="006833AC">
        <w:rPr>
          <w:rFonts w:hAnsi="標楷體" w:hint="eastAsia"/>
          <w:b/>
          <w:color w:val="000000" w:themeColor="text1"/>
        </w:rPr>
        <w:t>。</w:t>
      </w:r>
    </w:p>
    <w:p w:rsidR="00A44168" w:rsidRPr="006833AC" w:rsidRDefault="00A44168" w:rsidP="00A44168">
      <w:pPr>
        <w:pStyle w:val="3"/>
        <w:rPr>
          <w:color w:val="000000" w:themeColor="text1"/>
        </w:rPr>
      </w:pPr>
      <w:r w:rsidRPr="006833AC">
        <w:rPr>
          <w:rFonts w:hint="eastAsia"/>
          <w:b/>
          <w:color w:val="000000" w:themeColor="text1"/>
        </w:rPr>
        <w:t>臺東地檢署督管承辦檢察官偵辦告發案作為</w:t>
      </w:r>
    </w:p>
    <w:p w:rsidR="008D7AAD" w:rsidRPr="006833AC" w:rsidRDefault="008D7AAD" w:rsidP="008D7AAD">
      <w:pPr>
        <w:pStyle w:val="4"/>
        <w:rPr>
          <w:color w:val="000000" w:themeColor="text1"/>
        </w:rPr>
      </w:pPr>
      <w:r w:rsidRPr="006833AC">
        <w:rPr>
          <w:rFonts w:hint="eastAsia"/>
          <w:color w:val="000000" w:themeColor="text1"/>
        </w:rPr>
        <w:t>該署函復均按</w:t>
      </w:r>
      <w:r w:rsidRPr="006833AC">
        <w:rPr>
          <w:rFonts w:ascii="Times New Roman" w:hAnsi="Times New Roman" w:hint="eastAsia"/>
          <w:color w:val="000000" w:themeColor="text1"/>
          <w:szCs w:val="32"/>
        </w:rPr>
        <w:t>「檢察機關辦案期限及防止稽延實施要點」</w:t>
      </w:r>
      <w:r w:rsidRPr="006833AC">
        <w:rPr>
          <w:rFonts w:hint="eastAsia"/>
          <w:color w:val="000000" w:themeColor="text1"/>
          <w:spacing w:val="20"/>
        </w:rPr>
        <w:t>第33點第2項</w:t>
      </w:r>
      <w:r w:rsidRPr="006833AC">
        <w:rPr>
          <w:rStyle w:val="afe"/>
          <w:color w:val="000000" w:themeColor="text1"/>
        </w:rPr>
        <w:footnoteReference w:id="4"/>
      </w:r>
      <w:r w:rsidRPr="006833AC">
        <w:rPr>
          <w:rFonts w:hint="eastAsia"/>
          <w:color w:val="000000" w:themeColor="text1"/>
        </w:rPr>
        <w:t>及</w:t>
      </w:r>
      <w:r w:rsidRPr="006833AC">
        <w:rPr>
          <w:rFonts w:hint="eastAsia"/>
          <w:color w:val="000000" w:themeColor="text1"/>
          <w:spacing w:val="8"/>
        </w:rPr>
        <w:t>第35點第1款</w:t>
      </w:r>
      <w:r w:rsidRPr="006833AC">
        <w:rPr>
          <w:rStyle w:val="afe"/>
          <w:color w:val="000000" w:themeColor="text1"/>
        </w:rPr>
        <w:footnoteReference w:id="5"/>
      </w:r>
      <w:r w:rsidRPr="006833AC">
        <w:rPr>
          <w:rFonts w:ascii="Times New Roman" w:hAnsi="Times New Roman" w:hint="eastAsia"/>
          <w:color w:val="000000" w:themeColor="text1"/>
          <w:spacing w:val="4"/>
          <w:szCs w:val="32"/>
        </w:rPr>
        <w:t>規定辦理</w:t>
      </w:r>
      <w:r w:rsidRPr="006833AC">
        <w:rPr>
          <w:rFonts w:hAnsi="標楷體" w:hint="eastAsia"/>
          <w:color w:val="000000" w:themeColor="text1"/>
          <w:spacing w:val="4"/>
          <w:szCs w:val="32"/>
        </w:rPr>
        <w:t>：</w:t>
      </w:r>
    </w:p>
    <w:p w:rsidR="008D7AAD" w:rsidRPr="006833AC" w:rsidRDefault="008D7AAD" w:rsidP="008D7AAD">
      <w:pPr>
        <w:pStyle w:val="5"/>
        <w:rPr>
          <w:color w:val="000000" w:themeColor="text1"/>
        </w:rPr>
      </w:pPr>
      <w:r w:rsidRPr="006833AC">
        <w:rPr>
          <w:rFonts w:hint="eastAsia"/>
          <w:color w:val="000000" w:themeColor="text1"/>
        </w:rPr>
        <w:t>由研考科對逾2個月未進行之案件，製作報表通知承辦檢察官促使注意進行。</w:t>
      </w:r>
    </w:p>
    <w:p w:rsidR="008D7AAD" w:rsidRPr="006833AC" w:rsidRDefault="008D7AAD" w:rsidP="008D7AAD">
      <w:pPr>
        <w:pStyle w:val="5"/>
        <w:rPr>
          <w:color w:val="000000" w:themeColor="text1"/>
        </w:rPr>
      </w:pPr>
      <w:r w:rsidRPr="006833AC">
        <w:rPr>
          <w:rFonts w:hint="eastAsia"/>
          <w:color w:val="000000" w:themeColor="text1"/>
        </w:rPr>
        <w:t>一般偵查案件逾8個月尚未終結者，由研考科會同統計室，按月填具逾期未結案件催辦通知單，層報檢察長核閱後，通知檢察官，促其注意迅速進行結案。</w:t>
      </w:r>
    </w:p>
    <w:p w:rsidR="008D7AAD" w:rsidRPr="006833AC" w:rsidRDefault="008D7AAD" w:rsidP="008D7AAD">
      <w:pPr>
        <w:pStyle w:val="4"/>
        <w:rPr>
          <w:color w:val="000000" w:themeColor="text1"/>
        </w:rPr>
      </w:pPr>
      <w:r w:rsidRPr="006833AC">
        <w:rPr>
          <w:rFonts w:hint="eastAsia"/>
          <w:color w:val="000000" w:themeColor="text1"/>
        </w:rPr>
        <w:t>本院調閱臺東地檢署100年3月份至104年6月份</w:t>
      </w:r>
      <w:r w:rsidRPr="006833AC">
        <w:rPr>
          <w:rFonts w:hint="eastAsia"/>
          <w:color w:val="000000" w:themeColor="text1"/>
        </w:rPr>
        <w:lastRenderedPageBreak/>
        <w:t>逾期未結案件月報表共計51份，其逾期未結原因略以：</w:t>
      </w:r>
    </w:p>
    <w:p w:rsidR="008D7AAD" w:rsidRPr="006833AC" w:rsidRDefault="008D7AAD" w:rsidP="008D7AAD">
      <w:pPr>
        <w:pStyle w:val="5"/>
        <w:rPr>
          <w:color w:val="000000" w:themeColor="text1"/>
        </w:rPr>
      </w:pPr>
      <w:r w:rsidRPr="006833AC">
        <w:rPr>
          <w:rFonts w:hint="eastAsia"/>
          <w:color w:val="000000" w:themeColor="text1"/>
        </w:rPr>
        <w:t>99年</w:t>
      </w:r>
      <w:r w:rsidR="001A511A" w:rsidRPr="006833AC">
        <w:rPr>
          <w:rFonts w:hint="eastAsia"/>
          <w:color w:val="000000" w:themeColor="text1"/>
        </w:rPr>
        <w:t>度</w:t>
      </w:r>
      <w:r w:rsidRPr="006833AC">
        <w:rPr>
          <w:rFonts w:hint="eastAsia"/>
          <w:color w:val="000000" w:themeColor="text1"/>
        </w:rPr>
        <w:t>他字第131號案件：</w:t>
      </w:r>
    </w:p>
    <w:p w:rsidR="008D7AAD" w:rsidRPr="006833AC" w:rsidRDefault="008D7AAD" w:rsidP="008D7AAD">
      <w:pPr>
        <w:pStyle w:val="6"/>
        <w:rPr>
          <w:color w:val="000000" w:themeColor="text1"/>
        </w:rPr>
      </w:pPr>
      <w:r w:rsidRPr="006833AC">
        <w:rPr>
          <w:rFonts w:hint="eastAsia"/>
          <w:color w:val="000000" w:themeColor="text1"/>
        </w:rPr>
        <w:t>「(100年8月)本案係臺東縣政府承辦，美麗灣公司施作之杉原海水浴場開發案，該案因環評程序等問題另涉行政訴訟，要參考行政訴訟之確定判決結果；本案在縣政府公文流程，所涉局處及承辦人眾多，相關公文繁雜，有待逐一清查，耗費時日」、「(101年5月)陸續傳喚相關證人釐清案情」、「(103年1月)已交檢察事務官分析卷證，近日將予結案」、「(103年4月)案情複雜尚待調取相關卷宗」、「(103年10月)案情複雜仍有函詢環保主管機關勘驗結果(確認有無廢清)及二次環評後資金流向，尚未能結」等說明逾期未結原因，在卷可稽。</w:t>
      </w:r>
    </w:p>
    <w:p w:rsidR="008D7AAD" w:rsidRPr="006833AC" w:rsidRDefault="008D7AAD" w:rsidP="008D7AAD">
      <w:pPr>
        <w:pStyle w:val="6"/>
        <w:rPr>
          <w:color w:val="000000" w:themeColor="text1"/>
        </w:rPr>
      </w:pPr>
      <w:r w:rsidRPr="006833AC">
        <w:rPr>
          <w:rFonts w:hint="eastAsia"/>
          <w:color w:val="000000" w:themeColor="text1"/>
        </w:rPr>
        <w:t>該署檢察長、主任檢察官歷次要求改善措施略以：「(100年8月)相關證人先行傳訊，查明事實，並就相關公文流程予以釐清，並隨時注意行政訴訟進程」、「(103年1月)請妥適偵結」、「(103年4月)向臺東縣調查站調取查證結果，以利事證統一，另就廢棄物清理法部分擬再定期勘驗後一併偵結」、「(103年10月)本案仍待環保署(局)函復會勘後有無廢棄物清理法之相關刑責後始能釐清業者是否涉及違反廢棄物清理法。另就本件金流僅清查初次建照核發部分，現與102年度偵字第1135號案一併進行，確認二次建照有無涉及不法」等要求改善作為，在卷為憑。</w:t>
      </w:r>
    </w:p>
    <w:p w:rsidR="008D7AAD" w:rsidRPr="006833AC" w:rsidRDefault="008D7AAD" w:rsidP="008D7AAD">
      <w:pPr>
        <w:pStyle w:val="5"/>
        <w:rPr>
          <w:color w:val="000000" w:themeColor="text1"/>
        </w:rPr>
      </w:pPr>
      <w:r w:rsidRPr="006833AC">
        <w:rPr>
          <w:rFonts w:hint="eastAsia"/>
          <w:color w:val="000000" w:themeColor="text1"/>
        </w:rPr>
        <w:t>102年</w:t>
      </w:r>
      <w:r w:rsidR="001A511A" w:rsidRPr="006833AC">
        <w:rPr>
          <w:rFonts w:hint="eastAsia"/>
          <w:color w:val="000000" w:themeColor="text1"/>
        </w:rPr>
        <w:t>度</w:t>
      </w:r>
      <w:r w:rsidRPr="006833AC">
        <w:rPr>
          <w:rFonts w:hint="eastAsia"/>
          <w:color w:val="000000" w:themeColor="text1"/>
        </w:rPr>
        <w:t>偵字第1135號案件：</w:t>
      </w:r>
    </w:p>
    <w:p w:rsidR="008D7AAD" w:rsidRPr="006833AC" w:rsidRDefault="008D7AAD" w:rsidP="008D7AAD">
      <w:pPr>
        <w:pStyle w:val="6"/>
        <w:rPr>
          <w:color w:val="000000" w:themeColor="text1"/>
        </w:rPr>
      </w:pPr>
      <w:r w:rsidRPr="006833AC">
        <w:rPr>
          <w:rFonts w:hint="eastAsia"/>
          <w:color w:val="000000" w:themeColor="text1"/>
        </w:rPr>
        <w:lastRenderedPageBreak/>
        <w:t>「(103年2月份)資料到案，再行決定偵結作為」、「(103年3月份)縣府方函復，待詳閱後偵結」、「(103年8月份)與99年</w:t>
      </w:r>
      <w:r w:rsidR="001A511A" w:rsidRPr="006833AC">
        <w:rPr>
          <w:rFonts w:hint="eastAsia"/>
          <w:color w:val="000000" w:themeColor="text1"/>
        </w:rPr>
        <w:t>度</w:t>
      </w:r>
      <w:r w:rsidRPr="006833AC">
        <w:rPr>
          <w:rFonts w:hint="eastAsia"/>
          <w:color w:val="000000" w:themeColor="text1"/>
        </w:rPr>
        <w:t>他字131號同案，將一併處理」、「(103年12月份)案情複雜仍有函詢環保主管機關勘驗結果(確認有無廢清)及二次環評後資金流向，尚未能結，將儘速偵結」、「(104年1月份)近期將結」等說明逾期未結原因，在卷可稽。</w:t>
      </w:r>
    </w:p>
    <w:p w:rsidR="008D7AAD" w:rsidRPr="006833AC" w:rsidRDefault="008D7AAD" w:rsidP="008D7AAD">
      <w:pPr>
        <w:pStyle w:val="6"/>
        <w:rPr>
          <w:color w:val="000000" w:themeColor="text1"/>
        </w:rPr>
      </w:pPr>
      <w:r w:rsidRPr="006833AC">
        <w:rPr>
          <w:rFonts w:hint="eastAsia"/>
          <w:color w:val="000000" w:themeColor="text1"/>
        </w:rPr>
        <w:t>該署檢察長、主任檢察官歷次要求改善措施略以：「(103年2月份)請妥適偵結」、「(103年12月份)本案仍待環保署(局)函復會勘後有無廢棄物清理法之相關刑責後始能釐清業者是否涉及違反廢棄物清理法。另就本件金流僅清查初次建照核發部分，現與102年度偵字第1135號案一併進行，確認二次建照有無涉及不法」等要求改善作為，在卷為憑。</w:t>
      </w:r>
    </w:p>
    <w:p w:rsidR="00B74102" w:rsidRPr="006833AC" w:rsidRDefault="00B74102" w:rsidP="00B74102">
      <w:pPr>
        <w:pStyle w:val="3"/>
        <w:rPr>
          <w:color w:val="000000" w:themeColor="text1"/>
        </w:rPr>
      </w:pPr>
      <w:r w:rsidRPr="006833AC">
        <w:rPr>
          <w:rFonts w:hint="eastAsia"/>
          <w:b/>
          <w:color w:val="000000" w:themeColor="text1"/>
        </w:rPr>
        <w:t>高檢署督導管考臺東地檢署偵辦上開告發案之作為</w:t>
      </w:r>
      <w:r w:rsidRPr="006833AC">
        <w:rPr>
          <w:rFonts w:hAnsi="標楷體" w:hint="eastAsia"/>
          <w:b/>
          <w:color w:val="000000" w:themeColor="text1"/>
        </w:rPr>
        <w:t>：</w:t>
      </w:r>
    </w:p>
    <w:p w:rsidR="00B74102" w:rsidRPr="006833AC" w:rsidRDefault="00B74102" w:rsidP="00B74102">
      <w:pPr>
        <w:pStyle w:val="4"/>
        <w:numPr>
          <w:ilvl w:val="0"/>
          <w:numId w:val="0"/>
        </w:numPr>
        <w:ind w:left="1358" w:firstLineChars="210" w:firstLine="714"/>
        <w:rPr>
          <w:color w:val="000000" w:themeColor="text1"/>
        </w:rPr>
      </w:pPr>
      <w:r w:rsidRPr="006833AC">
        <w:rPr>
          <w:rFonts w:hint="eastAsia"/>
          <w:color w:val="000000" w:themeColor="text1"/>
        </w:rPr>
        <w:t>多件告發案最早分案為99年度他字第131號案</w:t>
      </w:r>
      <w:r w:rsidRPr="006833AC">
        <w:rPr>
          <w:rFonts w:hAnsi="標楷體" w:hint="eastAsia"/>
          <w:color w:val="000000" w:themeColor="text1"/>
        </w:rPr>
        <w:t>，</w:t>
      </w:r>
      <w:r w:rsidRPr="006833AC">
        <w:rPr>
          <w:rFonts w:hint="eastAsia"/>
          <w:color w:val="000000" w:themeColor="text1"/>
        </w:rPr>
        <w:t>自100年3月起列為逾期未結案件至104年7月偵結不起訴止</w:t>
      </w:r>
      <w:r w:rsidRPr="006833AC">
        <w:rPr>
          <w:rFonts w:hAnsi="標楷體" w:hint="eastAsia"/>
          <w:color w:val="000000" w:themeColor="text1"/>
        </w:rPr>
        <w:t>，</w:t>
      </w:r>
      <w:r w:rsidRPr="006833AC">
        <w:rPr>
          <w:rFonts w:hint="eastAsia"/>
          <w:color w:val="000000" w:themeColor="text1"/>
        </w:rPr>
        <w:t>高檢署之督考情形如下</w:t>
      </w:r>
      <w:r w:rsidRPr="006833AC">
        <w:rPr>
          <w:rFonts w:hAnsi="標楷體" w:hint="eastAsia"/>
          <w:color w:val="000000" w:themeColor="text1"/>
        </w:rPr>
        <w:t>：</w:t>
      </w:r>
    </w:p>
    <w:p w:rsidR="00B74102" w:rsidRPr="006833AC" w:rsidRDefault="00B74102" w:rsidP="00B74102">
      <w:pPr>
        <w:pStyle w:val="4"/>
        <w:rPr>
          <w:color w:val="000000" w:themeColor="text1"/>
        </w:rPr>
      </w:pPr>
      <w:r w:rsidRPr="006833AC">
        <w:rPr>
          <w:rFonts w:hint="eastAsia"/>
          <w:color w:val="000000" w:themeColor="text1"/>
        </w:rPr>
        <w:t>臺東地檢署依「檢察機關辦案期限及防止稽延實施要點」第36點第2項</w:t>
      </w:r>
      <w:r w:rsidRPr="006833AC">
        <w:rPr>
          <w:rStyle w:val="afe"/>
          <w:color w:val="000000" w:themeColor="text1"/>
        </w:rPr>
        <w:footnoteReference w:id="6"/>
      </w:r>
      <w:r w:rsidRPr="006833AC">
        <w:rPr>
          <w:rFonts w:hint="eastAsia"/>
          <w:color w:val="000000" w:themeColor="text1"/>
        </w:rPr>
        <w:t>規定，按月陳報高檢署花蓮檢察分署審核，副本送高檢署彙整所屬各地方檢察署之逾期未結案件統計表及月報表資料，呈報法務部核復後，再函所屬各地方檢察署照辦</w:t>
      </w:r>
      <w:r w:rsidRPr="006833AC">
        <w:rPr>
          <w:rFonts w:hAnsi="標楷體" w:hint="eastAsia"/>
          <w:color w:val="000000" w:themeColor="text1"/>
        </w:rPr>
        <w:t>，</w:t>
      </w:r>
      <w:r w:rsidRPr="006833AC">
        <w:rPr>
          <w:rFonts w:hint="eastAsia"/>
          <w:color w:val="000000" w:themeColor="text1"/>
        </w:rPr>
        <w:lastRenderedPageBreak/>
        <w:t>有高檢署函送法務部檢察司自100年3月份起至104年8月份之</w:t>
      </w:r>
      <w:r w:rsidRPr="006833AC">
        <w:rPr>
          <w:rFonts w:hAnsi="標楷體" w:hint="eastAsia"/>
          <w:color w:val="000000" w:themeColor="text1"/>
        </w:rPr>
        <w:t>「臺灣各級檢察署○年○月(偵案)逾期未結案件統計表」(計54份)在卷可稽。</w:t>
      </w:r>
    </w:p>
    <w:p w:rsidR="00B74102" w:rsidRPr="006833AC" w:rsidRDefault="00B74102" w:rsidP="00B74102">
      <w:pPr>
        <w:pStyle w:val="4"/>
        <w:rPr>
          <w:color w:val="000000" w:themeColor="text1"/>
        </w:rPr>
      </w:pPr>
      <w:r w:rsidRPr="006833AC">
        <w:rPr>
          <w:rFonts w:hint="eastAsia"/>
          <w:color w:val="000000" w:themeColor="text1"/>
        </w:rPr>
        <w:t>高檢署花蓮檢察分署就臺東地檢署陳報之前開逾期未結案件月報表資料，分「他審」案後，由該署檢察官審核後簽由該署檢察長核定</w:t>
      </w:r>
      <w:r w:rsidRPr="006833AC">
        <w:rPr>
          <w:rFonts w:hAnsi="標楷體" w:hint="eastAsia"/>
          <w:color w:val="000000" w:themeColor="text1"/>
        </w:rPr>
        <w:t>，</w:t>
      </w:r>
      <w:r w:rsidRPr="006833AC">
        <w:rPr>
          <w:rFonts w:hint="eastAsia"/>
          <w:color w:val="000000" w:themeColor="text1"/>
        </w:rPr>
        <w:t>有臺東地檢署函送高檢署花蓮檢察分署自100年3月份起至104年7月份之</w:t>
      </w:r>
      <w:r w:rsidRPr="006833AC">
        <w:rPr>
          <w:rFonts w:hAnsi="標楷體" w:hint="eastAsia"/>
          <w:color w:val="000000" w:themeColor="text1"/>
        </w:rPr>
        <w:t>「臺東檢察署○年○月逾期未結案件月報表」(計53份)在卷可證。</w:t>
      </w:r>
    </w:p>
    <w:p w:rsidR="00B74102" w:rsidRPr="006833AC" w:rsidRDefault="00B74102" w:rsidP="00B74102">
      <w:pPr>
        <w:pStyle w:val="4"/>
        <w:rPr>
          <w:color w:val="000000" w:themeColor="text1"/>
        </w:rPr>
      </w:pPr>
      <w:r w:rsidRPr="006833AC">
        <w:rPr>
          <w:rFonts w:hint="eastAsia"/>
          <w:color w:val="000000" w:themeColor="text1"/>
        </w:rPr>
        <w:t>高檢署花蓮檢察分署依「檢察機關辦案期限及防止稽延實施要點」第40點第3項</w:t>
      </w:r>
      <w:r w:rsidRPr="006833AC">
        <w:rPr>
          <w:rStyle w:val="afe"/>
          <w:color w:val="000000" w:themeColor="text1"/>
        </w:rPr>
        <w:footnoteReference w:id="7"/>
      </w:r>
      <w:r w:rsidRPr="006833AC">
        <w:rPr>
          <w:rFonts w:hint="eastAsia"/>
          <w:color w:val="000000" w:themeColor="text1"/>
        </w:rPr>
        <w:t>規定，均按季派員檢查上開檢察署承辦上開案件有無「無故逾3月未進行」或「無故或藉故拖延不結」情形，並將檢查結果函該署查照辦理及副知高檢署</w:t>
      </w:r>
      <w:r w:rsidRPr="006833AC">
        <w:rPr>
          <w:rFonts w:hAnsi="標楷體" w:hint="eastAsia"/>
          <w:color w:val="000000" w:themeColor="text1"/>
        </w:rPr>
        <w:t>，</w:t>
      </w:r>
      <w:r w:rsidRPr="006833AC">
        <w:rPr>
          <w:rFonts w:hint="eastAsia"/>
          <w:color w:val="000000" w:themeColor="text1"/>
        </w:rPr>
        <w:t>有高檢署花蓮檢察分署函送臺東地檢署自100年第1季起至104年第2季之</w:t>
      </w:r>
      <w:r w:rsidRPr="006833AC">
        <w:rPr>
          <w:rFonts w:hAnsi="標楷體" w:hint="eastAsia"/>
          <w:color w:val="000000" w:themeColor="text1"/>
        </w:rPr>
        <w:t>「</w:t>
      </w:r>
      <w:r w:rsidRPr="006833AC">
        <w:rPr>
          <w:rFonts w:hint="eastAsia"/>
          <w:color w:val="000000" w:themeColor="text1"/>
        </w:rPr>
        <w:t>高檢署花蓮檢察分署</w:t>
      </w:r>
      <w:r w:rsidRPr="006833AC">
        <w:rPr>
          <w:rFonts w:hAnsi="標楷體" w:hint="eastAsia"/>
          <w:color w:val="000000" w:themeColor="text1"/>
        </w:rPr>
        <w:t>○年○月檢查訴訟轄區-臺東地檢署辦理『他』案情形檢查表」(計18份)在卷為憑</w:t>
      </w:r>
      <w:r w:rsidRPr="006833AC">
        <w:rPr>
          <w:rFonts w:hint="eastAsia"/>
          <w:color w:val="000000" w:themeColor="text1"/>
        </w:rPr>
        <w:t>。</w:t>
      </w:r>
    </w:p>
    <w:p w:rsidR="00B74102" w:rsidRPr="006833AC" w:rsidRDefault="00B74102" w:rsidP="00B74102">
      <w:pPr>
        <w:pStyle w:val="4"/>
        <w:rPr>
          <w:color w:val="000000" w:themeColor="text1"/>
        </w:rPr>
      </w:pPr>
      <w:r w:rsidRPr="006833AC">
        <w:rPr>
          <w:rFonts w:hint="eastAsia"/>
          <w:color w:val="000000" w:themeColor="text1"/>
        </w:rPr>
        <w:t>上開案件自101年起列為專案檢查案件(偵查l年以上未滿2年之未結案件)，由高檢署花蓮檢察分署按季實施專案檢查</w:t>
      </w:r>
      <w:r w:rsidRPr="006833AC">
        <w:rPr>
          <w:rFonts w:hAnsi="標楷體" w:hint="eastAsia"/>
          <w:color w:val="000000" w:themeColor="text1"/>
        </w:rPr>
        <w:t>，</w:t>
      </w:r>
      <w:r w:rsidRPr="006833AC">
        <w:rPr>
          <w:rFonts w:hint="eastAsia"/>
          <w:color w:val="000000" w:themeColor="text1"/>
        </w:rPr>
        <w:t>有臺東地檢署函送高檢署花蓮檢察分署自101年第1季起至104年第2季之</w:t>
      </w:r>
      <w:r w:rsidRPr="006833AC">
        <w:rPr>
          <w:rFonts w:hAnsi="標楷體" w:hint="eastAsia"/>
          <w:color w:val="000000" w:themeColor="text1"/>
        </w:rPr>
        <w:t>「臺東地檢署○年度第○季專案檢查表」(計14份)在卷足憑</w:t>
      </w:r>
      <w:r w:rsidRPr="006833AC">
        <w:rPr>
          <w:rFonts w:hint="eastAsia"/>
          <w:color w:val="000000" w:themeColor="text1"/>
        </w:rPr>
        <w:t>。</w:t>
      </w:r>
    </w:p>
    <w:p w:rsidR="00B74102" w:rsidRPr="006833AC" w:rsidRDefault="00B74102" w:rsidP="00B74102">
      <w:pPr>
        <w:pStyle w:val="4"/>
        <w:rPr>
          <w:color w:val="000000" w:themeColor="text1"/>
        </w:rPr>
      </w:pPr>
      <w:r w:rsidRPr="006833AC">
        <w:rPr>
          <w:rFonts w:hint="eastAsia"/>
          <w:color w:val="000000" w:themeColor="text1"/>
        </w:rPr>
        <w:t>前揭專案檢查資料再由高檢署呈報法務部核復後，復知高檢署照辦</w:t>
      </w:r>
      <w:r w:rsidRPr="006833AC">
        <w:rPr>
          <w:rFonts w:hAnsi="標楷體" w:hint="eastAsia"/>
          <w:color w:val="000000" w:themeColor="text1"/>
        </w:rPr>
        <w:t>，</w:t>
      </w:r>
      <w:r w:rsidRPr="006833AC">
        <w:rPr>
          <w:rFonts w:hint="eastAsia"/>
          <w:color w:val="000000" w:themeColor="text1"/>
        </w:rPr>
        <w:t>有高檢署函送法務部自101年第1季起至104年第4季之</w:t>
      </w:r>
      <w:r w:rsidRPr="006833AC">
        <w:rPr>
          <w:rFonts w:hAnsi="標楷體" w:hint="eastAsia"/>
          <w:color w:val="000000" w:themeColor="text1"/>
        </w:rPr>
        <w:t>「高檢署</w:t>
      </w:r>
      <w:r w:rsidRPr="006833AC">
        <w:rPr>
          <w:rFonts w:hint="eastAsia"/>
          <w:color w:val="000000" w:themeColor="text1"/>
        </w:rPr>
        <w:t>所屬各地方</w:t>
      </w:r>
      <w:r w:rsidRPr="006833AC">
        <w:rPr>
          <w:rFonts w:hint="eastAsia"/>
          <w:color w:val="000000" w:themeColor="text1"/>
        </w:rPr>
        <w:lastRenderedPageBreak/>
        <w:t>檢察署</w:t>
      </w:r>
      <w:r w:rsidRPr="006833AC">
        <w:rPr>
          <w:rFonts w:hAnsi="標楷體" w:hint="eastAsia"/>
          <w:color w:val="000000" w:themeColor="text1"/>
        </w:rPr>
        <w:t>○年度第○季專案檢查統計表」及法務部函復公文(計16份)在卷可考</w:t>
      </w:r>
      <w:r w:rsidRPr="006833AC">
        <w:rPr>
          <w:rFonts w:hint="eastAsia"/>
          <w:color w:val="000000" w:themeColor="text1"/>
        </w:rPr>
        <w:t xml:space="preserve">。　</w:t>
      </w:r>
    </w:p>
    <w:p w:rsidR="008D7AAD" w:rsidRPr="006833AC" w:rsidRDefault="00B74102" w:rsidP="00B74102">
      <w:pPr>
        <w:pStyle w:val="3"/>
        <w:rPr>
          <w:b/>
          <w:color w:val="000000" w:themeColor="text1"/>
        </w:rPr>
      </w:pPr>
      <w:r w:rsidRPr="006833AC">
        <w:rPr>
          <w:rFonts w:hint="eastAsia"/>
          <w:b/>
          <w:color w:val="000000" w:themeColor="text1"/>
        </w:rPr>
        <w:t>臺東地檢署</w:t>
      </w:r>
      <w:r w:rsidR="008D7AAD" w:rsidRPr="006833AC">
        <w:rPr>
          <w:rFonts w:hint="eastAsia"/>
          <w:b/>
          <w:color w:val="000000" w:themeColor="text1"/>
        </w:rPr>
        <w:t>承辦檢察官偵辦本案有前開實施要點第34點第2項第9款規定刑事偵查案件未依期限進行之正當理由：</w:t>
      </w:r>
    </w:p>
    <w:p w:rsidR="00B74102" w:rsidRPr="006833AC" w:rsidRDefault="00B74102" w:rsidP="00B74102">
      <w:pPr>
        <w:pStyle w:val="4"/>
        <w:rPr>
          <w:color w:val="000000" w:themeColor="text1"/>
        </w:rPr>
      </w:pPr>
      <w:r w:rsidRPr="006833AC">
        <w:rPr>
          <w:rFonts w:hint="eastAsia"/>
          <w:color w:val="000000" w:themeColor="text1"/>
        </w:rPr>
        <w:t>前開實施要點第34點第2項第9款規定</w:t>
      </w:r>
      <w:r w:rsidRPr="006833AC">
        <w:rPr>
          <w:rFonts w:hAnsi="標楷體" w:hint="eastAsia"/>
          <w:color w:val="000000" w:themeColor="text1"/>
        </w:rPr>
        <w:t>：</w:t>
      </w:r>
      <w:r w:rsidRPr="006833AC">
        <w:rPr>
          <w:rFonts w:hint="eastAsia"/>
          <w:color w:val="000000" w:themeColor="text1"/>
        </w:rPr>
        <w:t>「</w:t>
      </w:r>
      <w:r w:rsidRPr="006833AC">
        <w:rPr>
          <w:rFonts w:hAnsi="標楷體" w:cs="細明體" w:hint="eastAsia"/>
          <w:color w:val="000000" w:themeColor="text1"/>
          <w:kern w:val="0"/>
          <w:szCs w:val="32"/>
        </w:rPr>
        <w:t>刑事偵查案件未依期限進行，而有下列各款情形之一者，為正當理由：……(九)</w:t>
      </w:r>
      <w:r w:rsidRPr="006833AC">
        <w:rPr>
          <w:rFonts w:hint="eastAsia"/>
          <w:color w:val="000000" w:themeColor="text1"/>
        </w:rPr>
        <w:t>犯罪是否成立以他罪為斷，而他罪已經起訴尚未判決確定，致不能進行者。」</w:t>
      </w:r>
    </w:p>
    <w:p w:rsidR="00B74102" w:rsidRPr="006833AC" w:rsidRDefault="00B74102" w:rsidP="00B74102">
      <w:pPr>
        <w:pStyle w:val="4"/>
        <w:rPr>
          <w:color w:val="000000" w:themeColor="text1"/>
        </w:rPr>
      </w:pPr>
      <w:r w:rsidRPr="006833AC">
        <w:rPr>
          <w:rFonts w:hint="eastAsia"/>
          <w:color w:val="000000" w:themeColor="text1"/>
        </w:rPr>
        <w:t>臺東地檢署及高檢署皆函復，由於本件匿名檢舉及告發之相關被告眾多，案情複雜；本案事實認定又與上開行政法院審理結果有密切關連，且臺東縣政府與美麗灣公司有行政訴訟繫屬中，故本案並非無故拖延致案件逾期未結，足認符合前開實施要點第34點第2項第9款之正當事由。</w:t>
      </w:r>
    </w:p>
    <w:p w:rsidR="0017560A" w:rsidRDefault="00471A6C" w:rsidP="00A44168">
      <w:pPr>
        <w:pStyle w:val="3"/>
        <w:rPr>
          <w:rFonts w:hAnsi="標楷體"/>
          <w:color w:val="000000" w:themeColor="text1"/>
        </w:rPr>
      </w:pPr>
      <w:r w:rsidRPr="006833AC">
        <w:rPr>
          <w:rFonts w:hint="eastAsia"/>
          <w:color w:val="000000" w:themeColor="text1"/>
        </w:rPr>
        <w:t>綜上</w:t>
      </w:r>
      <w:r w:rsidRPr="006833AC">
        <w:rPr>
          <w:rFonts w:hAnsi="標楷體" w:hint="eastAsia"/>
          <w:color w:val="000000" w:themeColor="text1"/>
        </w:rPr>
        <w:t>，</w:t>
      </w:r>
      <w:r w:rsidRPr="006833AC">
        <w:rPr>
          <w:rFonts w:hint="eastAsia"/>
          <w:color w:val="000000" w:themeColor="text1"/>
        </w:rPr>
        <w:t>臺東地檢署於99年間首度受理美麗灣開發案告發後分案為99年度他字第131號案，承辦檢察官雖逾8個月期限尚未偵結，自100年3月起列為逾期未結案件，臺東地檢署及高檢署皆函復表示本案有刑事偵查案件未依期限進行之正當理由</w:t>
      </w:r>
      <w:r w:rsidRPr="006833AC">
        <w:rPr>
          <w:rFonts w:hAnsi="標楷體" w:hint="eastAsia"/>
          <w:color w:val="000000" w:themeColor="text1"/>
        </w:rPr>
        <w:t>，</w:t>
      </w:r>
      <w:r w:rsidRPr="006833AC">
        <w:rPr>
          <w:rFonts w:hint="eastAsia"/>
          <w:color w:val="000000" w:themeColor="text1"/>
        </w:rPr>
        <w:t>並依規定對承辦檢察官加以督考</w:t>
      </w:r>
      <w:r w:rsidRPr="006833AC">
        <w:rPr>
          <w:rFonts w:hAnsi="標楷體" w:hint="eastAsia"/>
          <w:color w:val="000000" w:themeColor="text1"/>
        </w:rPr>
        <w:t>；</w:t>
      </w:r>
      <w:r w:rsidRPr="006833AC">
        <w:rPr>
          <w:rFonts w:hint="eastAsia"/>
          <w:color w:val="000000" w:themeColor="text1"/>
        </w:rPr>
        <w:t>另高檢署花蓮檢察分署並按季派員檢查是否有無故拖延不結之情形</w:t>
      </w:r>
      <w:r w:rsidRPr="006833AC">
        <w:rPr>
          <w:rFonts w:hAnsi="標楷體" w:hint="eastAsia"/>
          <w:color w:val="000000" w:themeColor="text1"/>
        </w:rPr>
        <w:t>，</w:t>
      </w:r>
      <w:r w:rsidRPr="006833AC">
        <w:rPr>
          <w:rFonts w:hint="eastAsia"/>
          <w:color w:val="000000" w:themeColor="text1"/>
        </w:rPr>
        <w:t>爰承辦檢察官之偵辦時限及檢察機關之督考程序符合相關規定</w:t>
      </w:r>
      <w:r w:rsidRPr="006833AC">
        <w:rPr>
          <w:rFonts w:hAnsi="標楷體" w:hint="eastAsia"/>
          <w:color w:val="000000" w:themeColor="text1"/>
        </w:rPr>
        <w:t>。</w:t>
      </w:r>
    </w:p>
    <w:p w:rsidR="0017560A" w:rsidRDefault="0017560A" w:rsidP="0017560A">
      <w:pPr>
        <w:rPr>
          <w:kern w:val="32"/>
          <w:szCs w:val="36"/>
        </w:rPr>
      </w:pPr>
      <w:r>
        <w:br w:type="page"/>
      </w:r>
    </w:p>
    <w:p w:rsidR="0017560A" w:rsidRPr="000B2CBA" w:rsidRDefault="0017560A" w:rsidP="0017560A">
      <w:pPr>
        <w:pStyle w:val="1"/>
        <w:numPr>
          <w:ilvl w:val="0"/>
          <w:numId w:val="1"/>
        </w:numPr>
        <w:rPr>
          <w:color w:val="000000" w:themeColor="text1"/>
          <w:shd w:val="clear" w:color="auto" w:fill="FFFFFF"/>
        </w:rPr>
      </w:pPr>
      <w:bookmarkStart w:id="49" w:name="_Toc529222689"/>
      <w:bookmarkStart w:id="50" w:name="_Toc529223111"/>
      <w:bookmarkStart w:id="51" w:name="_Toc529223862"/>
      <w:bookmarkStart w:id="52" w:name="_Toc529228265"/>
      <w:bookmarkStart w:id="53" w:name="_Toc2400395"/>
      <w:bookmarkStart w:id="54" w:name="_Toc4316189"/>
      <w:bookmarkStart w:id="55" w:name="_Toc4473330"/>
      <w:bookmarkStart w:id="56" w:name="_Toc69556897"/>
      <w:bookmarkStart w:id="57" w:name="_Toc69556946"/>
      <w:bookmarkStart w:id="58" w:name="_Toc69609820"/>
      <w:bookmarkStart w:id="59" w:name="_Toc70241816"/>
      <w:bookmarkStart w:id="60" w:name="_Toc70242205"/>
      <w:bookmarkStart w:id="61" w:name="_Toc421794875"/>
      <w:bookmarkStart w:id="62" w:name="_Toc511404845"/>
      <w:r w:rsidRPr="000B2CBA">
        <w:rPr>
          <w:rFonts w:hint="eastAsia"/>
          <w:color w:val="000000" w:themeColor="text1"/>
        </w:rPr>
        <w:lastRenderedPageBreak/>
        <w:t>處理辦法：</w:t>
      </w:r>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17560A" w:rsidRPr="000B2CBA" w:rsidRDefault="0017560A" w:rsidP="0017560A">
      <w:pPr>
        <w:pStyle w:val="2"/>
        <w:numPr>
          <w:ilvl w:val="1"/>
          <w:numId w:val="1"/>
        </w:numPr>
        <w:rPr>
          <w:color w:val="000000" w:themeColor="text1"/>
          <w:shd w:val="clear" w:color="auto" w:fill="FFFFFF"/>
        </w:rPr>
      </w:pPr>
      <w:r w:rsidRPr="000B2CBA">
        <w:rPr>
          <w:rFonts w:hint="eastAsia"/>
          <w:color w:val="000000" w:themeColor="text1"/>
        </w:rPr>
        <w:t>調查意見一，函請法務部轉請臺灣高等檢察署參處見復。</w:t>
      </w:r>
    </w:p>
    <w:p w:rsidR="0017560A" w:rsidRPr="000B2CBA" w:rsidRDefault="0017560A" w:rsidP="0017560A">
      <w:pPr>
        <w:pStyle w:val="2"/>
        <w:numPr>
          <w:ilvl w:val="1"/>
          <w:numId w:val="1"/>
        </w:numPr>
        <w:rPr>
          <w:color w:val="000000" w:themeColor="text1"/>
          <w:shd w:val="clear" w:color="auto" w:fill="FFFFFF"/>
        </w:rPr>
      </w:pPr>
      <w:r w:rsidRPr="000B2CBA">
        <w:rPr>
          <w:rFonts w:hint="eastAsia"/>
          <w:color w:val="000000" w:themeColor="text1"/>
        </w:rPr>
        <w:t>調查意見一及二，函請臺灣臺東地方檢察署參考。</w:t>
      </w:r>
    </w:p>
    <w:p w:rsidR="0017560A" w:rsidRPr="000B2CBA" w:rsidRDefault="0017560A" w:rsidP="0017560A">
      <w:pPr>
        <w:pStyle w:val="2"/>
        <w:numPr>
          <w:ilvl w:val="1"/>
          <w:numId w:val="1"/>
        </w:numPr>
        <w:rPr>
          <w:color w:val="000000" w:themeColor="text1"/>
          <w:shd w:val="clear" w:color="auto" w:fill="FFFFFF"/>
        </w:rPr>
      </w:pPr>
      <w:r w:rsidRPr="000B2CBA">
        <w:rPr>
          <w:rFonts w:hint="eastAsia"/>
          <w:color w:val="000000" w:themeColor="text1"/>
        </w:rPr>
        <w:t>調查意見一及二，函復陳訴人</w:t>
      </w:r>
      <w:r w:rsidRPr="000B2CBA">
        <w:rPr>
          <w:rFonts w:hAnsi="標楷體" w:hint="eastAsia"/>
          <w:color w:val="000000" w:themeColor="text1"/>
        </w:rPr>
        <w:t>。</w:t>
      </w:r>
    </w:p>
    <w:p w:rsidR="0017560A" w:rsidRPr="000B2CBA" w:rsidRDefault="0017560A" w:rsidP="0017560A">
      <w:pPr>
        <w:pStyle w:val="2"/>
        <w:numPr>
          <w:ilvl w:val="1"/>
          <w:numId w:val="1"/>
        </w:numPr>
        <w:rPr>
          <w:b/>
          <w:color w:val="000000" w:themeColor="text1"/>
        </w:rPr>
      </w:pPr>
      <w:bookmarkStart w:id="63" w:name="_Toc2400397"/>
      <w:bookmarkStart w:id="64" w:name="_Toc4316191"/>
      <w:bookmarkStart w:id="65" w:name="_Toc4473332"/>
      <w:bookmarkStart w:id="66" w:name="_Toc69556901"/>
      <w:bookmarkStart w:id="67" w:name="_Toc69556950"/>
      <w:bookmarkStart w:id="68" w:name="_Toc69609824"/>
      <w:bookmarkStart w:id="69" w:name="_Toc70241822"/>
      <w:bookmarkStart w:id="70" w:name="_Toc70242211"/>
      <w:bookmarkStart w:id="71" w:name="_Toc421794881"/>
      <w:bookmarkStart w:id="72" w:name="_Toc421795447"/>
      <w:bookmarkStart w:id="73" w:name="_Toc421796028"/>
      <w:bookmarkStart w:id="74" w:name="_Toc422728963"/>
      <w:bookmarkStart w:id="75" w:name="_Toc422834166"/>
      <w:bookmarkStart w:id="76" w:name="_Toc511404852"/>
      <w:r w:rsidRPr="000B2CBA">
        <w:rPr>
          <w:rFonts w:hint="eastAsia"/>
          <w:color w:val="000000" w:themeColor="text1"/>
        </w:rPr>
        <w:t>檢附派查函及相關附件，送請司法及獄政委員會處理。</w:t>
      </w:r>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B13DF7" w:rsidRPr="0017560A" w:rsidRDefault="00B13DF7" w:rsidP="00B13DF7">
      <w:pPr>
        <w:rPr>
          <w:color w:val="000000" w:themeColor="text1"/>
        </w:rPr>
      </w:pPr>
    </w:p>
    <w:p w:rsidR="006D111E" w:rsidRDefault="000D7BF1" w:rsidP="000D7BF1">
      <w:pPr>
        <w:kinsoku w:val="0"/>
        <w:jc w:val="left"/>
        <w:rPr>
          <w:rFonts w:hAnsi="標楷體" w:hint="eastAsia"/>
          <w:bCs/>
          <w:color w:val="000000" w:themeColor="text1"/>
          <w:kern w:val="0"/>
        </w:rPr>
      </w:pPr>
      <w:r>
        <w:rPr>
          <w:rFonts w:hAnsi="標楷體" w:hint="eastAsia"/>
          <w:bCs/>
          <w:color w:val="000000" w:themeColor="text1"/>
          <w:kern w:val="0"/>
        </w:rPr>
        <w:t xml:space="preserve">                   調查委員:蔡崇義</w:t>
      </w:r>
    </w:p>
    <w:p w:rsidR="000D7BF1" w:rsidRPr="006833AC" w:rsidRDefault="000D7BF1" w:rsidP="000D7BF1">
      <w:pPr>
        <w:kinsoku w:val="0"/>
        <w:jc w:val="left"/>
        <w:rPr>
          <w:rFonts w:hAnsi="標楷體"/>
          <w:bCs/>
          <w:color w:val="000000" w:themeColor="text1"/>
          <w:kern w:val="0"/>
        </w:rPr>
      </w:pPr>
      <w:r>
        <w:rPr>
          <w:rFonts w:hAnsi="標楷體" w:hint="eastAsia"/>
          <w:bCs/>
          <w:color w:val="000000" w:themeColor="text1"/>
          <w:kern w:val="0"/>
        </w:rPr>
        <w:t xml:space="preserve">                            </w:t>
      </w:r>
      <w:bookmarkStart w:id="77" w:name="_GoBack"/>
      <w:bookmarkEnd w:id="77"/>
      <w:r>
        <w:rPr>
          <w:rFonts w:hAnsi="標楷體" w:hint="eastAsia"/>
          <w:bCs/>
          <w:color w:val="000000" w:themeColor="text1"/>
          <w:kern w:val="0"/>
        </w:rPr>
        <w:t>田秋堇</w:t>
      </w:r>
    </w:p>
    <w:sectPr w:rsidR="000D7BF1" w:rsidRPr="006833AC"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753" w:rsidRDefault="009F2753">
      <w:r>
        <w:separator/>
      </w:r>
    </w:p>
  </w:endnote>
  <w:endnote w:type="continuationSeparator" w:id="0">
    <w:p w:rsidR="009F2753" w:rsidRDefault="009F2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D66" w:rsidRDefault="00886D6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0D7BF1">
      <w:rPr>
        <w:rStyle w:val="ac"/>
        <w:noProof/>
        <w:sz w:val="24"/>
      </w:rPr>
      <w:t>15</w:t>
    </w:r>
    <w:r>
      <w:rPr>
        <w:rStyle w:val="ac"/>
        <w:sz w:val="24"/>
      </w:rPr>
      <w:fldChar w:fldCharType="end"/>
    </w:r>
  </w:p>
  <w:p w:rsidR="00886D66" w:rsidRDefault="00886D6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753" w:rsidRDefault="009F2753">
      <w:r>
        <w:separator/>
      </w:r>
    </w:p>
  </w:footnote>
  <w:footnote w:type="continuationSeparator" w:id="0">
    <w:p w:rsidR="009F2753" w:rsidRDefault="009F2753">
      <w:r>
        <w:continuationSeparator/>
      </w:r>
    </w:p>
  </w:footnote>
  <w:footnote w:id="1">
    <w:p w:rsidR="00084A3B" w:rsidRDefault="00084A3B" w:rsidP="00084A3B">
      <w:pPr>
        <w:pStyle w:val="afc"/>
      </w:pPr>
      <w:r>
        <w:rPr>
          <w:rStyle w:val="afe"/>
        </w:rPr>
        <w:footnoteRef/>
      </w:r>
      <w:r>
        <w:t xml:space="preserve"> </w:t>
      </w:r>
      <w:r>
        <w:rPr>
          <w:rFonts w:asciiTheme="minorEastAsia" w:eastAsiaTheme="minorEastAsia" w:hAnsiTheme="minorEastAsia" w:hint="eastAsia"/>
        </w:rPr>
        <w:t>臺東地檢署</w:t>
      </w:r>
      <w:r w:rsidRPr="003E1A27">
        <w:rPr>
          <w:rFonts w:asciiTheme="minorEastAsia" w:eastAsiaTheme="minorEastAsia" w:hAnsiTheme="minorEastAsia" w:hint="eastAsia"/>
        </w:rPr>
        <w:t>10</w:t>
      </w:r>
      <w:r>
        <w:rPr>
          <w:rFonts w:asciiTheme="minorEastAsia" w:eastAsiaTheme="minorEastAsia" w:hAnsiTheme="minorEastAsia" w:hint="eastAsia"/>
        </w:rPr>
        <w:t>7</w:t>
      </w:r>
      <w:r w:rsidRPr="003E1A27">
        <w:rPr>
          <w:rFonts w:asciiTheme="minorEastAsia" w:eastAsiaTheme="minorEastAsia" w:hAnsiTheme="minorEastAsia" w:hint="eastAsia"/>
        </w:rPr>
        <w:t>年</w:t>
      </w:r>
      <w:r>
        <w:rPr>
          <w:rFonts w:asciiTheme="minorEastAsia" w:eastAsiaTheme="minorEastAsia" w:hAnsiTheme="minorEastAsia" w:hint="eastAsia"/>
        </w:rPr>
        <w:t>5</w:t>
      </w:r>
      <w:r w:rsidRPr="003E1A27">
        <w:rPr>
          <w:rFonts w:asciiTheme="minorEastAsia" w:eastAsiaTheme="minorEastAsia" w:hAnsiTheme="minorEastAsia" w:hint="eastAsia"/>
        </w:rPr>
        <w:t>月</w:t>
      </w:r>
      <w:r>
        <w:rPr>
          <w:rFonts w:asciiTheme="minorEastAsia" w:eastAsiaTheme="minorEastAsia" w:hAnsiTheme="minorEastAsia" w:hint="eastAsia"/>
        </w:rPr>
        <w:t>28</w:t>
      </w:r>
      <w:r w:rsidRPr="003E1A27">
        <w:rPr>
          <w:rFonts w:asciiTheme="minorEastAsia" w:eastAsiaTheme="minorEastAsia" w:hAnsiTheme="minorEastAsia" w:hint="eastAsia"/>
        </w:rPr>
        <w:t>日</w:t>
      </w:r>
      <w:r>
        <w:rPr>
          <w:rFonts w:asciiTheme="minorEastAsia" w:eastAsiaTheme="minorEastAsia" w:hAnsiTheme="minorEastAsia" w:hint="eastAsia"/>
        </w:rPr>
        <w:t>東檢德玄107調6</w:t>
      </w:r>
      <w:r w:rsidRPr="003E1A27">
        <w:rPr>
          <w:rFonts w:asciiTheme="minorEastAsia" w:eastAsiaTheme="minorEastAsia" w:hAnsiTheme="minorEastAsia" w:hint="eastAsia"/>
        </w:rPr>
        <w:t>字第1</w:t>
      </w:r>
      <w:r>
        <w:rPr>
          <w:rFonts w:asciiTheme="minorEastAsia" w:eastAsiaTheme="minorEastAsia" w:hAnsiTheme="minorEastAsia" w:hint="eastAsia"/>
        </w:rPr>
        <w:t>079001718</w:t>
      </w:r>
      <w:r w:rsidRPr="003E1A27">
        <w:rPr>
          <w:rFonts w:asciiTheme="minorEastAsia" w:eastAsiaTheme="minorEastAsia" w:hAnsiTheme="minorEastAsia" w:hint="eastAsia"/>
        </w:rPr>
        <w:t>號函</w:t>
      </w:r>
      <w:r>
        <w:rPr>
          <w:rFonts w:asciiTheme="minorEastAsia" w:eastAsiaTheme="minorEastAsia" w:hAnsiTheme="minorEastAsia" w:hint="eastAsia"/>
        </w:rPr>
        <w:t>及</w:t>
      </w:r>
      <w:r w:rsidRPr="003E1A27">
        <w:rPr>
          <w:rFonts w:asciiTheme="minorEastAsia" w:eastAsiaTheme="minorEastAsia" w:hAnsiTheme="minorEastAsia" w:hint="eastAsia"/>
        </w:rPr>
        <w:t>10</w:t>
      </w:r>
      <w:r>
        <w:rPr>
          <w:rFonts w:asciiTheme="minorEastAsia" w:eastAsiaTheme="minorEastAsia" w:hAnsiTheme="minorEastAsia" w:hint="eastAsia"/>
        </w:rPr>
        <w:t>7</w:t>
      </w:r>
      <w:r w:rsidRPr="003E1A27">
        <w:rPr>
          <w:rFonts w:asciiTheme="minorEastAsia" w:eastAsiaTheme="minorEastAsia" w:hAnsiTheme="minorEastAsia" w:hint="eastAsia"/>
        </w:rPr>
        <w:t>年</w:t>
      </w:r>
      <w:r>
        <w:rPr>
          <w:rFonts w:asciiTheme="minorEastAsia" w:eastAsiaTheme="minorEastAsia" w:hAnsiTheme="minorEastAsia" w:hint="eastAsia"/>
        </w:rPr>
        <w:t>6</w:t>
      </w:r>
      <w:r w:rsidRPr="003E1A27">
        <w:rPr>
          <w:rFonts w:asciiTheme="minorEastAsia" w:eastAsiaTheme="minorEastAsia" w:hAnsiTheme="minorEastAsia" w:hint="eastAsia"/>
        </w:rPr>
        <w:t>月</w:t>
      </w:r>
      <w:r>
        <w:rPr>
          <w:rFonts w:asciiTheme="minorEastAsia" w:eastAsiaTheme="minorEastAsia" w:hAnsiTheme="minorEastAsia" w:hint="eastAsia"/>
        </w:rPr>
        <w:t>25</w:t>
      </w:r>
      <w:r w:rsidRPr="003E1A27">
        <w:rPr>
          <w:rFonts w:asciiTheme="minorEastAsia" w:eastAsiaTheme="minorEastAsia" w:hAnsiTheme="minorEastAsia" w:hint="eastAsia"/>
        </w:rPr>
        <w:t>日</w:t>
      </w:r>
      <w:r>
        <w:rPr>
          <w:rFonts w:asciiTheme="minorEastAsia" w:eastAsiaTheme="minorEastAsia" w:hAnsiTheme="minorEastAsia" w:hint="eastAsia"/>
        </w:rPr>
        <w:t>東檢德玄107調6</w:t>
      </w:r>
      <w:r w:rsidRPr="003E1A27">
        <w:rPr>
          <w:rFonts w:asciiTheme="minorEastAsia" w:eastAsiaTheme="minorEastAsia" w:hAnsiTheme="minorEastAsia" w:hint="eastAsia"/>
        </w:rPr>
        <w:t>字第1</w:t>
      </w:r>
      <w:r>
        <w:rPr>
          <w:rFonts w:asciiTheme="minorEastAsia" w:eastAsiaTheme="minorEastAsia" w:hAnsiTheme="minorEastAsia" w:hint="eastAsia"/>
        </w:rPr>
        <w:t>079003044</w:t>
      </w:r>
      <w:r w:rsidRPr="003E1A27">
        <w:rPr>
          <w:rFonts w:asciiTheme="minorEastAsia" w:eastAsiaTheme="minorEastAsia" w:hAnsiTheme="minorEastAsia" w:hint="eastAsia"/>
        </w:rPr>
        <w:t>號函</w:t>
      </w:r>
      <w:r>
        <w:rPr>
          <w:rFonts w:asciiTheme="minorEastAsia" w:eastAsiaTheme="minorEastAsia" w:hAnsiTheme="minorEastAsia" w:hint="eastAsia"/>
        </w:rPr>
        <w:t>。</w:t>
      </w:r>
    </w:p>
  </w:footnote>
  <w:footnote w:id="2">
    <w:p w:rsidR="00084A3B" w:rsidRDefault="00084A3B" w:rsidP="00084A3B">
      <w:pPr>
        <w:pStyle w:val="afc"/>
      </w:pPr>
      <w:r>
        <w:rPr>
          <w:rStyle w:val="afe"/>
        </w:rPr>
        <w:footnoteRef/>
      </w:r>
      <w:r>
        <w:t xml:space="preserve"> </w:t>
      </w:r>
      <w:r>
        <w:rPr>
          <w:rFonts w:asciiTheme="minorEastAsia" w:eastAsiaTheme="minorEastAsia" w:hAnsiTheme="minorEastAsia" w:hint="eastAsia"/>
        </w:rPr>
        <w:t>高檢署</w:t>
      </w:r>
      <w:r w:rsidRPr="003E1A27">
        <w:rPr>
          <w:rFonts w:asciiTheme="minorEastAsia" w:eastAsiaTheme="minorEastAsia" w:hAnsiTheme="minorEastAsia" w:hint="eastAsia"/>
        </w:rPr>
        <w:t>10</w:t>
      </w:r>
      <w:r>
        <w:rPr>
          <w:rFonts w:asciiTheme="minorEastAsia" w:eastAsiaTheme="minorEastAsia" w:hAnsiTheme="minorEastAsia" w:hint="eastAsia"/>
        </w:rPr>
        <w:t>7</w:t>
      </w:r>
      <w:r w:rsidRPr="003E1A27">
        <w:rPr>
          <w:rFonts w:asciiTheme="minorEastAsia" w:eastAsiaTheme="minorEastAsia" w:hAnsiTheme="minorEastAsia" w:hint="eastAsia"/>
        </w:rPr>
        <w:t>年</w:t>
      </w:r>
      <w:r>
        <w:rPr>
          <w:rFonts w:asciiTheme="minorEastAsia" w:eastAsiaTheme="minorEastAsia" w:hAnsiTheme="minorEastAsia" w:hint="eastAsia"/>
        </w:rPr>
        <w:t>5</w:t>
      </w:r>
      <w:r w:rsidRPr="003E1A27">
        <w:rPr>
          <w:rFonts w:asciiTheme="minorEastAsia" w:eastAsiaTheme="minorEastAsia" w:hAnsiTheme="minorEastAsia" w:hint="eastAsia"/>
        </w:rPr>
        <w:t>月</w:t>
      </w:r>
      <w:r>
        <w:rPr>
          <w:rFonts w:asciiTheme="minorEastAsia" w:eastAsiaTheme="minorEastAsia" w:hAnsiTheme="minorEastAsia" w:hint="eastAsia"/>
        </w:rPr>
        <w:t>31</w:t>
      </w:r>
      <w:r w:rsidRPr="003E1A27">
        <w:rPr>
          <w:rFonts w:asciiTheme="minorEastAsia" w:eastAsiaTheme="minorEastAsia" w:hAnsiTheme="minorEastAsia" w:hint="eastAsia"/>
        </w:rPr>
        <w:t>日</w:t>
      </w:r>
      <w:r>
        <w:rPr>
          <w:rFonts w:asciiTheme="minorEastAsia" w:eastAsiaTheme="minorEastAsia" w:hAnsiTheme="minorEastAsia" w:hint="eastAsia"/>
        </w:rPr>
        <w:t>檢紀黃107調284</w:t>
      </w:r>
      <w:r w:rsidRPr="003E1A27">
        <w:rPr>
          <w:rFonts w:asciiTheme="minorEastAsia" w:eastAsiaTheme="minorEastAsia" w:hAnsiTheme="minorEastAsia" w:hint="eastAsia"/>
        </w:rPr>
        <w:t>字第10</w:t>
      </w:r>
      <w:r>
        <w:rPr>
          <w:rFonts w:asciiTheme="minorEastAsia" w:eastAsiaTheme="minorEastAsia" w:hAnsiTheme="minorEastAsia" w:hint="eastAsia"/>
        </w:rPr>
        <w:t>70000596</w:t>
      </w:r>
      <w:r w:rsidRPr="003E1A27">
        <w:rPr>
          <w:rFonts w:asciiTheme="minorEastAsia" w:eastAsiaTheme="minorEastAsia" w:hAnsiTheme="minorEastAsia" w:hint="eastAsia"/>
        </w:rPr>
        <w:t>號函</w:t>
      </w:r>
      <w:r>
        <w:rPr>
          <w:rFonts w:asciiTheme="minorEastAsia" w:eastAsiaTheme="minorEastAsia" w:hAnsiTheme="minorEastAsia" w:hint="eastAsia"/>
        </w:rPr>
        <w:t>。</w:t>
      </w:r>
    </w:p>
  </w:footnote>
  <w:footnote w:id="3">
    <w:p w:rsidR="00084A3B" w:rsidRDefault="00084A3B" w:rsidP="00084A3B">
      <w:pPr>
        <w:pStyle w:val="afc"/>
        <w:ind w:left="167" w:hangingChars="76" w:hanging="167"/>
      </w:pPr>
      <w:r>
        <w:rPr>
          <w:rStyle w:val="afe"/>
        </w:rPr>
        <w:footnoteRef/>
      </w:r>
      <w:r>
        <w:t xml:space="preserve"> </w:t>
      </w:r>
      <w:r>
        <w:rPr>
          <w:rFonts w:asciiTheme="minorEastAsia" w:eastAsiaTheme="minorEastAsia" w:hAnsiTheme="minorEastAsia" w:hint="eastAsia"/>
        </w:rPr>
        <w:t>法務</w:t>
      </w:r>
      <w:r w:rsidRPr="003E1A27">
        <w:rPr>
          <w:rFonts w:asciiTheme="minorEastAsia" w:eastAsiaTheme="minorEastAsia" w:hAnsiTheme="minorEastAsia" w:hint="eastAsia"/>
        </w:rPr>
        <w:t>部10</w:t>
      </w:r>
      <w:r>
        <w:rPr>
          <w:rFonts w:asciiTheme="minorEastAsia" w:eastAsiaTheme="minorEastAsia" w:hAnsiTheme="minorEastAsia" w:hint="eastAsia"/>
        </w:rPr>
        <w:t>7</w:t>
      </w:r>
      <w:r w:rsidRPr="003E1A27">
        <w:rPr>
          <w:rFonts w:asciiTheme="minorEastAsia" w:eastAsiaTheme="minorEastAsia" w:hAnsiTheme="minorEastAsia" w:hint="eastAsia"/>
        </w:rPr>
        <w:t>年</w:t>
      </w:r>
      <w:r>
        <w:rPr>
          <w:rFonts w:asciiTheme="minorEastAsia" w:eastAsiaTheme="minorEastAsia" w:hAnsiTheme="minorEastAsia" w:hint="eastAsia"/>
        </w:rPr>
        <w:t>7</w:t>
      </w:r>
      <w:r w:rsidRPr="003E1A27">
        <w:rPr>
          <w:rFonts w:asciiTheme="minorEastAsia" w:eastAsiaTheme="minorEastAsia" w:hAnsiTheme="minorEastAsia" w:hint="eastAsia"/>
        </w:rPr>
        <w:t>月</w:t>
      </w:r>
      <w:r>
        <w:rPr>
          <w:rFonts w:asciiTheme="minorEastAsia" w:eastAsiaTheme="minorEastAsia" w:hAnsiTheme="minorEastAsia" w:hint="eastAsia"/>
        </w:rPr>
        <w:t>3</w:t>
      </w:r>
      <w:r w:rsidRPr="003E1A27">
        <w:rPr>
          <w:rFonts w:asciiTheme="minorEastAsia" w:eastAsiaTheme="minorEastAsia" w:hAnsiTheme="minorEastAsia" w:hint="eastAsia"/>
        </w:rPr>
        <w:t>日</w:t>
      </w:r>
      <w:r>
        <w:rPr>
          <w:rFonts w:asciiTheme="minorEastAsia" w:eastAsiaTheme="minorEastAsia" w:hAnsiTheme="minorEastAsia" w:hint="eastAsia"/>
        </w:rPr>
        <w:t>法檢</w:t>
      </w:r>
      <w:r w:rsidRPr="003E1A27">
        <w:rPr>
          <w:rFonts w:asciiTheme="minorEastAsia" w:eastAsiaTheme="minorEastAsia" w:hAnsiTheme="minorEastAsia" w:hint="eastAsia"/>
        </w:rPr>
        <w:t>字第1</w:t>
      </w:r>
      <w:r w:rsidR="002810CF">
        <w:rPr>
          <w:rFonts w:asciiTheme="minorEastAsia" w:eastAsiaTheme="minorEastAsia" w:hAnsiTheme="minorEastAsia" w:hint="eastAsia"/>
        </w:rPr>
        <w:t>07005</w:t>
      </w:r>
      <w:r>
        <w:rPr>
          <w:rFonts w:asciiTheme="minorEastAsia" w:eastAsiaTheme="minorEastAsia" w:hAnsiTheme="minorEastAsia" w:hint="eastAsia"/>
        </w:rPr>
        <w:t>9740</w:t>
      </w:r>
      <w:r w:rsidRPr="003E1A27">
        <w:rPr>
          <w:rFonts w:asciiTheme="minorEastAsia" w:eastAsiaTheme="minorEastAsia" w:hAnsiTheme="minorEastAsia" w:hint="eastAsia"/>
        </w:rPr>
        <w:t>號函</w:t>
      </w:r>
      <w:r>
        <w:rPr>
          <w:rFonts w:asciiTheme="minorEastAsia" w:eastAsiaTheme="minorEastAsia" w:hAnsiTheme="minorEastAsia" w:hint="eastAsia"/>
        </w:rPr>
        <w:t>。</w:t>
      </w:r>
    </w:p>
  </w:footnote>
  <w:footnote w:id="4">
    <w:p w:rsidR="008D7AAD" w:rsidRPr="00BC13CB" w:rsidRDefault="008D7AAD" w:rsidP="008D7AAD">
      <w:pPr>
        <w:pStyle w:val="afc"/>
        <w:rPr>
          <w:rFonts w:asciiTheme="minorEastAsia" w:eastAsiaTheme="minorEastAsia" w:hAnsiTheme="minorEastAsia"/>
        </w:rPr>
      </w:pPr>
      <w:r>
        <w:rPr>
          <w:rStyle w:val="afe"/>
        </w:rPr>
        <w:footnoteRef/>
      </w:r>
      <w:r>
        <w:t xml:space="preserve"> </w:t>
      </w:r>
      <w:r w:rsidRPr="00BC13CB">
        <w:rPr>
          <w:rFonts w:asciiTheme="minorEastAsia" w:eastAsiaTheme="minorEastAsia" w:hAnsiTheme="minorEastAsia" w:hint="eastAsia"/>
          <w:color w:val="000000" w:themeColor="text1"/>
          <w:szCs w:val="32"/>
        </w:rPr>
        <w:t>檢察機關辦案期限及防止稽延實施要點</w:t>
      </w:r>
      <w:r w:rsidRPr="00BC13CB">
        <w:rPr>
          <w:rFonts w:asciiTheme="minorEastAsia" w:eastAsiaTheme="minorEastAsia" w:hAnsiTheme="minorEastAsia" w:hint="eastAsia"/>
          <w:color w:val="000000" w:themeColor="text1"/>
          <w:szCs w:val="36"/>
        </w:rPr>
        <w:t>第33點第2項</w:t>
      </w:r>
      <w:r w:rsidRPr="00BC13CB">
        <w:rPr>
          <w:rFonts w:asciiTheme="minorEastAsia" w:eastAsiaTheme="minorEastAsia" w:hAnsiTheme="minorEastAsia" w:hint="eastAsia"/>
          <w:color w:val="000000" w:themeColor="text1"/>
          <w:szCs w:val="32"/>
        </w:rPr>
        <w:t>規定：</w:t>
      </w:r>
      <w:r w:rsidRPr="00BC13CB">
        <w:rPr>
          <w:rFonts w:asciiTheme="minorEastAsia" w:eastAsiaTheme="minorEastAsia" w:hAnsiTheme="minorEastAsia" w:hint="eastAsia"/>
          <w:color w:val="000000" w:themeColor="text1"/>
          <w:szCs w:val="36"/>
        </w:rPr>
        <w:t>「研考科對逾2月未進行之案件，應製作報表通知承辦檢察官促使注意進行。」</w:t>
      </w:r>
    </w:p>
  </w:footnote>
  <w:footnote w:id="5">
    <w:p w:rsidR="008D7AAD" w:rsidRPr="00BC13CB" w:rsidRDefault="008D7AAD" w:rsidP="008D7AAD">
      <w:pPr>
        <w:pStyle w:val="afc"/>
      </w:pPr>
      <w:r>
        <w:rPr>
          <w:rStyle w:val="afe"/>
        </w:rPr>
        <w:footnoteRef/>
      </w:r>
      <w:r>
        <w:rPr>
          <w:rFonts w:hint="eastAsia"/>
        </w:rPr>
        <w:t xml:space="preserve"> </w:t>
      </w:r>
      <w:r w:rsidRPr="00820DC6">
        <w:rPr>
          <w:rFonts w:asciiTheme="minorEastAsia" w:eastAsiaTheme="minorEastAsia" w:hAnsiTheme="minorEastAsia" w:hint="eastAsia"/>
        </w:rPr>
        <w:t>檢察機關辦案期限及防止稽延實施要點第3</w:t>
      </w:r>
      <w:r>
        <w:rPr>
          <w:rFonts w:asciiTheme="minorEastAsia" w:eastAsiaTheme="minorEastAsia" w:hAnsiTheme="minorEastAsia" w:hint="eastAsia"/>
        </w:rPr>
        <w:t>5</w:t>
      </w:r>
      <w:r w:rsidRPr="00820DC6">
        <w:rPr>
          <w:rFonts w:asciiTheme="minorEastAsia" w:eastAsiaTheme="minorEastAsia" w:hAnsiTheme="minorEastAsia" w:hint="eastAsia"/>
        </w:rPr>
        <w:t>點第</w:t>
      </w:r>
      <w:r>
        <w:rPr>
          <w:rFonts w:asciiTheme="minorEastAsia" w:eastAsiaTheme="minorEastAsia" w:hAnsiTheme="minorEastAsia" w:hint="eastAsia"/>
        </w:rPr>
        <w:t>1款</w:t>
      </w:r>
      <w:r w:rsidRPr="00820DC6">
        <w:rPr>
          <w:rFonts w:asciiTheme="minorEastAsia" w:eastAsiaTheme="minorEastAsia" w:hAnsiTheme="minorEastAsia" w:hint="eastAsia"/>
        </w:rPr>
        <w:t>規定：「案件自收案之日起，逾下列期限尚未終結者，由研考科會同統計室，按月填具逾期未結案件催辦通知單，層報檢察長核閱後，通知檢察官，促其注意迅速進行結案：</w:t>
      </w:r>
      <w:r>
        <w:rPr>
          <w:rFonts w:asciiTheme="minorEastAsia" w:eastAsiaTheme="minorEastAsia" w:hAnsiTheme="minorEastAsia" w:hint="eastAsia"/>
        </w:rPr>
        <w:t>(一)一般偵查案件逾8</w:t>
      </w:r>
      <w:r w:rsidRPr="00820DC6">
        <w:rPr>
          <w:rFonts w:asciiTheme="minorEastAsia" w:eastAsiaTheme="minorEastAsia" w:hAnsiTheme="minorEastAsia" w:hint="eastAsia"/>
        </w:rPr>
        <w:t>個月。」</w:t>
      </w:r>
    </w:p>
  </w:footnote>
  <w:footnote w:id="6">
    <w:p w:rsidR="00B74102" w:rsidRDefault="00B74102" w:rsidP="00B74102">
      <w:pPr>
        <w:pStyle w:val="afc"/>
      </w:pPr>
      <w:r>
        <w:rPr>
          <w:rStyle w:val="afe"/>
        </w:rPr>
        <w:footnoteRef/>
      </w:r>
      <w:r>
        <w:t xml:space="preserve"> </w:t>
      </w:r>
      <w:r w:rsidRPr="00114817">
        <w:rPr>
          <w:rFonts w:asciiTheme="minorEastAsia" w:eastAsiaTheme="minorEastAsia" w:hAnsiTheme="minorEastAsia" w:hint="eastAsia"/>
        </w:rPr>
        <w:t>檢察機關辦案期限及防止稽延實施要點第36點第2項</w:t>
      </w:r>
      <w:r w:rsidRPr="00BC13CB">
        <w:rPr>
          <w:rFonts w:asciiTheme="minorEastAsia" w:eastAsiaTheme="minorEastAsia" w:hAnsiTheme="minorEastAsia" w:hint="eastAsia"/>
          <w:color w:val="000000" w:themeColor="text1"/>
          <w:szCs w:val="32"/>
        </w:rPr>
        <w:t>規定：</w:t>
      </w:r>
      <w:r w:rsidRPr="00114817">
        <w:rPr>
          <w:rFonts w:asciiTheme="minorEastAsia" w:eastAsiaTheme="minorEastAsia" w:hAnsiTheme="minorEastAsia" w:hint="eastAsia"/>
        </w:rPr>
        <w:t>「前項逾期未結案件月報表，地方檢察署應繕清一式二份，於翌月</w:t>
      </w:r>
      <w:r>
        <w:rPr>
          <w:rFonts w:asciiTheme="minorEastAsia" w:eastAsiaTheme="minorEastAsia" w:hAnsiTheme="minorEastAsia" w:hint="eastAsia"/>
        </w:rPr>
        <w:t>15</w:t>
      </w:r>
      <w:r w:rsidRPr="00114817">
        <w:rPr>
          <w:rFonts w:asciiTheme="minorEastAsia" w:eastAsiaTheme="minorEastAsia" w:hAnsiTheme="minorEastAsia" w:hint="eastAsia"/>
        </w:rPr>
        <w:t>日前陳報高等檢察署，由高等檢察署研考科作成該署及所屬各檢察署逾期未結案件統計表，會統計人員送請檢察長核定後，連同該署及所屬各檢察署逾期未結案件月報表各一份，於該月</w:t>
      </w:r>
      <w:r>
        <w:rPr>
          <w:rFonts w:asciiTheme="minorEastAsia" w:eastAsiaTheme="minorEastAsia" w:hAnsiTheme="minorEastAsia" w:hint="eastAsia"/>
        </w:rPr>
        <w:t>25</w:t>
      </w:r>
      <w:r w:rsidRPr="00114817">
        <w:rPr>
          <w:rFonts w:asciiTheme="minorEastAsia" w:eastAsiaTheme="minorEastAsia" w:hAnsiTheme="minorEastAsia" w:hint="eastAsia"/>
        </w:rPr>
        <w:t>日前報部。</w:t>
      </w:r>
      <w:r>
        <w:rPr>
          <w:rFonts w:hAnsi="標楷體" w:hint="eastAsia"/>
        </w:rPr>
        <w:t>」</w:t>
      </w:r>
    </w:p>
  </w:footnote>
  <w:footnote w:id="7">
    <w:p w:rsidR="00B74102" w:rsidRDefault="00B74102" w:rsidP="00B74102">
      <w:pPr>
        <w:pStyle w:val="afc"/>
      </w:pPr>
      <w:r>
        <w:rPr>
          <w:rStyle w:val="afe"/>
        </w:rPr>
        <w:footnoteRef/>
      </w:r>
      <w:r>
        <w:rPr>
          <w:rFonts w:asciiTheme="minorEastAsia" w:eastAsiaTheme="minorEastAsia" w:hAnsiTheme="minorEastAsia" w:hint="eastAsia"/>
        </w:rPr>
        <w:t xml:space="preserve"> </w:t>
      </w:r>
      <w:r w:rsidRPr="00114817">
        <w:rPr>
          <w:rFonts w:asciiTheme="minorEastAsia" w:eastAsiaTheme="minorEastAsia" w:hAnsiTheme="minorEastAsia" w:hint="eastAsia"/>
        </w:rPr>
        <w:t>檢察機關辦案期限及防止稽延實施要點第</w:t>
      </w:r>
      <w:r>
        <w:rPr>
          <w:rFonts w:asciiTheme="minorEastAsia" w:eastAsiaTheme="minorEastAsia" w:hAnsiTheme="minorEastAsia" w:hint="eastAsia"/>
        </w:rPr>
        <w:t>40</w:t>
      </w:r>
      <w:r w:rsidRPr="00114817">
        <w:rPr>
          <w:rFonts w:asciiTheme="minorEastAsia" w:eastAsiaTheme="minorEastAsia" w:hAnsiTheme="minorEastAsia" w:hint="eastAsia"/>
        </w:rPr>
        <w:t>點第</w:t>
      </w:r>
      <w:r>
        <w:rPr>
          <w:rFonts w:asciiTheme="minorEastAsia" w:eastAsiaTheme="minorEastAsia" w:hAnsiTheme="minorEastAsia" w:hint="eastAsia"/>
        </w:rPr>
        <w:t>3</w:t>
      </w:r>
      <w:r w:rsidRPr="00114817">
        <w:rPr>
          <w:rFonts w:asciiTheme="minorEastAsia" w:eastAsiaTheme="minorEastAsia" w:hAnsiTheme="minorEastAsia" w:hint="eastAsia"/>
        </w:rPr>
        <w:t>項</w:t>
      </w:r>
      <w:r w:rsidRPr="00BC13CB">
        <w:rPr>
          <w:rFonts w:asciiTheme="minorEastAsia" w:eastAsiaTheme="minorEastAsia" w:hAnsiTheme="minorEastAsia" w:hint="eastAsia"/>
          <w:color w:val="000000" w:themeColor="text1"/>
          <w:szCs w:val="32"/>
        </w:rPr>
        <w:t>規定：</w:t>
      </w:r>
      <w:r w:rsidRPr="00114817">
        <w:rPr>
          <w:rFonts w:asciiTheme="minorEastAsia" w:eastAsiaTheme="minorEastAsia" w:hAnsiTheme="minorEastAsia" w:hint="eastAsia"/>
        </w:rPr>
        <w:t>「高等</w:t>
      </w:r>
      <w:r>
        <w:rPr>
          <w:rFonts w:asciiTheme="minorEastAsia" w:eastAsiaTheme="minorEastAsia" w:hAnsiTheme="minorEastAsia" w:hint="eastAsia"/>
        </w:rPr>
        <w:t>檢察署</w:t>
      </w:r>
      <w:r w:rsidRPr="00114817">
        <w:rPr>
          <w:rFonts w:asciiTheme="minorEastAsia" w:eastAsiaTheme="minorEastAsia" w:hAnsiTheme="minorEastAsia" w:hint="eastAsia"/>
        </w:rPr>
        <w:t>及其檢察分署應按季</w:t>
      </w:r>
      <w:r>
        <w:rPr>
          <w:rFonts w:asciiTheme="minorEastAsia" w:eastAsiaTheme="minorEastAsia" w:hAnsiTheme="minorEastAsia" w:hint="eastAsia"/>
        </w:rPr>
        <w:t>(</w:t>
      </w:r>
      <w:r w:rsidRPr="00114817">
        <w:rPr>
          <w:rFonts w:asciiTheme="minorEastAsia" w:eastAsiaTheme="minorEastAsia" w:hAnsiTheme="minorEastAsia" w:hint="eastAsia"/>
        </w:rPr>
        <w:t>每</w:t>
      </w:r>
      <w:r>
        <w:rPr>
          <w:rFonts w:asciiTheme="minorEastAsia" w:eastAsiaTheme="minorEastAsia" w:hAnsiTheme="minorEastAsia" w:hint="eastAsia"/>
        </w:rPr>
        <w:t>3</w:t>
      </w:r>
      <w:r w:rsidRPr="00114817">
        <w:rPr>
          <w:rFonts w:asciiTheme="minorEastAsia" w:eastAsiaTheme="minorEastAsia" w:hAnsiTheme="minorEastAsia" w:hint="eastAsia"/>
        </w:rPr>
        <w:t>月</w:t>
      </w:r>
      <w:r>
        <w:rPr>
          <w:rFonts w:asciiTheme="minorEastAsia" w:eastAsiaTheme="minorEastAsia" w:hAnsiTheme="minorEastAsia" w:hint="eastAsia"/>
        </w:rPr>
        <w:t>)</w:t>
      </w:r>
      <w:r w:rsidRPr="00114817">
        <w:rPr>
          <w:rFonts w:asciiTheme="minorEastAsia" w:eastAsiaTheme="minorEastAsia" w:hAnsiTheme="minorEastAsia" w:hint="eastAsia"/>
        </w:rPr>
        <w:t>派員檢查所屬轄區檢察官承辦案件有無「無故逾</w:t>
      </w:r>
      <w:r>
        <w:rPr>
          <w:rFonts w:asciiTheme="minorEastAsia" w:eastAsiaTheme="minorEastAsia" w:hAnsiTheme="minorEastAsia" w:hint="eastAsia"/>
        </w:rPr>
        <w:t>3</w:t>
      </w:r>
      <w:r w:rsidRPr="00114817">
        <w:rPr>
          <w:rFonts w:asciiTheme="minorEastAsia" w:eastAsiaTheme="minorEastAsia" w:hAnsiTheme="minorEastAsia" w:hint="eastAsia"/>
        </w:rPr>
        <w:t>月未進行」或「無故或藉故拖延不結」之情形，以督導稽催積極進行，如發現有嚴重違失，應專案簽辦。</w:t>
      </w:r>
      <w:r>
        <w:rPr>
          <w:rFonts w:hAnsi="標楷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4ADC60C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958"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33FE"/>
    <w:rsid w:val="00006547"/>
    <w:rsid w:val="00006961"/>
    <w:rsid w:val="000112BF"/>
    <w:rsid w:val="00012233"/>
    <w:rsid w:val="00014980"/>
    <w:rsid w:val="00017318"/>
    <w:rsid w:val="00020AC3"/>
    <w:rsid w:val="000246F7"/>
    <w:rsid w:val="0003114D"/>
    <w:rsid w:val="00036D76"/>
    <w:rsid w:val="000411DB"/>
    <w:rsid w:val="00055CB8"/>
    <w:rsid w:val="00057F32"/>
    <w:rsid w:val="00062A25"/>
    <w:rsid w:val="00073CB5"/>
    <w:rsid w:val="0007425C"/>
    <w:rsid w:val="00077553"/>
    <w:rsid w:val="0008188C"/>
    <w:rsid w:val="00084A3B"/>
    <w:rsid w:val="000851A2"/>
    <w:rsid w:val="00085725"/>
    <w:rsid w:val="00086E3C"/>
    <w:rsid w:val="00091B71"/>
    <w:rsid w:val="0009237B"/>
    <w:rsid w:val="0009352E"/>
    <w:rsid w:val="00094783"/>
    <w:rsid w:val="00096B96"/>
    <w:rsid w:val="000A01DC"/>
    <w:rsid w:val="000A2F3F"/>
    <w:rsid w:val="000B0B4A"/>
    <w:rsid w:val="000B279A"/>
    <w:rsid w:val="000B2CBA"/>
    <w:rsid w:val="000B3527"/>
    <w:rsid w:val="000B61D2"/>
    <w:rsid w:val="000B70A7"/>
    <w:rsid w:val="000B73DD"/>
    <w:rsid w:val="000C345D"/>
    <w:rsid w:val="000C403B"/>
    <w:rsid w:val="000C495F"/>
    <w:rsid w:val="000C643A"/>
    <w:rsid w:val="000D7BF1"/>
    <w:rsid w:val="000E54FF"/>
    <w:rsid w:val="000E6431"/>
    <w:rsid w:val="000F1AC7"/>
    <w:rsid w:val="000F21A5"/>
    <w:rsid w:val="00102B9F"/>
    <w:rsid w:val="00104CF0"/>
    <w:rsid w:val="00112637"/>
    <w:rsid w:val="00112ABC"/>
    <w:rsid w:val="00114817"/>
    <w:rsid w:val="0012001E"/>
    <w:rsid w:val="00126A55"/>
    <w:rsid w:val="00133F08"/>
    <w:rsid w:val="001345E6"/>
    <w:rsid w:val="001378B0"/>
    <w:rsid w:val="00142E00"/>
    <w:rsid w:val="001458B0"/>
    <w:rsid w:val="00152793"/>
    <w:rsid w:val="00153B7E"/>
    <w:rsid w:val="001545A9"/>
    <w:rsid w:val="001637C7"/>
    <w:rsid w:val="001641CF"/>
    <w:rsid w:val="0016480E"/>
    <w:rsid w:val="00174297"/>
    <w:rsid w:val="0017560A"/>
    <w:rsid w:val="00180E06"/>
    <w:rsid w:val="001817B3"/>
    <w:rsid w:val="00182C3C"/>
    <w:rsid w:val="00183014"/>
    <w:rsid w:val="00186ED1"/>
    <w:rsid w:val="001959C2"/>
    <w:rsid w:val="001A511A"/>
    <w:rsid w:val="001A51E3"/>
    <w:rsid w:val="001A7968"/>
    <w:rsid w:val="001B2E98"/>
    <w:rsid w:val="001B3483"/>
    <w:rsid w:val="001B3C1E"/>
    <w:rsid w:val="001B41DC"/>
    <w:rsid w:val="001B4494"/>
    <w:rsid w:val="001C0D8B"/>
    <w:rsid w:val="001C0DA8"/>
    <w:rsid w:val="001C1CDE"/>
    <w:rsid w:val="001D4AD7"/>
    <w:rsid w:val="001D6506"/>
    <w:rsid w:val="001E0D8A"/>
    <w:rsid w:val="001E49D6"/>
    <w:rsid w:val="001E67BA"/>
    <w:rsid w:val="001E74C2"/>
    <w:rsid w:val="001F3723"/>
    <w:rsid w:val="001F43C2"/>
    <w:rsid w:val="001F4F82"/>
    <w:rsid w:val="001F5A48"/>
    <w:rsid w:val="001F6260"/>
    <w:rsid w:val="00200007"/>
    <w:rsid w:val="002030A5"/>
    <w:rsid w:val="00203131"/>
    <w:rsid w:val="00210211"/>
    <w:rsid w:val="00212E88"/>
    <w:rsid w:val="00213C9C"/>
    <w:rsid w:val="0022009E"/>
    <w:rsid w:val="00223241"/>
    <w:rsid w:val="0022425C"/>
    <w:rsid w:val="002246DE"/>
    <w:rsid w:val="002527CB"/>
    <w:rsid w:val="00252BC4"/>
    <w:rsid w:val="00254014"/>
    <w:rsid w:val="00254B39"/>
    <w:rsid w:val="00264CB4"/>
    <w:rsid w:val="0026504D"/>
    <w:rsid w:val="00273A2F"/>
    <w:rsid w:val="002752E9"/>
    <w:rsid w:val="00277E65"/>
    <w:rsid w:val="00280986"/>
    <w:rsid w:val="002810CF"/>
    <w:rsid w:val="00281ECE"/>
    <w:rsid w:val="002831C7"/>
    <w:rsid w:val="002840C6"/>
    <w:rsid w:val="00295174"/>
    <w:rsid w:val="00296172"/>
    <w:rsid w:val="00296B92"/>
    <w:rsid w:val="002A2C22"/>
    <w:rsid w:val="002B02EB"/>
    <w:rsid w:val="002C0602"/>
    <w:rsid w:val="002D5C16"/>
    <w:rsid w:val="002F0E8F"/>
    <w:rsid w:val="002F2476"/>
    <w:rsid w:val="002F3DFF"/>
    <w:rsid w:val="002F5E05"/>
    <w:rsid w:val="00307A76"/>
    <w:rsid w:val="00310632"/>
    <w:rsid w:val="00315A16"/>
    <w:rsid w:val="00317053"/>
    <w:rsid w:val="0032109C"/>
    <w:rsid w:val="00322B45"/>
    <w:rsid w:val="00322E30"/>
    <w:rsid w:val="00323809"/>
    <w:rsid w:val="00323D41"/>
    <w:rsid w:val="00325414"/>
    <w:rsid w:val="00327F31"/>
    <w:rsid w:val="003302F1"/>
    <w:rsid w:val="0034470E"/>
    <w:rsid w:val="00352DB0"/>
    <w:rsid w:val="00361063"/>
    <w:rsid w:val="0037094A"/>
    <w:rsid w:val="00371ED3"/>
    <w:rsid w:val="00372FFC"/>
    <w:rsid w:val="0037728A"/>
    <w:rsid w:val="00380B7D"/>
    <w:rsid w:val="00381A99"/>
    <w:rsid w:val="003829C2"/>
    <w:rsid w:val="003830B2"/>
    <w:rsid w:val="00384724"/>
    <w:rsid w:val="003919B7"/>
    <w:rsid w:val="00391D57"/>
    <w:rsid w:val="00392292"/>
    <w:rsid w:val="00394F45"/>
    <w:rsid w:val="003A5927"/>
    <w:rsid w:val="003B1017"/>
    <w:rsid w:val="003B3C07"/>
    <w:rsid w:val="003B6081"/>
    <w:rsid w:val="003B6775"/>
    <w:rsid w:val="003C11A4"/>
    <w:rsid w:val="003C4BEB"/>
    <w:rsid w:val="003C5FE2"/>
    <w:rsid w:val="003D05FB"/>
    <w:rsid w:val="003D1B16"/>
    <w:rsid w:val="003D45BF"/>
    <w:rsid w:val="003D508A"/>
    <w:rsid w:val="003D537F"/>
    <w:rsid w:val="003D7B75"/>
    <w:rsid w:val="003D7FBD"/>
    <w:rsid w:val="003E0208"/>
    <w:rsid w:val="003E04B9"/>
    <w:rsid w:val="003E4B57"/>
    <w:rsid w:val="003F0343"/>
    <w:rsid w:val="003F27E1"/>
    <w:rsid w:val="003F437A"/>
    <w:rsid w:val="003F5C2B"/>
    <w:rsid w:val="00402240"/>
    <w:rsid w:val="004023E9"/>
    <w:rsid w:val="0040454A"/>
    <w:rsid w:val="00413F83"/>
    <w:rsid w:val="0041490C"/>
    <w:rsid w:val="00416191"/>
    <w:rsid w:val="00416721"/>
    <w:rsid w:val="00421EF0"/>
    <w:rsid w:val="004224FA"/>
    <w:rsid w:val="00423D07"/>
    <w:rsid w:val="00426B3E"/>
    <w:rsid w:val="00427936"/>
    <w:rsid w:val="004350CE"/>
    <w:rsid w:val="0044346F"/>
    <w:rsid w:val="00453FF6"/>
    <w:rsid w:val="00463820"/>
    <w:rsid w:val="0046520A"/>
    <w:rsid w:val="004672AB"/>
    <w:rsid w:val="00467451"/>
    <w:rsid w:val="004714FE"/>
    <w:rsid w:val="00471A6C"/>
    <w:rsid w:val="00477BAA"/>
    <w:rsid w:val="00492ECB"/>
    <w:rsid w:val="00495053"/>
    <w:rsid w:val="00496AE2"/>
    <w:rsid w:val="004A1F59"/>
    <w:rsid w:val="004A29BE"/>
    <w:rsid w:val="004A2BAB"/>
    <w:rsid w:val="004A3225"/>
    <w:rsid w:val="004A33EE"/>
    <w:rsid w:val="004A3AA8"/>
    <w:rsid w:val="004B13C7"/>
    <w:rsid w:val="004B778F"/>
    <w:rsid w:val="004C0609"/>
    <w:rsid w:val="004C1878"/>
    <w:rsid w:val="004C1D98"/>
    <w:rsid w:val="004D141F"/>
    <w:rsid w:val="004D2742"/>
    <w:rsid w:val="004D6310"/>
    <w:rsid w:val="004E0062"/>
    <w:rsid w:val="004E05A1"/>
    <w:rsid w:val="004E05F7"/>
    <w:rsid w:val="004F472A"/>
    <w:rsid w:val="004F5E57"/>
    <w:rsid w:val="004F6710"/>
    <w:rsid w:val="00500C3E"/>
    <w:rsid w:val="00502849"/>
    <w:rsid w:val="00503DD7"/>
    <w:rsid w:val="00504334"/>
    <w:rsid w:val="0050498D"/>
    <w:rsid w:val="005104D7"/>
    <w:rsid w:val="00510B9E"/>
    <w:rsid w:val="005171E6"/>
    <w:rsid w:val="00530772"/>
    <w:rsid w:val="005329E0"/>
    <w:rsid w:val="00536BC2"/>
    <w:rsid w:val="005425E1"/>
    <w:rsid w:val="005427C5"/>
    <w:rsid w:val="00542CF6"/>
    <w:rsid w:val="00553739"/>
    <w:rsid w:val="00553C03"/>
    <w:rsid w:val="00554CC1"/>
    <w:rsid w:val="00563692"/>
    <w:rsid w:val="00571679"/>
    <w:rsid w:val="00572018"/>
    <w:rsid w:val="005844E7"/>
    <w:rsid w:val="005908B8"/>
    <w:rsid w:val="0059512E"/>
    <w:rsid w:val="00595390"/>
    <w:rsid w:val="005A14E6"/>
    <w:rsid w:val="005A6DD2"/>
    <w:rsid w:val="005B5D70"/>
    <w:rsid w:val="005C385D"/>
    <w:rsid w:val="005D190C"/>
    <w:rsid w:val="005D3B20"/>
    <w:rsid w:val="005D6B46"/>
    <w:rsid w:val="005E1879"/>
    <w:rsid w:val="005E4759"/>
    <w:rsid w:val="005E54BA"/>
    <w:rsid w:val="005E5C68"/>
    <w:rsid w:val="005E65C0"/>
    <w:rsid w:val="005E7A82"/>
    <w:rsid w:val="005F0390"/>
    <w:rsid w:val="005F1341"/>
    <w:rsid w:val="006067EB"/>
    <w:rsid w:val="006072CD"/>
    <w:rsid w:val="00612023"/>
    <w:rsid w:val="00614190"/>
    <w:rsid w:val="00622A99"/>
    <w:rsid w:val="00622E67"/>
    <w:rsid w:val="00626B57"/>
    <w:rsid w:val="00626EDC"/>
    <w:rsid w:val="00632101"/>
    <w:rsid w:val="006344DF"/>
    <w:rsid w:val="00646E03"/>
    <w:rsid w:val="006470EC"/>
    <w:rsid w:val="00647CE8"/>
    <w:rsid w:val="006542D6"/>
    <w:rsid w:val="0065598E"/>
    <w:rsid w:val="00655AF2"/>
    <w:rsid w:val="00655BC5"/>
    <w:rsid w:val="006568BE"/>
    <w:rsid w:val="0066025D"/>
    <w:rsid w:val="0066091A"/>
    <w:rsid w:val="006736D2"/>
    <w:rsid w:val="006773EC"/>
    <w:rsid w:val="00680504"/>
    <w:rsid w:val="00681CD9"/>
    <w:rsid w:val="006833AC"/>
    <w:rsid w:val="00683E30"/>
    <w:rsid w:val="00687024"/>
    <w:rsid w:val="00691AD0"/>
    <w:rsid w:val="00695E22"/>
    <w:rsid w:val="006B7093"/>
    <w:rsid w:val="006B7417"/>
    <w:rsid w:val="006D111E"/>
    <w:rsid w:val="006D3691"/>
    <w:rsid w:val="006E5EF0"/>
    <w:rsid w:val="006F3563"/>
    <w:rsid w:val="006F42B9"/>
    <w:rsid w:val="006F6103"/>
    <w:rsid w:val="00704E00"/>
    <w:rsid w:val="007209E7"/>
    <w:rsid w:val="00726182"/>
    <w:rsid w:val="00727635"/>
    <w:rsid w:val="00732329"/>
    <w:rsid w:val="007337CA"/>
    <w:rsid w:val="00733B74"/>
    <w:rsid w:val="00734CE4"/>
    <w:rsid w:val="00735123"/>
    <w:rsid w:val="00741837"/>
    <w:rsid w:val="007453E6"/>
    <w:rsid w:val="0077309D"/>
    <w:rsid w:val="00775D02"/>
    <w:rsid w:val="007774EE"/>
    <w:rsid w:val="00781822"/>
    <w:rsid w:val="00783F21"/>
    <w:rsid w:val="00787159"/>
    <w:rsid w:val="0079043A"/>
    <w:rsid w:val="00791668"/>
    <w:rsid w:val="00791AA1"/>
    <w:rsid w:val="007969B9"/>
    <w:rsid w:val="007A22A7"/>
    <w:rsid w:val="007A3793"/>
    <w:rsid w:val="007A731C"/>
    <w:rsid w:val="007C1BA2"/>
    <w:rsid w:val="007C2B48"/>
    <w:rsid w:val="007D20E9"/>
    <w:rsid w:val="007D3197"/>
    <w:rsid w:val="007D7881"/>
    <w:rsid w:val="007D7E3A"/>
    <w:rsid w:val="007E0AA8"/>
    <w:rsid w:val="007E0E10"/>
    <w:rsid w:val="007E4768"/>
    <w:rsid w:val="007E777B"/>
    <w:rsid w:val="007F2070"/>
    <w:rsid w:val="007F63C1"/>
    <w:rsid w:val="008053F5"/>
    <w:rsid w:val="00805E65"/>
    <w:rsid w:val="008061DF"/>
    <w:rsid w:val="00807AF7"/>
    <w:rsid w:val="00810198"/>
    <w:rsid w:val="00815DA8"/>
    <w:rsid w:val="00816D67"/>
    <w:rsid w:val="00820DC6"/>
    <w:rsid w:val="0082194D"/>
    <w:rsid w:val="008221F9"/>
    <w:rsid w:val="00826EF5"/>
    <w:rsid w:val="00831693"/>
    <w:rsid w:val="00840104"/>
    <w:rsid w:val="00840C1F"/>
    <w:rsid w:val="008411C9"/>
    <w:rsid w:val="00841FC5"/>
    <w:rsid w:val="00845709"/>
    <w:rsid w:val="0085083D"/>
    <w:rsid w:val="008576BD"/>
    <w:rsid w:val="00860463"/>
    <w:rsid w:val="008733DA"/>
    <w:rsid w:val="00880CA5"/>
    <w:rsid w:val="00881F90"/>
    <w:rsid w:val="00882A64"/>
    <w:rsid w:val="00882CFB"/>
    <w:rsid w:val="0088493B"/>
    <w:rsid w:val="008850E4"/>
    <w:rsid w:val="00886D66"/>
    <w:rsid w:val="008939AB"/>
    <w:rsid w:val="008A12F5"/>
    <w:rsid w:val="008B1587"/>
    <w:rsid w:val="008B1B01"/>
    <w:rsid w:val="008B3BCD"/>
    <w:rsid w:val="008B6DF8"/>
    <w:rsid w:val="008C106C"/>
    <w:rsid w:val="008C10F1"/>
    <w:rsid w:val="008C1926"/>
    <w:rsid w:val="008C1E99"/>
    <w:rsid w:val="008C2021"/>
    <w:rsid w:val="008D0D69"/>
    <w:rsid w:val="008D7AAD"/>
    <w:rsid w:val="008E0085"/>
    <w:rsid w:val="008E2AA6"/>
    <w:rsid w:val="008E311B"/>
    <w:rsid w:val="008E3669"/>
    <w:rsid w:val="008E44A3"/>
    <w:rsid w:val="008F061D"/>
    <w:rsid w:val="008F1067"/>
    <w:rsid w:val="008F46E7"/>
    <w:rsid w:val="008F6F0B"/>
    <w:rsid w:val="00907BA7"/>
    <w:rsid w:val="0091064E"/>
    <w:rsid w:val="00911FC5"/>
    <w:rsid w:val="00912E2B"/>
    <w:rsid w:val="00917BFB"/>
    <w:rsid w:val="00931A10"/>
    <w:rsid w:val="00947967"/>
    <w:rsid w:val="00952A40"/>
    <w:rsid w:val="00955201"/>
    <w:rsid w:val="00957EF4"/>
    <w:rsid w:val="00965200"/>
    <w:rsid w:val="009668B3"/>
    <w:rsid w:val="00971471"/>
    <w:rsid w:val="009849C2"/>
    <w:rsid w:val="00984D24"/>
    <w:rsid w:val="009858EB"/>
    <w:rsid w:val="0099408B"/>
    <w:rsid w:val="009A3F47"/>
    <w:rsid w:val="009B0046"/>
    <w:rsid w:val="009C1440"/>
    <w:rsid w:val="009C2107"/>
    <w:rsid w:val="009C5D9E"/>
    <w:rsid w:val="009D0780"/>
    <w:rsid w:val="009D2C3E"/>
    <w:rsid w:val="009E0625"/>
    <w:rsid w:val="009E3034"/>
    <w:rsid w:val="009E549F"/>
    <w:rsid w:val="009F2753"/>
    <w:rsid w:val="009F28A8"/>
    <w:rsid w:val="009F473E"/>
    <w:rsid w:val="009F682A"/>
    <w:rsid w:val="00A022BE"/>
    <w:rsid w:val="00A07B4B"/>
    <w:rsid w:val="00A24C95"/>
    <w:rsid w:val="00A2599A"/>
    <w:rsid w:val="00A26094"/>
    <w:rsid w:val="00A301BF"/>
    <w:rsid w:val="00A302B2"/>
    <w:rsid w:val="00A331B4"/>
    <w:rsid w:val="00A3484E"/>
    <w:rsid w:val="00A356D3"/>
    <w:rsid w:val="00A36ADA"/>
    <w:rsid w:val="00A37391"/>
    <w:rsid w:val="00A40700"/>
    <w:rsid w:val="00A438D8"/>
    <w:rsid w:val="00A44168"/>
    <w:rsid w:val="00A473F5"/>
    <w:rsid w:val="00A51F9D"/>
    <w:rsid w:val="00A5416A"/>
    <w:rsid w:val="00A639F4"/>
    <w:rsid w:val="00A80328"/>
    <w:rsid w:val="00A81A32"/>
    <w:rsid w:val="00A835BD"/>
    <w:rsid w:val="00A913E3"/>
    <w:rsid w:val="00A97B15"/>
    <w:rsid w:val="00AA42D5"/>
    <w:rsid w:val="00AA499E"/>
    <w:rsid w:val="00AA4C79"/>
    <w:rsid w:val="00AB1E49"/>
    <w:rsid w:val="00AB2FAB"/>
    <w:rsid w:val="00AB5C14"/>
    <w:rsid w:val="00AB7605"/>
    <w:rsid w:val="00AC1E15"/>
    <w:rsid w:val="00AC1EE7"/>
    <w:rsid w:val="00AC333F"/>
    <w:rsid w:val="00AC585C"/>
    <w:rsid w:val="00AD1925"/>
    <w:rsid w:val="00AE067D"/>
    <w:rsid w:val="00AE3BDA"/>
    <w:rsid w:val="00AF1181"/>
    <w:rsid w:val="00AF2F79"/>
    <w:rsid w:val="00AF4653"/>
    <w:rsid w:val="00AF7DB7"/>
    <w:rsid w:val="00B10D02"/>
    <w:rsid w:val="00B13DF7"/>
    <w:rsid w:val="00B201E2"/>
    <w:rsid w:val="00B443E4"/>
    <w:rsid w:val="00B5484D"/>
    <w:rsid w:val="00B563EA"/>
    <w:rsid w:val="00B56CDF"/>
    <w:rsid w:val="00B60824"/>
    <w:rsid w:val="00B60E51"/>
    <w:rsid w:val="00B63A54"/>
    <w:rsid w:val="00B74102"/>
    <w:rsid w:val="00B77D18"/>
    <w:rsid w:val="00B8313A"/>
    <w:rsid w:val="00B856CF"/>
    <w:rsid w:val="00B93503"/>
    <w:rsid w:val="00B9389D"/>
    <w:rsid w:val="00BA2491"/>
    <w:rsid w:val="00BA31E8"/>
    <w:rsid w:val="00BA55E0"/>
    <w:rsid w:val="00BA6BD4"/>
    <w:rsid w:val="00BA6C7A"/>
    <w:rsid w:val="00BB17D1"/>
    <w:rsid w:val="00BB1FE8"/>
    <w:rsid w:val="00BB3752"/>
    <w:rsid w:val="00BB6688"/>
    <w:rsid w:val="00BC13CB"/>
    <w:rsid w:val="00BC26D4"/>
    <w:rsid w:val="00BC52AA"/>
    <w:rsid w:val="00BD4CB6"/>
    <w:rsid w:val="00BD6C3C"/>
    <w:rsid w:val="00BE0C80"/>
    <w:rsid w:val="00BE227C"/>
    <w:rsid w:val="00BF2A42"/>
    <w:rsid w:val="00C03D8C"/>
    <w:rsid w:val="00C055EC"/>
    <w:rsid w:val="00C10DC9"/>
    <w:rsid w:val="00C12FB3"/>
    <w:rsid w:val="00C17341"/>
    <w:rsid w:val="00C20F64"/>
    <w:rsid w:val="00C24EEF"/>
    <w:rsid w:val="00C25CF6"/>
    <w:rsid w:val="00C26C36"/>
    <w:rsid w:val="00C32768"/>
    <w:rsid w:val="00C431DF"/>
    <w:rsid w:val="00C456BD"/>
    <w:rsid w:val="00C45B64"/>
    <w:rsid w:val="00C530DC"/>
    <w:rsid w:val="00C5350D"/>
    <w:rsid w:val="00C54A48"/>
    <w:rsid w:val="00C54AF2"/>
    <w:rsid w:val="00C6123C"/>
    <w:rsid w:val="00C6311A"/>
    <w:rsid w:val="00C67F06"/>
    <w:rsid w:val="00C7084D"/>
    <w:rsid w:val="00C7315E"/>
    <w:rsid w:val="00C75895"/>
    <w:rsid w:val="00C83961"/>
    <w:rsid w:val="00C83C9F"/>
    <w:rsid w:val="00C93704"/>
    <w:rsid w:val="00C94840"/>
    <w:rsid w:val="00CA4EE3"/>
    <w:rsid w:val="00CB027F"/>
    <w:rsid w:val="00CC0EBB"/>
    <w:rsid w:val="00CC595C"/>
    <w:rsid w:val="00CC6297"/>
    <w:rsid w:val="00CC7690"/>
    <w:rsid w:val="00CD1986"/>
    <w:rsid w:val="00CD54BF"/>
    <w:rsid w:val="00CE4D5C"/>
    <w:rsid w:val="00CF05DA"/>
    <w:rsid w:val="00CF5027"/>
    <w:rsid w:val="00CF58EB"/>
    <w:rsid w:val="00CF6FEC"/>
    <w:rsid w:val="00D0106E"/>
    <w:rsid w:val="00D0411A"/>
    <w:rsid w:val="00D06383"/>
    <w:rsid w:val="00D1441F"/>
    <w:rsid w:val="00D20E85"/>
    <w:rsid w:val="00D24615"/>
    <w:rsid w:val="00D3452B"/>
    <w:rsid w:val="00D37842"/>
    <w:rsid w:val="00D42DC2"/>
    <w:rsid w:val="00D4302B"/>
    <w:rsid w:val="00D537E1"/>
    <w:rsid w:val="00D55BB2"/>
    <w:rsid w:val="00D6091A"/>
    <w:rsid w:val="00D6605A"/>
    <w:rsid w:val="00D6695F"/>
    <w:rsid w:val="00D75644"/>
    <w:rsid w:val="00D7691E"/>
    <w:rsid w:val="00D81656"/>
    <w:rsid w:val="00D83813"/>
    <w:rsid w:val="00D83D87"/>
    <w:rsid w:val="00D84A6D"/>
    <w:rsid w:val="00D86A30"/>
    <w:rsid w:val="00D93155"/>
    <w:rsid w:val="00D97CB4"/>
    <w:rsid w:val="00D97DD4"/>
    <w:rsid w:val="00DA20DE"/>
    <w:rsid w:val="00DA5A8A"/>
    <w:rsid w:val="00DB1170"/>
    <w:rsid w:val="00DB26CD"/>
    <w:rsid w:val="00DB441C"/>
    <w:rsid w:val="00DB44AF"/>
    <w:rsid w:val="00DB5480"/>
    <w:rsid w:val="00DC1F58"/>
    <w:rsid w:val="00DC339B"/>
    <w:rsid w:val="00DC5D40"/>
    <w:rsid w:val="00DC69A7"/>
    <w:rsid w:val="00DD30E9"/>
    <w:rsid w:val="00DD4F47"/>
    <w:rsid w:val="00DD7FBB"/>
    <w:rsid w:val="00DE0B9F"/>
    <w:rsid w:val="00DE2A9E"/>
    <w:rsid w:val="00DE4238"/>
    <w:rsid w:val="00DE657F"/>
    <w:rsid w:val="00DF1218"/>
    <w:rsid w:val="00DF6462"/>
    <w:rsid w:val="00E02FA0"/>
    <w:rsid w:val="00E036DC"/>
    <w:rsid w:val="00E059E2"/>
    <w:rsid w:val="00E10454"/>
    <w:rsid w:val="00E112E5"/>
    <w:rsid w:val="00E122D8"/>
    <w:rsid w:val="00E12CC8"/>
    <w:rsid w:val="00E15352"/>
    <w:rsid w:val="00E21785"/>
    <w:rsid w:val="00E21CC7"/>
    <w:rsid w:val="00E24D9E"/>
    <w:rsid w:val="00E25849"/>
    <w:rsid w:val="00E3197E"/>
    <w:rsid w:val="00E342F8"/>
    <w:rsid w:val="00E351ED"/>
    <w:rsid w:val="00E6034B"/>
    <w:rsid w:val="00E622A3"/>
    <w:rsid w:val="00E6549E"/>
    <w:rsid w:val="00E659FD"/>
    <w:rsid w:val="00E65EDE"/>
    <w:rsid w:val="00E70F81"/>
    <w:rsid w:val="00E75437"/>
    <w:rsid w:val="00E77055"/>
    <w:rsid w:val="00E77460"/>
    <w:rsid w:val="00E83ABC"/>
    <w:rsid w:val="00E844F2"/>
    <w:rsid w:val="00E90AD0"/>
    <w:rsid w:val="00E92FCB"/>
    <w:rsid w:val="00E93080"/>
    <w:rsid w:val="00EA147F"/>
    <w:rsid w:val="00EA4A27"/>
    <w:rsid w:val="00EA4FA6"/>
    <w:rsid w:val="00EA7695"/>
    <w:rsid w:val="00EB1A25"/>
    <w:rsid w:val="00EB53F3"/>
    <w:rsid w:val="00EB56D6"/>
    <w:rsid w:val="00EC54F1"/>
    <w:rsid w:val="00EC7363"/>
    <w:rsid w:val="00ED0255"/>
    <w:rsid w:val="00ED03AB"/>
    <w:rsid w:val="00ED1963"/>
    <w:rsid w:val="00ED1CD4"/>
    <w:rsid w:val="00ED1D2B"/>
    <w:rsid w:val="00ED3E8E"/>
    <w:rsid w:val="00ED64B5"/>
    <w:rsid w:val="00EE7CCA"/>
    <w:rsid w:val="00F05099"/>
    <w:rsid w:val="00F07052"/>
    <w:rsid w:val="00F158AF"/>
    <w:rsid w:val="00F16A14"/>
    <w:rsid w:val="00F17734"/>
    <w:rsid w:val="00F22084"/>
    <w:rsid w:val="00F26483"/>
    <w:rsid w:val="00F3486F"/>
    <w:rsid w:val="00F362D7"/>
    <w:rsid w:val="00F37AE9"/>
    <w:rsid w:val="00F37D7B"/>
    <w:rsid w:val="00F5314C"/>
    <w:rsid w:val="00F54AFA"/>
    <w:rsid w:val="00F5688C"/>
    <w:rsid w:val="00F60048"/>
    <w:rsid w:val="00F635DD"/>
    <w:rsid w:val="00F6627B"/>
    <w:rsid w:val="00F7336E"/>
    <w:rsid w:val="00F734F2"/>
    <w:rsid w:val="00F75052"/>
    <w:rsid w:val="00F804D3"/>
    <w:rsid w:val="00F816CB"/>
    <w:rsid w:val="00F81CD2"/>
    <w:rsid w:val="00F82641"/>
    <w:rsid w:val="00F82A54"/>
    <w:rsid w:val="00F90F18"/>
    <w:rsid w:val="00F937E4"/>
    <w:rsid w:val="00F95A5F"/>
    <w:rsid w:val="00F95EE7"/>
    <w:rsid w:val="00FA39E6"/>
    <w:rsid w:val="00FA7BC9"/>
    <w:rsid w:val="00FB378E"/>
    <w:rsid w:val="00FB37F1"/>
    <w:rsid w:val="00FB47C0"/>
    <w:rsid w:val="00FB49A9"/>
    <w:rsid w:val="00FB501B"/>
    <w:rsid w:val="00FB7770"/>
    <w:rsid w:val="00FD3B91"/>
    <w:rsid w:val="00FD576B"/>
    <w:rsid w:val="00FD579E"/>
    <w:rsid w:val="00FD6845"/>
    <w:rsid w:val="00FE4516"/>
    <w:rsid w:val="00FE64C8"/>
    <w:rsid w:val="00FF4DF7"/>
    <w:rsid w:val="00FF50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ind w:left="1361"/>
      <w:outlineLvl w:val="2"/>
    </w:pPr>
    <w:rPr>
      <w:rFonts w:hAnsi="Arial"/>
      <w:bCs/>
      <w:kern w:val="32"/>
      <w:szCs w:val="36"/>
    </w:rPr>
  </w:style>
  <w:style w:type="paragraph" w:styleId="4">
    <w:name w:val="heading 4"/>
    <w:aliases w:val="表格,一"/>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unhideWhenUsed/>
    <w:rsid w:val="00882A64"/>
    <w:pPr>
      <w:snapToGrid w:val="0"/>
      <w:jc w:val="left"/>
    </w:pPr>
    <w:rPr>
      <w:sz w:val="20"/>
    </w:rPr>
  </w:style>
  <w:style w:type="character" w:customStyle="1" w:styleId="afd">
    <w:name w:val="註腳文字 字元"/>
    <w:basedOn w:val="a7"/>
    <w:link w:val="afc"/>
    <w:uiPriority w:val="99"/>
    <w:rsid w:val="00882A64"/>
    <w:rPr>
      <w:rFonts w:ascii="標楷體" w:eastAsia="標楷體"/>
      <w:kern w:val="2"/>
    </w:rPr>
  </w:style>
  <w:style w:type="character" w:styleId="afe">
    <w:name w:val="footnote reference"/>
    <w:basedOn w:val="a7"/>
    <w:uiPriority w:val="99"/>
    <w:semiHidden/>
    <w:unhideWhenUsed/>
    <w:rsid w:val="00882A64"/>
    <w:rPr>
      <w:vertAlign w:val="superscript"/>
    </w:rPr>
  </w:style>
  <w:style w:type="character" w:styleId="aff">
    <w:name w:val="annotation reference"/>
    <w:basedOn w:val="a7"/>
    <w:uiPriority w:val="99"/>
    <w:semiHidden/>
    <w:unhideWhenUsed/>
    <w:rsid w:val="00094783"/>
    <w:rPr>
      <w:sz w:val="18"/>
      <w:szCs w:val="18"/>
    </w:rPr>
  </w:style>
  <w:style w:type="paragraph" w:styleId="aff0">
    <w:name w:val="annotation text"/>
    <w:basedOn w:val="a6"/>
    <w:link w:val="aff1"/>
    <w:uiPriority w:val="99"/>
    <w:semiHidden/>
    <w:unhideWhenUsed/>
    <w:rsid w:val="00094783"/>
    <w:pPr>
      <w:jc w:val="left"/>
    </w:pPr>
  </w:style>
  <w:style w:type="character" w:customStyle="1" w:styleId="aff1">
    <w:name w:val="註解文字 字元"/>
    <w:basedOn w:val="a7"/>
    <w:link w:val="aff0"/>
    <w:uiPriority w:val="99"/>
    <w:semiHidden/>
    <w:rsid w:val="00094783"/>
    <w:rPr>
      <w:rFonts w:ascii="標楷體" w:eastAsia="標楷體"/>
      <w:kern w:val="2"/>
      <w:sz w:val="32"/>
    </w:rPr>
  </w:style>
  <w:style w:type="paragraph" w:styleId="aff2">
    <w:name w:val="annotation subject"/>
    <w:basedOn w:val="aff0"/>
    <w:next w:val="aff0"/>
    <w:link w:val="aff3"/>
    <w:uiPriority w:val="99"/>
    <w:semiHidden/>
    <w:unhideWhenUsed/>
    <w:rsid w:val="00094783"/>
    <w:rPr>
      <w:b/>
      <w:bCs/>
    </w:rPr>
  </w:style>
  <w:style w:type="character" w:customStyle="1" w:styleId="aff3">
    <w:name w:val="註解主旨 字元"/>
    <w:basedOn w:val="aff1"/>
    <w:link w:val="aff2"/>
    <w:uiPriority w:val="99"/>
    <w:semiHidden/>
    <w:rsid w:val="00094783"/>
    <w:rPr>
      <w:rFonts w:ascii="標楷體" w:eastAsia="標楷體"/>
      <w:b/>
      <w:bCs/>
      <w:kern w:val="2"/>
      <w:sz w:val="32"/>
    </w:rPr>
  </w:style>
  <w:style w:type="paragraph" w:customStyle="1" w:styleId="aff4">
    <w:name w:val="調查委員"/>
    <w:basedOn w:val="aa"/>
    <w:qFormat/>
    <w:rsid w:val="00E75437"/>
    <w:pPr>
      <w:spacing w:before="0" w:after="0"/>
      <w:ind w:left="0"/>
      <w:jc w:val="left"/>
    </w:pPr>
    <w:rPr>
      <w:bCs/>
      <w:szCs w:val="28"/>
    </w:rPr>
  </w:style>
  <w:style w:type="paragraph" w:customStyle="1" w:styleId="aff5">
    <w:name w:val="協查人員"/>
    <w:basedOn w:val="aa"/>
    <w:qFormat/>
    <w:rsid w:val="00E75437"/>
    <w:pPr>
      <w:spacing w:beforeLines="50" w:before="228" w:after="0"/>
      <w:ind w:leftChars="1100" w:left="3742"/>
      <w:jc w:val="left"/>
    </w:pPr>
    <w:rPr>
      <w:b w:val="0"/>
      <w:bCs/>
      <w:snapToGrid/>
      <w:kern w:val="0"/>
      <w:szCs w:val="36"/>
    </w:rPr>
  </w:style>
  <w:style w:type="paragraph" w:styleId="HTML">
    <w:name w:val="HTML Preformatted"/>
    <w:basedOn w:val="a6"/>
    <w:link w:val="HTML0"/>
    <w:uiPriority w:val="99"/>
    <w:semiHidden/>
    <w:unhideWhenUsed/>
    <w:rsid w:val="00104CF0"/>
    <w:rPr>
      <w:rFonts w:ascii="Courier New" w:hAnsi="Courier New" w:cs="Courier New"/>
      <w:sz w:val="20"/>
    </w:rPr>
  </w:style>
  <w:style w:type="character" w:customStyle="1" w:styleId="HTML0">
    <w:name w:val="HTML 預設格式 字元"/>
    <w:basedOn w:val="a7"/>
    <w:link w:val="HTML"/>
    <w:uiPriority w:val="99"/>
    <w:semiHidden/>
    <w:rsid w:val="00104CF0"/>
    <w:rPr>
      <w:rFonts w:ascii="Courier New" w:eastAsia="標楷體" w:hAnsi="Courier New" w:cs="Courier New"/>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ind w:left="1361"/>
      <w:outlineLvl w:val="2"/>
    </w:pPr>
    <w:rPr>
      <w:rFonts w:hAnsi="Arial"/>
      <w:bCs/>
      <w:kern w:val="32"/>
      <w:szCs w:val="36"/>
    </w:rPr>
  </w:style>
  <w:style w:type="paragraph" w:styleId="4">
    <w:name w:val="heading 4"/>
    <w:aliases w:val="表格,一"/>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unhideWhenUsed/>
    <w:rsid w:val="00882A64"/>
    <w:pPr>
      <w:snapToGrid w:val="0"/>
      <w:jc w:val="left"/>
    </w:pPr>
    <w:rPr>
      <w:sz w:val="20"/>
    </w:rPr>
  </w:style>
  <w:style w:type="character" w:customStyle="1" w:styleId="afd">
    <w:name w:val="註腳文字 字元"/>
    <w:basedOn w:val="a7"/>
    <w:link w:val="afc"/>
    <w:uiPriority w:val="99"/>
    <w:rsid w:val="00882A64"/>
    <w:rPr>
      <w:rFonts w:ascii="標楷體" w:eastAsia="標楷體"/>
      <w:kern w:val="2"/>
    </w:rPr>
  </w:style>
  <w:style w:type="character" w:styleId="afe">
    <w:name w:val="footnote reference"/>
    <w:basedOn w:val="a7"/>
    <w:uiPriority w:val="99"/>
    <w:semiHidden/>
    <w:unhideWhenUsed/>
    <w:rsid w:val="00882A64"/>
    <w:rPr>
      <w:vertAlign w:val="superscript"/>
    </w:rPr>
  </w:style>
  <w:style w:type="character" w:styleId="aff">
    <w:name w:val="annotation reference"/>
    <w:basedOn w:val="a7"/>
    <w:uiPriority w:val="99"/>
    <w:semiHidden/>
    <w:unhideWhenUsed/>
    <w:rsid w:val="00094783"/>
    <w:rPr>
      <w:sz w:val="18"/>
      <w:szCs w:val="18"/>
    </w:rPr>
  </w:style>
  <w:style w:type="paragraph" w:styleId="aff0">
    <w:name w:val="annotation text"/>
    <w:basedOn w:val="a6"/>
    <w:link w:val="aff1"/>
    <w:uiPriority w:val="99"/>
    <w:semiHidden/>
    <w:unhideWhenUsed/>
    <w:rsid w:val="00094783"/>
    <w:pPr>
      <w:jc w:val="left"/>
    </w:pPr>
  </w:style>
  <w:style w:type="character" w:customStyle="1" w:styleId="aff1">
    <w:name w:val="註解文字 字元"/>
    <w:basedOn w:val="a7"/>
    <w:link w:val="aff0"/>
    <w:uiPriority w:val="99"/>
    <w:semiHidden/>
    <w:rsid w:val="00094783"/>
    <w:rPr>
      <w:rFonts w:ascii="標楷體" w:eastAsia="標楷體"/>
      <w:kern w:val="2"/>
      <w:sz w:val="32"/>
    </w:rPr>
  </w:style>
  <w:style w:type="paragraph" w:styleId="aff2">
    <w:name w:val="annotation subject"/>
    <w:basedOn w:val="aff0"/>
    <w:next w:val="aff0"/>
    <w:link w:val="aff3"/>
    <w:uiPriority w:val="99"/>
    <w:semiHidden/>
    <w:unhideWhenUsed/>
    <w:rsid w:val="00094783"/>
    <w:rPr>
      <w:b/>
      <w:bCs/>
    </w:rPr>
  </w:style>
  <w:style w:type="character" w:customStyle="1" w:styleId="aff3">
    <w:name w:val="註解主旨 字元"/>
    <w:basedOn w:val="aff1"/>
    <w:link w:val="aff2"/>
    <w:uiPriority w:val="99"/>
    <w:semiHidden/>
    <w:rsid w:val="00094783"/>
    <w:rPr>
      <w:rFonts w:ascii="標楷體" w:eastAsia="標楷體"/>
      <w:b/>
      <w:bCs/>
      <w:kern w:val="2"/>
      <w:sz w:val="32"/>
    </w:rPr>
  </w:style>
  <w:style w:type="paragraph" w:customStyle="1" w:styleId="aff4">
    <w:name w:val="調查委員"/>
    <w:basedOn w:val="aa"/>
    <w:qFormat/>
    <w:rsid w:val="00E75437"/>
    <w:pPr>
      <w:spacing w:before="0" w:after="0"/>
      <w:ind w:left="0"/>
      <w:jc w:val="left"/>
    </w:pPr>
    <w:rPr>
      <w:bCs/>
      <w:szCs w:val="28"/>
    </w:rPr>
  </w:style>
  <w:style w:type="paragraph" w:customStyle="1" w:styleId="aff5">
    <w:name w:val="協查人員"/>
    <w:basedOn w:val="aa"/>
    <w:qFormat/>
    <w:rsid w:val="00E75437"/>
    <w:pPr>
      <w:spacing w:beforeLines="50" w:before="228" w:after="0"/>
      <w:ind w:leftChars="1100" w:left="3742"/>
      <w:jc w:val="left"/>
    </w:pPr>
    <w:rPr>
      <w:b w:val="0"/>
      <w:bCs/>
      <w:snapToGrid/>
      <w:kern w:val="0"/>
      <w:szCs w:val="36"/>
    </w:rPr>
  </w:style>
  <w:style w:type="paragraph" w:styleId="HTML">
    <w:name w:val="HTML Preformatted"/>
    <w:basedOn w:val="a6"/>
    <w:link w:val="HTML0"/>
    <w:uiPriority w:val="99"/>
    <w:semiHidden/>
    <w:unhideWhenUsed/>
    <w:rsid w:val="00104CF0"/>
    <w:rPr>
      <w:rFonts w:ascii="Courier New" w:hAnsi="Courier New" w:cs="Courier New"/>
      <w:sz w:val="20"/>
    </w:rPr>
  </w:style>
  <w:style w:type="character" w:customStyle="1" w:styleId="HTML0">
    <w:name w:val="HTML 預設格式 字元"/>
    <w:basedOn w:val="a7"/>
    <w:link w:val="HTML"/>
    <w:uiPriority w:val="99"/>
    <w:semiHidden/>
    <w:rsid w:val="00104CF0"/>
    <w:rPr>
      <w:rFonts w:ascii="Courier New" w:eastAsia="標楷體"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640371">
      <w:bodyDiv w:val="1"/>
      <w:marLeft w:val="0"/>
      <w:marRight w:val="0"/>
      <w:marTop w:val="0"/>
      <w:marBottom w:val="0"/>
      <w:divBdr>
        <w:top w:val="none" w:sz="0" w:space="0" w:color="auto"/>
        <w:left w:val="none" w:sz="0" w:space="0" w:color="auto"/>
        <w:bottom w:val="none" w:sz="0" w:space="0" w:color="auto"/>
        <w:right w:val="none" w:sz="0" w:space="0" w:color="auto"/>
      </w:divBdr>
      <w:divsChild>
        <w:div w:id="87968817">
          <w:marLeft w:val="0"/>
          <w:marRight w:val="0"/>
          <w:marTop w:val="0"/>
          <w:marBottom w:val="0"/>
          <w:divBdr>
            <w:top w:val="none" w:sz="0" w:space="0" w:color="auto"/>
            <w:left w:val="none" w:sz="0" w:space="0" w:color="auto"/>
            <w:bottom w:val="none" w:sz="0" w:space="0" w:color="auto"/>
            <w:right w:val="none" w:sz="0" w:space="0" w:color="auto"/>
          </w:divBdr>
          <w:divsChild>
            <w:div w:id="36270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76641793">
      <w:bodyDiv w:val="1"/>
      <w:marLeft w:val="0"/>
      <w:marRight w:val="0"/>
      <w:marTop w:val="0"/>
      <w:marBottom w:val="0"/>
      <w:divBdr>
        <w:top w:val="none" w:sz="0" w:space="0" w:color="auto"/>
        <w:left w:val="none" w:sz="0" w:space="0" w:color="auto"/>
        <w:bottom w:val="none" w:sz="0" w:space="0" w:color="auto"/>
        <w:right w:val="none" w:sz="0" w:space="0" w:color="auto"/>
      </w:divBdr>
    </w:div>
    <w:div w:id="1284774924">
      <w:bodyDiv w:val="1"/>
      <w:marLeft w:val="0"/>
      <w:marRight w:val="0"/>
      <w:marTop w:val="0"/>
      <w:marBottom w:val="0"/>
      <w:divBdr>
        <w:top w:val="none" w:sz="0" w:space="0" w:color="auto"/>
        <w:left w:val="none" w:sz="0" w:space="0" w:color="auto"/>
        <w:bottom w:val="none" w:sz="0" w:space="0" w:color="auto"/>
        <w:right w:val="none" w:sz="0" w:space="0" w:color="auto"/>
      </w:divBdr>
      <w:divsChild>
        <w:div w:id="726562743">
          <w:marLeft w:val="0"/>
          <w:marRight w:val="0"/>
          <w:marTop w:val="0"/>
          <w:marBottom w:val="0"/>
          <w:divBdr>
            <w:top w:val="none" w:sz="0" w:space="0" w:color="auto"/>
            <w:left w:val="none" w:sz="0" w:space="0" w:color="auto"/>
            <w:bottom w:val="none" w:sz="0" w:space="0" w:color="auto"/>
            <w:right w:val="none" w:sz="0" w:space="0" w:color="auto"/>
          </w:divBdr>
          <w:divsChild>
            <w:div w:id="13097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14835">
      <w:bodyDiv w:val="1"/>
      <w:marLeft w:val="0"/>
      <w:marRight w:val="0"/>
      <w:marTop w:val="0"/>
      <w:marBottom w:val="0"/>
      <w:divBdr>
        <w:top w:val="none" w:sz="0" w:space="0" w:color="auto"/>
        <w:left w:val="none" w:sz="0" w:space="0" w:color="auto"/>
        <w:bottom w:val="none" w:sz="0" w:space="0" w:color="auto"/>
        <w:right w:val="none" w:sz="0" w:space="0" w:color="auto"/>
      </w:divBdr>
      <w:divsChild>
        <w:div w:id="1544564394">
          <w:marLeft w:val="0"/>
          <w:marRight w:val="0"/>
          <w:marTop w:val="0"/>
          <w:marBottom w:val="0"/>
          <w:divBdr>
            <w:top w:val="none" w:sz="0" w:space="0" w:color="auto"/>
            <w:left w:val="none" w:sz="0" w:space="0" w:color="auto"/>
            <w:bottom w:val="none" w:sz="0" w:space="0" w:color="auto"/>
            <w:right w:val="none" w:sz="0" w:space="0" w:color="auto"/>
          </w:divBdr>
          <w:divsChild>
            <w:div w:id="196773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625651">
      <w:bodyDiv w:val="1"/>
      <w:marLeft w:val="0"/>
      <w:marRight w:val="0"/>
      <w:marTop w:val="0"/>
      <w:marBottom w:val="0"/>
      <w:divBdr>
        <w:top w:val="none" w:sz="0" w:space="0" w:color="auto"/>
        <w:left w:val="none" w:sz="0" w:space="0" w:color="auto"/>
        <w:bottom w:val="none" w:sz="0" w:space="0" w:color="auto"/>
        <w:right w:val="none" w:sz="0" w:space="0" w:color="auto"/>
      </w:divBdr>
    </w:div>
    <w:div w:id="1708293631">
      <w:bodyDiv w:val="1"/>
      <w:marLeft w:val="0"/>
      <w:marRight w:val="0"/>
      <w:marTop w:val="0"/>
      <w:marBottom w:val="0"/>
      <w:divBdr>
        <w:top w:val="none" w:sz="0" w:space="0" w:color="auto"/>
        <w:left w:val="none" w:sz="0" w:space="0" w:color="auto"/>
        <w:bottom w:val="none" w:sz="0" w:space="0" w:color="auto"/>
        <w:right w:val="none" w:sz="0" w:space="0" w:color="auto"/>
      </w:divBdr>
      <w:divsChild>
        <w:div w:id="302152745">
          <w:marLeft w:val="0"/>
          <w:marRight w:val="0"/>
          <w:marTop w:val="0"/>
          <w:marBottom w:val="0"/>
          <w:divBdr>
            <w:top w:val="none" w:sz="0" w:space="0" w:color="auto"/>
            <w:left w:val="none" w:sz="0" w:space="0" w:color="auto"/>
            <w:bottom w:val="none" w:sz="0" w:space="0" w:color="auto"/>
            <w:right w:val="none" w:sz="0" w:space="0" w:color="auto"/>
          </w:divBdr>
          <w:divsChild>
            <w:div w:id="167892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20268">
      <w:bodyDiv w:val="1"/>
      <w:marLeft w:val="0"/>
      <w:marRight w:val="0"/>
      <w:marTop w:val="0"/>
      <w:marBottom w:val="0"/>
      <w:divBdr>
        <w:top w:val="none" w:sz="0" w:space="0" w:color="auto"/>
        <w:left w:val="none" w:sz="0" w:space="0" w:color="auto"/>
        <w:bottom w:val="none" w:sz="0" w:space="0" w:color="auto"/>
        <w:right w:val="none" w:sz="0" w:space="0" w:color="auto"/>
      </w:divBdr>
    </w:div>
    <w:div w:id="206270582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4191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73376-C402-4786-92C6-270BA7E55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15</Pages>
  <Words>1134</Words>
  <Characters>6464</Characters>
  <Application>Microsoft Office Word</Application>
  <DocSecurity>0</DocSecurity>
  <Lines>53</Lines>
  <Paragraphs>15</Paragraphs>
  <ScaleCrop>false</ScaleCrop>
  <Company>cy</Company>
  <LinksUpToDate>false</LinksUpToDate>
  <CharactersWithSpaces>7583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林宛萱</dc:creator>
  <cp:lastModifiedBy>stud01</cp:lastModifiedBy>
  <cp:revision>2</cp:revision>
  <cp:lastPrinted>2018-10-11T06:24:00Z</cp:lastPrinted>
  <dcterms:created xsi:type="dcterms:W3CDTF">2019-04-24T08:54:00Z</dcterms:created>
  <dcterms:modified xsi:type="dcterms:W3CDTF">2019-04-24T08:54:00Z</dcterms:modified>
</cp:coreProperties>
</file>