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796EA9" w:rsidRDefault="0046405C" w:rsidP="00F37D7B">
      <w:pPr>
        <w:pStyle w:val="af2"/>
        <w:rPr>
          <w:rFonts w:hAnsi="標楷體"/>
        </w:rPr>
      </w:pPr>
      <w:r w:rsidRPr="00796EA9">
        <w:rPr>
          <w:rFonts w:hAnsi="標楷體" w:hint="eastAsia"/>
        </w:rPr>
        <w:t>調查</w:t>
      </w:r>
      <w:r w:rsidR="009D1AD2" w:rsidRPr="00796EA9">
        <w:rPr>
          <w:rFonts w:hAnsi="標楷體"/>
        </w:rPr>
        <w:t>報告</w:t>
      </w:r>
    </w:p>
    <w:p w:rsidR="00E25849" w:rsidRPr="00796EA9" w:rsidRDefault="00E25849" w:rsidP="004E05A1">
      <w:pPr>
        <w:pStyle w:val="1"/>
        <w:ind w:left="2380" w:hanging="2380"/>
        <w:rPr>
          <w:rFonts w:hAnsi="標楷體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796EA9">
        <w:rPr>
          <w:rFonts w:hAnsi="標楷體"/>
          <w:b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E2508E" w:rsidRPr="00796EA9">
        <w:rPr>
          <w:rFonts w:hAnsi="標楷體"/>
        </w:rPr>
        <w:t>據審計部</w:t>
      </w:r>
      <w:proofErr w:type="gramStart"/>
      <w:r w:rsidR="00E2508E" w:rsidRPr="00796EA9">
        <w:rPr>
          <w:rFonts w:hAnsi="標楷體"/>
        </w:rPr>
        <w:t>105</w:t>
      </w:r>
      <w:proofErr w:type="gramEnd"/>
      <w:r w:rsidR="00E2508E" w:rsidRPr="00796EA9">
        <w:rPr>
          <w:rFonts w:hAnsi="標楷體"/>
        </w:rPr>
        <w:t>年度中央政府總決算審核報告，桃園機場</w:t>
      </w:r>
      <w:proofErr w:type="gramStart"/>
      <w:r w:rsidR="00E2508E" w:rsidRPr="00796EA9">
        <w:rPr>
          <w:rFonts w:hAnsi="標楷體"/>
        </w:rPr>
        <w:t>105</w:t>
      </w:r>
      <w:proofErr w:type="gramEnd"/>
      <w:r w:rsidR="00E2508E" w:rsidRPr="00796EA9">
        <w:rPr>
          <w:rFonts w:hAnsi="標楷體"/>
        </w:rPr>
        <w:t>年度入出境旅客已逾4</w:t>
      </w:r>
      <w:proofErr w:type="gramStart"/>
      <w:r w:rsidR="00E2508E" w:rsidRPr="00796EA9">
        <w:rPr>
          <w:rFonts w:hAnsi="標楷體"/>
        </w:rPr>
        <w:t>千萬人次，</w:t>
      </w:r>
      <w:proofErr w:type="gramEnd"/>
      <w:r w:rsidR="00E2508E" w:rsidRPr="00796EA9">
        <w:rPr>
          <w:rFonts w:hAnsi="標楷體"/>
        </w:rPr>
        <w:t>營收及獲利亦創新高，並獲國際機構機場服務品質調查評比第1名，惟機場未來重大建設計畫之財務計畫及轉機業務之推動成效，尚待</w:t>
      </w:r>
      <w:proofErr w:type="gramStart"/>
      <w:r w:rsidR="00E2508E" w:rsidRPr="00796EA9">
        <w:rPr>
          <w:rFonts w:hAnsi="標楷體"/>
        </w:rPr>
        <w:t>研</w:t>
      </w:r>
      <w:proofErr w:type="gramEnd"/>
      <w:r w:rsidR="00E2508E" w:rsidRPr="00796EA9">
        <w:rPr>
          <w:rFonts w:hAnsi="標楷體"/>
        </w:rPr>
        <w:t>謀改善，如何有效減輕財務負擔，容有進一步瞭解之必要案。</w:t>
      </w:r>
    </w:p>
    <w:p w:rsidR="00E25849" w:rsidRPr="00796EA9" w:rsidRDefault="005E4DB5" w:rsidP="004E05A1">
      <w:pPr>
        <w:pStyle w:val="1"/>
        <w:ind w:left="2380" w:hanging="2380"/>
        <w:rPr>
          <w:rFonts w:hAnsi="標楷體"/>
          <w:b/>
        </w:rPr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796EA9">
        <w:rPr>
          <w:rFonts w:hAnsi="標楷體" w:hint="eastAsia"/>
          <w:b/>
        </w:rPr>
        <w:t>調查意見</w:t>
      </w:r>
      <w:r w:rsidR="00E25849" w:rsidRPr="00796EA9">
        <w:rPr>
          <w:rFonts w:hAnsi="標楷體"/>
          <w:b/>
        </w:rPr>
        <w:t>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5E4DB5" w:rsidRPr="00796EA9" w:rsidRDefault="005E4DB5" w:rsidP="00236D36">
      <w:pPr>
        <w:pStyle w:val="10"/>
        <w:ind w:left="680" w:firstLine="680"/>
        <w:rPr>
          <w:rFonts w:hAnsi="標楷體"/>
          <w:bCs/>
          <w:szCs w:val="32"/>
        </w:rPr>
      </w:pPr>
      <w:r w:rsidRPr="00796EA9">
        <w:rPr>
          <w:rFonts w:hAnsi="標楷體"/>
          <w:bCs/>
          <w:szCs w:val="32"/>
        </w:rPr>
        <w:t>依據</w:t>
      </w:r>
      <w:r w:rsidRPr="00796EA9">
        <w:rPr>
          <w:rFonts w:hAnsi="標楷體" w:hint="eastAsia"/>
          <w:bCs/>
          <w:szCs w:val="32"/>
        </w:rPr>
        <w:t>民國（下同）</w:t>
      </w:r>
      <w:r w:rsidRPr="00796EA9">
        <w:rPr>
          <w:rFonts w:hAnsi="標楷體"/>
          <w:bCs/>
          <w:szCs w:val="32"/>
        </w:rPr>
        <w:t>100年4月行政院核定之「臺灣桃園國際機場園區綱要計畫」，桃園國際機場園區發展定位暨</w:t>
      </w:r>
      <w:r w:rsidRPr="00796EA9">
        <w:rPr>
          <w:rFonts w:hAnsi="標楷體" w:hint="eastAsia"/>
        </w:rPr>
        <w:t>桃園國際機場股份有限公司</w:t>
      </w:r>
      <w:r w:rsidRPr="00796EA9">
        <w:rPr>
          <w:rFonts w:hAnsi="標楷體"/>
          <w:bCs/>
          <w:szCs w:val="32"/>
        </w:rPr>
        <w:t>（下稱桃機公司）經營目標及願景略</w:t>
      </w:r>
      <w:proofErr w:type="gramStart"/>
      <w:r w:rsidRPr="00796EA9">
        <w:rPr>
          <w:rFonts w:hAnsi="標楷體"/>
          <w:bCs/>
          <w:szCs w:val="32"/>
        </w:rPr>
        <w:t>以</w:t>
      </w:r>
      <w:proofErr w:type="gramEnd"/>
      <w:r w:rsidRPr="00796EA9">
        <w:rPr>
          <w:rFonts w:hAnsi="標楷體"/>
          <w:bCs/>
          <w:szCs w:val="32"/>
        </w:rPr>
        <w:t>：</w:t>
      </w:r>
      <w:r w:rsidR="0086405D" w:rsidRPr="00796EA9">
        <w:rPr>
          <w:rFonts w:hAnsi="標楷體" w:hint="eastAsia"/>
          <w:bCs/>
          <w:szCs w:val="32"/>
        </w:rPr>
        <w:t>「</w:t>
      </w:r>
      <w:r w:rsidRPr="00796EA9">
        <w:rPr>
          <w:rFonts w:hAnsi="標楷體"/>
          <w:bCs/>
          <w:szCs w:val="32"/>
        </w:rPr>
        <w:t>桃園國際機場（下稱桃園機場）成為東亞樞紐機場之</w:t>
      </w:r>
      <w:proofErr w:type="gramStart"/>
      <w:r w:rsidRPr="00796EA9">
        <w:rPr>
          <w:rFonts w:hAnsi="標楷體"/>
          <w:bCs/>
          <w:szCs w:val="32"/>
        </w:rPr>
        <w:t>ㄧ</w:t>
      </w:r>
      <w:proofErr w:type="gramEnd"/>
      <w:r w:rsidRPr="00796EA9">
        <w:rPr>
          <w:rFonts w:hAnsi="標楷體"/>
          <w:bCs/>
          <w:szCs w:val="32"/>
        </w:rPr>
        <w:t>，兼顧</w:t>
      </w:r>
      <w:proofErr w:type="gramStart"/>
      <w:r w:rsidR="004B652E">
        <w:rPr>
          <w:rFonts w:hAnsi="標楷體"/>
          <w:bCs/>
          <w:szCs w:val="32"/>
        </w:rPr>
        <w:t>起迄</w:t>
      </w:r>
      <w:proofErr w:type="gramEnd"/>
      <w:r w:rsidRPr="00796EA9">
        <w:rPr>
          <w:rFonts w:hAnsi="標楷體"/>
          <w:bCs/>
          <w:szCs w:val="32"/>
        </w:rPr>
        <w:t>（O/D）及轉運（Transit/</w:t>
      </w:r>
      <w:r w:rsidR="008A0D6F" w:rsidRPr="00796EA9">
        <w:rPr>
          <w:rFonts w:hAnsi="標楷體" w:hint="eastAsia"/>
          <w:bCs/>
          <w:szCs w:val="32"/>
        </w:rPr>
        <w:t xml:space="preserve"> </w:t>
      </w:r>
      <w:r w:rsidRPr="00796EA9">
        <w:rPr>
          <w:rFonts w:hAnsi="標楷體"/>
          <w:bCs/>
          <w:szCs w:val="32"/>
        </w:rPr>
        <w:t>Transfer）旅客發展，成為臺灣連接國際的門戶。</w:t>
      </w:r>
      <w:proofErr w:type="gramStart"/>
      <w:r w:rsidRPr="00796EA9">
        <w:rPr>
          <w:rFonts w:hAnsi="標楷體"/>
          <w:bCs/>
          <w:szCs w:val="32"/>
        </w:rPr>
        <w:t>桃機公司</w:t>
      </w:r>
      <w:proofErr w:type="gramEnd"/>
      <w:r w:rsidRPr="00796EA9">
        <w:rPr>
          <w:rFonts w:hAnsi="標楷體"/>
          <w:bCs/>
          <w:szCs w:val="32"/>
        </w:rPr>
        <w:t>目前</w:t>
      </w:r>
      <w:r w:rsidR="00EA616A" w:rsidRPr="00796EA9">
        <w:rPr>
          <w:rFonts w:hAnsi="標楷體" w:hint="eastAsia"/>
          <w:bCs/>
          <w:szCs w:val="32"/>
        </w:rPr>
        <w:t>之</w:t>
      </w:r>
      <w:r w:rsidRPr="00796EA9">
        <w:rPr>
          <w:rFonts w:hAnsi="標楷體"/>
          <w:bCs/>
          <w:szCs w:val="32"/>
        </w:rPr>
        <w:t>經營</w:t>
      </w:r>
      <w:r w:rsidR="00EA616A" w:rsidRPr="00796EA9">
        <w:rPr>
          <w:rFonts w:hAnsi="標楷體" w:hint="eastAsia"/>
          <w:bCs/>
          <w:szCs w:val="32"/>
        </w:rPr>
        <w:t>狀況</w:t>
      </w:r>
      <w:r w:rsidR="00EA616A" w:rsidRPr="00796EA9">
        <w:rPr>
          <w:rFonts w:hAnsi="標楷體"/>
          <w:bCs/>
          <w:szCs w:val="32"/>
        </w:rPr>
        <w:t>每年</w:t>
      </w:r>
      <w:proofErr w:type="gramStart"/>
      <w:r w:rsidRPr="00796EA9">
        <w:rPr>
          <w:rFonts w:hAnsi="標楷體"/>
          <w:bCs/>
          <w:szCs w:val="32"/>
        </w:rPr>
        <w:t>雖均有盈餘</w:t>
      </w:r>
      <w:proofErr w:type="gramEnd"/>
      <w:r w:rsidRPr="00796EA9">
        <w:rPr>
          <w:rFonts w:hAnsi="標楷體"/>
          <w:bCs/>
          <w:szCs w:val="32"/>
        </w:rPr>
        <w:t>，惟未來將陸續辦理第三航站區、第三跑道、</w:t>
      </w:r>
      <w:proofErr w:type="gramStart"/>
      <w:r w:rsidRPr="00796EA9">
        <w:rPr>
          <w:rFonts w:hAnsi="標楷體"/>
          <w:bCs/>
          <w:szCs w:val="32"/>
        </w:rPr>
        <w:t>衛星廊廳等</w:t>
      </w:r>
      <w:proofErr w:type="gramEnd"/>
      <w:r w:rsidRPr="00796EA9">
        <w:rPr>
          <w:rFonts w:hAnsi="標楷體"/>
          <w:bCs/>
          <w:szCs w:val="32"/>
        </w:rPr>
        <w:t>重大興建計畫，資金需求高達新臺幣（下同）1,983億餘元。復桃園機場100至105年度轉機旅客占整體旅客比率約10％，並未成長，而東亞地區競爭機場，如香港</w:t>
      </w:r>
      <w:proofErr w:type="gramStart"/>
      <w:r w:rsidRPr="00796EA9">
        <w:rPr>
          <w:rFonts w:hAnsi="標楷體"/>
          <w:bCs/>
          <w:szCs w:val="32"/>
        </w:rPr>
        <w:t>赤</w:t>
      </w:r>
      <w:proofErr w:type="gramEnd"/>
      <w:r w:rsidRPr="00796EA9">
        <w:rPr>
          <w:rFonts w:hAnsi="標楷體"/>
          <w:bCs/>
          <w:szCs w:val="32"/>
        </w:rPr>
        <w:t>鱲角機場及新加坡樟宜機場近年轉機旅客比率已分別</w:t>
      </w:r>
      <w:r w:rsidR="00EA616A" w:rsidRPr="00796EA9">
        <w:rPr>
          <w:rFonts w:hAnsi="標楷體" w:hint="eastAsia"/>
          <w:bCs/>
          <w:szCs w:val="32"/>
        </w:rPr>
        <w:t>逾</w:t>
      </w:r>
      <w:r w:rsidRPr="00796EA9">
        <w:rPr>
          <w:rFonts w:hAnsi="標楷體"/>
          <w:bCs/>
          <w:szCs w:val="32"/>
        </w:rPr>
        <w:t>20％及30％，桃園機場在轉機旅客部分仍有大幅改善空間</w:t>
      </w:r>
      <w:r w:rsidR="00B2263E" w:rsidRPr="00796EA9">
        <w:rPr>
          <w:rFonts w:hAnsi="標楷體" w:hint="eastAsia"/>
          <w:bCs/>
          <w:szCs w:val="32"/>
        </w:rPr>
        <w:t>。」</w:t>
      </w:r>
      <w:r w:rsidR="00547635" w:rsidRPr="00796EA9">
        <w:rPr>
          <w:rFonts w:hAnsi="標楷體" w:hint="eastAsia"/>
          <w:bCs/>
          <w:szCs w:val="32"/>
        </w:rPr>
        <w:t>審計部</w:t>
      </w:r>
      <w:proofErr w:type="gramStart"/>
      <w:r w:rsidR="00720BAE" w:rsidRPr="00796EA9">
        <w:rPr>
          <w:rFonts w:hAnsi="標楷體"/>
          <w:bCs/>
          <w:szCs w:val="32"/>
        </w:rPr>
        <w:t>爰</w:t>
      </w:r>
      <w:proofErr w:type="gramEnd"/>
      <w:r w:rsidR="00720BAE" w:rsidRPr="00796EA9">
        <w:rPr>
          <w:rFonts w:hAnsi="標楷體" w:hint="eastAsia"/>
          <w:bCs/>
          <w:szCs w:val="32"/>
        </w:rPr>
        <w:t>於</w:t>
      </w:r>
      <w:proofErr w:type="gramStart"/>
      <w:r w:rsidR="00720BAE" w:rsidRPr="00796EA9">
        <w:rPr>
          <w:rFonts w:hAnsi="標楷體"/>
        </w:rPr>
        <w:t>105</w:t>
      </w:r>
      <w:proofErr w:type="gramEnd"/>
      <w:r w:rsidR="00720BAE" w:rsidRPr="00796EA9">
        <w:rPr>
          <w:rFonts w:hAnsi="標楷體"/>
        </w:rPr>
        <w:t>年度中央政府總決算審核報告</w:t>
      </w:r>
      <w:r w:rsidR="00720BAE" w:rsidRPr="00796EA9">
        <w:rPr>
          <w:rFonts w:hAnsi="標楷體" w:hint="eastAsia"/>
        </w:rPr>
        <w:t>予以揭</w:t>
      </w:r>
      <w:r w:rsidR="001C6968" w:rsidRPr="00796EA9">
        <w:rPr>
          <w:rFonts w:hAnsi="標楷體" w:hint="eastAsia"/>
        </w:rPr>
        <w:t>露</w:t>
      </w:r>
      <w:r w:rsidR="00720BAE" w:rsidRPr="00796EA9">
        <w:rPr>
          <w:rFonts w:hAnsi="標楷體" w:hint="eastAsia"/>
        </w:rPr>
        <w:t>。</w:t>
      </w:r>
      <w:r w:rsidR="00547635" w:rsidRPr="00796EA9">
        <w:rPr>
          <w:rFonts w:hAnsi="標楷體" w:hint="eastAsia"/>
        </w:rPr>
        <w:t>是</w:t>
      </w:r>
      <w:r w:rsidRPr="00796EA9">
        <w:rPr>
          <w:rFonts w:hAnsi="標楷體"/>
        </w:rPr>
        <w:t>桃園機場</w:t>
      </w:r>
      <w:proofErr w:type="gramStart"/>
      <w:r w:rsidRPr="00796EA9">
        <w:rPr>
          <w:rFonts w:hAnsi="標楷體"/>
        </w:rPr>
        <w:t>105</w:t>
      </w:r>
      <w:proofErr w:type="gramEnd"/>
      <w:r w:rsidRPr="00796EA9">
        <w:rPr>
          <w:rFonts w:hAnsi="標楷體"/>
        </w:rPr>
        <w:t>年度入出境旅客已逾4</w:t>
      </w:r>
      <w:proofErr w:type="gramStart"/>
      <w:r w:rsidRPr="00796EA9">
        <w:rPr>
          <w:rFonts w:hAnsi="標楷體"/>
        </w:rPr>
        <w:t>千萬人次，</w:t>
      </w:r>
      <w:proofErr w:type="gramEnd"/>
      <w:r w:rsidRPr="00796EA9">
        <w:rPr>
          <w:rFonts w:hAnsi="標楷體"/>
        </w:rPr>
        <w:t>營收及獲利亦創新高，並獲國際機構機場服務品質調查評比第1名，惟機場未來重大建設計畫之財務計畫及轉機業務之推動成效，尚待</w:t>
      </w:r>
      <w:proofErr w:type="gramStart"/>
      <w:r w:rsidRPr="00796EA9">
        <w:rPr>
          <w:rFonts w:hAnsi="標楷體"/>
        </w:rPr>
        <w:t>研</w:t>
      </w:r>
      <w:proofErr w:type="gramEnd"/>
      <w:r w:rsidRPr="00796EA9">
        <w:rPr>
          <w:rFonts w:hAnsi="標楷體"/>
        </w:rPr>
        <w:t>謀改善，如何有效減輕財務負擔，容有進一步瞭解之必要。</w:t>
      </w:r>
    </w:p>
    <w:p w:rsidR="002E53D9" w:rsidRPr="00796EA9" w:rsidRDefault="005E4DB5" w:rsidP="00236D36">
      <w:pPr>
        <w:pStyle w:val="10"/>
        <w:ind w:left="680" w:firstLine="680"/>
        <w:rPr>
          <w:rFonts w:hAnsi="標楷體"/>
        </w:rPr>
      </w:pPr>
      <w:r w:rsidRPr="00796EA9">
        <w:rPr>
          <w:rFonts w:hAnsi="標楷體"/>
        </w:rPr>
        <w:t>案經函請審計部提供本案專案調查報告，</w:t>
      </w:r>
      <w:r w:rsidR="00B84D54" w:rsidRPr="00796EA9">
        <w:rPr>
          <w:rFonts w:hAnsi="標楷體" w:hint="eastAsia"/>
        </w:rPr>
        <w:t>並</w:t>
      </w:r>
      <w:r w:rsidRPr="00796EA9">
        <w:rPr>
          <w:rFonts w:hAnsi="標楷體"/>
        </w:rPr>
        <w:t>調閱交</w:t>
      </w:r>
      <w:r w:rsidRPr="00796EA9">
        <w:rPr>
          <w:rFonts w:hAnsi="標楷體"/>
        </w:rPr>
        <w:lastRenderedPageBreak/>
        <w:t>通部卷證資料</w:t>
      </w:r>
      <w:r w:rsidRPr="00796EA9">
        <w:rPr>
          <w:rFonts w:hAnsi="標楷體" w:hint="eastAsia"/>
        </w:rPr>
        <w:t>，復於107年7月12日</w:t>
      </w:r>
      <w:proofErr w:type="gramStart"/>
      <w:r w:rsidRPr="00796EA9">
        <w:rPr>
          <w:rFonts w:hAnsi="標楷體" w:hint="eastAsia"/>
        </w:rPr>
        <w:t>諮詢</w:t>
      </w:r>
      <w:r w:rsidR="00B2263E" w:rsidRPr="00796EA9">
        <w:rPr>
          <w:rFonts w:hAnsi="標楷體"/>
          <w:bCs/>
          <w:szCs w:val="32"/>
        </w:rPr>
        <w:t>桃機公司</w:t>
      </w:r>
      <w:proofErr w:type="gramEnd"/>
      <w:r w:rsidR="00B2263E" w:rsidRPr="00796EA9">
        <w:rPr>
          <w:rFonts w:hAnsi="標楷體" w:hint="eastAsia"/>
        </w:rPr>
        <w:t>前董事長尹承蓬、台灣經濟研究院院長林建甫、國立政治大學財務管理學系教授周冠男、屠美亞，再於107年8月1日詢問交通部政務次長張政源、航政司司長陳進生、</w:t>
      </w:r>
      <w:proofErr w:type="gramStart"/>
      <w:r w:rsidR="00B2263E" w:rsidRPr="00796EA9">
        <w:rPr>
          <w:rFonts w:hAnsi="標楷體"/>
        </w:rPr>
        <w:t>桃機公司</w:t>
      </w:r>
      <w:proofErr w:type="gramEnd"/>
      <w:r w:rsidR="00B2263E" w:rsidRPr="00796EA9">
        <w:rPr>
          <w:rFonts w:hAnsi="標楷體"/>
        </w:rPr>
        <w:t>總經理蕭登科</w:t>
      </w:r>
      <w:r w:rsidR="00B2263E" w:rsidRPr="00796EA9">
        <w:rPr>
          <w:rFonts w:hAnsi="標楷體" w:hint="eastAsia"/>
        </w:rPr>
        <w:t>、交通部民用航空局（下稱民航局）副局長方志文等機關人員</w:t>
      </w:r>
      <w:r w:rsidR="00720BAE" w:rsidRPr="00796EA9">
        <w:rPr>
          <w:rFonts w:hAnsi="標楷體" w:hint="eastAsia"/>
        </w:rPr>
        <w:t>。</w:t>
      </w:r>
      <w:proofErr w:type="gramStart"/>
      <w:r w:rsidR="00B84D54" w:rsidRPr="00796EA9">
        <w:rPr>
          <w:rFonts w:hAnsi="標楷體" w:hint="eastAsia"/>
        </w:rPr>
        <w:t>嗣</w:t>
      </w:r>
      <w:proofErr w:type="gramEnd"/>
      <w:r w:rsidR="00720BAE" w:rsidRPr="00796EA9">
        <w:rPr>
          <w:rFonts w:hint="eastAsia"/>
        </w:rPr>
        <w:t>經交通部及桃機公司於本院詢問後補充書面說明及佐證資料到院</w:t>
      </w:r>
      <w:r w:rsidR="002E53D9" w:rsidRPr="00796EA9">
        <w:rPr>
          <w:rFonts w:hint="eastAsia"/>
        </w:rPr>
        <w:t>等卷證</w:t>
      </w:r>
      <w:r w:rsidR="002E53D9" w:rsidRPr="00796EA9">
        <w:rPr>
          <w:rStyle w:val="afe"/>
          <w:rFonts w:hAnsi="標楷體"/>
        </w:rPr>
        <w:footnoteReference w:id="1"/>
      </w:r>
      <w:r w:rsidR="002E53D9" w:rsidRPr="00796EA9">
        <w:rPr>
          <w:rFonts w:hAnsi="標楷體" w:hint="eastAsia"/>
        </w:rPr>
        <w:t>及參考資料，業已</w:t>
      </w:r>
      <w:proofErr w:type="gramStart"/>
      <w:r w:rsidR="002E53D9" w:rsidRPr="00796EA9">
        <w:rPr>
          <w:rFonts w:hAnsi="標楷體" w:hint="eastAsia"/>
        </w:rPr>
        <w:t>調查竣事</w:t>
      </w:r>
      <w:proofErr w:type="gramEnd"/>
      <w:r w:rsidR="002E53D9" w:rsidRPr="00796EA9">
        <w:rPr>
          <w:rFonts w:hAnsi="標楷體" w:hint="eastAsia"/>
        </w:rPr>
        <w:t>。</w:t>
      </w:r>
    </w:p>
    <w:p w:rsidR="002E53D9" w:rsidRPr="00796EA9" w:rsidRDefault="002E53D9" w:rsidP="00236D36">
      <w:pPr>
        <w:pStyle w:val="10"/>
        <w:ind w:left="680" w:firstLine="680"/>
        <w:rPr>
          <w:rFonts w:hAnsi="標楷體"/>
          <w:bCs/>
        </w:rPr>
      </w:pPr>
      <w:r w:rsidRPr="00796EA9">
        <w:rPr>
          <w:rFonts w:hAnsi="標楷體" w:hint="eastAsia"/>
          <w:bCs/>
        </w:rPr>
        <w:t>鑒於桃園機場為我國最主要國際機場，</w:t>
      </w:r>
      <w:r w:rsidR="00D378D6" w:rsidRPr="00796EA9">
        <w:rPr>
          <w:rFonts w:hAnsi="標楷體" w:hint="eastAsia"/>
          <w:bCs/>
        </w:rPr>
        <w:t>於</w:t>
      </w:r>
      <w:r w:rsidR="00D378D6" w:rsidRPr="00796EA9">
        <w:rPr>
          <w:rFonts w:hAnsi="標楷體" w:hint="eastAsia"/>
        </w:rPr>
        <w:t>106年客運量再創新高，達4,487.87萬人次，並已遠超出現有第一及第二航廈設計</w:t>
      </w:r>
      <w:r w:rsidR="00EA616A" w:rsidRPr="00796EA9">
        <w:rPr>
          <w:rFonts w:hAnsi="標楷體" w:hint="eastAsia"/>
        </w:rPr>
        <w:t>之</w:t>
      </w:r>
      <w:r w:rsidR="00D378D6" w:rsidRPr="00796EA9">
        <w:rPr>
          <w:rFonts w:hAnsi="標楷體" w:hint="eastAsia"/>
        </w:rPr>
        <w:t>3,200萬人次</w:t>
      </w:r>
      <w:r w:rsidR="00EA616A" w:rsidRPr="00796EA9">
        <w:rPr>
          <w:rFonts w:hAnsi="標楷體" w:hint="eastAsia"/>
        </w:rPr>
        <w:t>年容量</w:t>
      </w:r>
      <w:r w:rsidR="00D378D6" w:rsidRPr="00796EA9">
        <w:rPr>
          <w:rFonts w:hAnsi="標楷體" w:hint="eastAsia"/>
        </w:rPr>
        <w:t>，且</w:t>
      </w:r>
      <w:r w:rsidR="00EA616A" w:rsidRPr="00796EA9">
        <w:rPr>
          <w:rFonts w:hAnsi="標楷體" w:hint="eastAsia"/>
        </w:rPr>
        <w:t>仍</w:t>
      </w:r>
      <w:r w:rsidR="00D378D6" w:rsidRPr="00796EA9">
        <w:rPr>
          <w:rFonts w:hAnsi="標楷體" w:hint="eastAsia"/>
        </w:rPr>
        <w:t>呈逐年成長趨勢，而預估於119年時旅客人數將達5,890萬人次，起降架次達46.7萬次，貨運量達448萬噸，客運量年均成長率約為4.9％，航機起降架次年均成長率5.9％，貨運量年均成長率5.9％</w:t>
      </w:r>
      <w:r w:rsidR="00D378D6" w:rsidRPr="00796EA9">
        <w:rPr>
          <w:rStyle w:val="afe"/>
          <w:rFonts w:hAnsi="標楷體"/>
        </w:rPr>
        <w:footnoteReference w:id="2"/>
      </w:r>
      <w:r w:rsidR="00D378D6" w:rsidRPr="00796EA9">
        <w:rPr>
          <w:rFonts w:hAnsi="標楷體" w:hint="eastAsia"/>
        </w:rPr>
        <w:t>，並推估119年之旅客</w:t>
      </w:r>
      <w:proofErr w:type="gramStart"/>
      <w:r w:rsidR="00D378D6" w:rsidRPr="00796EA9">
        <w:rPr>
          <w:rFonts w:hAnsi="標楷體" w:hint="eastAsia"/>
        </w:rPr>
        <w:t>航廈所需</w:t>
      </w:r>
      <w:proofErr w:type="gramEnd"/>
      <w:r w:rsidR="00D378D6" w:rsidRPr="00796EA9">
        <w:rPr>
          <w:rFonts w:hAnsi="標楷體" w:hint="eastAsia"/>
        </w:rPr>
        <w:t>總樓地板面積為91萬平方公尺</w:t>
      </w:r>
      <w:r w:rsidR="00052E31" w:rsidRPr="00796EA9">
        <w:rPr>
          <w:rFonts w:hAnsi="標楷體" w:hint="eastAsia"/>
        </w:rPr>
        <w:t>。</w:t>
      </w:r>
      <w:r w:rsidR="00052E31" w:rsidRPr="00796EA9">
        <w:rPr>
          <w:rFonts w:hint="eastAsia"/>
        </w:rPr>
        <w:t>為容納持續成長之運量與提升桃園機場服務水準，所規劃</w:t>
      </w:r>
      <w:r w:rsidR="00D378D6" w:rsidRPr="00796EA9">
        <w:rPr>
          <w:rFonts w:hAnsi="標楷體" w:hint="eastAsia"/>
        </w:rPr>
        <w:t>第三</w:t>
      </w:r>
      <w:proofErr w:type="gramStart"/>
      <w:r w:rsidR="00D378D6" w:rsidRPr="00796EA9">
        <w:rPr>
          <w:rFonts w:hAnsi="標楷體" w:hint="eastAsia"/>
        </w:rPr>
        <w:t>航廈</w:t>
      </w:r>
      <w:r w:rsidR="00052E31" w:rsidRPr="00796EA9">
        <w:rPr>
          <w:rFonts w:hAnsi="標楷體" w:hint="eastAsia"/>
        </w:rPr>
        <w:t>如</w:t>
      </w:r>
      <w:r w:rsidR="00D378D6" w:rsidRPr="00796EA9">
        <w:rPr>
          <w:rFonts w:hAnsi="標楷體" w:hint="eastAsia"/>
        </w:rPr>
        <w:t>建設</w:t>
      </w:r>
      <w:proofErr w:type="gramEnd"/>
      <w:r w:rsidR="00D378D6" w:rsidRPr="00796EA9">
        <w:rPr>
          <w:rFonts w:hAnsi="標楷體" w:hint="eastAsia"/>
        </w:rPr>
        <w:t>完成後，將可增加樓地板面積至少約59.2萬平方公尺與旅客容量4,300萬人次，三座</w:t>
      </w:r>
      <w:proofErr w:type="gramStart"/>
      <w:r w:rsidR="00D378D6" w:rsidRPr="00796EA9">
        <w:rPr>
          <w:rFonts w:hAnsi="標楷體" w:hint="eastAsia"/>
        </w:rPr>
        <w:t>航廈總年</w:t>
      </w:r>
      <w:proofErr w:type="gramEnd"/>
      <w:r w:rsidR="00D378D6" w:rsidRPr="00796EA9">
        <w:rPr>
          <w:rFonts w:hAnsi="標楷體" w:hint="eastAsia"/>
        </w:rPr>
        <w:t>容量將可擴增至7,500萬人次</w:t>
      </w:r>
      <w:r w:rsidR="00D378D6" w:rsidRPr="00796EA9">
        <w:rPr>
          <w:rStyle w:val="afe"/>
          <w:rFonts w:hAnsi="標楷體"/>
        </w:rPr>
        <w:footnoteReference w:id="3"/>
      </w:r>
      <w:r w:rsidR="00052E31" w:rsidRPr="00796EA9">
        <w:rPr>
          <w:rFonts w:hAnsi="標楷體" w:hint="eastAsia"/>
        </w:rPr>
        <w:t>，並陸續辦理</w:t>
      </w:r>
      <w:r w:rsidR="00052E31" w:rsidRPr="00796EA9">
        <w:rPr>
          <w:rFonts w:hAnsi="標楷體"/>
          <w:bCs/>
          <w:szCs w:val="32"/>
        </w:rPr>
        <w:t>第三跑道、</w:t>
      </w:r>
      <w:proofErr w:type="gramStart"/>
      <w:r w:rsidR="00052E31" w:rsidRPr="00796EA9">
        <w:rPr>
          <w:rFonts w:hAnsi="標楷體"/>
          <w:bCs/>
          <w:szCs w:val="32"/>
        </w:rPr>
        <w:t>衛星廊廳等</w:t>
      </w:r>
      <w:proofErr w:type="gramEnd"/>
      <w:r w:rsidR="00052E31" w:rsidRPr="00796EA9">
        <w:rPr>
          <w:rFonts w:hAnsi="標楷體"/>
          <w:bCs/>
          <w:szCs w:val="32"/>
        </w:rPr>
        <w:t>重大興建計畫</w:t>
      </w:r>
      <w:r w:rsidR="00D378D6" w:rsidRPr="00796EA9">
        <w:rPr>
          <w:rFonts w:hAnsi="標楷體" w:hint="eastAsia"/>
        </w:rPr>
        <w:t>。桃園機場</w:t>
      </w:r>
      <w:r w:rsidR="00D3552E" w:rsidRPr="00796EA9">
        <w:rPr>
          <w:rFonts w:hAnsi="標楷體" w:hint="eastAsia"/>
        </w:rPr>
        <w:t>所</w:t>
      </w:r>
      <w:r w:rsidR="008617F6" w:rsidRPr="00796EA9">
        <w:rPr>
          <w:rFonts w:hAnsi="標楷體" w:hint="eastAsia"/>
        </w:rPr>
        <w:t>進行</w:t>
      </w:r>
      <w:r w:rsidR="008617F6" w:rsidRPr="00796EA9">
        <w:rPr>
          <w:rFonts w:hint="eastAsia"/>
        </w:rPr>
        <w:t>諸多重大建設，</w:t>
      </w:r>
      <w:r w:rsidR="00D3552E" w:rsidRPr="00796EA9">
        <w:rPr>
          <w:rFonts w:hint="eastAsia"/>
        </w:rPr>
        <w:t>於</w:t>
      </w:r>
      <w:r w:rsidR="00D3552E" w:rsidRPr="00796EA9">
        <w:rPr>
          <w:rFonts w:hAnsi="標楷體"/>
        </w:rPr>
        <w:t>第三跑道及</w:t>
      </w:r>
      <w:proofErr w:type="gramStart"/>
      <w:r w:rsidR="00D3552E" w:rsidRPr="00796EA9">
        <w:rPr>
          <w:rFonts w:hAnsi="標楷體"/>
        </w:rPr>
        <w:t>衛星廊廳完成</w:t>
      </w:r>
      <w:proofErr w:type="gramEnd"/>
      <w:r w:rsidR="00D3552E" w:rsidRPr="00796EA9">
        <w:rPr>
          <w:rFonts w:hAnsi="標楷體" w:hint="eastAsia"/>
        </w:rPr>
        <w:t>後</w:t>
      </w:r>
      <w:r w:rsidR="00D3552E" w:rsidRPr="00796EA9">
        <w:rPr>
          <w:rFonts w:hAnsi="標楷體"/>
        </w:rPr>
        <w:t>資金缺口</w:t>
      </w:r>
      <w:r w:rsidR="00D3552E" w:rsidRPr="00796EA9">
        <w:rPr>
          <w:rFonts w:hint="eastAsia"/>
        </w:rPr>
        <w:t>將</w:t>
      </w:r>
      <w:r w:rsidR="00CC752C" w:rsidRPr="00796EA9">
        <w:rPr>
          <w:rFonts w:hint="eastAsia"/>
        </w:rPr>
        <w:t>高達1,600億元</w:t>
      </w:r>
      <w:r w:rsidR="00D378D6" w:rsidRPr="00796EA9">
        <w:rPr>
          <w:rFonts w:hint="eastAsia"/>
        </w:rPr>
        <w:t>，為</w:t>
      </w:r>
      <w:proofErr w:type="gramStart"/>
      <w:r w:rsidR="00D378D6" w:rsidRPr="00796EA9">
        <w:rPr>
          <w:rFonts w:hint="eastAsia"/>
        </w:rPr>
        <w:t>確保桃機公司</w:t>
      </w:r>
      <w:proofErr w:type="gramEnd"/>
      <w:r w:rsidR="00D378D6" w:rsidRPr="00796EA9">
        <w:rPr>
          <w:rFonts w:hint="eastAsia"/>
        </w:rPr>
        <w:t>建設資金如期到位，以</w:t>
      </w:r>
      <w:r w:rsidR="008617F6" w:rsidRPr="00796EA9">
        <w:rPr>
          <w:rFonts w:hint="eastAsia"/>
        </w:rPr>
        <w:t>如期如質完成各項重大建設，茲</w:t>
      </w:r>
      <w:proofErr w:type="gramStart"/>
      <w:r w:rsidR="00D378D6" w:rsidRPr="00796EA9">
        <w:rPr>
          <w:rFonts w:hint="eastAsia"/>
        </w:rPr>
        <w:t>臚</w:t>
      </w:r>
      <w:proofErr w:type="gramEnd"/>
      <w:r w:rsidR="00D378D6" w:rsidRPr="00796EA9">
        <w:rPr>
          <w:rFonts w:hint="eastAsia"/>
        </w:rPr>
        <w:t>列調查意見如下：</w:t>
      </w:r>
    </w:p>
    <w:p w:rsidR="00D378D6" w:rsidRPr="00796EA9" w:rsidRDefault="00D378D6" w:rsidP="00236D36">
      <w:pPr>
        <w:pStyle w:val="10"/>
        <w:ind w:left="680" w:firstLine="680"/>
        <w:rPr>
          <w:rFonts w:hAnsi="標楷體"/>
        </w:rPr>
      </w:pPr>
    </w:p>
    <w:p w:rsidR="00CC752C" w:rsidRPr="00796EA9" w:rsidRDefault="00CC752C" w:rsidP="002E53D9">
      <w:pPr>
        <w:pStyle w:val="2"/>
        <w:numPr>
          <w:ilvl w:val="1"/>
          <w:numId w:val="1"/>
        </w:numPr>
        <w:rPr>
          <w:rFonts w:hAnsi="標楷體"/>
          <w:b/>
          <w:spacing w:val="10"/>
          <w:szCs w:val="32"/>
        </w:rPr>
      </w:pPr>
      <w:r w:rsidRPr="00796EA9">
        <w:rPr>
          <w:rFonts w:hAnsi="標楷體"/>
          <w:b/>
        </w:rPr>
        <w:lastRenderedPageBreak/>
        <w:t>桃園機場</w:t>
      </w:r>
      <w:r w:rsidRPr="00796EA9">
        <w:rPr>
          <w:rFonts w:hAnsi="標楷體" w:hint="eastAsia"/>
          <w:b/>
        </w:rPr>
        <w:t>因</w:t>
      </w:r>
      <w:r w:rsidR="00EA616A" w:rsidRPr="00796EA9">
        <w:rPr>
          <w:rFonts w:hAnsi="標楷體" w:hint="eastAsia"/>
          <w:b/>
        </w:rPr>
        <w:t>同時進行</w:t>
      </w:r>
      <w:r w:rsidRPr="00796EA9">
        <w:rPr>
          <w:rFonts w:hAnsi="標楷體" w:hint="eastAsia"/>
          <w:b/>
        </w:rPr>
        <w:t>多項重大建設開發</w:t>
      </w:r>
      <w:r w:rsidR="00EA616A" w:rsidRPr="00796EA9">
        <w:rPr>
          <w:rStyle w:val="afe"/>
          <w:rFonts w:hAnsi="標楷體"/>
          <w:b/>
        </w:rPr>
        <w:footnoteReference w:id="4"/>
      </w:r>
      <w:r w:rsidRPr="00796EA9">
        <w:rPr>
          <w:rFonts w:hAnsi="標楷體" w:hint="eastAsia"/>
          <w:b/>
        </w:rPr>
        <w:t>致資金需求龐鉅，</w:t>
      </w:r>
      <w:r w:rsidRPr="00796EA9">
        <w:rPr>
          <w:rFonts w:hAnsi="標楷體"/>
          <w:b/>
        </w:rPr>
        <w:t>預估</w:t>
      </w:r>
      <w:r w:rsidRPr="00796EA9">
        <w:rPr>
          <w:rFonts w:hAnsi="標楷體" w:hint="eastAsia"/>
          <w:b/>
        </w:rPr>
        <w:t>將自1</w:t>
      </w:r>
      <w:r w:rsidRPr="00796EA9">
        <w:rPr>
          <w:rFonts w:hAnsi="標楷體"/>
          <w:b/>
        </w:rPr>
        <w:t>08</w:t>
      </w:r>
      <w:r w:rsidRPr="00796EA9">
        <w:rPr>
          <w:rFonts w:hAnsi="標楷體" w:hint="eastAsia"/>
          <w:b/>
        </w:rPr>
        <w:t>年始</w:t>
      </w:r>
      <w:r w:rsidRPr="00796EA9">
        <w:rPr>
          <w:rFonts w:hAnsi="標楷體"/>
          <w:b/>
        </w:rPr>
        <w:t>出現資金缺口，</w:t>
      </w:r>
      <w:r w:rsidRPr="00796EA9">
        <w:rPr>
          <w:rFonts w:hAnsi="標楷體" w:hint="eastAsia"/>
          <w:b/>
        </w:rPr>
        <w:t>至</w:t>
      </w:r>
      <w:r w:rsidRPr="00796EA9">
        <w:rPr>
          <w:rFonts w:hAnsi="標楷體"/>
          <w:b/>
        </w:rPr>
        <w:t>第三跑道及</w:t>
      </w:r>
      <w:proofErr w:type="gramStart"/>
      <w:r w:rsidRPr="00796EA9">
        <w:rPr>
          <w:rFonts w:hAnsi="標楷體"/>
          <w:b/>
        </w:rPr>
        <w:t>衛星廊廳完成</w:t>
      </w:r>
      <w:proofErr w:type="gramEnd"/>
      <w:r w:rsidRPr="00796EA9">
        <w:rPr>
          <w:rFonts w:hAnsi="標楷體" w:hint="eastAsia"/>
          <w:b/>
        </w:rPr>
        <w:t>後</w:t>
      </w:r>
      <w:r w:rsidRPr="00796EA9">
        <w:rPr>
          <w:rFonts w:hAnsi="標楷體"/>
          <w:b/>
        </w:rPr>
        <w:t>資金缺口</w:t>
      </w:r>
      <w:r w:rsidR="008617F6" w:rsidRPr="00796EA9">
        <w:rPr>
          <w:rFonts w:hAnsi="標楷體" w:hint="eastAsia"/>
          <w:b/>
        </w:rPr>
        <w:t>高達</w:t>
      </w:r>
      <w:r w:rsidRPr="00796EA9">
        <w:rPr>
          <w:rFonts w:hAnsi="標楷體"/>
          <w:b/>
        </w:rPr>
        <w:t>1,600億元</w:t>
      </w:r>
      <w:r w:rsidRPr="00796EA9">
        <w:rPr>
          <w:rFonts w:hAnsi="標楷體" w:hint="eastAsia"/>
          <w:b/>
        </w:rPr>
        <w:t>，</w:t>
      </w:r>
      <w:r w:rsidR="008617F6" w:rsidRPr="00796EA9">
        <w:rPr>
          <w:rFonts w:hAnsi="標楷體" w:hint="eastAsia"/>
          <w:b/>
        </w:rPr>
        <w:t>且</w:t>
      </w:r>
      <w:r w:rsidR="00EA616A" w:rsidRPr="00796EA9">
        <w:rPr>
          <w:rFonts w:hAnsi="標楷體" w:hint="eastAsia"/>
          <w:b/>
        </w:rPr>
        <w:t>因</w:t>
      </w:r>
      <w:r w:rsidRPr="00796EA9">
        <w:rPr>
          <w:rFonts w:hAnsi="標楷體" w:hint="eastAsia"/>
          <w:b/>
        </w:rPr>
        <w:t>工程延宕</w:t>
      </w:r>
      <w:r w:rsidR="008617F6" w:rsidRPr="00796EA9">
        <w:rPr>
          <w:rFonts w:hAnsi="標楷體" w:hint="eastAsia"/>
          <w:b/>
        </w:rPr>
        <w:t>衍生</w:t>
      </w:r>
      <w:r w:rsidRPr="00796EA9">
        <w:rPr>
          <w:rFonts w:hAnsi="標楷體" w:hint="eastAsia"/>
          <w:b/>
        </w:rPr>
        <w:t>經費追加</w:t>
      </w:r>
      <w:r w:rsidR="008617F6" w:rsidRPr="00796EA9">
        <w:rPr>
          <w:rFonts w:hAnsi="標楷體" w:hint="eastAsia"/>
          <w:b/>
        </w:rPr>
        <w:t>情形。</w:t>
      </w:r>
      <w:proofErr w:type="gramStart"/>
      <w:r w:rsidR="008617F6" w:rsidRPr="00796EA9">
        <w:rPr>
          <w:rFonts w:hAnsi="標楷體" w:hint="eastAsia"/>
          <w:b/>
        </w:rPr>
        <w:t>然</w:t>
      </w:r>
      <w:r w:rsidR="008617F6" w:rsidRPr="00796EA9">
        <w:rPr>
          <w:rFonts w:hAnsi="標楷體" w:hint="eastAsia"/>
          <w:b/>
          <w:spacing w:val="10"/>
          <w:szCs w:val="32"/>
        </w:rPr>
        <w:t>桃機</w:t>
      </w:r>
      <w:proofErr w:type="gramEnd"/>
      <w:r w:rsidR="008617F6" w:rsidRPr="00796EA9">
        <w:rPr>
          <w:rFonts w:hAnsi="標楷體" w:hint="eastAsia"/>
          <w:b/>
          <w:spacing w:val="10"/>
          <w:szCs w:val="32"/>
        </w:rPr>
        <w:t>公司於現行法規</w:t>
      </w:r>
      <w:r w:rsidR="00EA616A" w:rsidRPr="00796EA9">
        <w:rPr>
          <w:rFonts w:hAnsi="標楷體" w:hint="eastAsia"/>
          <w:b/>
          <w:spacing w:val="10"/>
          <w:szCs w:val="32"/>
        </w:rPr>
        <w:t>下</w:t>
      </w:r>
      <w:r w:rsidR="006D53A0" w:rsidRPr="00796EA9">
        <w:rPr>
          <w:rFonts w:hAnsi="標楷體" w:hint="eastAsia"/>
          <w:b/>
          <w:spacing w:val="10"/>
          <w:szCs w:val="32"/>
        </w:rPr>
        <w:t>，</w:t>
      </w:r>
      <w:r w:rsidR="00EA616A" w:rsidRPr="00796EA9">
        <w:rPr>
          <w:rFonts w:hAnsi="標楷體" w:hint="eastAsia"/>
          <w:b/>
          <w:spacing w:val="10"/>
          <w:szCs w:val="32"/>
        </w:rPr>
        <w:t>屬</w:t>
      </w:r>
      <w:r w:rsidR="008617F6" w:rsidRPr="00796EA9">
        <w:rPr>
          <w:rFonts w:hAnsi="標楷體"/>
          <w:b/>
          <w:spacing w:val="10"/>
          <w:szCs w:val="32"/>
        </w:rPr>
        <w:t>政府獨資</w:t>
      </w:r>
      <w:r w:rsidR="008617F6" w:rsidRPr="00796EA9">
        <w:rPr>
          <w:rFonts w:hAnsi="標楷體" w:hint="eastAsia"/>
          <w:b/>
          <w:spacing w:val="10"/>
          <w:szCs w:val="32"/>
        </w:rPr>
        <w:t>且特定盈餘</w:t>
      </w:r>
      <w:r w:rsidR="008617F6" w:rsidRPr="00796EA9">
        <w:rPr>
          <w:rFonts w:hAnsi="標楷體"/>
          <w:b/>
          <w:spacing w:val="10"/>
          <w:szCs w:val="32"/>
        </w:rPr>
        <w:t>分配機制</w:t>
      </w:r>
      <w:r w:rsidR="008617F6" w:rsidRPr="00796EA9">
        <w:rPr>
          <w:rFonts w:hAnsi="標楷體" w:hint="eastAsia"/>
          <w:b/>
          <w:spacing w:val="10"/>
          <w:szCs w:val="32"/>
        </w:rPr>
        <w:t>，且主要收入之</w:t>
      </w:r>
      <w:proofErr w:type="gramStart"/>
      <w:r w:rsidR="008617F6" w:rsidRPr="00796EA9">
        <w:rPr>
          <w:rFonts w:hAnsi="標楷體" w:hint="eastAsia"/>
          <w:b/>
          <w:spacing w:val="10"/>
          <w:szCs w:val="32"/>
        </w:rPr>
        <w:t>一</w:t>
      </w:r>
      <w:proofErr w:type="gramEnd"/>
      <w:r w:rsidR="008617F6" w:rsidRPr="00796EA9">
        <w:rPr>
          <w:rFonts w:hAnsi="標楷體" w:hint="eastAsia"/>
          <w:b/>
          <w:spacing w:val="10"/>
          <w:szCs w:val="32"/>
        </w:rPr>
        <w:t>的</w:t>
      </w:r>
      <w:r w:rsidR="008617F6" w:rsidRPr="00796EA9">
        <w:rPr>
          <w:rFonts w:hAnsi="標楷體"/>
          <w:b/>
          <w:spacing w:val="10"/>
          <w:szCs w:val="32"/>
        </w:rPr>
        <w:t>機場服務費</w:t>
      </w:r>
      <w:r w:rsidR="008617F6" w:rsidRPr="00796EA9">
        <w:rPr>
          <w:rFonts w:hAnsi="標楷體" w:hint="eastAsia"/>
          <w:b/>
          <w:spacing w:val="10"/>
          <w:szCs w:val="32"/>
        </w:rPr>
        <w:t>分配及土地租金費率亦有法規明定，籌資管道及開源節流措施皆受限制。</w:t>
      </w:r>
      <w:r w:rsidRPr="00796EA9">
        <w:rPr>
          <w:rFonts w:hAnsi="標楷體" w:hint="eastAsia"/>
          <w:b/>
        </w:rPr>
        <w:t>交通部及桃機公司實應未雨綢繆，及早規劃因應</w:t>
      </w:r>
      <w:r w:rsidR="008617F6" w:rsidRPr="00796EA9">
        <w:rPr>
          <w:rFonts w:hAnsi="標楷體" w:hint="eastAsia"/>
          <w:b/>
        </w:rPr>
        <w:t>，並</w:t>
      </w:r>
      <w:r w:rsidR="008617F6" w:rsidRPr="00796EA9">
        <w:rPr>
          <w:rFonts w:hAnsi="標楷體" w:hint="eastAsia"/>
          <w:b/>
          <w:spacing w:val="10"/>
          <w:szCs w:val="32"/>
        </w:rPr>
        <w:t>檢視</w:t>
      </w:r>
      <w:proofErr w:type="gramStart"/>
      <w:r w:rsidR="008617F6" w:rsidRPr="00796EA9">
        <w:rPr>
          <w:rFonts w:hAnsi="標楷體" w:hint="eastAsia"/>
          <w:b/>
          <w:spacing w:val="10"/>
          <w:szCs w:val="32"/>
        </w:rPr>
        <w:t>研</w:t>
      </w:r>
      <w:proofErr w:type="gramEnd"/>
      <w:r w:rsidR="008617F6" w:rsidRPr="00796EA9">
        <w:rPr>
          <w:rFonts w:hAnsi="標楷體" w:hint="eastAsia"/>
          <w:b/>
          <w:spacing w:val="10"/>
          <w:szCs w:val="32"/>
        </w:rPr>
        <w:t>修相關法令之必要性</w:t>
      </w:r>
      <w:r w:rsidRPr="00796EA9">
        <w:rPr>
          <w:rFonts w:hAnsi="標楷體" w:hint="eastAsia"/>
          <w:b/>
        </w:rPr>
        <w:t>，</w:t>
      </w:r>
      <w:r w:rsidR="008617F6" w:rsidRPr="00796EA9">
        <w:rPr>
          <w:rFonts w:hAnsi="標楷體" w:hint="eastAsia"/>
          <w:b/>
        </w:rPr>
        <w:t>以</w:t>
      </w:r>
      <w:r w:rsidRPr="00796EA9">
        <w:rPr>
          <w:rFonts w:hAnsi="標楷體" w:hint="eastAsia"/>
          <w:b/>
        </w:rPr>
        <w:t>確保長期財務健全，</w:t>
      </w:r>
      <w:proofErr w:type="gramStart"/>
      <w:r w:rsidRPr="00796EA9">
        <w:rPr>
          <w:rFonts w:hAnsi="標楷體" w:hint="eastAsia"/>
          <w:b/>
        </w:rPr>
        <w:t>俾利永</w:t>
      </w:r>
      <w:proofErr w:type="gramEnd"/>
      <w:r w:rsidRPr="00796EA9">
        <w:rPr>
          <w:rFonts w:hAnsi="標楷體" w:hint="eastAsia"/>
          <w:b/>
        </w:rPr>
        <w:t>續發展。</w:t>
      </w:r>
    </w:p>
    <w:p w:rsidR="00EA616A" w:rsidRPr="00796EA9" w:rsidRDefault="00EA616A" w:rsidP="002E53D9">
      <w:pPr>
        <w:pStyle w:val="3"/>
        <w:numPr>
          <w:ilvl w:val="2"/>
          <w:numId w:val="1"/>
        </w:numPr>
        <w:rPr>
          <w:rFonts w:hAnsi="標楷體"/>
        </w:rPr>
      </w:pPr>
      <w:proofErr w:type="gramStart"/>
      <w:r w:rsidRPr="00796EA9">
        <w:rPr>
          <w:rFonts w:hAnsi="標楷體" w:hint="eastAsia"/>
        </w:rPr>
        <w:t>桃機公司</w:t>
      </w:r>
      <w:proofErr w:type="gramEnd"/>
      <w:r w:rsidRPr="00796EA9">
        <w:rPr>
          <w:rFonts w:hAnsi="標楷體" w:hint="eastAsia"/>
        </w:rPr>
        <w:t>目前共有</w:t>
      </w:r>
      <w:r w:rsidR="003146A9" w:rsidRPr="00796EA9">
        <w:rPr>
          <w:rFonts w:hAnsi="標楷體" w:hint="eastAsia"/>
        </w:rPr>
        <w:t>4</w:t>
      </w:r>
      <w:r w:rsidRPr="00796EA9">
        <w:rPr>
          <w:rFonts w:hAnsi="標楷體" w:hint="eastAsia"/>
        </w:rPr>
        <w:t>項重大建設正進行同步開發，所需總經費計</w:t>
      </w:r>
      <w:r w:rsidR="003146A9" w:rsidRPr="00796EA9">
        <w:rPr>
          <w:rFonts w:hAnsi="標楷體" w:hint="eastAsia"/>
        </w:rPr>
        <w:t>836.3億</w:t>
      </w:r>
      <w:r w:rsidRPr="00796EA9">
        <w:rPr>
          <w:rFonts w:hAnsi="標楷體" w:hint="eastAsia"/>
        </w:rPr>
        <w:t>元，且開工以來，部分工程因招標</w:t>
      </w:r>
      <w:r w:rsidR="00126FDF" w:rsidRPr="00796EA9">
        <w:rPr>
          <w:rFonts w:hAnsi="標楷體" w:hint="eastAsia"/>
        </w:rPr>
        <w:t>或施工</w:t>
      </w:r>
      <w:r w:rsidRPr="00796EA9">
        <w:rPr>
          <w:rFonts w:hAnsi="標楷體" w:hint="eastAsia"/>
        </w:rPr>
        <w:t>不順利</w:t>
      </w:r>
      <w:r w:rsidR="00126FDF" w:rsidRPr="00796EA9">
        <w:rPr>
          <w:rFonts w:hAnsi="標楷體" w:hint="eastAsia"/>
        </w:rPr>
        <w:t>，致</w:t>
      </w:r>
      <w:r w:rsidRPr="00796EA9">
        <w:rPr>
          <w:rFonts w:hAnsi="標楷體" w:hint="eastAsia"/>
        </w:rPr>
        <w:t>進度延宕</w:t>
      </w:r>
      <w:r w:rsidR="00126FDF" w:rsidRPr="00796EA9">
        <w:rPr>
          <w:rFonts w:hAnsi="標楷體" w:hint="eastAsia"/>
        </w:rPr>
        <w:t>或</w:t>
      </w:r>
      <w:r w:rsidRPr="00796EA9">
        <w:rPr>
          <w:rFonts w:hAnsi="標楷體" w:hint="eastAsia"/>
        </w:rPr>
        <w:t>增</w:t>
      </w:r>
      <w:r w:rsidR="00126FDF" w:rsidRPr="00796EA9">
        <w:rPr>
          <w:rFonts w:hAnsi="標楷體" w:hint="eastAsia"/>
        </w:rPr>
        <w:t>加</w:t>
      </w:r>
      <w:r w:rsidRPr="00796EA9">
        <w:rPr>
          <w:rFonts w:hAnsi="標楷體" w:hint="eastAsia"/>
        </w:rPr>
        <w:t>經費支出（詳如表</w:t>
      </w:r>
      <w:r w:rsidR="004459DC">
        <w:rPr>
          <w:rFonts w:hAnsi="標楷體" w:hint="eastAsia"/>
        </w:rPr>
        <w:t>1</w:t>
      </w:r>
      <w:r w:rsidRPr="00796EA9">
        <w:rPr>
          <w:rFonts w:hAnsi="標楷體" w:hint="eastAsia"/>
        </w:rPr>
        <w:t>）。</w:t>
      </w:r>
      <w:r w:rsidR="00703AB8" w:rsidRPr="00796EA9">
        <w:rPr>
          <w:rFonts w:hAnsi="標楷體"/>
        </w:rPr>
        <w:t>行政院</w:t>
      </w:r>
      <w:r w:rsidR="00703AB8" w:rsidRPr="00796EA9">
        <w:rPr>
          <w:rFonts w:hAnsi="標楷體" w:hint="eastAsia"/>
        </w:rPr>
        <w:t>於</w:t>
      </w:r>
      <w:r w:rsidR="00703AB8" w:rsidRPr="00796EA9">
        <w:rPr>
          <w:rFonts w:hAnsi="標楷體"/>
        </w:rPr>
        <w:t>100年核定</w:t>
      </w:r>
      <w:r w:rsidR="00703AB8" w:rsidRPr="00796EA9">
        <w:rPr>
          <w:rFonts w:hAnsi="標楷體" w:hint="eastAsia"/>
        </w:rPr>
        <w:t>「臺灣桃園國際機場園區</w:t>
      </w:r>
      <w:r w:rsidR="00703AB8" w:rsidRPr="00796EA9">
        <w:rPr>
          <w:rFonts w:hAnsi="標楷體"/>
        </w:rPr>
        <w:t>綱要計畫</w:t>
      </w:r>
      <w:r w:rsidR="00703AB8" w:rsidRPr="00796EA9">
        <w:rPr>
          <w:rFonts w:hAnsi="標楷體" w:hint="eastAsia"/>
        </w:rPr>
        <w:t>」</w:t>
      </w:r>
      <w:r w:rsidR="00703AB8" w:rsidRPr="00796EA9">
        <w:rPr>
          <w:rFonts w:hAnsi="標楷體"/>
        </w:rPr>
        <w:t>，規劃桃園機場擴建總經費計2,940億元，</w:t>
      </w:r>
      <w:proofErr w:type="gramStart"/>
      <w:r w:rsidR="00703AB8" w:rsidRPr="00796EA9">
        <w:rPr>
          <w:rFonts w:hAnsi="標楷體"/>
        </w:rPr>
        <w:t>其中桃機</w:t>
      </w:r>
      <w:proofErr w:type="gramEnd"/>
      <w:r w:rsidR="00703AB8" w:rsidRPr="00796EA9">
        <w:rPr>
          <w:rFonts w:hAnsi="標楷體"/>
        </w:rPr>
        <w:t>公司辦理第三航廈及第</w:t>
      </w:r>
      <w:proofErr w:type="gramStart"/>
      <w:r w:rsidR="00703AB8" w:rsidRPr="00796EA9">
        <w:rPr>
          <w:rFonts w:hAnsi="標楷體"/>
        </w:rPr>
        <w:t>三</w:t>
      </w:r>
      <w:proofErr w:type="gramEnd"/>
      <w:r w:rsidR="00703AB8" w:rsidRPr="00796EA9">
        <w:rPr>
          <w:rFonts w:hAnsi="標楷體"/>
        </w:rPr>
        <w:t>跑道等相關建設，</w:t>
      </w:r>
      <w:r w:rsidR="00703AB8" w:rsidRPr="00796EA9">
        <w:rPr>
          <w:rFonts w:hAnsi="標楷體" w:hint="eastAsia"/>
        </w:rPr>
        <w:t>約</w:t>
      </w:r>
      <w:r w:rsidR="00703AB8" w:rsidRPr="00796EA9">
        <w:rPr>
          <w:rFonts w:hAnsi="標楷體"/>
        </w:rPr>
        <w:t>負擔經費1,735億元；</w:t>
      </w:r>
      <w:r w:rsidR="00703AB8" w:rsidRPr="00796EA9">
        <w:rPr>
          <w:rFonts w:hAnsi="標楷體" w:hint="eastAsia"/>
        </w:rPr>
        <w:t>「民航事業作業基金」</w:t>
      </w:r>
      <w:r w:rsidR="00703AB8" w:rsidRPr="00796EA9">
        <w:rPr>
          <w:rFonts w:hAnsi="標楷體"/>
        </w:rPr>
        <w:t>辦理機場園區擴建用地取得及</w:t>
      </w:r>
      <w:proofErr w:type="gramStart"/>
      <w:r w:rsidR="00703AB8" w:rsidRPr="00796EA9">
        <w:rPr>
          <w:rFonts w:hAnsi="標楷體"/>
        </w:rPr>
        <w:t>航管塔台</w:t>
      </w:r>
      <w:proofErr w:type="gramEnd"/>
      <w:r w:rsidR="00703AB8" w:rsidRPr="00796EA9">
        <w:rPr>
          <w:rFonts w:hAnsi="標楷體"/>
        </w:rPr>
        <w:t>工程，負擔經費</w:t>
      </w:r>
      <w:r w:rsidR="00703AB8" w:rsidRPr="00796EA9">
        <w:rPr>
          <w:rFonts w:hAnsi="標楷體" w:hint="eastAsia"/>
        </w:rPr>
        <w:t>約</w:t>
      </w:r>
      <w:r w:rsidR="00703AB8" w:rsidRPr="00796EA9">
        <w:rPr>
          <w:rFonts w:hAnsi="標楷體"/>
        </w:rPr>
        <w:t>611億元；</w:t>
      </w:r>
      <w:r w:rsidR="00703AB8" w:rsidRPr="00796EA9">
        <w:rPr>
          <w:rFonts w:hAnsi="標楷體" w:hint="eastAsia"/>
        </w:rPr>
        <w:t>「</w:t>
      </w:r>
      <w:r w:rsidR="00703AB8" w:rsidRPr="00796EA9">
        <w:rPr>
          <w:rFonts w:hint="eastAsia"/>
        </w:rPr>
        <w:t>國道公路建設管理基金</w:t>
      </w:r>
      <w:r w:rsidR="00703AB8" w:rsidRPr="00796EA9">
        <w:rPr>
          <w:rFonts w:hAnsi="標楷體" w:hint="eastAsia"/>
        </w:rPr>
        <w:t>」</w:t>
      </w:r>
      <w:r w:rsidR="00703AB8" w:rsidRPr="00796EA9">
        <w:rPr>
          <w:rFonts w:hAnsi="標楷體"/>
        </w:rPr>
        <w:t>辦理機場園區聯外道路建設，負擔經費211億元；民間參與辦理貨運站、自由貿易港區等建設，負擔經費383億元。</w:t>
      </w:r>
      <w:proofErr w:type="gramStart"/>
      <w:r w:rsidR="00703AB8" w:rsidRPr="00796EA9">
        <w:rPr>
          <w:rFonts w:hAnsi="標楷體"/>
        </w:rPr>
        <w:t>有關桃機公司</w:t>
      </w:r>
      <w:proofErr w:type="gramEnd"/>
      <w:r w:rsidR="00703AB8" w:rsidRPr="00796EA9">
        <w:rPr>
          <w:rFonts w:hAnsi="標楷體"/>
        </w:rPr>
        <w:t>辦理建設之經費來源，</w:t>
      </w:r>
      <w:r w:rsidR="00703AB8" w:rsidRPr="00796EA9">
        <w:rPr>
          <w:rFonts w:hAnsi="標楷體" w:hint="eastAsia"/>
        </w:rPr>
        <w:t>上揭</w:t>
      </w:r>
      <w:r w:rsidR="00703AB8" w:rsidRPr="00796EA9">
        <w:rPr>
          <w:rFonts w:hAnsi="標楷體"/>
        </w:rPr>
        <w:t>綱要計畫建議政府增資420億元，其餘</w:t>
      </w:r>
      <w:proofErr w:type="gramStart"/>
      <w:r w:rsidR="00703AB8" w:rsidRPr="00796EA9">
        <w:rPr>
          <w:rFonts w:hAnsi="標楷體"/>
        </w:rPr>
        <w:t>由桃機公司</w:t>
      </w:r>
      <w:proofErr w:type="gramEnd"/>
      <w:r w:rsidR="00703AB8" w:rsidRPr="00796EA9">
        <w:rPr>
          <w:rFonts w:hAnsi="標楷體"/>
        </w:rPr>
        <w:t>自籌。</w:t>
      </w:r>
      <w:proofErr w:type="gramStart"/>
      <w:r w:rsidR="00703AB8" w:rsidRPr="00796EA9">
        <w:rPr>
          <w:rFonts w:hAnsi="標楷體"/>
          <w:szCs w:val="32"/>
        </w:rPr>
        <w:t>嗣</w:t>
      </w:r>
      <w:proofErr w:type="gramEnd"/>
      <w:r w:rsidR="00703AB8" w:rsidRPr="00796EA9">
        <w:rPr>
          <w:rFonts w:hAnsi="標楷體"/>
          <w:szCs w:val="32"/>
        </w:rPr>
        <w:t>經106年</w:t>
      </w:r>
      <w:r w:rsidR="00703AB8" w:rsidRPr="00796EA9">
        <w:rPr>
          <w:rFonts w:hAnsi="標楷體" w:hint="eastAsia"/>
          <w:szCs w:val="32"/>
        </w:rPr>
        <w:t>臺灣桃園國際機場園區</w:t>
      </w:r>
      <w:r w:rsidR="00703AB8" w:rsidRPr="00796EA9">
        <w:rPr>
          <w:rFonts w:hAnsi="標楷體"/>
          <w:szCs w:val="32"/>
        </w:rPr>
        <w:t>實施計畫修正版(尚未核定)滾動檢討</w:t>
      </w:r>
      <w:r w:rsidR="00703AB8" w:rsidRPr="00796EA9">
        <w:rPr>
          <w:rFonts w:hAnsi="標楷體" w:hint="eastAsia"/>
          <w:szCs w:val="32"/>
        </w:rPr>
        <w:t>後，</w:t>
      </w:r>
      <w:proofErr w:type="gramStart"/>
      <w:r w:rsidR="00703AB8" w:rsidRPr="00796EA9">
        <w:rPr>
          <w:rFonts w:hAnsi="標楷體"/>
          <w:szCs w:val="32"/>
        </w:rPr>
        <w:t>桃機公司</w:t>
      </w:r>
      <w:proofErr w:type="gramEnd"/>
      <w:r w:rsidR="00703AB8" w:rsidRPr="00796EA9">
        <w:rPr>
          <w:rFonts w:hAnsi="標楷體"/>
          <w:szCs w:val="32"/>
        </w:rPr>
        <w:t>辦理第三航廈及第</w:t>
      </w:r>
      <w:proofErr w:type="gramStart"/>
      <w:r w:rsidR="00703AB8" w:rsidRPr="00796EA9">
        <w:rPr>
          <w:rFonts w:hAnsi="標楷體"/>
          <w:szCs w:val="32"/>
        </w:rPr>
        <w:t>三</w:t>
      </w:r>
      <w:proofErr w:type="gramEnd"/>
      <w:r w:rsidR="00703AB8" w:rsidRPr="00796EA9">
        <w:rPr>
          <w:rFonts w:hAnsi="標楷體"/>
          <w:szCs w:val="32"/>
        </w:rPr>
        <w:t>跑道等相關</w:t>
      </w:r>
      <w:r w:rsidR="00703AB8" w:rsidRPr="00796EA9">
        <w:rPr>
          <w:rFonts w:hAnsi="標楷體" w:hint="eastAsia"/>
          <w:szCs w:val="32"/>
        </w:rPr>
        <w:t>重大</w:t>
      </w:r>
      <w:r w:rsidR="00703AB8" w:rsidRPr="00796EA9">
        <w:rPr>
          <w:rFonts w:hAnsi="標楷體"/>
          <w:szCs w:val="32"/>
        </w:rPr>
        <w:t>建設，總經費由1,735億元</w:t>
      </w:r>
      <w:r w:rsidR="00703AB8" w:rsidRPr="00796EA9">
        <w:rPr>
          <w:rFonts w:hAnsi="標楷體" w:hint="eastAsia"/>
          <w:szCs w:val="32"/>
        </w:rPr>
        <w:t>上調至</w:t>
      </w:r>
      <w:r w:rsidR="00703AB8" w:rsidRPr="00796EA9">
        <w:rPr>
          <w:rFonts w:hAnsi="標楷體"/>
          <w:szCs w:val="32"/>
        </w:rPr>
        <w:t>2,044億元，</w:t>
      </w:r>
      <w:r w:rsidR="00703AB8" w:rsidRPr="00796EA9">
        <w:rPr>
          <w:rFonts w:hAnsi="標楷體" w:hint="eastAsia"/>
          <w:szCs w:val="32"/>
        </w:rPr>
        <w:t>其中</w:t>
      </w:r>
      <w:r w:rsidR="00703AB8" w:rsidRPr="00796EA9">
        <w:rPr>
          <w:rFonts w:hAnsi="標楷體"/>
          <w:szCs w:val="32"/>
        </w:rPr>
        <w:t>建議政府增資金額由420億元修正為232億元，其餘部分</w:t>
      </w:r>
      <w:proofErr w:type="gramStart"/>
      <w:r w:rsidR="00703AB8" w:rsidRPr="00796EA9">
        <w:rPr>
          <w:rFonts w:hAnsi="標楷體"/>
          <w:szCs w:val="32"/>
        </w:rPr>
        <w:t>由桃機公司</w:t>
      </w:r>
      <w:proofErr w:type="gramEnd"/>
      <w:r w:rsidR="00703AB8" w:rsidRPr="00796EA9">
        <w:rPr>
          <w:rFonts w:hAnsi="標楷體"/>
          <w:szCs w:val="32"/>
        </w:rPr>
        <w:t>自籌</w:t>
      </w:r>
      <w:r w:rsidR="00703AB8" w:rsidRPr="00796EA9">
        <w:rPr>
          <w:rFonts w:hAnsi="標楷體" w:hint="eastAsia"/>
          <w:szCs w:val="32"/>
        </w:rPr>
        <w:t>支應，顯</w:t>
      </w:r>
      <w:r w:rsidR="00703AB8" w:rsidRPr="00796EA9">
        <w:rPr>
          <w:rFonts w:hAnsi="標楷體" w:hint="eastAsia"/>
          <w:szCs w:val="32"/>
        </w:rPr>
        <w:lastRenderedPageBreak/>
        <w:t>示該公司因政府增資金額減少，自籌資金大幅增加，財務負擔沉重</w:t>
      </w:r>
      <w:r w:rsidR="00703AB8" w:rsidRPr="00796EA9">
        <w:rPr>
          <w:rFonts w:hAnsi="標楷體"/>
          <w:szCs w:val="32"/>
        </w:rPr>
        <w:t>。</w:t>
      </w:r>
    </w:p>
    <w:p w:rsidR="00C9064F" w:rsidRPr="00796EA9" w:rsidRDefault="00126FDF" w:rsidP="00C9064F">
      <w:pPr>
        <w:pStyle w:val="a3"/>
        <w:jc w:val="center"/>
        <w:rPr>
          <w:rFonts w:hAnsi="標楷體"/>
          <w:b/>
        </w:rPr>
      </w:pPr>
      <w:r w:rsidRPr="00796EA9">
        <w:rPr>
          <w:rFonts w:hAnsi="標楷體" w:hint="eastAsia"/>
          <w:b/>
        </w:rPr>
        <w:t>桃園機場部分重大工程期程延宕或增加經費情形</w:t>
      </w:r>
    </w:p>
    <w:tbl>
      <w:tblPr>
        <w:tblStyle w:val="af6"/>
        <w:tblW w:w="8335" w:type="dxa"/>
        <w:jc w:val="center"/>
        <w:tblLook w:val="04A0" w:firstRow="1" w:lastRow="0" w:firstColumn="1" w:lastColumn="0" w:noHBand="0" w:noVBand="1"/>
      </w:tblPr>
      <w:tblGrid>
        <w:gridCol w:w="2653"/>
        <w:gridCol w:w="1651"/>
        <w:gridCol w:w="1573"/>
        <w:gridCol w:w="2458"/>
      </w:tblGrid>
      <w:tr w:rsidR="00796EA9" w:rsidRPr="00796EA9" w:rsidTr="003626A4">
        <w:trPr>
          <w:tblHeader/>
          <w:jc w:val="center"/>
        </w:trPr>
        <w:tc>
          <w:tcPr>
            <w:tcW w:w="2653" w:type="dxa"/>
            <w:vAlign w:val="center"/>
          </w:tcPr>
          <w:p w:rsidR="00126FDF" w:rsidRPr="00796EA9" w:rsidRDefault="00126FDF" w:rsidP="00C9064F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b/>
                <w:sz w:val="28"/>
                <w:szCs w:val="28"/>
              </w:rPr>
            </w:pPr>
            <w:r w:rsidRPr="00796EA9">
              <w:rPr>
                <w:rFonts w:hAnsi="標楷體" w:hint="eastAsia"/>
                <w:b/>
                <w:sz w:val="28"/>
                <w:szCs w:val="28"/>
              </w:rPr>
              <w:t>重大建設項目</w:t>
            </w:r>
          </w:p>
        </w:tc>
        <w:tc>
          <w:tcPr>
            <w:tcW w:w="1651" w:type="dxa"/>
            <w:vAlign w:val="center"/>
          </w:tcPr>
          <w:p w:rsidR="00126FDF" w:rsidRPr="00796EA9" w:rsidRDefault="00126FDF" w:rsidP="00C9064F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b/>
                <w:sz w:val="28"/>
                <w:szCs w:val="28"/>
              </w:rPr>
            </w:pPr>
            <w:r w:rsidRPr="00796EA9">
              <w:rPr>
                <w:rFonts w:hAnsi="標楷體" w:hint="eastAsia"/>
                <w:b/>
                <w:sz w:val="28"/>
                <w:szCs w:val="28"/>
              </w:rPr>
              <w:t>預計</w:t>
            </w:r>
          </w:p>
          <w:p w:rsidR="00126FDF" w:rsidRPr="00796EA9" w:rsidRDefault="00126FDF" w:rsidP="00C9064F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b/>
                <w:sz w:val="28"/>
                <w:szCs w:val="28"/>
              </w:rPr>
            </w:pPr>
            <w:r w:rsidRPr="00796EA9">
              <w:rPr>
                <w:rFonts w:hAnsi="標楷體" w:hint="eastAsia"/>
                <w:b/>
                <w:sz w:val="28"/>
                <w:szCs w:val="28"/>
              </w:rPr>
              <w:t>完工日期</w:t>
            </w:r>
          </w:p>
        </w:tc>
        <w:tc>
          <w:tcPr>
            <w:tcW w:w="1573" w:type="dxa"/>
            <w:vAlign w:val="center"/>
          </w:tcPr>
          <w:p w:rsidR="00126FDF" w:rsidRPr="00796EA9" w:rsidRDefault="00126FDF" w:rsidP="00126FDF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b/>
                <w:sz w:val="28"/>
                <w:szCs w:val="28"/>
              </w:rPr>
            </w:pPr>
            <w:r w:rsidRPr="00796EA9">
              <w:rPr>
                <w:rFonts w:hAnsi="標楷體" w:hint="eastAsia"/>
                <w:b/>
                <w:sz w:val="28"/>
                <w:szCs w:val="28"/>
              </w:rPr>
              <w:t>預計經費</w:t>
            </w:r>
          </w:p>
        </w:tc>
        <w:tc>
          <w:tcPr>
            <w:tcW w:w="2458" w:type="dxa"/>
            <w:vAlign w:val="center"/>
          </w:tcPr>
          <w:p w:rsidR="00126FDF" w:rsidRPr="00796EA9" w:rsidRDefault="00126FDF" w:rsidP="00C9064F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b/>
                <w:sz w:val="28"/>
                <w:szCs w:val="28"/>
              </w:rPr>
            </w:pPr>
            <w:r w:rsidRPr="00796EA9">
              <w:rPr>
                <w:rFonts w:hAnsi="標楷體" w:hint="eastAsia"/>
                <w:b/>
                <w:sz w:val="28"/>
                <w:szCs w:val="28"/>
              </w:rPr>
              <w:t>工程延宕</w:t>
            </w:r>
          </w:p>
          <w:p w:rsidR="00126FDF" w:rsidRPr="00796EA9" w:rsidRDefault="00126FDF" w:rsidP="00C9064F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b/>
                <w:sz w:val="28"/>
                <w:szCs w:val="28"/>
              </w:rPr>
            </w:pPr>
            <w:r w:rsidRPr="00796EA9">
              <w:rPr>
                <w:rFonts w:hAnsi="標楷體" w:hint="eastAsia"/>
                <w:b/>
                <w:sz w:val="28"/>
                <w:szCs w:val="28"/>
              </w:rPr>
              <w:t>或增加經費</w:t>
            </w:r>
          </w:p>
        </w:tc>
      </w:tr>
      <w:tr w:rsidR="00796EA9" w:rsidRPr="00796EA9" w:rsidTr="003626A4">
        <w:trPr>
          <w:jc w:val="center"/>
        </w:trPr>
        <w:tc>
          <w:tcPr>
            <w:tcW w:w="2653" w:type="dxa"/>
            <w:vAlign w:val="center"/>
          </w:tcPr>
          <w:p w:rsidR="00126FDF" w:rsidRPr="00796EA9" w:rsidRDefault="00126FDF" w:rsidP="00126FDF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796EA9">
              <w:rPr>
                <w:rFonts w:ascii="Times New Roman" w:hAnsi="Times New Roman" w:hint="eastAsia"/>
                <w:sz w:val="28"/>
                <w:szCs w:val="28"/>
              </w:rPr>
              <w:t>第二航廈擴建工程</w:t>
            </w:r>
          </w:p>
        </w:tc>
        <w:tc>
          <w:tcPr>
            <w:tcW w:w="1651" w:type="dxa"/>
            <w:vAlign w:val="center"/>
          </w:tcPr>
          <w:p w:rsidR="00126FDF" w:rsidRPr="00796EA9" w:rsidRDefault="00126FDF" w:rsidP="00126FDF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sz w:val="28"/>
                <w:szCs w:val="28"/>
              </w:rPr>
            </w:pP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106</w:t>
            </w: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年底</w:t>
            </w:r>
          </w:p>
        </w:tc>
        <w:tc>
          <w:tcPr>
            <w:tcW w:w="1573" w:type="dxa"/>
            <w:vAlign w:val="center"/>
          </w:tcPr>
          <w:p w:rsidR="00126FDF" w:rsidRPr="00796EA9" w:rsidRDefault="00126FDF" w:rsidP="00126FDF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sz w:val="28"/>
                <w:szCs w:val="28"/>
              </w:rPr>
            </w:pP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20.47</w:t>
            </w: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億元</w:t>
            </w:r>
          </w:p>
        </w:tc>
        <w:tc>
          <w:tcPr>
            <w:tcW w:w="2458" w:type="dxa"/>
            <w:vAlign w:val="center"/>
          </w:tcPr>
          <w:p w:rsidR="00126FDF" w:rsidRPr="00796EA9" w:rsidRDefault="00126FDF" w:rsidP="00126FDF">
            <w:pPr>
              <w:pStyle w:val="3"/>
              <w:numPr>
                <w:ilvl w:val="0"/>
                <w:numId w:val="0"/>
              </w:numPr>
              <w:jc w:val="center"/>
              <w:rPr>
                <w:rFonts w:ascii="Times New Roman"/>
                <w:bCs w:val="0"/>
                <w:kern w:val="2"/>
                <w:sz w:val="28"/>
                <w:szCs w:val="28"/>
              </w:rPr>
            </w:pP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108</w:t>
            </w: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年</w:t>
            </w: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12</w:t>
            </w: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月</w:t>
            </w:r>
          </w:p>
          <w:p w:rsidR="00126FDF" w:rsidRPr="00796EA9" w:rsidRDefault="00126FDF" w:rsidP="00126FDF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sz w:val="28"/>
                <w:szCs w:val="28"/>
              </w:rPr>
            </w:pP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22.98</w:t>
            </w: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億元</w:t>
            </w:r>
          </w:p>
        </w:tc>
      </w:tr>
      <w:tr w:rsidR="00796EA9" w:rsidRPr="00796EA9" w:rsidTr="003626A4">
        <w:trPr>
          <w:jc w:val="center"/>
        </w:trPr>
        <w:tc>
          <w:tcPr>
            <w:tcW w:w="2653" w:type="dxa"/>
            <w:vAlign w:val="center"/>
          </w:tcPr>
          <w:p w:rsidR="00126FDF" w:rsidRPr="00796EA9" w:rsidRDefault="00126FDF" w:rsidP="00126FDF">
            <w:pPr>
              <w:pStyle w:val="3"/>
              <w:numPr>
                <w:ilvl w:val="0"/>
                <w:numId w:val="0"/>
              </w:numPr>
              <w:rPr>
                <w:rFonts w:ascii="Times New Roman"/>
                <w:bCs w:val="0"/>
                <w:kern w:val="2"/>
                <w:sz w:val="28"/>
                <w:szCs w:val="28"/>
              </w:rPr>
            </w:pP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WC</w:t>
            </w: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滑行道遷建及</w:t>
            </w:r>
          </w:p>
          <w:p w:rsidR="00126FDF" w:rsidRPr="00796EA9" w:rsidRDefault="00126FDF" w:rsidP="00126FDF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proofErr w:type="gramStart"/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雙線化工程</w:t>
            </w:r>
            <w:proofErr w:type="gramEnd"/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計畫</w:t>
            </w:r>
          </w:p>
        </w:tc>
        <w:tc>
          <w:tcPr>
            <w:tcW w:w="1651" w:type="dxa"/>
            <w:vAlign w:val="center"/>
          </w:tcPr>
          <w:p w:rsidR="00126FDF" w:rsidRPr="00796EA9" w:rsidRDefault="00126FDF" w:rsidP="00126FDF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sz w:val="28"/>
                <w:szCs w:val="28"/>
              </w:rPr>
            </w:pP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106</w:t>
            </w: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年</w:t>
            </w: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12</w:t>
            </w: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月</w:t>
            </w:r>
          </w:p>
        </w:tc>
        <w:tc>
          <w:tcPr>
            <w:tcW w:w="1573" w:type="dxa"/>
            <w:vAlign w:val="center"/>
          </w:tcPr>
          <w:p w:rsidR="00126FDF" w:rsidRPr="00796EA9" w:rsidRDefault="00126FDF" w:rsidP="00126FDF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sz w:val="28"/>
                <w:szCs w:val="28"/>
              </w:rPr>
            </w:pP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36.08</w:t>
            </w: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億元</w:t>
            </w:r>
          </w:p>
        </w:tc>
        <w:tc>
          <w:tcPr>
            <w:tcW w:w="2458" w:type="dxa"/>
            <w:vAlign w:val="center"/>
          </w:tcPr>
          <w:p w:rsidR="00126FDF" w:rsidRPr="00796EA9" w:rsidRDefault="00126FDF" w:rsidP="00126FDF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sz w:val="28"/>
                <w:szCs w:val="28"/>
              </w:rPr>
            </w:pP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108</w:t>
            </w: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年</w:t>
            </w: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12</w:t>
            </w:r>
            <w:r w:rsidRPr="00796EA9">
              <w:rPr>
                <w:rFonts w:ascii="Times New Roman" w:hint="eastAsia"/>
                <w:bCs w:val="0"/>
                <w:kern w:val="2"/>
                <w:sz w:val="28"/>
                <w:szCs w:val="28"/>
              </w:rPr>
              <w:t>月</w:t>
            </w:r>
          </w:p>
        </w:tc>
      </w:tr>
      <w:tr w:rsidR="00796EA9" w:rsidRPr="00796EA9" w:rsidTr="003626A4">
        <w:trPr>
          <w:jc w:val="center"/>
        </w:trPr>
        <w:tc>
          <w:tcPr>
            <w:tcW w:w="2653" w:type="dxa"/>
            <w:vAlign w:val="center"/>
          </w:tcPr>
          <w:p w:rsidR="00126FDF" w:rsidRPr="00796EA9" w:rsidRDefault="00126FDF" w:rsidP="00126FDF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796EA9">
              <w:rPr>
                <w:rFonts w:hint="eastAsia"/>
                <w:sz w:val="28"/>
                <w:szCs w:val="28"/>
              </w:rPr>
              <w:t>第三航站區建設</w:t>
            </w:r>
          </w:p>
          <w:p w:rsidR="00126FDF" w:rsidRPr="00796EA9" w:rsidRDefault="00126FDF" w:rsidP="00126FDF">
            <w:pPr>
              <w:pStyle w:val="3"/>
              <w:numPr>
                <w:ilvl w:val="0"/>
                <w:numId w:val="0"/>
              </w:numPr>
              <w:rPr>
                <w:rFonts w:hAnsi="標楷體"/>
                <w:sz w:val="28"/>
                <w:szCs w:val="28"/>
              </w:rPr>
            </w:pPr>
            <w:r w:rsidRPr="00796EA9">
              <w:rPr>
                <w:rFonts w:hint="eastAsia"/>
                <w:sz w:val="28"/>
                <w:szCs w:val="28"/>
              </w:rPr>
              <w:t>計畫</w:t>
            </w:r>
          </w:p>
        </w:tc>
        <w:tc>
          <w:tcPr>
            <w:tcW w:w="1651" w:type="dxa"/>
            <w:vAlign w:val="center"/>
          </w:tcPr>
          <w:p w:rsidR="00126FDF" w:rsidRPr="00796EA9" w:rsidRDefault="00126FDF" w:rsidP="00126FDF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sz w:val="28"/>
                <w:szCs w:val="28"/>
              </w:rPr>
            </w:pPr>
            <w:r w:rsidRPr="00796EA9">
              <w:rPr>
                <w:rFonts w:hint="eastAsia"/>
                <w:sz w:val="28"/>
                <w:szCs w:val="28"/>
              </w:rPr>
              <w:t>111年12月</w:t>
            </w:r>
          </w:p>
        </w:tc>
        <w:tc>
          <w:tcPr>
            <w:tcW w:w="1573" w:type="dxa"/>
            <w:vAlign w:val="center"/>
          </w:tcPr>
          <w:p w:rsidR="00126FDF" w:rsidRPr="00796EA9" w:rsidRDefault="00126FDF" w:rsidP="00126FDF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sz w:val="28"/>
                <w:szCs w:val="28"/>
              </w:rPr>
            </w:pPr>
            <w:r w:rsidRPr="00796EA9">
              <w:rPr>
                <w:rFonts w:hAnsi="標楷體" w:hint="eastAsia"/>
                <w:sz w:val="28"/>
                <w:szCs w:val="28"/>
              </w:rPr>
              <w:t>746.9億元</w:t>
            </w:r>
          </w:p>
        </w:tc>
        <w:tc>
          <w:tcPr>
            <w:tcW w:w="2458" w:type="dxa"/>
            <w:vAlign w:val="center"/>
          </w:tcPr>
          <w:p w:rsidR="00126FDF" w:rsidRPr="00796EA9" w:rsidRDefault="00126FDF" w:rsidP="00126FDF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sz w:val="28"/>
                <w:szCs w:val="28"/>
              </w:rPr>
            </w:pPr>
            <w:r w:rsidRPr="00796EA9">
              <w:rPr>
                <w:rFonts w:hAnsi="標楷體" w:hint="eastAsia"/>
                <w:sz w:val="28"/>
                <w:szCs w:val="28"/>
              </w:rPr>
              <w:t>工期由33個月</w:t>
            </w:r>
          </w:p>
          <w:p w:rsidR="00126FDF" w:rsidRPr="00796EA9" w:rsidRDefault="00126FDF" w:rsidP="00126FDF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sz w:val="28"/>
                <w:szCs w:val="28"/>
              </w:rPr>
            </w:pPr>
            <w:r w:rsidRPr="00796EA9">
              <w:rPr>
                <w:rFonts w:hAnsi="標楷體" w:hint="eastAsia"/>
                <w:sz w:val="28"/>
                <w:szCs w:val="28"/>
              </w:rPr>
              <w:t>展延55個月</w:t>
            </w:r>
          </w:p>
          <w:p w:rsidR="00126FDF" w:rsidRPr="00796EA9" w:rsidRDefault="00126FDF" w:rsidP="00126FDF">
            <w:pPr>
              <w:pStyle w:val="3"/>
              <w:numPr>
                <w:ilvl w:val="0"/>
                <w:numId w:val="0"/>
              </w:numPr>
              <w:jc w:val="center"/>
              <w:rPr>
                <w:rFonts w:hAnsi="標楷體"/>
                <w:sz w:val="28"/>
                <w:szCs w:val="28"/>
              </w:rPr>
            </w:pPr>
            <w:r w:rsidRPr="00796EA9">
              <w:rPr>
                <w:rFonts w:hAnsi="標楷體" w:hint="eastAsia"/>
                <w:sz w:val="28"/>
                <w:szCs w:val="28"/>
              </w:rPr>
              <w:t>799億元</w:t>
            </w:r>
          </w:p>
        </w:tc>
      </w:tr>
    </w:tbl>
    <w:p w:rsidR="00C9064F" w:rsidRPr="00796EA9" w:rsidRDefault="00C9064F" w:rsidP="00126FDF">
      <w:pPr>
        <w:pStyle w:val="3"/>
        <w:numPr>
          <w:ilvl w:val="0"/>
          <w:numId w:val="0"/>
        </w:numPr>
        <w:ind w:firstLineChars="100" w:firstLine="260"/>
        <w:rPr>
          <w:rFonts w:hAnsi="標楷體"/>
          <w:kern w:val="0"/>
          <w:sz w:val="24"/>
          <w:szCs w:val="24"/>
        </w:rPr>
      </w:pPr>
      <w:r w:rsidRPr="00796EA9">
        <w:rPr>
          <w:rFonts w:hAnsi="標楷體"/>
          <w:kern w:val="0"/>
          <w:sz w:val="24"/>
          <w:szCs w:val="24"/>
        </w:rPr>
        <w:t>資料來源：</w:t>
      </w:r>
      <w:r w:rsidRPr="00796EA9">
        <w:rPr>
          <w:rFonts w:hAnsi="標楷體" w:hint="eastAsia"/>
          <w:kern w:val="0"/>
          <w:sz w:val="24"/>
          <w:szCs w:val="24"/>
        </w:rPr>
        <w:t>本案整理</w:t>
      </w:r>
      <w:r w:rsidRPr="00796EA9">
        <w:rPr>
          <w:rFonts w:hAnsi="標楷體"/>
          <w:kern w:val="0"/>
          <w:sz w:val="24"/>
          <w:szCs w:val="24"/>
        </w:rPr>
        <w:t>自</w:t>
      </w:r>
      <w:r w:rsidRPr="00796EA9">
        <w:rPr>
          <w:rFonts w:hAnsi="標楷體" w:hint="eastAsia"/>
          <w:kern w:val="0"/>
          <w:sz w:val="24"/>
          <w:szCs w:val="24"/>
        </w:rPr>
        <w:t>交通部查復</w:t>
      </w:r>
      <w:r w:rsidRPr="00796EA9">
        <w:rPr>
          <w:rFonts w:hAnsi="標楷體"/>
          <w:kern w:val="0"/>
          <w:sz w:val="24"/>
          <w:szCs w:val="24"/>
        </w:rPr>
        <w:t>資料。</w:t>
      </w:r>
    </w:p>
    <w:p w:rsidR="00126FDF" w:rsidRPr="00796EA9" w:rsidRDefault="00126FDF" w:rsidP="00C9064F">
      <w:pPr>
        <w:pStyle w:val="3"/>
        <w:numPr>
          <w:ilvl w:val="0"/>
          <w:numId w:val="0"/>
        </w:numPr>
        <w:rPr>
          <w:rFonts w:hAnsi="標楷體"/>
          <w:kern w:val="0"/>
          <w:sz w:val="24"/>
          <w:szCs w:val="24"/>
        </w:rPr>
      </w:pPr>
    </w:p>
    <w:p w:rsidR="00A3734E" w:rsidRPr="00796EA9" w:rsidRDefault="000233DC" w:rsidP="000233DC">
      <w:pPr>
        <w:pStyle w:val="3"/>
      </w:pPr>
      <w:r w:rsidRPr="00796EA9">
        <w:rPr>
          <w:rFonts w:hint="eastAsia"/>
        </w:rPr>
        <w:t>查桃園機場相關重大建設計畫之預算金額及經費來源，</w:t>
      </w:r>
      <w:proofErr w:type="gramStart"/>
      <w:r w:rsidRPr="00796EA9">
        <w:rPr>
          <w:rFonts w:hint="eastAsia"/>
        </w:rPr>
        <w:t>以桃機公司</w:t>
      </w:r>
      <w:proofErr w:type="gramEnd"/>
      <w:r w:rsidRPr="00796EA9">
        <w:rPr>
          <w:rFonts w:hint="eastAsia"/>
        </w:rPr>
        <w:t>自有資金支應為主，部分工程經費則由「民航事業作業基金」支應</w:t>
      </w:r>
      <w:r w:rsidRPr="00796EA9">
        <w:rPr>
          <w:rStyle w:val="afe"/>
          <w:rFonts w:hAnsi="標楷體"/>
          <w:szCs w:val="32"/>
        </w:rPr>
        <w:footnoteReference w:id="5"/>
      </w:r>
      <w:r w:rsidRPr="00796EA9">
        <w:rPr>
          <w:rFonts w:hint="eastAsia"/>
        </w:rPr>
        <w:t>。</w:t>
      </w:r>
      <w:r w:rsidR="00D41A19" w:rsidRPr="00796EA9">
        <w:rPr>
          <w:rFonts w:hint="eastAsia"/>
        </w:rPr>
        <w:t>又</w:t>
      </w:r>
      <w:proofErr w:type="gramStart"/>
      <w:r w:rsidR="00D41A19" w:rsidRPr="00796EA9">
        <w:rPr>
          <w:rFonts w:hAnsi="標楷體"/>
        </w:rPr>
        <w:t>依照桃機公司</w:t>
      </w:r>
      <w:proofErr w:type="gramEnd"/>
      <w:r w:rsidR="00D41A19" w:rsidRPr="00796EA9">
        <w:rPr>
          <w:rFonts w:hAnsi="標楷體"/>
        </w:rPr>
        <w:t>於104年間委託臺灣野村總</w:t>
      </w:r>
      <w:proofErr w:type="gramStart"/>
      <w:r w:rsidR="00D41A19" w:rsidRPr="00796EA9">
        <w:rPr>
          <w:rFonts w:hAnsi="標楷體"/>
        </w:rPr>
        <w:t>研</w:t>
      </w:r>
      <w:proofErr w:type="gramEnd"/>
      <w:r w:rsidR="00D41A19" w:rsidRPr="00796EA9">
        <w:rPr>
          <w:rFonts w:hAnsi="標楷體"/>
        </w:rPr>
        <w:t>諮詢顧問股份有限公司辦理</w:t>
      </w:r>
      <w:r w:rsidR="002755B8" w:rsidRPr="00796EA9">
        <w:rPr>
          <w:rFonts w:hAnsi="標楷體" w:hint="eastAsia"/>
        </w:rPr>
        <w:t>「</w:t>
      </w:r>
      <w:proofErr w:type="gramStart"/>
      <w:r w:rsidR="00D41A19" w:rsidRPr="00796EA9">
        <w:rPr>
          <w:rFonts w:hAnsi="標楷體"/>
        </w:rPr>
        <w:t>桃機公司</w:t>
      </w:r>
      <w:proofErr w:type="gramEnd"/>
      <w:r w:rsidR="00D41A19" w:rsidRPr="00796EA9">
        <w:rPr>
          <w:rFonts w:hAnsi="標楷體"/>
        </w:rPr>
        <w:t>資金籌措暨財務健全計畫專業服務案報告</w:t>
      </w:r>
      <w:r w:rsidR="002755B8" w:rsidRPr="00796EA9">
        <w:rPr>
          <w:rFonts w:hAnsi="標楷體" w:hint="eastAsia"/>
        </w:rPr>
        <w:t>」</w:t>
      </w:r>
      <w:r w:rsidR="00D41A19" w:rsidRPr="00796EA9">
        <w:rPr>
          <w:rFonts w:hAnsi="標楷體"/>
        </w:rPr>
        <w:t>，以該公司100至105年度營運結果</w:t>
      </w:r>
      <w:r w:rsidR="002755B8" w:rsidRPr="00796EA9">
        <w:rPr>
          <w:rFonts w:hAnsi="標楷體" w:hint="eastAsia"/>
        </w:rPr>
        <w:t>，</w:t>
      </w:r>
      <w:r w:rsidR="00D41A19" w:rsidRPr="00796EA9">
        <w:rPr>
          <w:rFonts w:hAnsi="標楷體"/>
        </w:rPr>
        <w:t>實際獲分配法定（特別）盈餘公積99億餘元估算，預計至</w:t>
      </w:r>
      <w:proofErr w:type="gramStart"/>
      <w:r w:rsidR="00D41A19" w:rsidRPr="00796EA9">
        <w:rPr>
          <w:rFonts w:hAnsi="標楷體"/>
        </w:rPr>
        <w:t>119</w:t>
      </w:r>
      <w:proofErr w:type="gramEnd"/>
      <w:r w:rsidR="00D41A19" w:rsidRPr="00796EA9">
        <w:rPr>
          <w:rFonts w:hAnsi="標楷體"/>
        </w:rPr>
        <w:t>年度累計資金缺口</w:t>
      </w:r>
      <w:r w:rsidR="00D41A19" w:rsidRPr="00796EA9">
        <w:rPr>
          <w:rStyle w:val="afe"/>
          <w:rFonts w:hAnsi="標楷體"/>
          <w:spacing w:val="10"/>
          <w:szCs w:val="32"/>
        </w:rPr>
        <w:footnoteReference w:id="6"/>
      </w:r>
      <w:r w:rsidR="00D41A19" w:rsidRPr="00796EA9">
        <w:rPr>
          <w:rFonts w:hAnsi="標楷體"/>
        </w:rPr>
        <w:t>將達1,304億元，並自111年起，</w:t>
      </w:r>
      <w:proofErr w:type="gramStart"/>
      <w:r w:rsidR="00D41A19" w:rsidRPr="00796EA9">
        <w:rPr>
          <w:rFonts w:hAnsi="標楷體"/>
        </w:rPr>
        <w:t>桃機公司</w:t>
      </w:r>
      <w:proofErr w:type="gramEnd"/>
      <w:r w:rsidR="00D41A19" w:rsidRPr="00796EA9">
        <w:rPr>
          <w:rFonts w:hAnsi="標楷體"/>
        </w:rPr>
        <w:t>每年現金流量將不足以償付當年到期之債務本息。</w:t>
      </w:r>
      <w:proofErr w:type="gramStart"/>
      <w:r w:rsidR="00D41A19" w:rsidRPr="00796EA9">
        <w:rPr>
          <w:rFonts w:hAnsi="標楷體" w:hint="eastAsia"/>
        </w:rPr>
        <w:t>嗣</w:t>
      </w:r>
      <w:proofErr w:type="gramEnd"/>
      <w:r w:rsidR="00D41A19" w:rsidRPr="00796EA9">
        <w:rPr>
          <w:rFonts w:hAnsi="標楷體" w:hint="eastAsia"/>
        </w:rPr>
        <w:t>經本院詢問交通部說明，另</w:t>
      </w:r>
      <w:proofErr w:type="gramStart"/>
      <w:r w:rsidR="00D41A19" w:rsidRPr="00796EA9">
        <w:rPr>
          <w:rFonts w:hAnsi="標楷體"/>
        </w:rPr>
        <w:t>依桃機</w:t>
      </w:r>
      <w:proofErr w:type="gramEnd"/>
      <w:r w:rsidR="00D41A19" w:rsidRPr="00796EA9">
        <w:rPr>
          <w:rFonts w:hAnsi="標楷體"/>
        </w:rPr>
        <w:t>公司最新資金需求進行財務試算</w:t>
      </w:r>
      <w:r w:rsidR="00D41A19" w:rsidRPr="00796EA9">
        <w:rPr>
          <w:rFonts w:hAnsi="標楷體" w:hint="eastAsia"/>
        </w:rPr>
        <w:t>後</w:t>
      </w:r>
      <w:r w:rsidR="00D41A19" w:rsidRPr="00796EA9">
        <w:rPr>
          <w:rFonts w:hAnsi="標楷體"/>
        </w:rPr>
        <w:t>，預估</w:t>
      </w:r>
      <w:r w:rsidR="002755B8" w:rsidRPr="00796EA9">
        <w:rPr>
          <w:rFonts w:hAnsi="標楷體" w:hint="eastAsia"/>
        </w:rPr>
        <w:t>自</w:t>
      </w:r>
      <w:r w:rsidR="00D41A19" w:rsidRPr="00796EA9">
        <w:rPr>
          <w:rFonts w:hAnsi="標楷體" w:hint="eastAsia"/>
        </w:rPr>
        <w:t>1</w:t>
      </w:r>
      <w:r w:rsidR="00D41A19" w:rsidRPr="00796EA9">
        <w:rPr>
          <w:rFonts w:hAnsi="標楷體"/>
        </w:rPr>
        <w:t>08</w:t>
      </w:r>
      <w:r w:rsidR="00D41A19" w:rsidRPr="00796EA9">
        <w:rPr>
          <w:rFonts w:hAnsi="標楷體" w:hint="eastAsia"/>
        </w:rPr>
        <w:t>年開始</w:t>
      </w:r>
      <w:r w:rsidR="00D41A19" w:rsidRPr="00796EA9">
        <w:rPr>
          <w:rFonts w:hAnsi="標楷體"/>
        </w:rPr>
        <w:t>出現資金缺口，113年資金缺口將提高到800</w:t>
      </w:r>
      <w:r w:rsidR="00D41A19" w:rsidRPr="00796EA9">
        <w:rPr>
          <w:rFonts w:hAnsi="標楷體"/>
        </w:rPr>
        <w:lastRenderedPageBreak/>
        <w:t>億元</w:t>
      </w:r>
      <w:r w:rsidR="00D41A19" w:rsidRPr="00796EA9">
        <w:rPr>
          <w:rFonts w:hAnsi="標楷體" w:hint="eastAsia"/>
        </w:rPr>
        <w:t>，至</w:t>
      </w:r>
      <w:r w:rsidR="00D41A19" w:rsidRPr="00796EA9">
        <w:rPr>
          <w:rFonts w:hAnsi="標楷體"/>
        </w:rPr>
        <w:t>第三跑道及</w:t>
      </w:r>
      <w:proofErr w:type="gramStart"/>
      <w:r w:rsidR="00D41A19" w:rsidRPr="00796EA9">
        <w:rPr>
          <w:rFonts w:hAnsi="標楷體"/>
        </w:rPr>
        <w:t>衛星廊廳完成</w:t>
      </w:r>
      <w:proofErr w:type="gramEnd"/>
      <w:r w:rsidR="00D41A19" w:rsidRPr="00796EA9">
        <w:rPr>
          <w:rFonts w:hAnsi="標楷體" w:hint="eastAsia"/>
        </w:rPr>
        <w:t>後</w:t>
      </w:r>
      <w:r w:rsidR="00D41A19" w:rsidRPr="00796EA9">
        <w:rPr>
          <w:rFonts w:hAnsi="標楷體"/>
        </w:rPr>
        <w:t>，預估最大資金缺口</w:t>
      </w:r>
      <w:r w:rsidR="002755B8" w:rsidRPr="00796EA9">
        <w:rPr>
          <w:rFonts w:hAnsi="標楷體" w:hint="eastAsia"/>
        </w:rPr>
        <w:t>將</w:t>
      </w:r>
      <w:r w:rsidR="00D41A19" w:rsidRPr="00796EA9">
        <w:rPr>
          <w:rFonts w:hAnsi="標楷體"/>
        </w:rPr>
        <w:t>達1,600億元。</w:t>
      </w:r>
      <w:r w:rsidR="00D41A19" w:rsidRPr="00796EA9">
        <w:rPr>
          <w:rFonts w:hAnsi="標楷體" w:hint="eastAsia"/>
        </w:rPr>
        <w:t>上開資金缺口係</w:t>
      </w:r>
      <w:r w:rsidR="002755B8" w:rsidRPr="00796EA9">
        <w:rPr>
          <w:rFonts w:hAnsi="標楷體" w:hint="eastAsia"/>
        </w:rPr>
        <w:t>依</w:t>
      </w:r>
      <w:r w:rsidR="00D41A19" w:rsidRPr="00796EA9">
        <w:rPr>
          <w:rFonts w:hAnsi="標楷體" w:hint="eastAsia"/>
        </w:rPr>
        <w:t>現行重大建設所需資金推估而得，</w:t>
      </w:r>
      <w:proofErr w:type="gramStart"/>
      <w:r w:rsidR="00D41A19" w:rsidRPr="00796EA9">
        <w:rPr>
          <w:rFonts w:hAnsi="標楷體" w:hint="eastAsia"/>
        </w:rPr>
        <w:t>然</w:t>
      </w:r>
      <w:r w:rsidR="00695A0C" w:rsidRPr="00796EA9">
        <w:rPr>
          <w:rFonts w:hAnsi="標楷體" w:hint="eastAsia"/>
        </w:rPr>
        <w:t>桃機</w:t>
      </w:r>
      <w:proofErr w:type="gramEnd"/>
      <w:r w:rsidR="00695A0C" w:rsidRPr="00796EA9">
        <w:rPr>
          <w:rFonts w:hAnsi="標楷體" w:hint="eastAsia"/>
        </w:rPr>
        <w:t>公司近年來重大建設計畫</w:t>
      </w:r>
      <w:r w:rsidR="00A3734E" w:rsidRPr="00796EA9">
        <w:rPr>
          <w:rFonts w:hAnsi="標楷體" w:hint="eastAsia"/>
        </w:rPr>
        <w:t>已有</w:t>
      </w:r>
      <w:r w:rsidR="00695A0C" w:rsidRPr="00796EA9">
        <w:rPr>
          <w:rFonts w:hAnsi="標楷體" w:hint="eastAsia"/>
        </w:rPr>
        <w:t>多次修正延後完工期程或增加經費</w:t>
      </w:r>
      <w:r w:rsidR="000632CE" w:rsidRPr="00796EA9">
        <w:rPr>
          <w:rStyle w:val="afe"/>
          <w:rFonts w:hAnsi="標楷體"/>
        </w:rPr>
        <w:footnoteReference w:id="7"/>
      </w:r>
      <w:r w:rsidR="000632CE" w:rsidRPr="00796EA9">
        <w:rPr>
          <w:rFonts w:hAnsi="標楷體" w:hint="eastAsia"/>
          <w:vertAlign w:val="superscript"/>
        </w:rPr>
        <w:t>、</w:t>
      </w:r>
      <w:r w:rsidR="00695A0C" w:rsidRPr="00796EA9">
        <w:rPr>
          <w:rStyle w:val="afe"/>
          <w:rFonts w:hAnsi="標楷體"/>
        </w:rPr>
        <w:footnoteReference w:id="8"/>
      </w:r>
      <w:r w:rsidR="00A3734E" w:rsidRPr="00796EA9">
        <w:rPr>
          <w:rFonts w:hAnsi="標楷體" w:hint="eastAsia"/>
        </w:rPr>
        <w:t>，</w:t>
      </w:r>
      <w:r w:rsidR="00D3552E" w:rsidRPr="00796EA9">
        <w:rPr>
          <w:rFonts w:hAnsi="標楷體" w:hint="eastAsia"/>
        </w:rPr>
        <w:t>顯已</w:t>
      </w:r>
      <w:proofErr w:type="gramStart"/>
      <w:r w:rsidR="002755B8" w:rsidRPr="00796EA9">
        <w:rPr>
          <w:rFonts w:hAnsi="標楷體" w:hint="eastAsia"/>
        </w:rPr>
        <w:t>增加</w:t>
      </w:r>
      <w:r w:rsidR="00A3734E" w:rsidRPr="00796EA9">
        <w:rPr>
          <w:rFonts w:hAnsi="標楷體" w:hint="eastAsia"/>
        </w:rPr>
        <w:t>桃機公司</w:t>
      </w:r>
      <w:proofErr w:type="gramEnd"/>
      <w:r w:rsidR="002755B8" w:rsidRPr="00796EA9">
        <w:rPr>
          <w:rFonts w:hAnsi="標楷體" w:hint="eastAsia"/>
        </w:rPr>
        <w:t>之</w:t>
      </w:r>
      <w:r w:rsidR="00A3734E" w:rsidRPr="00796EA9">
        <w:rPr>
          <w:rFonts w:hAnsi="標楷體" w:hint="eastAsia"/>
        </w:rPr>
        <w:t>財務負擔。</w:t>
      </w:r>
    </w:p>
    <w:p w:rsidR="000233DC" w:rsidRPr="00796EA9" w:rsidRDefault="00D3552E" w:rsidP="000233DC">
      <w:pPr>
        <w:pStyle w:val="3"/>
      </w:pPr>
      <w:proofErr w:type="gramStart"/>
      <w:r w:rsidRPr="00796EA9">
        <w:rPr>
          <w:rFonts w:hAnsi="標楷體" w:hint="eastAsia"/>
        </w:rPr>
        <w:t>再者，</w:t>
      </w:r>
      <w:proofErr w:type="gramEnd"/>
      <w:r w:rsidR="00A3734E" w:rsidRPr="00796EA9">
        <w:rPr>
          <w:rFonts w:hAnsi="標楷體" w:hint="eastAsia"/>
        </w:rPr>
        <w:t>目前為紓解第一、第二航廈容量不足問題，</w:t>
      </w:r>
      <w:r w:rsidR="00A3734E" w:rsidRPr="00796EA9">
        <w:rPr>
          <w:rFonts w:hint="eastAsia"/>
        </w:rPr>
        <w:t>規劃於既有南北跑道間之</w:t>
      </w:r>
      <w:proofErr w:type="gramStart"/>
      <w:r w:rsidR="00A3734E" w:rsidRPr="00796EA9">
        <w:rPr>
          <w:rFonts w:hint="eastAsia"/>
        </w:rPr>
        <w:t>中央廊帶興建</w:t>
      </w:r>
      <w:proofErr w:type="gramEnd"/>
      <w:r w:rsidR="00A3734E" w:rsidRPr="00796EA9">
        <w:rPr>
          <w:rFonts w:hint="eastAsia"/>
        </w:rPr>
        <w:t>第三航站區，</w:t>
      </w:r>
      <w:proofErr w:type="gramStart"/>
      <w:r w:rsidR="00A3734E" w:rsidRPr="00796EA9">
        <w:rPr>
          <w:rFonts w:hint="eastAsia"/>
        </w:rPr>
        <w:t>桃機公司</w:t>
      </w:r>
      <w:proofErr w:type="gramEnd"/>
      <w:r w:rsidR="00A3734E" w:rsidRPr="00796EA9">
        <w:rPr>
          <w:rFonts w:hint="eastAsia"/>
        </w:rPr>
        <w:t>「臺灣桃園國際機場第三航站區建設計畫」投資總額746.89億元，計畫期程自101年1月至111年12月，截至</w:t>
      </w:r>
      <w:proofErr w:type="gramStart"/>
      <w:r w:rsidR="00A3734E" w:rsidRPr="00796EA9">
        <w:rPr>
          <w:rFonts w:hint="eastAsia"/>
        </w:rPr>
        <w:t>107</w:t>
      </w:r>
      <w:proofErr w:type="gramEnd"/>
      <w:r w:rsidR="00A3734E" w:rsidRPr="00796EA9">
        <w:rPr>
          <w:rFonts w:hint="eastAsia"/>
        </w:rPr>
        <w:t>年度已編預算126.84億元，</w:t>
      </w:r>
      <w:r w:rsidR="002755B8" w:rsidRPr="00796EA9">
        <w:rPr>
          <w:rFonts w:hint="eastAsia"/>
        </w:rPr>
        <w:t>惟迄</w:t>
      </w:r>
      <w:r w:rsidR="00A3734E" w:rsidRPr="00796EA9">
        <w:rPr>
          <w:rFonts w:hint="eastAsia"/>
        </w:rPr>
        <w:t>107年6月</w:t>
      </w:r>
      <w:r w:rsidR="00A3734E" w:rsidRPr="00796EA9">
        <w:rPr>
          <w:szCs w:val="32"/>
        </w:rPr>
        <w:t>預定總累計進度23.21％，實際總累計進度</w:t>
      </w:r>
      <w:r w:rsidR="002755B8" w:rsidRPr="00796EA9">
        <w:rPr>
          <w:rFonts w:hint="eastAsia"/>
          <w:szCs w:val="32"/>
        </w:rPr>
        <w:t>則為</w:t>
      </w:r>
      <w:r w:rsidR="00A3734E" w:rsidRPr="00796EA9">
        <w:rPr>
          <w:szCs w:val="32"/>
        </w:rPr>
        <w:t>20.38％</w:t>
      </w:r>
      <w:r w:rsidR="00A3734E" w:rsidRPr="00796EA9">
        <w:rPr>
          <w:rFonts w:hint="eastAsia"/>
        </w:rPr>
        <w:t>，實際進度未如預期。第三航站區建設計畫主要工作項目分為5大階段</w:t>
      </w:r>
      <w:r w:rsidR="00A3734E" w:rsidRPr="00796EA9">
        <w:rPr>
          <w:rStyle w:val="afe"/>
          <w:rFonts w:hAnsi="標楷體"/>
        </w:rPr>
        <w:footnoteReference w:id="9"/>
      </w:r>
      <w:r w:rsidR="00A3734E" w:rsidRPr="00796EA9">
        <w:rPr>
          <w:rFonts w:hint="eastAsia"/>
        </w:rPr>
        <w:t>，建設分期為7個階段</w:t>
      </w:r>
      <w:r w:rsidR="00A3734E" w:rsidRPr="00796EA9">
        <w:rPr>
          <w:rStyle w:val="afe"/>
          <w:rFonts w:hAnsi="標楷體"/>
        </w:rPr>
        <w:footnoteReference w:id="10"/>
      </w:r>
      <w:r w:rsidR="00A3734E" w:rsidRPr="00796EA9">
        <w:rPr>
          <w:rFonts w:hint="eastAsia"/>
        </w:rPr>
        <w:t>，前三階段建設期主要為WC滑行道遷建及</w:t>
      </w:r>
      <w:proofErr w:type="gramStart"/>
      <w:r w:rsidR="00A3734E" w:rsidRPr="00796EA9">
        <w:rPr>
          <w:rFonts w:hint="eastAsia"/>
        </w:rPr>
        <w:t>雙線化工程</w:t>
      </w:r>
      <w:proofErr w:type="gramEnd"/>
      <w:r w:rsidR="00A3734E" w:rsidRPr="00796EA9">
        <w:rPr>
          <w:rFonts w:hint="eastAsia"/>
        </w:rPr>
        <w:t>，建設期之後四階段係第三航站區與多功能大樓等，為該計畫之重點建設。該計畫預估總工期約42個月，第三航廈之主體航廈工期約39個</w:t>
      </w:r>
      <w:r w:rsidR="00A3734E" w:rsidRPr="00796EA9">
        <w:rPr>
          <w:rFonts w:hint="eastAsia"/>
        </w:rPr>
        <w:lastRenderedPageBreak/>
        <w:t>月，預估於109年底開始辦理試營運</w:t>
      </w:r>
      <w:r w:rsidR="00A3734E" w:rsidRPr="00796EA9">
        <w:rPr>
          <w:rStyle w:val="afe"/>
          <w:rFonts w:hAnsi="標楷體"/>
        </w:rPr>
        <w:footnoteReference w:id="11"/>
      </w:r>
      <w:r w:rsidR="00A3734E" w:rsidRPr="00796EA9">
        <w:rPr>
          <w:rFonts w:hint="eastAsia"/>
        </w:rPr>
        <w:t>，估計可增加容納4,500萬人次</w:t>
      </w:r>
      <w:r w:rsidR="00A3734E" w:rsidRPr="00796EA9">
        <w:rPr>
          <w:rFonts w:hint="eastAsia"/>
          <w:spacing w:val="20"/>
        </w:rPr>
        <w:t>，</w:t>
      </w:r>
      <w:r w:rsidR="00A3734E" w:rsidRPr="00796EA9">
        <w:rPr>
          <w:rFonts w:hAnsi="標楷體" w:hint="eastAsia"/>
        </w:rPr>
        <w:t>並於第三航廈啟用時，封閉第二航廈進行全面整修，</w:t>
      </w:r>
      <w:proofErr w:type="gramStart"/>
      <w:r w:rsidR="00A3734E" w:rsidRPr="00796EA9">
        <w:rPr>
          <w:rFonts w:hAnsi="標楷體" w:hint="eastAsia"/>
        </w:rPr>
        <w:t>汰</w:t>
      </w:r>
      <w:proofErr w:type="gramEnd"/>
      <w:r w:rsidR="00A3734E" w:rsidRPr="00796EA9">
        <w:rPr>
          <w:rFonts w:hAnsi="標楷體" w:hint="eastAsia"/>
        </w:rPr>
        <w:t>換水電管線等基礎設施，以提高營運穩定性</w:t>
      </w:r>
      <w:r w:rsidR="00A3734E" w:rsidRPr="00796EA9">
        <w:rPr>
          <w:rStyle w:val="afe"/>
          <w:rFonts w:hAnsi="標楷體"/>
        </w:rPr>
        <w:footnoteReference w:id="12"/>
      </w:r>
      <w:r w:rsidR="00A3734E" w:rsidRPr="00796EA9">
        <w:rPr>
          <w:rFonts w:hAnsi="標楷體" w:hint="eastAsia"/>
        </w:rPr>
        <w:t>。</w:t>
      </w:r>
      <w:proofErr w:type="gramStart"/>
      <w:r w:rsidR="00A3734E" w:rsidRPr="00796EA9">
        <w:rPr>
          <w:rFonts w:hAnsi="標楷體" w:hint="eastAsia"/>
        </w:rPr>
        <w:t>惟查該</w:t>
      </w:r>
      <w:proofErr w:type="gramEnd"/>
      <w:r w:rsidR="00A3734E" w:rsidRPr="00796EA9">
        <w:rPr>
          <w:rFonts w:hAnsi="標楷體"/>
          <w:szCs w:val="32"/>
        </w:rPr>
        <w:t>計畫</w:t>
      </w:r>
      <w:proofErr w:type="gramStart"/>
      <w:r w:rsidR="00A3734E" w:rsidRPr="00796EA9">
        <w:rPr>
          <w:rFonts w:hAnsi="標楷體"/>
          <w:szCs w:val="32"/>
        </w:rPr>
        <w:t>因桃機公司</w:t>
      </w:r>
      <w:proofErr w:type="gramEnd"/>
      <w:r w:rsidR="00A3734E" w:rsidRPr="00796EA9">
        <w:rPr>
          <w:rFonts w:hAnsi="標楷體" w:hint="eastAsia"/>
          <w:szCs w:val="32"/>
        </w:rPr>
        <w:t>辦理</w:t>
      </w:r>
      <w:r w:rsidR="00A3734E" w:rsidRPr="00796EA9">
        <w:rPr>
          <w:rFonts w:hAnsi="標楷體"/>
          <w:szCs w:val="32"/>
        </w:rPr>
        <w:t>2</w:t>
      </w:r>
      <w:r w:rsidR="00A3734E" w:rsidRPr="00796EA9">
        <w:rPr>
          <w:rFonts w:hAnsi="標楷體" w:hint="eastAsia"/>
          <w:szCs w:val="32"/>
        </w:rPr>
        <w:t>次廠商說明會中，營建業者反映主體</w:t>
      </w:r>
      <w:proofErr w:type="gramStart"/>
      <w:r w:rsidR="00A3734E" w:rsidRPr="00796EA9">
        <w:rPr>
          <w:rFonts w:hAnsi="標楷體" w:hint="eastAsia"/>
          <w:szCs w:val="32"/>
        </w:rPr>
        <w:t>航廈量體</w:t>
      </w:r>
      <w:proofErr w:type="gramEnd"/>
      <w:r w:rsidR="00A3734E" w:rsidRPr="00796EA9">
        <w:rPr>
          <w:rFonts w:hAnsi="標楷體" w:hint="eastAsia"/>
          <w:szCs w:val="32"/>
        </w:rPr>
        <w:t>龐大、介面複雜，原計畫範疇內完工期程（工期</w:t>
      </w:r>
      <w:r w:rsidR="00A3734E" w:rsidRPr="00796EA9">
        <w:rPr>
          <w:rFonts w:hAnsi="標楷體"/>
          <w:szCs w:val="32"/>
        </w:rPr>
        <w:t>33</w:t>
      </w:r>
      <w:r w:rsidR="00A3734E" w:rsidRPr="00796EA9">
        <w:rPr>
          <w:rFonts w:hAnsi="標楷體" w:hint="eastAsia"/>
          <w:szCs w:val="32"/>
        </w:rPr>
        <w:t>個月）實無達成可能性，建議工期至少應有</w:t>
      </w:r>
      <w:r w:rsidR="00A3734E" w:rsidRPr="00796EA9">
        <w:rPr>
          <w:rFonts w:hAnsi="標楷體"/>
          <w:szCs w:val="32"/>
        </w:rPr>
        <w:t>52</w:t>
      </w:r>
      <w:r w:rsidR="00A3734E" w:rsidRPr="00796EA9">
        <w:rPr>
          <w:rFonts w:hAnsi="標楷體" w:hint="eastAsia"/>
          <w:szCs w:val="32"/>
        </w:rPr>
        <w:t>個月;另交通部及</w:t>
      </w:r>
      <w:r w:rsidR="00A3734E" w:rsidRPr="00796EA9">
        <w:rPr>
          <w:rFonts w:hAnsi="標楷體"/>
          <w:szCs w:val="32"/>
        </w:rPr>
        <w:t>桃機公司</w:t>
      </w:r>
      <w:r w:rsidR="00A3734E" w:rsidRPr="00796EA9">
        <w:rPr>
          <w:rFonts w:hAnsi="標楷體" w:hint="eastAsia"/>
          <w:szCs w:val="32"/>
        </w:rPr>
        <w:t>於</w:t>
      </w:r>
      <w:r w:rsidR="00A3734E" w:rsidRPr="00796EA9">
        <w:rPr>
          <w:rFonts w:hAnsi="標楷體"/>
          <w:szCs w:val="32"/>
        </w:rPr>
        <w:t>107</w:t>
      </w:r>
      <w:r w:rsidR="00A3734E" w:rsidRPr="00796EA9">
        <w:rPr>
          <w:rFonts w:hAnsi="標楷體" w:hint="eastAsia"/>
          <w:szCs w:val="32"/>
        </w:rPr>
        <w:t>年</w:t>
      </w:r>
      <w:r w:rsidR="00A3734E" w:rsidRPr="00796EA9">
        <w:rPr>
          <w:rFonts w:hAnsi="標楷體"/>
          <w:szCs w:val="32"/>
        </w:rPr>
        <w:t>2</w:t>
      </w:r>
      <w:r w:rsidR="00A3734E" w:rsidRPr="00796EA9">
        <w:rPr>
          <w:rFonts w:hAnsi="標楷體" w:hint="eastAsia"/>
          <w:szCs w:val="32"/>
        </w:rPr>
        <w:t>月至</w:t>
      </w:r>
      <w:r w:rsidR="00A3734E" w:rsidRPr="00796EA9">
        <w:rPr>
          <w:rFonts w:hAnsi="標楷體"/>
          <w:szCs w:val="32"/>
        </w:rPr>
        <w:t>4</w:t>
      </w:r>
      <w:r w:rsidR="00A3734E" w:rsidRPr="00796EA9">
        <w:rPr>
          <w:rFonts w:hAnsi="標楷體" w:hint="eastAsia"/>
          <w:szCs w:val="32"/>
        </w:rPr>
        <w:t>月間邀請外部專家學者召開多次審查會議，考量目前國內公共工程推案量大於廠商可承接量，市場缺工嚴重，已為賣方市場，應設法提高投標誘因及降低廠商面對風險，主體航廈工期為</w:t>
      </w:r>
      <w:r w:rsidR="00A3734E" w:rsidRPr="00796EA9">
        <w:rPr>
          <w:rFonts w:hAnsi="標楷體"/>
          <w:szCs w:val="32"/>
        </w:rPr>
        <w:t>52</w:t>
      </w:r>
      <w:r w:rsidR="00A3734E" w:rsidRPr="00796EA9">
        <w:rPr>
          <w:rFonts w:hAnsi="標楷體" w:hint="eastAsia"/>
          <w:szCs w:val="32"/>
        </w:rPr>
        <w:t>個月，尚屬合宜，</w:t>
      </w:r>
      <w:proofErr w:type="gramStart"/>
      <w:r w:rsidR="00A3734E" w:rsidRPr="00796EA9">
        <w:rPr>
          <w:rFonts w:hAnsi="標楷體" w:hint="eastAsia"/>
          <w:szCs w:val="32"/>
        </w:rPr>
        <w:t>以致須展延</w:t>
      </w:r>
      <w:proofErr w:type="gramEnd"/>
      <w:r w:rsidR="00A3734E" w:rsidRPr="00796EA9">
        <w:rPr>
          <w:rFonts w:hAnsi="標楷體" w:hint="eastAsia"/>
          <w:szCs w:val="32"/>
        </w:rPr>
        <w:t>第三航站區建設計畫</w:t>
      </w:r>
      <w:r w:rsidR="002755B8" w:rsidRPr="00796EA9">
        <w:rPr>
          <w:rFonts w:hAnsi="標楷體" w:hint="eastAsia"/>
          <w:szCs w:val="32"/>
        </w:rPr>
        <w:t>完工</w:t>
      </w:r>
      <w:r w:rsidR="00A3734E" w:rsidRPr="00796EA9">
        <w:rPr>
          <w:rFonts w:hAnsi="標楷體" w:hint="eastAsia"/>
          <w:szCs w:val="32"/>
        </w:rPr>
        <w:t>期程。經</w:t>
      </w:r>
      <w:r w:rsidR="00A3734E" w:rsidRPr="00796EA9">
        <w:rPr>
          <w:rFonts w:hAnsi="標楷體" w:hint="eastAsia"/>
        </w:rPr>
        <w:t>該公司檢討後，將第三航廈主體航廈完工期延至111年底</w:t>
      </w:r>
      <w:r w:rsidR="00A3734E" w:rsidRPr="00796EA9">
        <w:rPr>
          <w:rStyle w:val="afe"/>
          <w:rFonts w:hAnsi="標楷體"/>
        </w:rPr>
        <w:footnoteReference w:id="13"/>
      </w:r>
      <w:r w:rsidR="00A3734E" w:rsidRPr="00796EA9">
        <w:rPr>
          <w:rFonts w:hAnsi="標楷體" w:hint="eastAsia"/>
        </w:rPr>
        <w:t>，</w:t>
      </w:r>
      <w:r w:rsidR="00A3734E" w:rsidRPr="00796EA9">
        <w:rPr>
          <w:rFonts w:hAnsi="標楷體"/>
        </w:rPr>
        <w:t>總經費預計調整為799億元</w:t>
      </w:r>
      <w:r w:rsidR="00A3734E" w:rsidRPr="00796EA9">
        <w:rPr>
          <w:rStyle w:val="afe"/>
          <w:rFonts w:hAnsi="標楷體"/>
        </w:rPr>
        <w:footnoteReference w:id="14"/>
      </w:r>
      <w:r w:rsidR="00A3734E" w:rsidRPr="00796EA9">
        <w:rPr>
          <w:rFonts w:hAnsi="標楷體" w:hint="eastAsia"/>
        </w:rPr>
        <w:t>，不僅將影響目前航廈提供旅客之服務，第二航廈之整修</w:t>
      </w:r>
      <w:proofErr w:type="gramStart"/>
      <w:r w:rsidR="00A3734E" w:rsidRPr="00796EA9">
        <w:rPr>
          <w:rFonts w:hAnsi="標楷體" w:hint="eastAsia"/>
        </w:rPr>
        <w:t>時程亦將</w:t>
      </w:r>
      <w:proofErr w:type="gramEnd"/>
      <w:r w:rsidR="00A3734E" w:rsidRPr="00796EA9">
        <w:rPr>
          <w:rFonts w:hAnsi="標楷體" w:hint="eastAsia"/>
        </w:rPr>
        <w:t>受耽擱。</w:t>
      </w:r>
      <w:r w:rsidR="00743031" w:rsidRPr="00796EA9">
        <w:rPr>
          <w:rFonts w:hAnsi="標楷體" w:hint="eastAsia"/>
        </w:rPr>
        <w:t>是</w:t>
      </w:r>
      <w:r w:rsidR="00D41A19" w:rsidRPr="00796EA9">
        <w:rPr>
          <w:rFonts w:hAnsi="標楷體" w:hint="eastAsia"/>
        </w:rPr>
        <w:t>重大</w:t>
      </w:r>
      <w:r w:rsidR="00D41A19" w:rsidRPr="00796EA9">
        <w:rPr>
          <w:rFonts w:hAnsi="標楷體"/>
        </w:rPr>
        <w:t>建設計畫</w:t>
      </w:r>
      <w:r w:rsidR="00D41A19" w:rsidRPr="00796EA9">
        <w:rPr>
          <w:rFonts w:hAnsi="標楷體" w:hint="eastAsia"/>
        </w:rPr>
        <w:t>如因規劃</w:t>
      </w:r>
      <w:r w:rsidR="00695A0C" w:rsidRPr="00796EA9">
        <w:rPr>
          <w:rFonts w:hAnsi="標楷體" w:hint="eastAsia"/>
        </w:rPr>
        <w:t>或執行</w:t>
      </w:r>
      <w:r w:rsidR="00D41A19" w:rsidRPr="00796EA9">
        <w:rPr>
          <w:rFonts w:hAnsi="標楷體" w:hint="eastAsia"/>
        </w:rPr>
        <w:t>不當</w:t>
      </w:r>
      <w:r w:rsidR="00695A0C" w:rsidRPr="00796EA9">
        <w:rPr>
          <w:rFonts w:hAnsi="標楷體" w:hint="eastAsia"/>
        </w:rPr>
        <w:t>，</w:t>
      </w:r>
      <w:proofErr w:type="gramStart"/>
      <w:r w:rsidR="00695A0C" w:rsidRPr="00796EA9">
        <w:rPr>
          <w:rFonts w:hAnsi="標楷體" w:hint="eastAsia"/>
        </w:rPr>
        <w:t>致延後</w:t>
      </w:r>
      <w:proofErr w:type="gramEnd"/>
      <w:r w:rsidR="00695A0C" w:rsidRPr="00796EA9">
        <w:rPr>
          <w:rFonts w:hAnsi="標楷體" w:hint="eastAsia"/>
        </w:rPr>
        <w:t>完工期程</w:t>
      </w:r>
      <w:r w:rsidR="00743031" w:rsidRPr="00796EA9">
        <w:rPr>
          <w:rFonts w:hAnsi="標楷體" w:hint="eastAsia"/>
        </w:rPr>
        <w:t>及</w:t>
      </w:r>
      <w:r w:rsidR="00D41A19" w:rsidRPr="00796EA9">
        <w:rPr>
          <w:rFonts w:hAnsi="標楷體" w:hint="eastAsia"/>
        </w:rPr>
        <w:t>大幅追加</w:t>
      </w:r>
      <w:r w:rsidR="00D41A19" w:rsidRPr="00796EA9">
        <w:rPr>
          <w:rFonts w:hAnsi="標楷體"/>
        </w:rPr>
        <w:t>預算將</w:t>
      </w:r>
      <w:proofErr w:type="gramStart"/>
      <w:r w:rsidR="002755B8" w:rsidRPr="00796EA9">
        <w:rPr>
          <w:rFonts w:hAnsi="標楷體"/>
        </w:rPr>
        <w:t>擴大</w:t>
      </w:r>
      <w:r w:rsidR="00D41A19" w:rsidRPr="00796EA9">
        <w:rPr>
          <w:rFonts w:hAnsi="標楷體"/>
        </w:rPr>
        <w:t>桃機公司</w:t>
      </w:r>
      <w:proofErr w:type="gramEnd"/>
      <w:r w:rsidR="00743031" w:rsidRPr="00796EA9">
        <w:rPr>
          <w:rFonts w:hAnsi="標楷體"/>
        </w:rPr>
        <w:t>資金缺口</w:t>
      </w:r>
      <w:r w:rsidR="00743031" w:rsidRPr="00796EA9">
        <w:rPr>
          <w:rFonts w:hAnsi="標楷體" w:hint="eastAsia"/>
        </w:rPr>
        <w:t>，</w:t>
      </w:r>
      <w:r w:rsidR="002755B8" w:rsidRPr="00796EA9">
        <w:rPr>
          <w:rFonts w:hAnsi="標楷體"/>
        </w:rPr>
        <w:t>提高</w:t>
      </w:r>
      <w:r w:rsidR="00D41A19" w:rsidRPr="00796EA9">
        <w:rPr>
          <w:rFonts w:hAnsi="標楷體"/>
        </w:rPr>
        <w:t>財務風險</w:t>
      </w:r>
      <w:r w:rsidR="00743031" w:rsidRPr="00796EA9">
        <w:rPr>
          <w:rFonts w:hAnsi="標楷體" w:hint="eastAsia"/>
        </w:rPr>
        <w:t>與</w:t>
      </w:r>
      <w:r w:rsidR="00D41A19" w:rsidRPr="00796EA9">
        <w:rPr>
          <w:rFonts w:hAnsi="標楷體"/>
        </w:rPr>
        <w:t>負債比率</w:t>
      </w:r>
      <w:r w:rsidR="00D41A19" w:rsidRPr="00796EA9">
        <w:rPr>
          <w:rFonts w:hAnsi="標楷體" w:hint="eastAsia"/>
        </w:rPr>
        <w:t>，財務狀況勢必惡化</w:t>
      </w:r>
      <w:r w:rsidR="00D41A19" w:rsidRPr="00796EA9">
        <w:rPr>
          <w:rFonts w:hAnsi="標楷體"/>
        </w:rPr>
        <w:t>。</w:t>
      </w:r>
    </w:p>
    <w:p w:rsidR="000D4BC1" w:rsidRPr="00796EA9" w:rsidRDefault="00743031" w:rsidP="000D4BC1">
      <w:pPr>
        <w:pStyle w:val="3"/>
      </w:pPr>
      <w:r w:rsidRPr="00796EA9">
        <w:rPr>
          <w:rFonts w:hint="eastAsia"/>
        </w:rPr>
        <w:t>依據</w:t>
      </w:r>
      <w:r w:rsidRPr="00796EA9">
        <w:t>「國營國際機場園區股份有限公司設置條例」第2條第2項</w:t>
      </w:r>
      <w:r w:rsidRPr="00796EA9">
        <w:rPr>
          <w:rFonts w:hint="eastAsia"/>
        </w:rPr>
        <w:t>規定</w:t>
      </w:r>
      <w:r w:rsidRPr="00796EA9">
        <w:t>：「機場公司由政府獨資經營。」</w:t>
      </w:r>
      <w:r w:rsidRPr="00796EA9">
        <w:rPr>
          <w:rFonts w:hint="eastAsia"/>
        </w:rPr>
        <w:t>另「</w:t>
      </w:r>
      <w:r w:rsidRPr="00796EA9">
        <w:t>國際機場園區發展條例</w:t>
      </w:r>
      <w:r w:rsidRPr="00796EA9">
        <w:rPr>
          <w:rFonts w:hint="eastAsia"/>
        </w:rPr>
        <w:t>」</w:t>
      </w:r>
      <w:r w:rsidRPr="00796EA9">
        <w:t>第22條第2項</w:t>
      </w:r>
      <w:r w:rsidRPr="00796EA9">
        <w:rPr>
          <w:rFonts w:hint="eastAsia"/>
        </w:rPr>
        <w:t>規定</w:t>
      </w:r>
      <w:r w:rsidRPr="00796EA9">
        <w:t>：「機場公司於完納稅捐彌補虧損，並提列盈餘</w:t>
      </w:r>
      <w:proofErr w:type="gramStart"/>
      <w:r w:rsidRPr="00796EA9">
        <w:t>公積後</w:t>
      </w:r>
      <w:proofErr w:type="gramEnd"/>
      <w:r w:rsidRPr="00796EA9">
        <w:t>，盈餘之18％應</w:t>
      </w:r>
      <w:proofErr w:type="gramStart"/>
      <w:r w:rsidRPr="00796EA9">
        <w:t>提撥</w:t>
      </w:r>
      <w:proofErr w:type="gramEnd"/>
      <w:r w:rsidRPr="00796EA9">
        <w:t>予園區所在地之直轄市、縣(市)政府，其餘盈餘應分配予</w:t>
      </w:r>
      <w:r w:rsidR="002755B8" w:rsidRPr="00796EA9">
        <w:rPr>
          <w:rFonts w:hAnsi="標楷體" w:hint="eastAsia"/>
        </w:rPr>
        <w:t>『</w:t>
      </w:r>
      <w:r w:rsidRPr="00796EA9">
        <w:t>民航事業作業基金</w:t>
      </w:r>
      <w:r w:rsidR="002755B8" w:rsidRPr="00796EA9">
        <w:rPr>
          <w:rFonts w:hAnsi="標楷體" w:hint="eastAsia"/>
        </w:rPr>
        <w:t>』</w:t>
      </w:r>
      <w:r w:rsidRPr="00796EA9">
        <w:t>。」</w:t>
      </w:r>
      <w:r w:rsidRPr="00796EA9">
        <w:rPr>
          <w:rFonts w:hint="eastAsia"/>
        </w:rPr>
        <w:lastRenderedPageBreak/>
        <w:t>是</w:t>
      </w:r>
      <w:proofErr w:type="gramStart"/>
      <w:r w:rsidR="002755B8" w:rsidRPr="00796EA9">
        <w:rPr>
          <w:rFonts w:hint="eastAsia"/>
        </w:rPr>
        <w:t>以</w:t>
      </w:r>
      <w:r w:rsidRPr="00796EA9">
        <w:rPr>
          <w:rFonts w:hint="eastAsia"/>
        </w:rPr>
        <w:t>桃機公司</w:t>
      </w:r>
      <w:proofErr w:type="gramEnd"/>
      <w:r w:rsidRPr="00796EA9">
        <w:rPr>
          <w:rFonts w:hint="eastAsia"/>
        </w:rPr>
        <w:t>依法為政府獨資國營事業，且</w:t>
      </w:r>
      <w:r w:rsidRPr="00796EA9">
        <w:t>盈餘分配依據</w:t>
      </w:r>
      <w:r w:rsidRPr="00796EA9">
        <w:rPr>
          <w:rFonts w:hint="eastAsia"/>
        </w:rPr>
        <w:t>「</w:t>
      </w:r>
      <w:r w:rsidRPr="00796EA9">
        <w:t>公司法</w:t>
      </w:r>
      <w:r w:rsidRPr="00796EA9">
        <w:rPr>
          <w:rFonts w:hint="eastAsia"/>
        </w:rPr>
        <w:t>」</w:t>
      </w:r>
      <w:r w:rsidRPr="00796EA9">
        <w:t>第112條應提10％法定盈餘公積，復依立法院第8屆第1會期交通委員會第9次全體委員會通過之臨時提案，</w:t>
      </w:r>
      <w:proofErr w:type="gramStart"/>
      <w:r w:rsidRPr="00796EA9">
        <w:t>提撥</w:t>
      </w:r>
      <w:proofErr w:type="gramEnd"/>
      <w:r w:rsidRPr="00796EA9">
        <w:t>特別盈餘公積不得超過25％</w:t>
      </w:r>
      <w:r w:rsidR="002755B8" w:rsidRPr="00796EA9">
        <w:rPr>
          <w:rFonts w:hint="eastAsia"/>
        </w:rPr>
        <w:t>，故</w:t>
      </w:r>
      <w:proofErr w:type="gramStart"/>
      <w:r w:rsidR="002755B8" w:rsidRPr="00796EA9">
        <w:rPr>
          <w:rFonts w:hint="eastAsia"/>
        </w:rPr>
        <w:t>現階段桃機公司</w:t>
      </w:r>
      <w:proofErr w:type="gramEnd"/>
      <w:r w:rsidR="002755B8" w:rsidRPr="00796EA9">
        <w:rPr>
          <w:rFonts w:hint="eastAsia"/>
        </w:rPr>
        <w:t>未若專家學者所建議有開放外資經營之可能</w:t>
      </w:r>
      <w:r w:rsidRPr="00796EA9">
        <w:t>。</w:t>
      </w:r>
      <w:r w:rsidR="002755B8" w:rsidRPr="00796EA9">
        <w:rPr>
          <w:rFonts w:hint="eastAsia"/>
        </w:rPr>
        <w:t>另</w:t>
      </w:r>
      <w:r w:rsidRPr="00796EA9">
        <w:t>依</w:t>
      </w:r>
      <w:r w:rsidRPr="00796EA9">
        <w:rPr>
          <w:rFonts w:hint="eastAsia"/>
        </w:rPr>
        <w:t>「</w:t>
      </w:r>
      <w:r w:rsidRPr="00796EA9">
        <w:t>國際機場園區發展條例</w:t>
      </w:r>
      <w:r w:rsidRPr="00796EA9">
        <w:rPr>
          <w:rFonts w:hint="eastAsia"/>
        </w:rPr>
        <w:t>」</w:t>
      </w:r>
      <w:r w:rsidRPr="00796EA9">
        <w:t>第22條機場公司完納稅捐彌補虧損，並提列盈餘</w:t>
      </w:r>
      <w:proofErr w:type="gramStart"/>
      <w:r w:rsidRPr="00796EA9">
        <w:t>公積後</w:t>
      </w:r>
      <w:proofErr w:type="gramEnd"/>
      <w:r w:rsidRPr="00796EA9">
        <w:t>，</w:t>
      </w:r>
      <w:r w:rsidRPr="00796EA9">
        <w:rPr>
          <w:rFonts w:hint="eastAsia"/>
        </w:rPr>
        <w:t>剩下65％</w:t>
      </w:r>
      <w:r w:rsidRPr="00796EA9">
        <w:t>盈餘之18</w:t>
      </w:r>
      <w:r w:rsidRPr="00796EA9">
        <w:rPr>
          <w:rFonts w:hint="eastAsia"/>
        </w:rPr>
        <w:t>％</w:t>
      </w:r>
      <w:r w:rsidRPr="00796EA9">
        <w:t>應</w:t>
      </w:r>
      <w:proofErr w:type="gramStart"/>
      <w:r w:rsidRPr="00796EA9">
        <w:t>提撥</w:t>
      </w:r>
      <w:proofErr w:type="gramEnd"/>
      <w:r w:rsidRPr="00796EA9">
        <w:t>予園區所在地之直轄市、縣（市）政府，其餘盈餘，應分配予</w:t>
      </w:r>
      <w:r w:rsidRPr="00796EA9">
        <w:rPr>
          <w:rFonts w:hint="eastAsia"/>
        </w:rPr>
        <w:t>「民航事業作業基金」</w:t>
      </w:r>
      <w:r w:rsidRPr="00796EA9">
        <w:t>。</w:t>
      </w:r>
    </w:p>
    <w:p w:rsidR="000233DC" w:rsidRPr="00796EA9" w:rsidRDefault="00F76662" w:rsidP="000D4BC1">
      <w:pPr>
        <w:pStyle w:val="3"/>
      </w:pPr>
      <w:r w:rsidRPr="00796EA9">
        <w:rPr>
          <w:rFonts w:hint="eastAsia"/>
        </w:rPr>
        <w:t>「民航事業作業基金」</w:t>
      </w:r>
      <w:r w:rsidR="00D3552E" w:rsidRPr="00796EA9">
        <w:rPr>
          <w:rFonts w:hint="eastAsia"/>
        </w:rPr>
        <w:t>依其規定</w:t>
      </w:r>
      <w:r w:rsidRPr="00796EA9">
        <w:rPr>
          <w:rFonts w:hint="eastAsia"/>
        </w:rPr>
        <w:t>可</w:t>
      </w:r>
      <w:r w:rsidR="000D4BC1" w:rsidRPr="00796EA9">
        <w:rPr>
          <w:rFonts w:hint="eastAsia"/>
        </w:rPr>
        <w:t>提供</w:t>
      </w:r>
      <w:r w:rsidRPr="00796EA9">
        <w:rPr>
          <w:rFonts w:hint="eastAsia"/>
        </w:rPr>
        <w:t>場站及助航設施建設改良使用、航空客貨運園區開發支出等用途</w:t>
      </w:r>
      <w:r w:rsidR="00D3552E" w:rsidRPr="00796EA9">
        <w:rPr>
          <w:rStyle w:val="afe"/>
        </w:rPr>
        <w:footnoteReference w:id="15"/>
      </w:r>
      <w:r w:rsidRPr="00796EA9">
        <w:rPr>
          <w:rFonts w:hint="eastAsia"/>
        </w:rPr>
        <w:t>，惟</w:t>
      </w:r>
      <w:r w:rsidR="000D4BC1" w:rsidRPr="00796EA9">
        <w:rPr>
          <w:rFonts w:hint="eastAsia"/>
        </w:rPr>
        <w:t>據</w:t>
      </w:r>
      <w:r w:rsidR="000D4BC1" w:rsidRPr="00796EA9">
        <w:rPr>
          <w:rFonts w:hAnsi="標楷體" w:hint="eastAsia"/>
        </w:rPr>
        <w:t>交通部於本院詢問時說明並查內政部核定「擬定桃園國際機場園區及附近地區特定區計畫書」</w:t>
      </w:r>
      <w:r w:rsidR="00D3552E" w:rsidRPr="00796EA9">
        <w:rPr>
          <w:rFonts w:hAnsi="標楷體" w:hint="eastAsia"/>
        </w:rPr>
        <w:t>等</w:t>
      </w:r>
      <w:r w:rsidR="000D4BC1" w:rsidRPr="00796EA9">
        <w:rPr>
          <w:rFonts w:hAnsi="標楷體" w:hint="eastAsia"/>
        </w:rPr>
        <w:t>內容，</w:t>
      </w:r>
      <w:r w:rsidRPr="00796EA9">
        <w:rPr>
          <w:rFonts w:hAnsi="標楷體" w:hint="eastAsia"/>
        </w:rPr>
        <w:t>桃園航空城機場園區建設計畫之區段徵收地區之費用</w:t>
      </w:r>
      <w:r w:rsidR="002755B8" w:rsidRPr="00796EA9">
        <w:rPr>
          <w:rFonts w:hAnsi="標楷體" w:hint="eastAsia"/>
        </w:rPr>
        <w:t>高</w:t>
      </w:r>
      <w:r w:rsidRPr="00796EA9">
        <w:rPr>
          <w:rFonts w:hAnsi="標楷體" w:hint="eastAsia"/>
        </w:rPr>
        <w:t>達1,035億元，</w:t>
      </w:r>
      <w:r w:rsidR="000D4BC1" w:rsidRPr="00796EA9">
        <w:rPr>
          <w:rFonts w:hAnsi="標楷體" w:hint="eastAsia"/>
        </w:rPr>
        <w:t>由</w:t>
      </w:r>
      <w:r w:rsidR="000D4BC1" w:rsidRPr="00796EA9">
        <w:rPr>
          <w:rFonts w:hint="eastAsia"/>
        </w:rPr>
        <w:t>「民航事業作業基金」</w:t>
      </w:r>
      <w:r w:rsidR="000D4BC1" w:rsidRPr="00796EA9">
        <w:rPr>
          <w:rFonts w:hAnsi="標楷體" w:hint="eastAsia"/>
        </w:rPr>
        <w:t>編列預算取得，該基金將</w:t>
      </w:r>
      <w:r w:rsidR="000D4BC1" w:rsidRPr="00796EA9">
        <w:rPr>
          <w:rFonts w:hint="eastAsia"/>
        </w:rPr>
        <w:t>負擔經費約611億元辦理機場園區擴建用地取得及</w:t>
      </w:r>
      <w:proofErr w:type="gramStart"/>
      <w:r w:rsidR="000D4BC1" w:rsidRPr="00796EA9">
        <w:rPr>
          <w:rFonts w:hint="eastAsia"/>
        </w:rPr>
        <w:t>航管塔台</w:t>
      </w:r>
      <w:proofErr w:type="gramEnd"/>
      <w:r w:rsidR="000D4BC1" w:rsidRPr="00796EA9">
        <w:rPr>
          <w:rFonts w:hint="eastAsia"/>
        </w:rPr>
        <w:t>工程，</w:t>
      </w:r>
      <w:r w:rsidR="000D4BC1" w:rsidRPr="00796EA9">
        <w:rPr>
          <w:rFonts w:hAnsi="標楷體" w:hint="eastAsia"/>
        </w:rPr>
        <w:t>故</w:t>
      </w:r>
      <w:r w:rsidR="00D3552E" w:rsidRPr="00796EA9">
        <w:rPr>
          <w:rFonts w:hAnsi="標楷體" w:hint="eastAsia"/>
        </w:rPr>
        <w:t>該基金顯然無</w:t>
      </w:r>
      <w:r w:rsidR="002755B8" w:rsidRPr="00796EA9">
        <w:rPr>
          <w:rFonts w:hAnsi="標楷體" w:hint="eastAsia"/>
        </w:rPr>
        <w:t>力</w:t>
      </w:r>
      <w:r w:rsidR="00D3552E" w:rsidRPr="00796EA9">
        <w:rPr>
          <w:rFonts w:hAnsi="標楷體" w:hint="eastAsia"/>
        </w:rPr>
        <w:t>支應桃園機場</w:t>
      </w:r>
      <w:r w:rsidR="000D4BC1" w:rsidRPr="00796EA9">
        <w:rPr>
          <w:rFonts w:hAnsi="標楷體"/>
        </w:rPr>
        <w:t>重大建設資金</w:t>
      </w:r>
      <w:r w:rsidR="00D3552E" w:rsidRPr="00796EA9">
        <w:rPr>
          <w:rFonts w:hAnsi="標楷體" w:hint="eastAsia"/>
        </w:rPr>
        <w:t>，而</w:t>
      </w:r>
      <w:r w:rsidR="000D4BC1" w:rsidRPr="00796EA9">
        <w:rPr>
          <w:rFonts w:hAnsi="標楷體" w:hint="eastAsia"/>
        </w:rPr>
        <w:t>須</w:t>
      </w:r>
      <w:proofErr w:type="gramStart"/>
      <w:r w:rsidR="000D4BC1" w:rsidRPr="00796EA9">
        <w:rPr>
          <w:rFonts w:hAnsi="標楷體"/>
        </w:rPr>
        <w:t>由桃機公司</w:t>
      </w:r>
      <w:proofErr w:type="gramEnd"/>
      <w:r w:rsidR="000D4BC1" w:rsidRPr="00796EA9">
        <w:rPr>
          <w:rFonts w:hAnsi="標楷體"/>
        </w:rPr>
        <w:t>自籌</w:t>
      </w:r>
      <w:r w:rsidR="000D4BC1" w:rsidRPr="00796EA9">
        <w:rPr>
          <w:rFonts w:hAnsi="標楷體" w:hint="eastAsia"/>
        </w:rPr>
        <w:t>。</w:t>
      </w:r>
    </w:p>
    <w:p w:rsidR="002E53D9" w:rsidRPr="00796EA9" w:rsidRDefault="007772BE" w:rsidP="002E53D9">
      <w:pPr>
        <w:pStyle w:val="3"/>
        <w:numPr>
          <w:ilvl w:val="2"/>
          <w:numId w:val="1"/>
        </w:numPr>
        <w:rPr>
          <w:rFonts w:hAnsi="標楷體"/>
        </w:rPr>
      </w:pPr>
      <w:r w:rsidRPr="00796EA9">
        <w:rPr>
          <w:rFonts w:hAnsi="標楷體" w:hint="eastAsia"/>
        </w:rPr>
        <w:t>續</w:t>
      </w:r>
      <w:proofErr w:type="gramStart"/>
      <w:r w:rsidRPr="00796EA9">
        <w:rPr>
          <w:rFonts w:hAnsi="標楷體" w:hint="eastAsia"/>
        </w:rPr>
        <w:t>以</w:t>
      </w:r>
      <w:proofErr w:type="gramEnd"/>
      <w:r w:rsidRPr="00796EA9">
        <w:rPr>
          <w:rFonts w:hAnsi="標楷體" w:hint="eastAsia"/>
        </w:rPr>
        <w:t>，</w:t>
      </w:r>
      <w:r w:rsidR="002E53D9" w:rsidRPr="00796EA9">
        <w:rPr>
          <w:rFonts w:hAnsi="標楷體"/>
        </w:rPr>
        <w:t>桃園機場整體航空收入及非航空收入</w:t>
      </w:r>
      <w:r w:rsidR="002E53D9" w:rsidRPr="00796EA9">
        <w:rPr>
          <w:rStyle w:val="afe"/>
          <w:rFonts w:hAnsi="標楷體"/>
        </w:rPr>
        <w:footnoteReference w:id="16"/>
      </w:r>
      <w:r w:rsidR="002E53D9" w:rsidRPr="00796EA9">
        <w:rPr>
          <w:rFonts w:hAnsi="標楷體"/>
        </w:rPr>
        <w:t>來源包含出境旅客機場服務費</w:t>
      </w:r>
      <w:r w:rsidR="002E53D9" w:rsidRPr="00796EA9">
        <w:rPr>
          <w:rFonts w:hAnsi="標楷體" w:hint="eastAsia"/>
        </w:rPr>
        <w:t>、</w:t>
      </w:r>
      <w:r w:rsidR="002E53D9" w:rsidRPr="00796EA9">
        <w:rPr>
          <w:rFonts w:hAnsi="標楷體"/>
        </w:rPr>
        <w:t>飛航服務費</w:t>
      </w:r>
      <w:r w:rsidR="002E53D9" w:rsidRPr="00796EA9">
        <w:rPr>
          <w:rStyle w:val="afe"/>
          <w:rFonts w:hAnsi="標楷體"/>
          <w:spacing w:val="6"/>
          <w:szCs w:val="32"/>
        </w:rPr>
        <w:footnoteReference w:id="17"/>
      </w:r>
      <w:r w:rsidR="002E53D9" w:rsidRPr="00796EA9">
        <w:rPr>
          <w:rFonts w:hAnsi="標楷體" w:hint="eastAsia"/>
        </w:rPr>
        <w:t>、</w:t>
      </w:r>
      <w:r w:rsidR="002E53D9" w:rsidRPr="00796EA9">
        <w:rPr>
          <w:rFonts w:hAnsi="標楷體"/>
        </w:rPr>
        <w:t>安全檢查費</w:t>
      </w:r>
      <w:r w:rsidR="002E53D9" w:rsidRPr="00796EA9">
        <w:rPr>
          <w:rFonts w:hAnsi="標楷體" w:hint="eastAsia"/>
        </w:rPr>
        <w:t>、</w:t>
      </w:r>
      <w:r w:rsidR="002E53D9" w:rsidRPr="00796EA9">
        <w:rPr>
          <w:rFonts w:hAnsi="標楷體"/>
        </w:rPr>
        <w:t>飛行器降落費</w:t>
      </w:r>
      <w:r w:rsidR="002E53D9" w:rsidRPr="00796EA9">
        <w:rPr>
          <w:rFonts w:hAnsi="標楷體" w:hint="eastAsia"/>
        </w:rPr>
        <w:t>、</w:t>
      </w:r>
      <w:r w:rsidR="002E53D9" w:rsidRPr="00796EA9">
        <w:rPr>
          <w:rFonts w:hAnsi="標楷體"/>
        </w:rPr>
        <w:t>其他機場專用區設施使用費（如停留費，空橋等設備使用費等）</w:t>
      </w:r>
      <w:r w:rsidR="002E53D9" w:rsidRPr="00796EA9">
        <w:rPr>
          <w:rStyle w:val="afe"/>
          <w:rFonts w:hAnsi="標楷體"/>
        </w:rPr>
        <w:footnoteReference w:id="18"/>
      </w:r>
      <w:r w:rsidR="002E53D9" w:rsidRPr="00796EA9">
        <w:rPr>
          <w:rFonts w:hAnsi="標楷體"/>
        </w:rPr>
        <w:t>及免稅店權利金收</w:t>
      </w:r>
      <w:r w:rsidR="002E53D9" w:rsidRPr="00796EA9">
        <w:rPr>
          <w:rFonts w:hAnsi="標楷體"/>
        </w:rPr>
        <w:lastRenderedPageBreak/>
        <w:t>入等</w:t>
      </w:r>
      <w:r w:rsidR="002E53D9" w:rsidRPr="00796EA9">
        <w:rPr>
          <w:rFonts w:hAnsi="標楷體" w:hint="eastAsia"/>
        </w:rPr>
        <w:t>（</w:t>
      </w:r>
      <w:r w:rsidR="002E53D9" w:rsidRPr="00796EA9">
        <w:rPr>
          <w:rFonts w:hAnsi="標楷體"/>
        </w:rPr>
        <w:t>如下述並如表</w:t>
      </w:r>
      <w:r w:rsidR="004459DC">
        <w:rPr>
          <w:rFonts w:hAnsi="標楷體" w:hint="eastAsia"/>
        </w:rPr>
        <w:t>2</w:t>
      </w:r>
      <w:r w:rsidR="002E53D9" w:rsidRPr="00796EA9">
        <w:rPr>
          <w:rFonts w:hAnsi="標楷體" w:hint="eastAsia"/>
        </w:rPr>
        <w:t>）；桃園機場總收入（包含航空收入、非航空收入）及分配（支用）</w:t>
      </w:r>
      <w:r w:rsidR="002755B8" w:rsidRPr="00796EA9">
        <w:rPr>
          <w:rFonts w:hAnsi="標楷體" w:hint="eastAsia"/>
        </w:rPr>
        <w:t>請參閱</w:t>
      </w:r>
      <w:r w:rsidR="002E53D9" w:rsidRPr="00796EA9">
        <w:rPr>
          <w:rFonts w:hAnsi="標楷體" w:hint="eastAsia"/>
        </w:rPr>
        <w:t>表</w:t>
      </w:r>
      <w:r w:rsidR="004459DC">
        <w:rPr>
          <w:rFonts w:hAnsi="標楷體" w:hint="eastAsia"/>
        </w:rPr>
        <w:t>3</w:t>
      </w:r>
      <w:r w:rsidR="006D53A0" w:rsidRPr="00796EA9">
        <w:rPr>
          <w:rFonts w:hAnsi="標楷體" w:hint="eastAsia"/>
        </w:rPr>
        <w:t>。</w:t>
      </w:r>
      <w:proofErr w:type="gramStart"/>
      <w:r w:rsidR="002755B8" w:rsidRPr="00796EA9">
        <w:rPr>
          <w:rFonts w:hAnsi="標楷體" w:hint="eastAsia"/>
        </w:rPr>
        <w:t>至於</w:t>
      </w:r>
      <w:r w:rsidR="002E53D9" w:rsidRPr="00796EA9">
        <w:rPr>
          <w:rFonts w:hAnsi="標楷體" w:hint="eastAsia"/>
        </w:rPr>
        <w:t>桃機公司</w:t>
      </w:r>
      <w:proofErr w:type="gramEnd"/>
      <w:r w:rsidR="002E53D9" w:rsidRPr="00796EA9">
        <w:rPr>
          <w:rFonts w:hAnsi="標楷體" w:hint="eastAsia"/>
        </w:rPr>
        <w:t>簡明損益表</w:t>
      </w:r>
      <w:r w:rsidR="002755B8" w:rsidRPr="00796EA9">
        <w:rPr>
          <w:rFonts w:hAnsi="標楷體" w:hint="eastAsia"/>
        </w:rPr>
        <w:t>則</w:t>
      </w:r>
      <w:r w:rsidR="002E53D9" w:rsidRPr="00796EA9">
        <w:rPr>
          <w:rFonts w:hAnsi="標楷體" w:hint="eastAsia"/>
        </w:rPr>
        <w:t>如表</w:t>
      </w:r>
      <w:r w:rsidR="004459DC">
        <w:rPr>
          <w:rFonts w:hAnsi="標楷體" w:hint="eastAsia"/>
        </w:rPr>
        <w:t>4</w:t>
      </w:r>
      <w:r w:rsidR="002755B8" w:rsidRPr="00796EA9">
        <w:rPr>
          <w:rFonts w:hAnsi="標楷體" w:hint="eastAsia"/>
        </w:rPr>
        <w:t>所示</w:t>
      </w:r>
      <w:r w:rsidR="002E53D9" w:rsidRPr="00796EA9">
        <w:rPr>
          <w:rFonts w:hAnsi="標楷體" w:hint="eastAsia"/>
        </w:rPr>
        <w:t>。</w:t>
      </w:r>
      <w:r w:rsidR="002E53D9" w:rsidRPr="00796EA9">
        <w:rPr>
          <w:rFonts w:hAnsi="標楷體"/>
        </w:rPr>
        <w:t>依</w:t>
      </w:r>
      <w:r w:rsidR="002E53D9" w:rsidRPr="00796EA9">
        <w:rPr>
          <w:rFonts w:hAnsi="標楷體" w:hint="eastAsia"/>
        </w:rPr>
        <w:t>「</w:t>
      </w:r>
      <w:r w:rsidR="002E53D9" w:rsidRPr="00796EA9">
        <w:rPr>
          <w:rFonts w:hAnsi="標楷體"/>
        </w:rPr>
        <w:t>國際機場園區發展條例</w:t>
      </w:r>
      <w:r w:rsidR="002E53D9" w:rsidRPr="00796EA9">
        <w:rPr>
          <w:rFonts w:hAnsi="標楷體" w:hint="eastAsia"/>
        </w:rPr>
        <w:t>」第15條規定：「</w:t>
      </w:r>
      <w:r w:rsidR="002E53D9" w:rsidRPr="00796EA9">
        <w:rPr>
          <w:rFonts w:hAnsi="標楷體"/>
        </w:rPr>
        <w:t>機場公司依</w:t>
      </w:r>
      <w:r w:rsidR="002755B8" w:rsidRPr="00796EA9">
        <w:rPr>
          <w:rFonts w:hAnsi="標楷體" w:hint="eastAsia"/>
        </w:rPr>
        <w:t>『</w:t>
      </w:r>
      <w:r w:rsidR="002E53D9" w:rsidRPr="00796EA9">
        <w:rPr>
          <w:rFonts w:hAnsi="標楷體"/>
        </w:rPr>
        <w:t>發展觀光條例</w:t>
      </w:r>
      <w:r w:rsidR="002755B8" w:rsidRPr="00796EA9">
        <w:rPr>
          <w:rFonts w:hAnsi="標楷體" w:hint="eastAsia"/>
        </w:rPr>
        <w:t>』</w:t>
      </w:r>
      <w:r w:rsidR="002E53D9" w:rsidRPr="00796EA9">
        <w:rPr>
          <w:rFonts w:hAnsi="標楷體"/>
        </w:rPr>
        <w:t>第</w:t>
      </w:r>
      <w:hyperlink r:id="rId9" w:anchor="a38" w:history="1">
        <w:r w:rsidR="002E53D9" w:rsidRPr="00796EA9">
          <w:rPr>
            <w:rFonts w:hint="eastAsia"/>
          </w:rPr>
          <w:t>38</w:t>
        </w:r>
      </w:hyperlink>
      <w:r w:rsidR="002E53D9" w:rsidRPr="00796EA9">
        <w:rPr>
          <w:rFonts w:hAnsi="標楷體"/>
        </w:rPr>
        <w:t>條規定收取之機場服務費，除分配予</w:t>
      </w:r>
      <w:r w:rsidR="002755B8" w:rsidRPr="00796EA9">
        <w:rPr>
          <w:rFonts w:hAnsi="標楷體" w:hint="eastAsia"/>
        </w:rPr>
        <w:t>『</w:t>
      </w:r>
      <w:r w:rsidR="002E53D9" w:rsidRPr="00796EA9">
        <w:rPr>
          <w:rFonts w:hAnsi="標楷體"/>
        </w:rPr>
        <w:t>觀光發展基金</w:t>
      </w:r>
      <w:r w:rsidR="002755B8" w:rsidRPr="00796EA9">
        <w:rPr>
          <w:rFonts w:hAnsi="標楷體" w:hint="eastAsia"/>
        </w:rPr>
        <w:t>』</w:t>
      </w:r>
      <w:r w:rsidR="002E53D9" w:rsidRPr="00796EA9">
        <w:rPr>
          <w:rFonts w:hAnsi="標楷體"/>
        </w:rPr>
        <w:t>外，應全部用於機場專用區及機場專用區相關建設。</w:t>
      </w:r>
      <w:r w:rsidR="002E53D9" w:rsidRPr="00796EA9">
        <w:rPr>
          <w:rFonts w:hAnsi="標楷體" w:hint="eastAsia"/>
        </w:rPr>
        <w:t>」及「</w:t>
      </w:r>
      <w:r w:rsidR="002E53D9" w:rsidRPr="00796EA9">
        <w:rPr>
          <w:rFonts w:hAnsi="標楷體"/>
        </w:rPr>
        <w:t>國際機場園區發展條例施行細則</w:t>
      </w:r>
      <w:r w:rsidR="002E53D9" w:rsidRPr="00796EA9">
        <w:rPr>
          <w:rFonts w:hAnsi="標楷體" w:hint="eastAsia"/>
        </w:rPr>
        <w:t>」</w:t>
      </w:r>
      <w:r w:rsidR="002E53D9" w:rsidRPr="00796EA9">
        <w:rPr>
          <w:rFonts w:hAnsi="標楷體"/>
        </w:rPr>
        <w:t>第7條規定：「本條例第15條規定機場公司收取之機場服務費分配方式如下：一、百分之</w:t>
      </w:r>
      <w:proofErr w:type="gramStart"/>
      <w:r w:rsidR="002E53D9" w:rsidRPr="00796EA9">
        <w:rPr>
          <w:rFonts w:hAnsi="標楷體"/>
        </w:rPr>
        <w:t>50</w:t>
      </w:r>
      <w:proofErr w:type="gramEnd"/>
      <w:r w:rsidR="002E53D9" w:rsidRPr="00796EA9">
        <w:rPr>
          <w:rFonts w:hAnsi="標楷體"/>
        </w:rPr>
        <w:t>分配予</w:t>
      </w:r>
      <w:r w:rsidR="002755B8" w:rsidRPr="00796EA9">
        <w:rPr>
          <w:rFonts w:hAnsi="標楷體" w:hint="eastAsia"/>
        </w:rPr>
        <w:t>『</w:t>
      </w:r>
      <w:r w:rsidR="002E53D9" w:rsidRPr="00796EA9">
        <w:rPr>
          <w:rFonts w:hAnsi="標楷體"/>
        </w:rPr>
        <w:t>觀光發展基金</w:t>
      </w:r>
      <w:r w:rsidR="002755B8" w:rsidRPr="00796EA9">
        <w:rPr>
          <w:rFonts w:hAnsi="標楷體" w:hint="eastAsia"/>
        </w:rPr>
        <w:t>』</w:t>
      </w:r>
      <w:r w:rsidR="002E53D9" w:rsidRPr="00796EA9">
        <w:rPr>
          <w:rFonts w:hAnsi="標楷體"/>
        </w:rPr>
        <w:t>。二、百分之</w:t>
      </w:r>
      <w:proofErr w:type="gramStart"/>
      <w:r w:rsidR="002E53D9" w:rsidRPr="00796EA9">
        <w:rPr>
          <w:rFonts w:hAnsi="標楷體"/>
        </w:rPr>
        <w:t>50</w:t>
      </w:r>
      <w:proofErr w:type="gramEnd"/>
      <w:r w:rsidR="002E53D9" w:rsidRPr="00796EA9">
        <w:rPr>
          <w:rFonts w:hAnsi="標楷體"/>
        </w:rPr>
        <w:t>分配予機場公司，並應全部用於機場專用區及機場專用區相關建設。」</w:t>
      </w:r>
      <w:r w:rsidR="002E53D9" w:rsidRPr="00796EA9">
        <w:rPr>
          <w:rFonts w:hAnsi="標楷體" w:hint="eastAsia"/>
        </w:rPr>
        <w:t>是</w:t>
      </w:r>
      <w:r w:rsidR="002755B8" w:rsidRPr="00796EA9">
        <w:rPr>
          <w:rFonts w:hAnsi="標楷體" w:hint="eastAsia"/>
        </w:rPr>
        <w:t>以</w:t>
      </w:r>
      <w:r w:rsidR="002E53D9" w:rsidRPr="00796EA9">
        <w:rPr>
          <w:rFonts w:hAnsi="標楷體"/>
        </w:rPr>
        <w:t>桃園機場之機場服務費</w:t>
      </w:r>
      <w:r w:rsidR="002E53D9" w:rsidRPr="00796EA9">
        <w:rPr>
          <w:rFonts w:hAnsi="標楷體" w:hint="eastAsia"/>
        </w:rPr>
        <w:t>各分配予「</w:t>
      </w:r>
      <w:r w:rsidR="002E53D9" w:rsidRPr="00796EA9">
        <w:rPr>
          <w:rFonts w:hAnsi="標楷體"/>
        </w:rPr>
        <w:t>觀光發展基金</w:t>
      </w:r>
      <w:r w:rsidR="002E53D9" w:rsidRPr="00796EA9">
        <w:rPr>
          <w:rFonts w:hAnsi="標楷體" w:hint="eastAsia"/>
        </w:rPr>
        <w:t>」</w:t>
      </w:r>
      <w:proofErr w:type="gramStart"/>
      <w:r w:rsidR="002E53D9" w:rsidRPr="00796EA9">
        <w:rPr>
          <w:rFonts w:hAnsi="標楷體" w:hint="eastAsia"/>
        </w:rPr>
        <w:t>及</w:t>
      </w:r>
      <w:r w:rsidR="002E53D9" w:rsidRPr="00796EA9">
        <w:rPr>
          <w:rFonts w:hAnsi="標楷體"/>
        </w:rPr>
        <w:t>桃機公司</w:t>
      </w:r>
      <w:proofErr w:type="gramEnd"/>
      <w:r w:rsidR="002E53D9" w:rsidRPr="00796EA9">
        <w:rPr>
          <w:rFonts w:hAnsi="標楷體"/>
        </w:rPr>
        <w:t>，</w:t>
      </w:r>
      <w:proofErr w:type="gramStart"/>
      <w:r w:rsidR="002E53D9" w:rsidRPr="00796EA9">
        <w:rPr>
          <w:rFonts w:hAnsi="標楷體"/>
        </w:rPr>
        <w:t>桃機公司</w:t>
      </w:r>
      <w:proofErr w:type="gramEnd"/>
      <w:r w:rsidR="002E53D9" w:rsidRPr="00796EA9">
        <w:rPr>
          <w:rFonts w:hAnsi="標楷體"/>
        </w:rPr>
        <w:t>部分應全部用於機場專用區及機場專用區相關建設。機場專用區設施使用費及服務費指降落費、停留費、空橋使用費、行李設施使用費、航空站</w:t>
      </w:r>
      <w:proofErr w:type="gramStart"/>
      <w:r w:rsidR="002E53D9" w:rsidRPr="00796EA9">
        <w:rPr>
          <w:rFonts w:hAnsi="標楷體"/>
        </w:rPr>
        <w:t>地勤業機坪</w:t>
      </w:r>
      <w:proofErr w:type="gramEnd"/>
      <w:r w:rsidR="002E53D9" w:rsidRPr="00796EA9">
        <w:rPr>
          <w:rFonts w:hAnsi="標楷體"/>
        </w:rPr>
        <w:t>使用費、空</w:t>
      </w:r>
      <w:proofErr w:type="gramStart"/>
      <w:r w:rsidR="002E53D9" w:rsidRPr="00796EA9">
        <w:rPr>
          <w:rFonts w:hAnsi="標楷體"/>
        </w:rPr>
        <w:t>廚業機</w:t>
      </w:r>
      <w:proofErr w:type="gramEnd"/>
      <w:r w:rsidR="002E53D9" w:rsidRPr="00796EA9">
        <w:rPr>
          <w:rFonts w:hAnsi="標楷體"/>
        </w:rPr>
        <w:t>坪使用費、民用航空運輸業因業務需要自辦航空站地勤業務機坪使用費（下稱自辦航空站地勤業務機坪使用費）、輸油設備使用費、噪音防制費等費用。土地、建築物及其他設施使用費包括建築物、土地租金及其他設備使用費；所稱其他設備使用費者，指冷凍庫使用費、飛航資訊系統信號使用費、飛航資訊系統信號及顯示設備使用費、無線電通信系統使用費、無線電通信系統手（車）機使用費、監視攝影系統影像使用費、監視攝影系統影像及顯示設備使用費、污水代處理費及廢棄物清理費等使用費，前述收費均</w:t>
      </w:r>
      <w:proofErr w:type="gramStart"/>
      <w:r w:rsidR="002E53D9" w:rsidRPr="00796EA9">
        <w:rPr>
          <w:rFonts w:hAnsi="標楷體"/>
        </w:rPr>
        <w:t>列為桃機公司</w:t>
      </w:r>
      <w:proofErr w:type="gramEnd"/>
      <w:r w:rsidR="002E53D9" w:rsidRPr="00796EA9">
        <w:rPr>
          <w:rFonts w:hAnsi="標楷體"/>
        </w:rPr>
        <w:t>收入。桃園機場成立後，於桃園機場起降之航空器需繳納飛航服</w:t>
      </w:r>
      <w:r w:rsidR="002E53D9" w:rsidRPr="00796EA9">
        <w:rPr>
          <w:rFonts w:hAnsi="標楷體"/>
        </w:rPr>
        <w:lastRenderedPageBreak/>
        <w:t>務費（桃園航空站時期降落費之40％）、安全服務費予民航局，</w:t>
      </w:r>
      <w:r w:rsidR="002E53D9" w:rsidRPr="00796EA9">
        <w:rPr>
          <w:rFonts w:hAnsi="標楷體" w:hint="eastAsia"/>
        </w:rPr>
        <w:t>亦即</w:t>
      </w:r>
      <w:r w:rsidR="002E53D9" w:rsidRPr="00796EA9">
        <w:rPr>
          <w:rFonts w:hAnsi="標楷體"/>
        </w:rPr>
        <w:t>前述兩項收費不</w:t>
      </w:r>
      <w:proofErr w:type="gramStart"/>
      <w:r w:rsidR="002E53D9" w:rsidRPr="00796EA9">
        <w:rPr>
          <w:rFonts w:hAnsi="標楷體"/>
        </w:rPr>
        <w:t>屬於桃機公司</w:t>
      </w:r>
      <w:proofErr w:type="gramEnd"/>
      <w:r w:rsidR="002E53D9" w:rsidRPr="00796EA9">
        <w:rPr>
          <w:rFonts w:hAnsi="標楷體"/>
        </w:rPr>
        <w:t>收入。</w:t>
      </w:r>
    </w:p>
    <w:p w:rsidR="00F165B8" w:rsidRPr="00796EA9" w:rsidRDefault="00F165B8">
      <w:pPr>
        <w:widowControl/>
        <w:overflowPunct/>
        <w:autoSpaceDE/>
        <w:autoSpaceDN/>
        <w:jc w:val="left"/>
        <w:rPr>
          <w:rFonts w:hAnsi="標楷體"/>
          <w:b/>
          <w:bCs/>
          <w:spacing w:val="-10"/>
          <w:kern w:val="28"/>
          <w:sz w:val="28"/>
          <w:szCs w:val="28"/>
        </w:rPr>
      </w:pPr>
      <w:r w:rsidRPr="00796EA9">
        <w:rPr>
          <w:rFonts w:hAnsi="標楷體"/>
          <w:b/>
        </w:rPr>
        <w:br w:type="page"/>
      </w:r>
    </w:p>
    <w:p w:rsidR="002E53D9" w:rsidRPr="00796EA9" w:rsidRDefault="002E53D9" w:rsidP="002E53D9">
      <w:pPr>
        <w:pStyle w:val="a3"/>
        <w:jc w:val="center"/>
        <w:rPr>
          <w:rFonts w:hAnsi="標楷體"/>
          <w:b/>
        </w:rPr>
      </w:pPr>
      <w:r w:rsidRPr="00796EA9">
        <w:rPr>
          <w:rFonts w:hAnsi="標楷體"/>
          <w:b/>
        </w:rPr>
        <w:lastRenderedPageBreak/>
        <w:t>桃園機場</w:t>
      </w:r>
      <w:r w:rsidRPr="00796EA9">
        <w:rPr>
          <w:rFonts w:hAnsi="標楷體" w:hint="eastAsia"/>
          <w:b/>
        </w:rPr>
        <w:t>各</w:t>
      </w:r>
      <w:r w:rsidRPr="00796EA9">
        <w:rPr>
          <w:rFonts w:hAnsi="標楷體"/>
          <w:b/>
        </w:rPr>
        <w:t>項收</w:t>
      </w:r>
      <w:r w:rsidRPr="00796EA9">
        <w:rPr>
          <w:rFonts w:hAnsi="標楷體" w:hint="eastAsia"/>
          <w:b/>
        </w:rPr>
        <w:t>入、費用及</w:t>
      </w:r>
      <w:r w:rsidRPr="00796EA9">
        <w:rPr>
          <w:rFonts w:hAnsi="標楷體"/>
          <w:b/>
          <w:bCs w:val="0"/>
          <w:kern w:val="0"/>
          <w:sz w:val="26"/>
          <w:szCs w:val="26"/>
        </w:rPr>
        <w:t>盈餘</w:t>
      </w:r>
      <w:r w:rsidRPr="00796EA9">
        <w:rPr>
          <w:rFonts w:hAnsi="標楷體" w:hint="eastAsia"/>
          <w:b/>
        </w:rPr>
        <w:t>分配</w:t>
      </w:r>
    </w:p>
    <w:tbl>
      <w:tblPr>
        <w:tblStyle w:val="af6"/>
        <w:tblW w:w="927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9"/>
        <w:gridCol w:w="778"/>
        <w:gridCol w:w="2053"/>
        <w:gridCol w:w="1799"/>
        <w:gridCol w:w="1534"/>
        <w:gridCol w:w="1517"/>
      </w:tblGrid>
      <w:tr w:rsidR="00796EA9" w:rsidRPr="00796EA9" w:rsidTr="00052E31">
        <w:trPr>
          <w:tblHeader/>
          <w:jc w:val="center"/>
        </w:trPr>
        <w:tc>
          <w:tcPr>
            <w:tcW w:w="4420" w:type="dxa"/>
            <w:gridSpan w:val="3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/>
                <w:bCs/>
                <w:kern w:val="0"/>
                <w:sz w:val="26"/>
                <w:szCs w:val="26"/>
              </w:rPr>
              <w:t>桃園機場整體收入</w:t>
            </w:r>
          </w:p>
        </w:tc>
        <w:tc>
          <w:tcPr>
            <w:tcW w:w="4850" w:type="dxa"/>
            <w:gridSpan w:val="3"/>
            <w:tcBorders>
              <w:bottom w:val="single" w:sz="4" w:space="0" w:color="auto"/>
            </w:tcBorders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/>
                <w:bCs/>
                <w:kern w:val="0"/>
                <w:sz w:val="26"/>
                <w:szCs w:val="26"/>
              </w:rPr>
            </w:pPr>
            <w:proofErr w:type="gramStart"/>
            <w:r w:rsidRPr="00796EA9">
              <w:rPr>
                <w:rFonts w:hAnsi="標楷體"/>
                <w:b/>
                <w:bCs/>
                <w:kern w:val="0"/>
                <w:sz w:val="26"/>
                <w:szCs w:val="26"/>
              </w:rPr>
              <w:t>桃機公司</w:t>
            </w:r>
            <w:proofErr w:type="gramEnd"/>
            <w:r w:rsidRPr="00796EA9">
              <w:rPr>
                <w:rFonts w:hAnsi="標楷體"/>
                <w:b/>
                <w:bCs/>
                <w:kern w:val="0"/>
                <w:sz w:val="26"/>
                <w:szCs w:val="26"/>
              </w:rPr>
              <w:t>之費用及盈餘項目</w:t>
            </w:r>
          </w:p>
        </w:tc>
      </w:tr>
      <w:tr w:rsidR="00796EA9" w:rsidRPr="00796EA9" w:rsidTr="00052E31">
        <w:trPr>
          <w:tblHeader/>
          <w:jc w:val="center"/>
        </w:trPr>
        <w:tc>
          <w:tcPr>
            <w:tcW w:w="2367" w:type="dxa"/>
            <w:gridSpan w:val="2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/>
                <w:bCs/>
                <w:kern w:val="0"/>
                <w:sz w:val="26"/>
                <w:szCs w:val="26"/>
              </w:rPr>
              <w:t>項目</w:t>
            </w:r>
          </w:p>
        </w:tc>
        <w:tc>
          <w:tcPr>
            <w:tcW w:w="2053" w:type="dxa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/>
                <w:bCs/>
                <w:kern w:val="0"/>
                <w:sz w:val="26"/>
                <w:szCs w:val="26"/>
              </w:rPr>
              <w:t>分配單位</w:t>
            </w:r>
          </w:p>
        </w:tc>
        <w:tc>
          <w:tcPr>
            <w:tcW w:w="1799" w:type="dxa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/>
                <w:bCs/>
                <w:kern w:val="0"/>
                <w:sz w:val="26"/>
                <w:szCs w:val="26"/>
              </w:rPr>
              <w:t>項目</w:t>
            </w:r>
          </w:p>
        </w:tc>
        <w:tc>
          <w:tcPr>
            <w:tcW w:w="1534" w:type="dxa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 w:hint="eastAsia"/>
                <w:b/>
                <w:bCs/>
                <w:kern w:val="0"/>
                <w:sz w:val="26"/>
                <w:szCs w:val="26"/>
              </w:rPr>
              <w:t>％</w:t>
            </w:r>
          </w:p>
        </w:tc>
        <w:tc>
          <w:tcPr>
            <w:tcW w:w="1517" w:type="dxa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/>
                <w:bCs/>
                <w:kern w:val="0"/>
                <w:sz w:val="26"/>
                <w:szCs w:val="26"/>
              </w:rPr>
            </w:pPr>
            <w:proofErr w:type="gramStart"/>
            <w:r w:rsidRPr="00796EA9">
              <w:rPr>
                <w:rFonts w:hAnsi="標楷體"/>
                <w:b/>
                <w:bCs/>
                <w:kern w:val="0"/>
                <w:sz w:val="26"/>
                <w:szCs w:val="26"/>
              </w:rPr>
              <w:t>提撥</w:t>
            </w:r>
            <w:proofErr w:type="gramEnd"/>
            <w:r w:rsidRPr="00796EA9">
              <w:rPr>
                <w:rFonts w:hAnsi="標楷體"/>
                <w:b/>
                <w:bCs/>
                <w:kern w:val="0"/>
                <w:sz w:val="26"/>
                <w:szCs w:val="26"/>
              </w:rPr>
              <w:t>/分配單位</w:t>
            </w:r>
          </w:p>
        </w:tc>
      </w:tr>
      <w:tr w:rsidR="00796EA9" w:rsidRPr="00796EA9" w:rsidTr="00052E31">
        <w:trPr>
          <w:jc w:val="center"/>
        </w:trPr>
        <w:tc>
          <w:tcPr>
            <w:tcW w:w="2367" w:type="dxa"/>
            <w:gridSpan w:val="2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飛航服務費</w:t>
            </w:r>
          </w:p>
        </w:tc>
        <w:tc>
          <w:tcPr>
            <w:tcW w:w="2053" w:type="dxa"/>
            <w:vMerge w:val="restart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民航事業</w:t>
            </w:r>
          </w:p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作業基金</w:t>
            </w:r>
          </w:p>
        </w:tc>
        <w:tc>
          <w:tcPr>
            <w:tcW w:w="4850" w:type="dxa"/>
            <w:gridSpan w:val="3"/>
            <w:vMerge w:val="restart"/>
            <w:tcBorders>
              <w:tl2br w:val="single" w:sz="4" w:space="0" w:color="auto"/>
            </w:tcBorders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</w:tr>
      <w:tr w:rsidR="00796EA9" w:rsidRPr="00796EA9" w:rsidTr="00052E31">
        <w:trPr>
          <w:jc w:val="center"/>
        </w:trPr>
        <w:tc>
          <w:tcPr>
            <w:tcW w:w="2367" w:type="dxa"/>
            <w:gridSpan w:val="2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安全服務費</w:t>
            </w:r>
          </w:p>
        </w:tc>
        <w:tc>
          <w:tcPr>
            <w:tcW w:w="2053" w:type="dxa"/>
            <w:vMerge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  <w:tc>
          <w:tcPr>
            <w:tcW w:w="4850" w:type="dxa"/>
            <w:gridSpan w:val="3"/>
            <w:vMerge/>
            <w:tcBorders>
              <w:tl2br w:val="single" w:sz="4" w:space="0" w:color="auto"/>
            </w:tcBorders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</w:tr>
      <w:tr w:rsidR="00796EA9" w:rsidRPr="00796EA9" w:rsidTr="00052E31">
        <w:trPr>
          <w:jc w:val="center"/>
        </w:trPr>
        <w:tc>
          <w:tcPr>
            <w:tcW w:w="1589" w:type="dxa"/>
            <w:vMerge w:val="restart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機場服務費</w:t>
            </w:r>
          </w:p>
        </w:tc>
        <w:tc>
          <w:tcPr>
            <w:tcW w:w="778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50％</w:t>
            </w:r>
          </w:p>
        </w:tc>
        <w:tc>
          <w:tcPr>
            <w:tcW w:w="2053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觀光發展基金</w:t>
            </w:r>
          </w:p>
        </w:tc>
        <w:tc>
          <w:tcPr>
            <w:tcW w:w="4850" w:type="dxa"/>
            <w:gridSpan w:val="3"/>
            <w:vMerge/>
            <w:tcBorders>
              <w:tl2br w:val="single" w:sz="4" w:space="0" w:color="auto"/>
            </w:tcBorders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</w:tr>
      <w:tr w:rsidR="00796EA9" w:rsidRPr="00796EA9" w:rsidTr="00052E31">
        <w:trPr>
          <w:jc w:val="center"/>
        </w:trPr>
        <w:tc>
          <w:tcPr>
            <w:tcW w:w="1589" w:type="dxa"/>
            <w:vMerge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  <w:tc>
          <w:tcPr>
            <w:tcW w:w="778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50％</w:t>
            </w:r>
          </w:p>
        </w:tc>
        <w:tc>
          <w:tcPr>
            <w:tcW w:w="2053" w:type="dxa"/>
            <w:vMerge w:val="restart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  <w:proofErr w:type="gramStart"/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桃機公司</w:t>
            </w:r>
            <w:proofErr w:type="gramEnd"/>
          </w:p>
        </w:tc>
        <w:tc>
          <w:tcPr>
            <w:tcW w:w="1799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土地租金</w:t>
            </w:r>
          </w:p>
        </w:tc>
        <w:tc>
          <w:tcPr>
            <w:tcW w:w="1534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  <w:tc>
          <w:tcPr>
            <w:tcW w:w="1517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民航基金</w:t>
            </w:r>
          </w:p>
        </w:tc>
      </w:tr>
      <w:tr w:rsidR="00796EA9" w:rsidRPr="00796EA9" w:rsidTr="00052E31">
        <w:trPr>
          <w:trHeight w:val="340"/>
          <w:jc w:val="center"/>
        </w:trPr>
        <w:tc>
          <w:tcPr>
            <w:tcW w:w="2367" w:type="dxa"/>
            <w:gridSpan w:val="2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噪音防制費</w:t>
            </w:r>
          </w:p>
        </w:tc>
        <w:tc>
          <w:tcPr>
            <w:tcW w:w="2053" w:type="dxa"/>
            <w:vMerge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  <w:tc>
          <w:tcPr>
            <w:tcW w:w="1799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噪音防制費</w:t>
            </w:r>
          </w:p>
        </w:tc>
        <w:tc>
          <w:tcPr>
            <w:tcW w:w="1534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100％</w:t>
            </w:r>
          </w:p>
        </w:tc>
        <w:tc>
          <w:tcPr>
            <w:tcW w:w="1517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桃園市政府</w:t>
            </w:r>
          </w:p>
        </w:tc>
      </w:tr>
      <w:tr w:rsidR="00796EA9" w:rsidRPr="00796EA9" w:rsidTr="00052E31">
        <w:trPr>
          <w:trHeight w:val="340"/>
          <w:jc w:val="center"/>
        </w:trPr>
        <w:tc>
          <w:tcPr>
            <w:tcW w:w="2367" w:type="dxa"/>
            <w:gridSpan w:val="2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降落費</w:t>
            </w:r>
          </w:p>
        </w:tc>
        <w:tc>
          <w:tcPr>
            <w:tcW w:w="2053" w:type="dxa"/>
            <w:vMerge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  <w:tc>
          <w:tcPr>
            <w:tcW w:w="1799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回饋金</w:t>
            </w:r>
          </w:p>
        </w:tc>
        <w:tc>
          <w:tcPr>
            <w:tcW w:w="1534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降落費2/15</w:t>
            </w:r>
          </w:p>
        </w:tc>
        <w:tc>
          <w:tcPr>
            <w:tcW w:w="1517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桃園市政府</w:t>
            </w:r>
          </w:p>
        </w:tc>
      </w:tr>
      <w:tr w:rsidR="00796EA9" w:rsidRPr="00796EA9" w:rsidTr="00052E31">
        <w:trPr>
          <w:trHeight w:val="340"/>
          <w:jc w:val="center"/>
        </w:trPr>
        <w:tc>
          <w:tcPr>
            <w:tcW w:w="2367" w:type="dxa"/>
            <w:gridSpan w:val="2"/>
            <w:vMerge w:val="restart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其他機場專用區</w:t>
            </w:r>
          </w:p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設施收費</w:t>
            </w:r>
          </w:p>
        </w:tc>
        <w:tc>
          <w:tcPr>
            <w:tcW w:w="2053" w:type="dxa"/>
            <w:vMerge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  <w:tc>
          <w:tcPr>
            <w:tcW w:w="1799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其他成本費用</w:t>
            </w:r>
          </w:p>
        </w:tc>
        <w:tc>
          <w:tcPr>
            <w:tcW w:w="1534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  <w:tc>
          <w:tcPr>
            <w:tcW w:w="1517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</w:tr>
      <w:tr w:rsidR="00796EA9" w:rsidRPr="00796EA9" w:rsidTr="00052E31">
        <w:trPr>
          <w:trHeight w:val="340"/>
          <w:jc w:val="center"/>
        </w:trPr>
        <w:tc>
          <w:tcPr>
            <w:tcW w:w="2367" w:type="dxa"/>
            <w:gridSpan w:val="2"/>
            <w:vMerge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  <w:tc>
          <w:tcPr>
            <w:tcW w:w="2053" w:type="dxa"/>
            <w:vMerge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  <w:tc>
          <w:tcPr>
            <w:tcW w:w="1799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各項稅捐</w:t>
            </w:r>
          </w:p>
        </w:tc>
        <w:tc>
          <w:tcPr>
            <w:tcW w:w="1534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  <w:tc>
          <w:tcPr>
            <w:tcW w:w="1517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</w:tr>
      <w:tr w:rsidR="00796EA9" w:rsidRPr="00796EA9" w:rsidTr="00052E31">
        <w:trPr>
          <w:trHeight w:val="58"/>
          <w:jc w:val="center"/>
        </w:trPr>
        <w:tc>
          <w:tcPr>
            <w:tcW w:w="2367" w:type="dxa"/>
            <w:gridSpan w:val="2"/>
            <w:vMerge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  <w:tc>
          <w:tcPr>
            <w:tcW w:w="2053" w:type="dxa"/>
            <w:vMerge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  <w:tc>
          <w:tcPr>
            <w:tcW w:w="1799" w:type="dxa"/>
            <w:vMerge w:val="restart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盈餘</w:t>
            </w:r>
          </w:p>
        </w:tc>
        <w:tc>
          <w:tcPr>
            <w:tcW w:w="1534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35％</w:t>
            </w:r>
          </w:p>
        </w:tc>
        <w:tc>
          <w:tcPr>
            <w:tcW w:w="1517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  <w:proofErr w:type="gramStart"/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桃機公司</w:t>
            </w:r>
            <w:proofErr w:type="gramEnd"/>
          </w:p>
        </w:tc>
      </w:tr>
      <w:tr w:rsidR="00796EA9" w:rsidRPr="00796EA9" w:rsidTr="00052E31">
        <w:trPr>
          <w:trHeight w:val="340"/>
          <w:jc w:val="center"/>
        </w:trPr>
        <w:tc>
          <w:tcPr>
            <w:tcW w:w="2367" w:type="dxa"/>
            <w:gridSpan w:val="2"/>
            <w:vMerge w:val="restart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非航空收入</w:t>
            </w:r>
          </w:p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 w:hint="eastAsia"/>
                <w:bCs/>
                <w:kern w:val="0"/>
                <w:sz w:val="26"/>
                <w:szCs w:val="26"/>
              </w:rPr>
              <w:t>(</w:t>
            </w: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免稅店權利金等</w:t>
            </w:r>
            <w:r w:rsidRPr="00796EA9">
              <w:rPr>
                <w:rFonts w:hAnsi="標楷體" w:hint="eastAsia"/>
                <w:bCs/>
                <w:kern w:val="0"/>
                <w:sz w:val="26"/>
                <w:szCs w:val="26"/>
              </w:rPr>
              <w:t>)</w:t>
            </w:r>
          </w:p>
        </w:tc>
        <w:tc>
          <w:tcPr>
            <w:tcW w:w="2053" w:type="dxa"/>
            <w:vMerge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  <w:tc>
          <w:tcPr>
            <w:tcW w:w="1799" w:type="dxa"/>
            <w:vMerge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  <w:tc>
          <w:tcPr>
            <w:tcW w:w="1534" w:type="dxa"/>
            <w:shd w:val="clear" w:color="auto" w:fill="auto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65％×82％</w:t>
            </w:r>
          </w:p>
        </w:tc>
        <w:tc>
          <w:tcPr>
            <w:tcW w:w="1517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民航基金</w:t>
            </w:r>
          </w:p>
        </w:tc>
      </w:tr>
      <w:tr w:rsidR="00796EA9" w:rsidRPr="00796EA9" w:rsidTr="00052E31">
        <w:trPr>
          <w:trHeight w:val="240"/>
          <w:jc w:val="center"/>
        </w:trPr>
        <w:tc>
          <w:tcPr>
            <w:tcW w:w="2367" w:type="dxa"/>
            <w:gridSpan w:val="2"/>
            <w:vMerge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  <w:tc>
          <w:tcPr>
            <w:tcW w:w="2053" w:type="dxa"/>
            <w:vMerge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  <w:tc>
          <w:tcPr>
            <w:tcW w:w="1799" w:type="dxa"/>
            <w:vMerge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</w:p>
        </w:tc>
        <w:tc>
          <w:tcPr>
            <w:tcW w:w="1534" w:type="dxa"/>
            <w:shd w:val="clear" w:color="auto" w:fill="auto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65％×18％</w:t>
            </w:r>
          </w:p>
        </w:tc>
        <w:tc>
          <w:tcPr>
            <w:tcW w:w="1517" w:type="dxa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center"/>
              <w:rPr>
                <w:rFonts w:hAnsi="標楷體"/>
                <w:bCs/>
                <w:kern w:val="0"/>
                <w:sz w:val="26"/>
                <w:szCs w:val="26"/>
              </w:rPr>
            </w:pPr>
            <w:r w:rsidRPr="00796EA9">
              <w:rPr>
                <w:rFonts w:hAnsi="標楷體"/>
                <w:bCs/>
                <w:kern w:val="0"/>
                <w:sz w:val="26"/>
                <w:szCs w:val="26"/>
              </w:rPr>
              <w:t>桃園市政府</w:t>
            </w:r>
          </w:p>
        </w:tc>
      </w:tr>
    </w:tbl>
    <w:p w:rsidR="002E53D9" w:rsidRPr="00796EA9" w:rsidRDefault="002E53D9" w:rsidP="002E53D9">
      <w:pPr>
        <w:spacing w:line="240" w:lineRule="exact"/>
        <w:ind w:leftChars="-57" w:left="-194"/>
        <w:rPr>
          <w:rFonts w:hAnsi="標楷體"/>
          <w:bCs/>
          <w:kern w:val="0"/>
          <w:sz w:val="24"/>
          <w:szCs w:val="24"/>
        </w:rPr>
      </w:pPr>
      <w:r w:rsidRPr="00796EA9">
        <w:rPr>
          <w:rFonts w:hAnsi="標楷體"/>
          <w:bCs/>
          <w:kern w:val="0"/>
          <w:sz w:val="24"/>
          <w:szCs w:val="24"/>
        </w:rPr>
        <w:t>資料來源：審計部整理</w:t>
      </w:r>
      <w:proofErr w:type="gramStart"/>
      <w:r w:rsidRPr="00796EA9">
        <w:rPr>
          <w:rFonts w:hAnsi="標楷體"/>
          <w:bCs/>
          <w:kern w:val="0"/>
          <w:sz w:val="24"/>
          <w:szCs w:val="24"/>
        </w:rPr>
        <w:t>自桃機公司</w:t>
      </w:r>
      <w:proofErr w:type="gramEnd"/>
      <w:r w:rsidRPr="00796EA9">
        <w:rPr>
          <w:rFonts w:hAnsi="標楷體"/>
          <w:bCs/>
          <w:kern w:val="0"/>
          <w:sz w:val="24"/>
          <w:szCs w:val="24"/>
        </w:rPr>
        <w:t>提供資料。</w:t>
      </w:r>
    </w:p>
    <w:p w:rsidR="002E53D9" w:rsidRPr="00796EA9" w:rsidRDefault="002E53D9" w:rsidP="002E53D9">
      <w:pPr>
        <w:widowControl/>
        <w:overflowPunct/>
        <w:autoSpaceDE/>
        <w:autoSpaceDN/>
        <w:jc w:val="left"/>
        <w:rPr>
          <w:rFonts w:hAnsi="標楷體"/>
        </w:rPr>
        <w:sectPr w:rsidR="002E53D9" w:rsidRPr="00796EA9" w:rsidSect="00C53E9C">
          <w:footerReference w:type="default" r:id="rId10"/>
          <w:pgSz w:w="11907" w:h="16840" w:code="9"/>
          <w:pgMar w:top="1701" w:right="1418" w:bottom="1418" w:left="1418" w:header="851" w:footer="851" w:gutter="227"/>
          <w:cols w:space="425"/>
          <w:docGrid w:type="linesAndChars" w:linePitch="457" w:charSpace="4127"/>
        </w:sectPr>
      </w:pPr>
    </w:p>
    <w:p w:rsidR="002E53D9" w:rsidRPr="00796EA9" w:rsidRDefault="002E53D9" w:rsidP="002E53D9">
      <w:pPr>
        <w:pStyle w:val="a3"/>
        <w:jc w:val="center"/>
        <w:rPr>
          <w:rFonts w:hAnsi="標楷體"/>
          <w:b/>
        </w:rPr>
      </w:pPr>
      <w:r w:rsidRPr="00796EA9">
        <w:rPr>
          <w:rFonts w:hAnsi="標楷體"/>
          <w:b/>
        </w:rPr>
        <w:lastRenderedPageBreak/>
        <w:t>桃園機場100至10</w:t>
      </w:r>
      <w:r w:rsidRPr="00796EA9">
        <w:rPr>
          <w:rFonts w:hAnsi="標楷體" w:hint="eastAsia"/>
          <w:b/>
        </w:rPr>
        <w:t>6</w:t>
      </w:r>
      <w:r w:rsidRPr="00796EA9">
        <w:rPr>
          <w:rFonts w:hAnsi="標楷體"/>
          <w:b/>
        </w:rPr>
        <w:t>年總收入（包含航空收入、非航空收入）及分配（支用）一覽表</w:t>
      </w:r>
    </w:p>
    <w:p w:rsidR="002E53D9" w:rsidRPr="00796EA9" w:rsidRDefault="002E53D9" w:rsidP="002E53D9">
      <w:pPr>
        <w:jc w:val="right"/>
        <w:rPr>
          <w:rFonts w:hAnsi="標楷體"/>
          <w:bCs/>
          <w:kern w:val="0"/>
          <w:sz w:val="24"/>
          <w:szCs w:val="24"/>
        </w:rPr>
      </w:pPr>
      <w:r w:rsidRPr="00796EA9">
        <w:rPr>
          <w:rFonts w:hAnsi="標楷體"/>
          <w:bCs/>
          <w:kern w:val="0"/>
          <w:sz w:val="24"/>
          <w:szCs w:val="24"/>
        </w:rPr>
        <w:t>單位：億元</w:t>
      </w:r>
    </w:p>
    <w:tbl>
      <w:tblPr>
        <w:tblW w:w="14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01"/>
        <w:gridCol w:w="3009"/>
        <w:gridCol w:w="1136"/>
        <w:gridCol w:w="1137"/>
        <w:gridCol w:w="1137"/>
        <w:gridCol w:w="1137"/>
        <w:gridCol w:w="1137"/>
        <w:gridCol w:w="1137"/>
        <w:gridCol w:w="1137"/>
        <w:gridCol w:w="1137"/>
      </w:tblGrid>
      <w:tr w:rsidR="00796EA9" w:rsidRPr="00796EA9" w:rsidTr="00052E31">
        <w:trPr>
          <w:trHeight w:val="473"/>
          <w:tblHeader/>
          <w:jc w:val="center"/>
        </w:trPr>
        <w:tc>
          <w:tcPr>
            <w:tcW w:w="5194" w:type="dxa"/>
            <w:gridSpan w:val="3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jc w:val="right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年度</w:t>
            </w:r>
          </w:p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項目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jc w:val="center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合計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jc w:val="center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jc w:val="center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101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jc w:val="center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102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jc w:val="center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103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jc w:val="center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104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jc w:val="center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105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jc w:val="center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106</w:t>
            </w:r>
          </w:p>
        </w:tc>
      </w:tr>
      <w:tr w:rsidR="00796EA9" w:rsidRPr="00796EA9" w:rsidTr="00052E31">
        <w:trPr>
          <w:trHeight w:val="201"/>
          <w:jc w:val="center"/>
        </w:trPr>
        <w:tc>
          <w:tcPr>
            <w:tcW w:w="5194" w:type="dxa"/>
            <w:gridSpan w:val="3"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jc w:val="center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桃園機場收入合計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widowControl/>
              <w:adjustRightInd w:val="0"/>
              <w:snapToGrid w:val="0"/>
              <w:spacing w:line="280" w:lineRule="exact"/>
              <w:jc w:val="right"/>
              <w:rPr>
                <w:rFonts w:hAnsi="標楷體"/>
                <w:b/>
                <w:bCs/>
                <w:sz w:val="24"/>
                <w:szCs w:val="24"/>
              </w:rPr>
            </w:pPr>
            <w:r w:rsidRPr="00796EA9">
              <w:rPr>
                <w:rFonts w:hAnsi="標楷體"/>
                <w:b/>
                <w:bCs/>
                <w:sz w:val="24"/>
                <w:szCs w:val="24"/>
              </w:rPr>
              <w:t>1493.26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b/>
                <w:bCs/>
                <w:sz w:val="24"/>
                <w:szCs w:val="24"/>
              </w:rPr>
            </w:pPr>
            <w:r w:rsidRPr="00796EA9">
              <w:rPr>
                <w:rFonts w:hAnsi="標楷體"/>
                <w:b/>
                <w:bCs/>
                <w:sz w:val="24"/>
                <w:szCs w:val="24"/>
              </w:rPr>
              <w:t>161.91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b/>
                <w:bCs/>
                <w:sz w:val="24"/>
                <w:szCs w:val="24"/>
              </w:rPr>
            </w:pPr>
            <w:r w:rsidRPr="00796EA9">
              <w:rPr>
                <w:rFonts w:hAnsi="標楷體"/>
                <w:b/>
                <w:bCs/>
                <w:sz w:val="24"/>
                <w:szCs w:val="24"/>
              </w:rPr>
              <w:t>175.83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b/>
                <w:bCs/>
                <w:sz w:val="24"/>
                <w:szCs w:val="24"/>
              </w:rPr>
            </w:pPr>
            <w:r w:rsidRPr="00796EA9">
              <w:rPr>
                <w:rFonts w:hAnsi="標楷體"/>
                <w:b/>
                <w:bCs/>
                <w:sz w:val="24"/>
                <w:szCs w:val="24"/>
              </w:rPr>
              <w:t>185.45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b/>
                <w:bCs/>
                <w:sz w:val="24"/>
                <w:szCs w:val="24"/>
              </w:rPr>
            </w:pPr>
            <w:r w:rsidRPr="00796EA9">
              <w:rPr>
                <w:rFonts w:hAnsi="標楷體"/>
                <w:b/>
                <w:bCs/>
                <w:sz w:val="24"/>
                <w:szCs w:val="24"/>
              </w:rPr>
              <w:t>201.86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b/>
                <w:bCs/>
                <w:sz w:val="24"/>
                <w:szCs w:val="24"/>
              </w:rPr>
            </w:pPr>
            <w:r w:rsidRPr="00796EA9">
              <w:rPr>
                <w:rFonts w:hAnsi="標楷體"/>
                <w:b/>
                <w:bCs/>
                <w:sz w:val="24"/>
                <w:szCs w:val="24"/>
              </w:rPr>
              <w:t>232.49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b/>
                <w:bCs/>
                <w:sz w:val="24"/>
                <w:szCs w:val="24"/>
              </w:rPr>
            </w:pPr>
            <w:r w:rsidRPr="00796EA9">
              <w:rPr>
                <w:rFonts w:hAnsi="標楷體"/>
                <w:b/>
                <w:bCs/>
                <w:sz w:val="24"/>
                <w:szCs w:val="24"/>
              </w:rPr>
              <w:t>262.76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widowControl/>
              <w:adjustRightInd w:val="0"/>
              <w:snapToGrid w:val="0"/>
              <w:spacing w:line="280" w:lineRule="exact"/>
              <w:jc w:val="right"/>
              <w:rPr>
                <w:rFonts w:hAnsi="標楷體"/>
                <w:b/>
                <w:bCs/>
                <w:sz w:val="24"/>
                <w:szCs w:val="24"/>
              </w:rPr>
            </w:pPr>
            <w:r w:rsidRPr="00796EA9">
              <w:rPr>
                <w:rFonts w:hAnsi="標楷體"/>
                <w:b/>
                <w:bCs/>
                <w:sz w:val="24"/>
                <w:szCs w:val="24"/>
              </w:rPr>
              <w:t>272.96</w:t>
            </w:r>
          </w:p>
        </w:tc>
      </w:tr>
      <w:tr w:rsidR="00796EA9" w:rsidRPr="00796EA9" w:rsidTr="00052E31">
        <w:trPr>
          <w:jc w:val="center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rightChars="-20" w:right="-68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分配及支用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民航事業</w:t>
            </w:r>
          </w:p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作業基金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jc w:val="center"/>
              <w:rPr>
                <w:rFonts w:hAnsi="標楷體"/>
                <w:bCs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小計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widowControl/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632.33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81.58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80.48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80.81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87.98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95.35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101.78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104.35</w:t>
            </w:r>
          </w:p>
        </w:tc>
      </w:tr>
      <w:tr w:rsidR="00796EA9" w:rsidRPr="00796EA9" w:rsidTr="00052E31">
        <w:trPr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飛航服務費(</w:t>
            </w:r>
            <w:proofErr w:type="gramStart"/>
            <w:r w:rsidRPr="00796EA9">
              <w:rPr>
                <w:rFonts w:hAnsi="標楷體"/>
                <w:kern w:val="0"/>
                <w:sz w:val="24"/>
                <w:szCs w:val="24"/>
              </w:rPr>
              <w:t>註</w:t>
            </w:r>
            <w:proofErr w:type="gramEnd"/>
            <w:r w:rsidRPr="00796EA9">
              <w:rPr>
                <w:rFonts w:hAnsi="標楷體"/>
                <w:kern w:val="0"/>
                <w:sz w:val="24"/>
                <w:szCs w:val="24"/>
              </w:rPr>
              <w:t>1)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113.86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14.03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14.85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15.56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15.9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17.03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17.99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18.5</w:t>
            </w:r>
          </w:p>
        </w:tc>
      </w:tr>
      <w:tr w:rsidR="00796EA9" w:rsidRPr="00796EA9" w:rsidTr="00052E31">
        <w:trPr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安全服務費(</w:t>
            </w:r>
            <w:proofErr w:type="gramStart"/>
            <w:r w:rsidRPr="00796EA9">
              <w:rPr>
                <w:rFonts w:hAnsi="標楷體"/>
                <w:kern w:val="0"/>
                <w:sz w:val="24"/>
                <w:szCs w:val="24"/>
              </w:rPr>
              <w:t>註</w:t>
            </w:r>
            <w:proofErr w:type="gramEnd"/>
            <w:r w:rsidRPr="00796EA9">
              <w:rPr>
                <w:rFonts w:hAnsi="標楷體"/>
                <w:kern w:val="0"/>
                <w:sz w:val="24"/>
                <w:szCs w:val="24"/>
              </w:rPr>
              <w:t>2)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widowControl/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14.9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1.78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1.91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2.01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2.15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2.23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2.39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2.43</w:t>
            </w:r>
          </w:p>
        </w:tc>
      </w:tr>
      <w:tr w:rsidR="00796EA9" w:rsidRPr="00796EA9" w:rsidTr="00052E31">
        <w:trPr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土地租金(</w:t>
            </w:r>
            <w:proofErr w:type="gramStart"/>
            <w:r w:rsidRPr="00796EA9">
              <w:rPr>
                <w:rFonts w:hAnsi="標楷體"/>
                <w:kern w:val="0"/>
                <w:sz w:val="24"/>
                <w:szCs w:val="24"/>
              </w:rPr>
              <w:t>註</w:t>
            </w:r>
            <w:proofErr w:type="gramEnd"/>
            <w:r w:rsidRPr="00796EA9">
              <w:rPr>
                <w:rFonts w:hAnsi="標楷體"/>
                <w:kern w:val="0"/>
                <w:sz w:val="24"/>
                <w:szCs w:val="24"/>
              </w:rPr>
              <w:t>3)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323.07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49.79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44.66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44.73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44.73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44.68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47.24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47.24</w:t>
            </w:r>
          </w:p>
        </w:tc>
      </w:tr>
      <w:tr w:rsidR="00796EA9" w:rsidRPr="00796EA9" w:rsidTr="00052E31">
        <w:trPr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  <w:proofErr w:type="gramStart"/>
            <w:r w:rsidRPr="00796EA9">
              <w:rPr>
                <w:rFonts w:hAnsi="標楷體"/>
                <w:kern w:val="0"/>
                <w:sz w:val="24"/>
                <w:szCs w:val="24"/>
              </w:rPr>
              <w:t>桃機公司</w:t>
            </w:r>
            <w:proofErr w:type="gramEnd"/>
            <w:r w:rsidRPr="00796EA9">
              <w:rPr>
                <w:rFonts w:hAnsi="標楷體"/>
                <w:kern w:val="0"/>
                <w:sz w:val="24"/>
                <w:szCs w:val="24"/>
              </w:rPr>
              <w:t>盈餘分配</w:t>
            </w:r>
            <w:r w:rsidRPr="00796EA9">
              <w:rPr>
                <w:rFonts w:hAnsi="標楷體" w:hint="eastAsia"/>
                <w:kern w:val="0"/>
                <w:sz w:val="24"/>
                <w:szCs w:val="24"/>
              </w:rPr>
              <w:t>(</w:t>
            </w:r>
            <w:proofErr w:type="gramStart"/>
            <w:r w:rsidRPr="00796EA9">
              <w:rPr>
                <w:rFonts w:hAnsi="標楷體"/>
                <w:kern w:val="0"/>
                <w:sz w:val="24"/>
                <w:szCs w:val="24"/>
              </w:rPr>
              <w:t>註</w:t>
            </w:r>
            <w:proofErr w:type="gramEnd"/>
            <w:r w:rsidRPr="00796EA9">
              <w:rPr>
                <w:rFonts w:hAnsi="標楷體"/>
                <w:kern w:val="0"/>
                <w:sz w:val="24"/>
                <w:szCs w:val="24"/>
              </w:rPr>
              <w:t>4</w:t>
            </w:r>
            <w:r w:rsidRPr="00796EA9">
              <w:rPr>
                <w:rFonts w:hAnsi="標楷體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widowControl/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180.5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15.98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19.06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18.51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25.2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31.41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34.16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36.18</w:t>
            </w:r>
          </w:p>
        </w:tc>
      </w:tr>
      <w:tr w:rsidR="00796EA9" w:rsidRPr="00796EA9" w:rsidTr="00052E31">
        <w:trPr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觀光發展基金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機場服務費(</w:t>
            </w:r>
            <w:proofErr w:type="gramStart"/>
            <w:r w:rsidRPr="00796EA9">
              <w:rPr>
                <w:rFonts w:hAnsi="標楷體"/>
                <w:kern w:val="0"/>
                <w:sz w:val="24"/>
                <w:szCs w:val="24"/>
              </w:rPr>
              <w:t>註</w:t>
            </w:r>
            <w:proofErr w:type="gramEnd"/>
            <w:r w:rsidRPr="00796EA9">
              <w:rPr>
                <w:rFonts w:hAnsi="標楷體"/>
                <w:kern w:val="0"/>
                <w:sz w:val="24"/>
                <w:szCs w:val="24"/>
              </w:rPr>
              <w:t>5)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230.22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20.67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23.2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25.5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28.45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37.08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46.33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48.99</w:t>
            </w:r>
          </w:p>
        </w:tc>
      </w:tr>
      <w:tr w:rsidR="00796EA9" w:rsidRPr="00796EA9" w:rsidTr="00052E31">
        <w:trPr>
          <w:trHeight w:val="234"/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桃園市政府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jc w:val="center"/>
              <w:rPr>
                <w:rFonts w:hAnsi="標楷體"/>
                <w:bCs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小計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widowControl/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97.34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10.47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11.62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11.88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13.72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15.49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16.62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17.54</w:t>
            </w:r>
          </w:p>
        </w:tc>
      </w:tr>
      <w:tr w:rsidR="00796EA9" w:rsidRPr="00796EA9" w:rsidTr="00052E31">
        <w:trPr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噪音防制費、回饋金(</w:t>
            </w:r>
            <w:proofErr w:type="gramStart"/>
            <w:r w:rsidRPr="00796EA9">
              <w:rPr>
                <w:rFonts w:hAnsi="標楷體"/>
                <w:kern w:val="0"/>
                <w:sz w:val="24"/>
                <w:szCs w:val="24"/>
              </w:rPr>
              <w:t>註</w:t>
            </w:r>
            <w:proofErr w:type="gramEnd"/>
            <w:r w:rsidRPr="00796EA9">
              <w:rPr>
                <w:rFonts w:hAnsi="標楷體"/>
                <w:kern w:val="0"/>
                <w:sz w:val="24"/>
                <w:szCs w:val="24"/>
              </w:rPr>
              <w:t>6)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57.75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6.97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7.44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7.82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8.19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8.6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9.13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9.6</w:t>
            </w:r>
          </w:p>
        </w:tc>
      </w:tr>
      <w:tr w:rsidR="00796EA9" w:rsidRPr="00796EA9" w:rsidTr="00052E31">
        <w:trPr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  <w:proofErr w:type="gramStart"/>
            <w:r w:rsidRPr="00796EA9">
              <w:rPr>
                <w:rFonts w:hAnsi="標楷體"/>
                <w:kern w:val="0"/>
                <w:sz w:val="24"/>
                <w:szCs w:val="24"/>
              </w:rPr>
              <w:t>桃機公司</w:t>
            </w:r>
            <w:proofErr w:type="gramEnd"/>
            <w:r w:rsidRPr="00796EA9">
              <w:rPr>
                <w:rFonts w:hAnsi="標楷體"/>
                <w:kern w:val="0"/>
                <w:sz w:val="24"/>
                <w:szCs w:val="24"/>
              </w:rPr>
              <w:t>盈餘分配(</w:t>
            </w:r>
            <w:proofErr w:type="gramStart"/>
            <w:r w:rsidRPr="00796EA9">
              <w:rPr>
                <w:rFonts w:hAnsi="標楷體"/>
                <w:kern w:val="0"/>
                <w:sz w:val="24"/>
                <w:szCs w:val="24"/>
              </w:rPr>
              <w:t>註</w:t>
            </w:r>
            <w:proofErr w:type="gramEnd"/>
            <w:r w:rsidRPr="00796EA9">
              <w:rPr>
                <w:rFonts w:hAnsi="標楷體"/>
                <w:kern w:val="0"/>
                <w:sz w:val="24"/>
                <w:szCs w:val="24"/>
              </w:rPr>
              <w:t>4)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widowControl/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39.59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3.5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4.18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4.06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5.53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6.89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7.49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7.94</w:t>
            </w:r>
          </w:p>
        </w:tc>
      </w:tr>
      <w:tr w:rsidR="00796EA9" w:rsidRPr="00796EA9" w:rsidTr="00052E31">
        <w:trPr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  <w:proofErr w:type="gramStart"/>
            <w:r w:rsidRPr="00796EA9">
              <w:rPr>
                <w:rFonts w:hAnsi="標楷體"/>
                <w:kern w:val="0"/>
                <w:sz w:val="24"/>
                <w:szCs w:val="24"/>
              </w:rPr>
              <w:t>桃機公司</w:t>
            </w:r>
            <w:proofErr w:type="gramEnd"/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B8" w:rsidRPr="00796EA9" w:rsidRDefault="002E53D9" w:rsidP="002755B8">
            <w:pPr>
              <w:adjustRightInd w:val="0"/>
              <w:snapToGrid w:val="0"/>
              <w:spacing w:line="280" w:lineRule="exact"/>
              <w:ind w:leftChars="-20" w:left="-68" w:rightChars="-20" w:right="-68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公司留存(法定盈餘公積</w:t>
            </w:r>
            <w:r w:rsidR="00D530A4" w:rsidRPr="00796EA9">
              <w:rPr>
                <w:rFonts w:hAnsi="標楷體"/>
                <w:kern w:val="0"/>
                <w:sz w:val="24"/>
                <w:szCs w:val="24"/>
              </w:rPr>
              <w:t>、</w:t>
            </w:r>
          </w:p>
          <w:p w:rsidR="002E53D9" w:rsidRPr="00796EA9" w:rsidRDefault="002E53D9" w:rsidP="00D530A4">
            <w:pPr>
              <w:adjustRightInd w:val="0"/>
              <w:snapToGrid w:val="0"/>
              <w:spacing w:line="280" w:lineRule="exact"/>
              <w:ind w:leftChars="-20" w:left="-68" w:rightChars="-20" w:right="-68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特別盈餘公</w:t>
            </w:r>
            <w:proofErr w:type="gramStart"/>
            <w:r w:rsidRPr="00796EA9">
              <w:rPr>
                <w:rFonts w:hAnsi="標楷體"/>
                <w:kern w:val="0"/>
                <w:sz w:val="24"/>
                <w:szCs w:val="24"/>
              </w:rPr>
              <w:t>積等)(註</w:t>
            </w:r>
            <w:proofErr w:type="gramEnd"/>
            <w:r w:rsidRPr="00796EA9">
              <w:rPr>
                <w:rFonts w:hAnsi="標楷體"/>
                <w:kern w:val="0"/>
                <w:sz w:val="24"/>
                <w:szCs w:val="24"/>
              </w:rPr>
              <w:t>4)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123.82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10.49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12.52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16.76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16.55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21.06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22.45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23.99</w:t>
            </w:r>
          </w:p>
        </w:tc>
      </w:tr>
      <w:tr w:rsidR="00796EA9" w:rsidRPr="00796EA9" w:rsidTr="00052E31">
        <w:trPr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成本費用(不含地租)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widowControl/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336.37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30.89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40.5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42.3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45.33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51.15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62.24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63.96</w:t>
            </w:r>
          </w:p>
        </w:tc>
      </w:tr>
      <w:tr w:rsidR="00796EA9" w:rsidRPr="00796EA9" w:rsidTr="00052E31">
        <w:trPr>
          <w:jc w:val="center"/>
        </w:trPr>
        <w:tc>
          <w:tcPr>
            <w:tcW w:w="484" w:type="dxa"/>
            <w:vMerge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國庫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ind w:leftChars="-20" w:left="-68" w:rightChars="-20" w:right="-68"/>
              <w:rPr>
                <w:rFonts w:hAnsi="標楷體"/>
                <w:b/>
                <w:bCs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所得稅等稅捐及規費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73.18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7.81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7.51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8.2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9.83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12.36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13.34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D9" w:rsidRPr="00796EA9" w:rsidRDefault="002E53D9" w:rsidP="00052E31">
            <w:pPr>
              <w:adjustRightInd w:val="0"/>
              <w:snapToGrid w:val="0"/>
              <w:spacing w:line="280" w:lineRule="exact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14.13</w:t>
            </w:r>
          </w:p>
        </w:tc>
      </w:tr>
    </w:tbl>
    <w:p w:rsidR="002E53D9" w:rsidRPr="00796EA9" w:rsidRDefault="002E53D9" w:rsidP="00736EDF">
      <w:pPr>
        <w:adjustRightInd w:val="0"/>
        <w:snapToGrid w:val="0"/>
        <w:spacing w:line="300" w:lineRule="exact"/>
        <w:ind w:leftChars="-89" w:left="477" w:hangingChars="300" w:hanging="780"/>
        <w:rPr>
          <w:rFonts w:hAnsi="標楷體"/>
          <w:kern w:val="0"/>
          <w:sz w:val="24"/>
          <w:szCs w:val="24"/>
        </w:rPr>
      </w:pPr>
      <w:proofErr w:type="gramStart"/>
      <w:r w:rsidRPr="00796EA9">
        <w:rPr>
          <w:rFonts w:hAnsi="標楷體"/>
          <w:bCs/>
          <w:kern w:val="0"/>
          <w:sz w:val="24"/>
          <w:szCs w:val="24"/>
        </w:rPr>
        <w:t>註</w:t>
      </w:r>
      <w:proofErr w:type="gramEnd"/>
      <w:r w:rsidRPr="00796EA9">
        <w:rPr>
          <w:rFonts w:hAnsi="標楷體"/>
          <w:bCs/>
          <w:kern w:val="0"/>
          <w:sz w:val="24"/>
          <w:szCs w:val="24"/>
        </w:rPr>
        <w:t>：1.飛航服務費：降落費40％，99年8月18日交通部</w:t>
      </w:r>
      <w:proofErr w:type="gramStart"/>
      <w:r w:rsidRPr="00796EA9">
        <w:rPr>
          <w:rFonts w:hAnsi="標楷體"/>
          <w:bCs/>
          <w:kern w:val="0"/>
          <w:sz w:val="24"/>
          <w:szCs w:val="24"/>
        </w:rPr>
        <w:t>交航字</w:t>
      </w:r>
      <w:proofErr w:type="gramEnd"/>
      <w:r w:rsidRPr="00796EA9">
        <w:rPr>
          <w:rFonts w:hAnsi="標楷體"/>
          <w:bCs/>
          <w:kern w:val="0"/>
          <w:sz w:val="24"/>
          <w:szCs w:val="24"/>
        </w:rPr>
        <w:t>第0990007570號令修正「使用國營航空站助航設備及相關設施收費標準」第3條及第15條附表。</w:t>
      </w:r>
    </w:p>
    <w:p w:rsidR="002E53D9" w:rsidRPr="00796EA9" w:rsidRDefault="002E53D9" w:rsidP="00736EDF">
      <w:pPr>
        <w:adjustRightInd w:val="0"/>
        <w:snapToGrid w:val="0"/>
        <w:spacing w:line="300" w:lineRule="exact"/>
        <w:ind w:leftChars="67" w:left="488" w:hangingChars="100" w:hanging="260"/>
        <w:rPr>
          <w:rFonts w:hAnsi="標楷體"/>
          <w:kern w:val="0"/>
          <w:sz w:val="24"/>
          <w:szCs w:val="24"/>
        </w:rPr>
      </w:pPr>
      <w:r w:rsidRPr="00796EA9">
        <w:rPr>
          <w:rFonts w:hAnsi="標楷體"/>
          <w:bCs/>
          <w:kern w:val="0"/>
          <w:sz w:val="24"/>
          <w:szCs w:val="24"/>
        </w:rPr>
        <w:t>2.安全服務費：99年8月18日交通部</w:t>
      </w:r>
      <w:proofErr w:type="gramStart"/>
      <w:r w:rsidRPr="00796EA9">
        <w:rPr>
          <w:rFonts w:hAnsi="標楷體"/>
          <w:bCs/>
          <w:kern w:val="0"/>
          <w:sz w:val="24"/>
          <w:szCs w:val="24"/>
        </w:rPr>
        <w:t>交航字</w:t>
      </w:r>
      <w:proofErr w:type="gramEnd"/>
      <w:r w:rsidRPr="00796EA9">
        <w:rPr>
          <w:rFonts w:hAnsi="標楷體"/>
          <w:bCs/>
          <w:kern w:val="0"/>
          <w:sz w:val="24"/>
          <w:szCs w:val="24"/>
        </w:rPr>
        <w:t>第0990007570號令修正「使用國營航空站助航設備及相關設施收費標準」第3條及第15條附表。</w:t>
      </w:r>
    </w:p>
    <w:p w:rsidR="002E53D9" w:rsidRPr="00796EA9" w:rsidRDefault="002E53D9" w:rsidP="00736EDF">
      <w:pPr>
        <w:adjustRightInd w:val="0"/>
        <w:snapToGrid w:val="0"/>
        <w:spacing w:line="300" w:lineRule="exact"/>
        <w:ind w:leftChars="67" w:left="488" w:hangingChars="100" w:hanging="260"/>
        <w:rPr>
          <w:rFonts w:hAnsi="標楷體"/>
          <w:bCs/>
          <w:kern w:val="0"/>
          <w:sz w:val="24"/>
          <w:szCs w:val="24"/>
        </w:rPr>
      </w:pPr>
      <w:r w:rsidRPr="00796EA9">
        <w:rPr>
          <w:rFonts w:hAnsi="標楷體"/>
          <w:bCs/>
          <w:kern w:val="0"/>
          <w:sz w:val="24"/>
          <w:szCs w:val="24"/>
        </w:rPr>
        <w:t>3.桃園機場給付土地租金：「國際機場園區發展條例」第11條、「交通部民用航空局經管國際機場園區公有土地提供使用辦法」第4條。</w:t>
      </w:r>
    </w:p>
    <w:p w:rsidR="002E53D9" w:rsidRPr="00796EA9" w:rsidRDefault="002E53D9" w:rsidP="00736EDF">
      <w:pPr>
        <w:adjustRightInd w:val="0"/>
        <w:snapToGrid w:val="0"/>
        <w:spacing w:line="300" w:lineRule="exact"/>
        <w:ind w:leftChars="67" w:left="488" w:hangingChars="100" w:hanging="260"/>
        <w:rPr>
          <w:rFonts w:hAnsi="標楷體"/>
          <w:bCs/>
          <w:kern w:val="0"/>
          <w:sz w:val="24"/>
          <w:szCs w:val="24"/>
        </w:rPr>
      </w:pPr>
      <w:r w:rsidRPr="00796EA9">
        <w:rPr>
          <w:rFonts w:hAnsi="標楷體"/>
          <w:bCs/>
          <w:kern w:val="0"/>
          <w:sz w:val="24"/>
          <w:szCs w:val="24"/>
        </w:rPr>
        <w:t>4.</w:t>
      </w:r>
      <w:proofErr w:type="gramStart"/>
      <w:r w:rsidRPr="00796EA9">
        <w:rPr>
          <w:rFonts w:hAnsi="標楷體"/>
          <w:bCs/>
          <w:kern w:val="0"/>
          <w:sz w:val="24"/>
          <w:szCs w:val="24"/>
        </w:rPr>
        <w:t>桃機公司</w:t>
      </w:r>
      <w:proofErr w:type="gramEnd"/>
      <w:r w:rsidRPr="00796EA9">
        <w:rPr>
          <w:rFonts w:hAnsi="標楷體"/>
          <w:bCs/>
          <w:kern w:val="0"/>
          <w:sz w:val="24"/>
          <w:szCs w:val="24"/>
        </w:rPr>
        <w:t>盈餘分配：「國際機場園區發展條例」第22條</w:t>
      </w:r>
    </w:p>
    <w:p w:rsidR="002E53D9" w:rsidRPr="00796EA9" w:rsidRDefault="002E53D9" w:rsidP="00736EDF">
      <w:pPr>
        <w:adjustRightInd w:val="0"/>
        <w:snapToGrid w:val="0"/>
        <w:spacing w:line="300" w:lineRule="exact"/>
        <w:ind w:leftChars="67" w:left="488" w:hangingChars="100" w:hanging="260"/>
        <w:rPr>
          <w:rFonts w:hAnsi="標楷體"/>
          <w:bCs/>
          <w:kern w:val="0"/>
          <w:sz w:val="24"/>
          <w:szCs w:val="24"/>
        </w:rPr>
      </w:pPr>
      <w:r w:rsidRPr="00796EA9">
        <w:rPr>
          <w:rFonts w:hAnsi="標楷體"/>
          <w:bCs/>
          <w:kern w:val="0"/>
          <w:sz w:val="24"/>
          <w:szCs w:val="24"/>
        </w:rPr>
        <w:t>5.</w:t>
      </w:r>
      <w:r w:rsidRPr="00796EA9">
        <w:rPr>
          <w:rFonts w:hAnsi="標楷體"/>
          <w:kern w:val="0"/>
          <w:sz w:val="24"/>
          <w:szCs w:val="24"/>
        </w:rPr>
        <w:t>機場服務費：「國際機場園區發展條例」第15條、施行細則第7條。</w:t>
      </w:r>
    </w:p>
    <w:p w:rsidR="002E53D9" w:rsidRPr="00796EA9" w:rsidRDefault="002E53D9" w:rsidP="00736EDF">
      <w:pPr>
        <w:adjustRightInd w:val="0"/>
        <w:snapToGrid w:val="0"/>
        <w:spacing w:line="300" w:lineRule="exact"/>
        <w:ind w:leftChars="67" w:left="488" w:hangingChars="100" w:hanging="260"/>
        <w:rPr>
          <w:rFonts w:hAnsi="標楷體"/>
          <w:bCs/>
          <w:kern w:val="0"/>
          <w:sz w:val="24"/>
          <w:szCs w:val="24"/>
        </w:rPr>
      </w:pPr>
      <w:r w:rsidRPr="00796EA9">
        <w:rPr>
          <w:rFonts w:hAnsi="標楷體"/>
          <w:bCs/>
          <w:kern w:val="0"/>
          <w:sz w:val="24"/>
          <w:szCs w:val="24"/>
        </w:rPr>
        <w:t>6.噪音防制費：「國際機場園區發展條例」</w:t>
      </w:r>
      <w:r w:rsidRPr="00796EA9">
        <w:rPr>
          <w:rFonts w:hAnsi="標楷體"/>
          <w:kern w:val="0"/>
          <w:sz w:val="24"/>
          <w:szCs w:val="24"/>
        </w:rPr>
        <w:t>第14條。</w:t>
      </w:r>
      <w:r w:rsidRPr="00796EA9">
        <w:rPr>
          <w:rFonts w:hAnsi="標楷體"/>
          <w:bCs/>
          <w:kern w:val="0"/>
          <w:sz w:val="24"/>
          <w:szCs w:val="24"/>
        </w:rPr>
        <w:t>回饋金：</w:t>
      </w:r>
      <w:r w:rsidRPr="00796EA9">
        <w:rPr>
          <w:rFonts w:hAnsi="標楷體"/>
          <w:kern w:val="0"/>
          <w:sz w:val="24"/>
          <w:szCs w:val="24"/>
        </w:rPr>
        <w:t>「國際機場園區發展條例」第14條、施行細則第5條。</w:t>
      </w:r>
    </w:p>
    <w:p w:rsidR="002E53D9" w:rsidRPr="00796EA9" w:rsidRDefault="002E53D9" w:rsidP="00736EDF">
      <w:pPr>
        <w:adjustRightInd w:val="0"/>
        <w:snapToGrid w:val="0"/>
        <w:spacing w:line="300" w:lineRule="exact"/>
        <w:ind w:leftChars="-89" w:left="477" w:hangingChars="300" w:hanging="780"/>
        <w:rPr>
          <w:rFonts w:hAnsi="標楷體"/>
          <w:sz w:val="24"/>
          <w:szCs w:val="24"/>
        </w:rPr>
      </w:pPr>
      <w:r w:rsidRPr="00796EA9">
        <w:rPr>
          <w:rFonts w:hAnsi="標楷體"/>
          <w:sz w:val="24"/>
          <w:szCs w:val="24"/>
        </w:rPr>
        <w:t>資料</w:t>
      </w:r>
      <w:r w:rsidRPr="00796EA9">
        <w:rPr>
          <w:rFonts w:hAnsi="標楷體"/>
          <w:bCs/>
          <w:kern w:val="0"/>
          <w:sz w:val="24"/>
          <w:szCs w:val="24"/>
        </w:rPr>
        <w:t>來源</w:t>
      </w:r>
      <w:r w:rsidRPr="00796EA9">
        <w:rPr>
          <w:rFonts w:hAnsi="標楷體"/>
          <w:sz w:val="24"/>
          <w:szCs w:val="24"/>
        </w:rPr>
        <w:t>：</w:t>
      </w:r>
      <w:r w:rsidRPr="00796EA9">
        <w:rPr>
          <w:rFonts w:hAnsi="標楷體" w:hint="eastAsia"/>
          <w:sz w:val="24"/>
          <w:szCs w:val="24"/>
        </w:rPr>
        <w:t>交通部。</w:t>
      </w:r>
    </w:p>
    <w:p w:rsidR="002E53D9" w:rsidRPr="00796EA9" w:rsidRDefault="002E53D9" w:rsidP="002E53D9">
      <w:pPr>
        <w:pStyle w:val="a3"/>
        <w:jc w:val="center"/>
        <w:rPr>
          <w:rFonts w:hAnsi="標楷體"/>
          <w:b/>
        </w:rPr>
      </w:pPr>
      <w:proofErr w:type="gramStart"/>
      <w:r w:rsidRPr="00796EA9">
        <w:rPr>
          <w:rFonts w:hAnsi="標楷體"/>
          <w:b/>
        </w:rPr>
        <w:lastRenderedPageBreak/>
        <w:t>桃機公司</w:t>
      </w:r>
      <w:proofErr w:type="gramEnd"/>
      <w:r w:rsidRPr="00796EA9">
        <w:rPr>
          <w:rFonts w:hAnsi="標楷體" w:hint="eastAsia"/>
          <w:b/>
        </w:rPr>
        <w:t>101至106</w:t>
      </w:r>
      <w:r w:rsidRPr="00796EA9">
        <w:rPr>
          <w:rFonts w:hAnsi="標楷體"/>
          <w:b/>
        </w:rPr>
        <w:t>年度簡明損益表</w:t>
      </w:r>
    </w:p>
    <w:p w:rsidR="002E53D9" w:rsidRPr="00796EA9" w:rsidRDefault="002E53D9" w:rsidP="002E53D9">
      <w:pPr>
        <w:pStyle w:val="3"/>
        <w:numPr>
          <w:ilvl w:val="0"/>
          <w:numId w:val="0"/>
        </w:numPr>
        <w:ind w:left="1361"/>
        <w:jc w:val="right"/>
        <w:rPr>
          <w:rFonts w:hAnsi="標楷體"/>
          <w:sz w:val="24"/>
          <w:szCs w:val="24"/>
        </w:rPr>
      </w:pPr>
      <w:r w:rsidRPr="00796EA9">
        <w:rPr>
          <w:rFonts w:hAnsi="標楷體"/>
          <w:sz w:val="24"/>
          <w:szCs w:val="24"/>
        </w:rPr>
        <w:t>單位：千元</w:t>
      </w:r>
    </w:p>
    <w:tbl>
      <w:tblPr>
        <w:tblW w:w="130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1760"/>
        <w:gridCol w:w="1760"/>
        <w:gridCol w:w="1760"/>
        <w:gridCol w:w="1760"/>
        <w:gridCol w:w="1760"/>
        <w:gridCol w:w="1724"/>
      </w:tblGrid>
      <w:tr w:rsidR="00796EA9" w:rsidRPr="00796EA9" w:rsidTr="00052E31">
        <w:trPr>
          <w:trHeight w:val="20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年度</w:t>
            </w:r>
          </w:p>
          <w:p w:rsidR="002E53D9" w:rsidRPr="00796EA9" w:rsidRDefault="002E53D9" w:rsidP="00052E31">
            <w:pPr>
              <w:snapToGrid w:val="0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項目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center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101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center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102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center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103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center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center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105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9" w:rsidRPr="00796EA9" w:rsidRDefault="002E53D9" w:rsidP="00052E31">
            <w:pPr>
              <w:snapToGrid w:val="0"/>
              <w:jc w:val="center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106</w:t>
            </w:r>
          </w:p>
        </w:tc>
      </w:tr>
      <w:tr w:rsidR="00796EA9" w:rsidRPr="00796EA9" w:rsidTr="00052E31">
        <w:trPr>
          <w:trHeight w:val="20"/>
          <w:jc w:val="center"/>
        </w:trPr>
        <w:tc>
          <w:tcPr>
            <w:tcW w:w="25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收入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rPr>
                <w:rFonts w:hAnsi="標楷體"/>
                <w:b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E53D9" w:rsidRPr="00796EA9" w:rsidRDefault="002E53D9" w:rsidP="00052E31">
            <w:pPr>
              <w:snapToGrid w:val="0"/>
              <w:rPr>
                <w:rFonts w:hAnsi="標楷體"/>
                <w:b/>
                <w:sz w:val="24"/>
                <w:szCs w:val="24"/>
              </w:rPr>
            </w:pPr>
          </w:p>
        </w:tc>
      </w:tr>
      <w:tr w:rsidR="00796EA9" w:rsidRPr="00796EA9" w:rsidTr="00052E31">
        <w:trPr>
          <w:trHeight w:val="20"/>
          <w:jc w:val="center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780793">
            <w:pPr>
              <w:snapToGrid w:val="0"/>
              <w:ind w:leftChars="75" w:left="255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營業收入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13,499,596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14,132,945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15,400,526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17,535,721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19,513,026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20,123,664</w:t>
            </w:r>
          </w:p>
        </w:tc>
      </w:tr>
      <w:tr w:rsidR="00796EA9" w:rsidRPr="00796EA9" w:rsidTr="00052E31">
        <w:trPr>
          <w:trHeight w:val="20"/>
          <w:jc w:val="center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780793">
            <w:pPr>
              <w:snapToGrid w:val="0"/>
              <w:ind w:leftChars="75" w:left="255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營業外收入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90,977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108,080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139,137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83,475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95,157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183,482</w:t>
            </w:r>
          </w:p>
        </w:tc>
      </w:tr>
      <w:tr w:rsidR="00796EA9" w:rsidRPr="00796EA9" w:rsidTr="00052E31">
        <w:trPr>
          <w:trHeight w:val="20"/>
          <w:jc w:val="center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收入合計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13,590,573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14,241,025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15,539,663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17,619,196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19,608,183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20,307,146</w:t>
            </w:r>
          </w:p>
        </w:tc>
      </w:tr>
      <w:tr w:rsidR="00796EA9" w:rsidRPr="00796EA9" w:rsidTr="00052E31">
        <w:trPr>
          <w:trHeight w:val="20"/>
          <w:jc w:val="center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支出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</w:p>
        </w:tc>
      </w:tr>
      <w:tr w:rsidR="00796EA9" w:rsidRPr="00796EA9" w:rsidTr="00052E31">
        <w:trPr>
          <w:trHeight w:val="20"/>
          <w:jc w:val="center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780793">
            <w:pPr>
              <w:snapToGrid w:val="0"/>
              <w:ind w:leftChars="79" w:left="269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營業成本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7,292,184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8,318,754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8,557,744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8,984,151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10,242,860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10,454,085</w:t>
            </w:r>
          </w:p>
        </w:tc>
      </w:tr>
      <w:tr w:rsidR="00796EA9" w:rsidRPr="00796EA9" w:rsidTr="00052E31">
        <w:trPr>
          <w:trHeight w:val="20"/>
          <w:jc w:val="center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780793">
            <w:pPr>
              <w:snapToGrid w:val="0"/>
              <w:ind w:leftChars="79" w:left="269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營業費用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1,914,803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1,180,053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1,261,927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1,390,963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1,607,480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1,626,169</w:t>
            </w:r>
          </w:p>
        </w:tc>
      </w:tr>
      <w:tr w:rsidR="00796EA9" w:rsidRPr="00796EA9" w:rsidTr="00052E31">
        <w:trPr>
          <w:trHeight w:val="20"/>
          <w:jc w:val="center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780793">
            <w:pPr>
              <w:snapToGrid w:val="0"/>
              <w:ind w:leftChars="79" w:left="269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營業外費用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10,794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2,655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22,337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90,391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33,014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23,112</w:t>
            </w:r>
          </w:p>
        </w:tc>
      </w:tr>
      <w:tr w:rsidR="00796EA9" w:rsidRPr="00796EA9" w:rsidTr="00052E31">
        <w:trPr>
          <w:trHeight w:val="20"/>
          <w:jc w:val="center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780793">
            <w:pPr>
              <w:snapToGrid w:val="0"/>
              <w:ind w:leftChars="79" w:left="269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所得稅費用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745,210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805,730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968,601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1,215,580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1,313,390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1,391,977</w:t>
            </w:r>
          </w:p>
        </w:tc>
      </w:tr>
      <w:tr w:rsidR="00796EA9" w:rsidRPr="00796EA9" w:rsidTr="00052E31">
        <w:trPr>
          <w:trHeight w:val="20"/>
          <w:jc w:val="center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支出合計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9,962,991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10,307,192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10,810,609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11,681,085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13,196,744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13,495,343</w:t>
            </w:r>
          </w:p>
        </w:tc>
      </w:tr>
      <w:tr w:rsidR="00796EA9" w:rsidRPr="00796EA9" w:rsidTr="00052E31">
        <w:trPr>
          <w:trHeight w:val="20"/>
          <w:jc w:val="center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780793">
            <w:pPr>
              <w:snapToGrid w:val="0"/>
              <w:ind w:leftChars="79" w:left="269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淨利(淨損)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3,627,582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3,933,833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4,729,054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5,938,111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6,411,439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6,811,803</w:t>
            </w:r>
          </w:p>
        </w:tc>
      </w:tr>
      <w:tr w:rsidR="00796EA9" w:rsidRPr="00796EA9" w:rsidTr="00052E31">
        <w:trPr>
          <w:trHeight w:val="20"/>
          <w:jc w:val="center"/>
        </w:trPr>
        <w:tc>
          <w:tcPr>
            <w:tcW w:w="250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用人費用</w:t>
            </w:r>
          </w:p>
        </w:tc>
        <w:tc>
          <w:tcPr>
            <w:tcW w:w="176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589,259</w:t>
            </w:r>
          </w:p>
        </w:tc>
        <w:tc>
          <w:tcPr>
            <w:tcW w:w="176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566,303</w:t>
            </w:r>
          </w:p>
        </w:tc>
        <w:tc>
          <w:tcPr>
            <w:tcW w:w="176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637,885</w:t>
            </w:r>
          </w:p>
        </w:tc>
        <w:tc>
          <w:tcPr>
            <w:tcW w:w="176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665,741</w:t>
            </w:r>
          </w:p>
        </w:tc>
        <w:tc>
          <w:tcPr>
            <w:tcW w:w="176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709,813</w:t>
            </w:r>
          </w:p>
        </w:tc>
        <w:tc>
          <w:tcPr>
            <w:tcW w:w="17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b/>
                <w:sz w:val="24"/>
                <w:szCs w:val="24"/>
              </w:rPr>
            </w:pPr>
            <w:r w:rsidRPr="00796EA9">
              <w:rPr>
                <w:rFonts w:hAnsi="標楷體"/>
                <w:b/>
                <w:sz w:val="24"/>
                <w:szCs w:val="24"/>
              </w:rPr>
              <w:t>765,751</w:t>
            </w:r>
          </w:p>
        </w:tc>
      </w:tr>
      <w:tr w:rsidR="00796EA9" w:rsidRPr="00796EA9" w:rsidTr="00052E31">
        <w:trPr>
          <w:trHeight w:val="20"/>
          <w:jc w:val="center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780793">
            <w:pPr>
              <w:snapToGrid w:val="0"/>
              <w:ind w:leftChars="83" w:left="282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用人費用占成本比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5.91％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5.49％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5.90％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5.70％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5.38％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5.67％</w:t>
            </w:r>
          </w:p>
        </w:tc>
      </w:tr>
      <w:tr w:rsidR="00796EA9" w:rsidRPr="00796EA9" w:rsidTr="00052E31">
        <w:trPr>
          <w:trHeight w:val="20"/>
          <w:jc w:val="center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780793">
            <w:pPr>
              <w:snapToGrid w:val="0"/>
              <w:ind w:leftChars="83" w:left="282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用人費用占收入比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4.34％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3.98％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4.10％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3.78％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3.62％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53D9" w:rsidRPr="00796EA9" w:rsidRDefault="002E53D9" w:rsidP="00052E31">
            <w:pPr>
              <w:snapToGrid w:val="0"/>
              <w:jc w:val="right"/>
              <w:rPr>
                <w:rFonts w:hAnsi="標楷體"/>
                <w:sz w:val="24"/>
                <w:szCs w:val="24"/>
              </w:rPr>
            </w:pPr>
            <w:r w:rsidRPr="00796EA9">
              <w:rPr>
                <w:rFonts w:hAnsi="標楷體"/>
                <w:sz w:val="24"/>
                <w:szCs w:val="24"/>
              </w:rPr>
              <w:t>3.77％</w:t>
            </w:r>
          </w:p>
        </w:tc>
      </w:tr>
    </w:tbl>
    <w:p w:rsidR="002E53D9" w:rsidRPr="00796EA9" w:rsidRDefault="002E53D9" w:rsidP="002E53D9">
      <w:pPr>
        <w:snapToGrid w:val="0"/>
        <w:ind w:leftChars="100" w:left="1355" w:hangingChars="390" w:hanging="1015"/>
        <w:rPr>
          <w:rFonts w:hAnsi="標楷體"/>
          <w:sz w:val="24"/>
          <w:szCs w:val="24"/>
        </w:rPr>
      </w:pPr>
      <w:r w:rsidRPr="00796EA9">
        <w:rPr>
          <w:rFonts w:hAnsi="標楷體"/>
          <w:sz w:val="24"/>
          <w:szCs w:val="24"/>
        </w:rPr>
        <w:t>資料來源：</w:t>
      </w:r>
      <w:r w:rsidRPr="00796EA9">
        <w:rPr>
          <w:rFonts w:hAnsi="標楷體" w:hint="eastAsia"/>
          <w:sz w:val="24"/>
          <w:szCs w:val="24"/>
        </w:rPr>
        <w:t>交通部。</w:t>
      </w:r>
    </w:p>
    <w:p w:rsidR="002E53D9" w:rsidRPr="00796EA9" w:rsidRDefault="002E53D9" w:rsidP="002E53D9">
      <w:pPr>
        <w:pStyle w:val="2"/>
        <w:numPr>
          <w:ilvl w:val="1"/>
          <w:numId w:val="1"/>
        </w:numPr>
        <w:rPr>
          <w:rFonts w:hAnsi="標楷體"/>
          <w:b/>
        </w:rPr>
        <w:sectPr w:rsidR="002E53D9" w:rsidRPr="00796EA9" w:rsidSect="0069722C">
          <w:pgSz w:w="16840" w:h="11907" w:orient="landscape" w:code="9"/>
          <w:pgMar w:top="1418" w:right="1701" w:bottom="1418" w:left="1418" w:header="851" w:footer="851" w:gutter="227"/>
          <w:cols w:space="425"/>
          <w:docGrid w:type="linesAndChars" w:linePitch="457" w:charSpace="4127"/>
        </w:sectPr>
      </w:pPr>
    </w:p>
    <w:p w:rsidR="00F165B8" w:rsidRPr="00796EA9" w:rsidRDefault="00F165B8" w:rsidP="00F165B8">
      <w:pPr>
        <w:pStyle w:val="3"/>
      </w:pPr>
      <w:r w:rsidRPr="00796EA9">
        <w:rPr>
          <w:rFonts w:hint="eastAsia"/>
        </w:rPr>
        <w:lastRenderedPageBreak/>
        <w:t>然據交通部</w:t>
      </w:r>
      <w:r w:rsidRPr="00796EA9">
        <w:t>於106年3月及6月</w:t>
      </w:r>
      <w:r w:rsidRPr="00796EA9">
        <w:rPr>
          <w:rFonts w:hint="eastAsia"/>
        </w:rPr>
        <w:t>二度</w:t>
      </w:r>
      <w:proofErr w:type="gramStart"/>
      <w:r w:rsidRPr="00796EA9">
        <w:t>邀集桃機公司</w:t>
      </w:r>
      <w:proofErr w:type="gramEnd"/>
      <w:r w:rsidRPr="00796EA9">
        <w:t>、民航局、觀光局及運</w:t>
      </w:r>
      <w:r w:rsidRPr="00796EA9">
        <w:rPr>
          <w:rFonts w:hint="eastAsia"/>
        </w:rPr>
        <w:t>輸研究</w:t>
      </w:r>
      <w:r w:rsidRPr="00796EA9">
        <w:t>所等相關單位討論，</w:t>
      </w:r>
      <w:r w:rsidRPr="00796EA9">
        <w:rPr>
          <w:rFonts w:hint="eastAsia"/>
        </w:rPr>
        <w:t>並考量</w:t>
      </w:r>
      <w:r w:rsidRPr="00796EA9">
        <w:t>民航局及觀光局尚有其資金需求，於</w:t>
      </w:r>
      <w:proofErr w:type="gramStart"/>
      <w:r w:rsidRPr="00796EA9">
        <w:t>維持桃機公司</w:t>
      </w:r>
      <w:proofErr w:type="gramEnd"/>
      <w:r w:rsidRPr="00796EA9">
        <w:t>、</w:t>
      </w:r>
      <w:r w:rsidRPr="00796EA9">
        <w:rPr>
          <w:rFonts w:hint="eastAsia"/>
        </w:rPr>
        <w:t>「民航事業作業基金」</w:t>
      </w:r>
      <w:r w:rsidRPr="00796EA9">
        <w:t>及</w:t>
      </w:r>
      <w:r w:rsidRPr="00796EA9">
        <w:rPr>
          <w:rFonts w:hint="eastAsia"/>
        </w:rPr>
        <w:t>「</w:t>
      </w:r>
      <w:r w:rsidRPr="00796EA9">
        <w:t>觀光發展基金</w:t>
      </w:r>
      <w:r w:rsidRPr="00796EA9">
        <w:rPr>
          <w:rFonts w:hint="eastAsia"/>
        </w:rPr>
        <w:t>」</w:t>
      </w:r>
      <w:r w:rsidRPr="00796EA9">
        <w:t>財務</w:t>
      </w:r>
      <w:proofErr w:type="gramStart"/>
      <w:r w:rsidRPr="00796EA9">
        <w:t>衡</w:t>
      </w:r>
      <w:proofErr w:type="gramEnd"/>
      <w:r w:rsidRPr="00796EA9">
        <w:t>平原則下，暫時維持現況</w:t>
      </w:r>
      <w:r w:rsidRPr="00796EA9">
        <w:rPr>
          <w:rFonts w:hint="eastAsia"/>
        </w:rPr>
        <w:t>。</w:t>
      </w:r>
      <w:proofErr w:type="gramStart"/>
      <w:r w:rsidRPr="00796EA9">
        <w:rPr>
          <w:rFonts w:hint="eastAsia"/>
        </w:rPr>
        <w:t>故桃機</w:t>
      </w:r>
      <w:proofErr w:type="gramEnd"/>
      <w:r w:rsidRPr="00796EA9">
        <w:rPr>
          <w:rFonts w:hint="eastAsia"/>
        </w:rPr>
        <w:t>公司欲由各基金提高其分配比率已遭否定，其他可調整費用部分，查桃園機場與周邊鄰近機場收費比較，以目前國籍航空主力機型</w:t>
      </w:r>
      <w:r w:rsidRPr="00796EA9">
        <w:t>777-300ER</w:t>
      </w:r>
      <w:r w:rsidRPr="00796EA9">
        <w:rPr>
          <w:rFonts w:hint="eastAsia"/>
        </w:rPr>
        <w:t>、</w:t>
      </w:r>
      <w:r w:rsidRPr="00796EA9">
        <w:t>A330-300</w:t>
      </w:r>
      <w:r w:rsidRPr="00796EA9">
        <w:rPr>
          <w:rFonts w:hint="eastAsia"/>
        </w:rPr>
        <w:t>，停留時間以航機運作</w:t>
      </w:r>
      <w:r w:rsidRPr="00796EA9">
        <w:t>(</w:t>
      </w:r>
      <w:proofErr w:type="gramStart"/>
      <w:r w:rsidRPr="00796EA9">
        <w:rPr>
          <w:rFonts w:hint="eastAsia"/>
        </w:rPr>
        <w:t>不含過夜航</w:t>
      </w:r>
      <w:proofErr w:type="gramEnd"/>
      <w:r w:rsidRPr="00796EA9">
        <w:rPr>
          <w:rFonts w:hint="eastAsia"/>
        </w:rPr>
        <w:t>機</w:t>
      </w:r>
      <w:r w:rsidRPr="00796EA9">
        <w:t>)</w:t>
      </w:r>
      <w:r w:rsidRPr="00796EA9">
        <w:rPr>
          <w:rFonts w:hint="eastAsia"/>
        </w:rPr>
        <w:t>平均約</w:t>
      </w:r>
      <w:r w:rsidRPr="00796EA9">
        <w:t>4</w:t>
      </w:r>
      <w:r w:rsidRPr="00796EA9">
        <w:rPr>
          <w:rFonts w:hint="eastAsia"/>
        </w:rPr>
        <w:t>小時估算，鄰近主要機場如日本成田、韓國仁川、香港</w:t>
      </w:r>
      <w:proofErr w:type="gramStart"/>
      <w:r w:rsidRPr="00796EA9">
        <w:rPr>
          <w:rFonts w:hint="eastAsia"/>
        </w:rPr>
        <w:t>赤</w:t>
      </w:r>
      <w:proofErr w:type="gramEnd"/>
      <w:r w:rsidRPr="00796EA9">
        <w:rPr>
          <w:rFonts w:hint="eastAsia"/>
        </w:rPr>
        <w:t>鱲角、新加坡樟宜等機場的收費約在</w:t>
      </w:r>
      <w:r w:rsidRPr="00796EA9">
        <w:t>8.3</w:t>
      </w:r>
      <w:r w:rsidRPr="00796EA9">
        <w:rPr>
          <w:rFonts w:hint="eastAsia"/>
        </w:rPr>
        <w:t>萬元</w:t>
      </w:r>
      <w:r w:rsidRPr="00796EA9">
        <w:t>~19.6</w:t>
      </w:r>
      <w:r w:rsidRPr="00796EA9">
        <w:rPr>
          <w:rFonts w:hint="eastAsia"/>
        </w:rPr>
        <w:t>萬元，桃園機場計收約</w:t>
      </w:r>
      <w:r w:rsidRPr="00796EA9">
        <w:t>5</w:t>
      </w:r>
      <w:r w:rsidRPr="00796EA9">
        <w:rPr>
          <w:rFonts w:hint="eastAsia"/>
        </w:rPr>
        <w:t>萬元</w:t>
      </w:r>
      <w:r w:rsidRPr="00796EA9">
        <w:t>~7.6</w:t>
      </w:r>
      <w:r w:rsidRPr="00796EA9">
        <w:rPr>
          <w:rFonts w:hint="eastAsia"/>
        </w:rPr>
        <w:t>萬元，機場服務費部分依據「出境航空旅客機場服務費收費及作業辦法」規定，自</w:t>
      </w:r>
      <w:r w:rsidRPr="00796EA9">
        <w:rPr>
          <w:rFonts w:hAnsi="標楷體" w:hint="eastAsia"/>
        </w:rPr>
        <w:t>104年5月1日起由每出境人次300元，調整為每出境人次500元，</w:t>
      </w:r>
      <w:r w:rsidRPr="00796EA9">
        <w:rPr>
          <w:rFonts w:hint="eastAsia"/>
        </w:rPr>
        <w:t>鄰近主要機場如日本成田、韓國仁川、香港赤鱲角、新加坡樟宜等機場，向每名旅客收取之費用金額大約為</w:t>
      </w:r>
      <w:r w:rsidRPr="00796EA9">
        <w:t>815~1,375</w:t>
      </w:r>
      <w:r w:rsidRPr="00796EA9">
        <w:rPr>
          <w:rFonts w:hint="eastAsia"/>
        </w:rPr>
        <w:t>元。且據本院諮詢專家學者多表示：</w:t>
      </w:r>
      <w:r w:rsidRPr="00796EA9">
        <w:rPr>
          <w:rFonts w:hAnsi="標楷體" w:hint="eastAsia"/>
        </w:rPr>
        <w:t>「</w:t>
      </w:r>
      <w:proofErr w:type="gramStart"/>
      <w:r w:rsidRPr="00796EA9">
        <w:rPr>
          <w:rFonts w:hint="eastAsia"/>
        </w:rPr>
        <w:t>桃機公司</w:t>
      </w:r>
      <w:proofErr w:type="gramEnd"/>
      <w:r w:rsidRPr="00796EA9">
        <w:rPr>
          <w:rFonts w:hint="eastAsia"/>
        </w:rPr>
        <w:t>各項收費相較於全世界各機場顯得太低，應調整各項收費，例如機場服務費、降落費、停留費、空橋使用費等</w:t>
      </w:r>
      <w:r w:rsidRPr="00796EA9">
        <w:rPr>
          <w:rFonts w:hAnsi="標楷體" w:hint="eastAsia"/>
        </w:rPr>
        <w:t>」、「</w:t>
      </w:r>
      <w:r w:rsidRPr="00796EA9">
        <w:rPr>
          <w:rFonts w:hint="eastAsia"/>
        </w:rPr>
        <w:t>機場各項收費是否太便宜，可交由專家學者評估後調整</w:t>
      </w:r>
      <w:r w:rsidRPr="00796EA9">
        <w:rPr>
          <w:rFonts w:hAnsi="標楷體" w:hint="eastAsia"/>
        </w:rPr>
        <w:t>」、「</w:t>
      </w:r>
      <w:r w:rsidRPr="00796EA9">
        <w:rPr>
          <w:rFonts w:hint="eastAsia"/>
        </w:rPr>
        <w:t>機場是獨占事業，彈性很低，增加收費1％、顧客流失低於1％，應該訂定合理價格</w:t>
      </w:r>
      <w:r w:rsidRPr="00796EA9">
        <w:rPr>
          <w:rFonts w:hAnsi="標楷體" w:hint="eastAsia"/>
        </w:rPr>
        <w:t>」等語，</w:t>
      </w:r>
      <w:r w:rsidRPr="00796EA9">
        <w:rPr>
          <w:rFonts w:hint="eastAsia"/>
        </w:rPr>
        <w:t>顯示桃園機場航空收費及機場服務費低於周邊主要國際機場，</w:t>
      </w:r>
      <w:proofErr w:type="gramStart"/>
      <w:r w:rsidRPr="00796EA9">
        <w:rPr>
          <w:rFonts w:hint="eastAsia"/>
        </w:rPr>
        <w:t>桃機公司</w:t>
      </w:r>
      <w:proofErr w:type="gramEnd"/>
      <w:r w:rsidRPr="00796EA9">
        <w:rPr>
          <w:rFonts w:hint="eastAsia"/>
        </w:rPr>
        <w:t>於航空收費基準之訂定及調整，應綜合考量國際競爭、成本費用、資金需求、服務品質、航空公司以及消費者意見等因素適時調整。</w:t>
      </w:r>
    </w:p>
    <w:p w:rsidR="002E53D9" w:rsidRPr="00796EA9" w:rsidRDefault="008F6AEC" w:rsidP="002E53D9">
      <w:pPr>
        <w:pStyle w:val="3"/>
      </w:pPr>
      <w:r w:rsidRPr="00796EA9">
        <w:rPr>
          <w:rFonts w:hint="eastAsia"/>
        </w:rPr>
        <w:t>另</w:t>
      </w:r>
      <w:r w:rsidR="002E53D9" w:rsidRPr="00796EA9">
        <w:rPr>
          <w:rFonts w:hint="eastAsia"/>
        </w:rPr>
        <w:t>依</w:t>
      </w:r>
      <w:r w:rsidR="002E53D9" w:rsidRPr="00796EA9">
        <w:rPr>
          <w:rFonts w:hAnsi="標楷體" w:hint="eastAsia"/>
        </w:rPr>
        <w:t>「</w:t>
      </w:r>
      <w:r w:rsidR="002E53D9" w:rsidRPr="00796EA9">
        <w:rPr>
          <w:rFonts w:hint="eastAsia"/>
        </w:rPr>
        <w:t>交通部民用航空局經管國際機場園區公有土地提供使用辦法</w:t>
      </w:r>
      <w:r w:rsidR="002E53D9" w:rsidRPr="00796EA9">
        <w:rPr>
          <w:rFonts w:hAnsi="標楷體" w:hint="eastAsia"/>
        </w:rPr>
        <w:t>」</w:t>
      </w:r>
      <w:r w:rsidR="002E53D9" w:rsidRPr="00796EA9">
        <w:rPr>
          <w:rFonts w:hint="eastAsia"/>
        </w:rPr>
        <w:t>第4條第1及第2項規定：「租賃之土地租金費率，依當年期公告地價年息7％計價為</w:t>
      </w:r>
      <w:r w:rsidR="002E53D9" w:rsidRPr="00796EA9">
        <w:rPr>
          <w:rFonts w:hint="eastAsia"/>
        </w:rPr>
        <w:lastRenderedPageBreak/>
        <w:t>基準。」</w:t>
      </w:r>
      <w:r w:rsidR="00780793" w:rsidRPr="00796EA9">
        <w:rPr>
          <w:rFonts w:hint="eastAsia"/>
        </w:rPr>
        <w:t>是</w:t>
      </w:r>
      <w:proofErr w:type="gramStart"/>
      <w:r w:rsidR="00780793" w:rsidRPr="00796EA9">
        <w:rPr>
          <w:rFonts w:hint="eastAsia"/>
        </w:rPr>
        <w:t>以</w:t>
      </w:r>
      <w:r w:rsidR="002E53D9" w:rsidRPr="00796EA9">
        <w:t>桃機公司</w:t>
      </w:r>
      <w:proofErr w:type="gramEnd"/>
      <w:r w:rsidR="002E53D9" w:rsidRPr="00796EA9">
        <w:t>向民航局租賃之土地租金費率，依當年期公告地價年息7</w:t>
      </w:r>
      <w:r w:rsidR="00780793" w:rsidRPr="00796EA9">
        <w:rPr>
          <w:rFonts w:hint="eastAsia"/>
        </w:rPr>
        <w:t>％</w:t>
      </w:r>
      <w:r w:rsidR="002E53D9" w:rsidRPr="00796EA9">
        <w:t>計價為基準。</w:t>
      </w:r>
      <w:r w:rsidR="002E53D9" w:rsidRPr="00796EA9">
        <w:rPr>
          <w:rFonts w:hint="eastAsia"/>
        </w:rPr>
        <w:t>又依「</w:t>
      </w:r>
      <w:r w:rsidR="002E53D9" w:rsidRPr="00796EA9">
        <w:t>國際機場園區發展條例</w:t>
      </w:r>
      <w:r w:rsidR="002E53D9" w:rsidRPr="00796EA9">
        <w:rPr>
          <w:rFonts w:hint="eastAsia"/>
        </w:rPr>
        <w:t>」第14條第一項規定：「</w:t>
      </w:r>
      <w:r w:rsidR="002E53D9" w:rsidRPr="00796EA9">
        <w:t>機場公司應</w:t>
      </w:r>
      <w:proofErr w:type="gramStart"/>
      <w:r w:rsidR="002E53D9" w:rsidRPr="00796EA9">
        <w:t>提撥</w:t>
      </w:r>
      <w:proofErr w:type="gramEnd"/>
      <w:r w:rsidR="002E53D9" w:rsidRPr="00796EA9">
        <w:t>下列費用予園區所在地之直轄市、縣（市）政府辦理相關工作：一、每年</w:t>
      </w:r>
      <w:proofErr w:type="gramStart"/>
      <w:r w:rsidR="002E53D9" w:rsidRPr="00796EA9">
        <w:t>提撥</w:t>
      </w:r>
      <w:proofErr w:type="gramEnd"/>
      <w:r w:rsidR="002E53D9" w:rsidRPr="00796EA9">
        <w:t>前條使用費中之降落費一定比率作為回饋金，辦理機場</w:t>
      </w:r>
      <w:r w:rsidR="002E53D9" w:rsidRPr="00796EA9">
        <w:rPr>
          <w:rFonts w:hint="eastAsia"/>
        </w:rPr>
        <w:t>60</w:t>
      </w:r>
      <w:r w:rsidR="002E53D9" w:rsidRPr="00796EA9">
        <w:t>分貝噪音線內之回饋作業，回饋金並得以現金方式發放。二、前條噪音防制費，得以現金發放作為機場</w:t>
      </w:r>
      <w:r w:rsidR="002E53D9" w:rsidRPr="00796EA9">
        <w:rPr>
          <w:rFonts w:hint="eastAsia"/>
        </w:rPr>
        <w:t>60分</w:t>
      </w:r>
      <w:r w:rsidR="002E53D9" w:rsidRPr="00796EA9">
        <w:t>貝噪音線內航空噪音防制工作及相關居民健康維護、電費、房屋稅、地價稅等使用。前項第</w:t>
      </w:r>
      <w:r w:rsidR="002E53D9" w:rsidRPr="00796EA9">
        <w:rPr>
          <w:rFonts w:hint="eastAsia"/>
        </w:rPr>
        <w:t>1</w:t>
      </w:r>
      <w:r w:rsidR="002E53D9" w:rsidRPr="00796EA9">
        <w:t>款之一定比率，由主管機關定之。第</w:t>
      </w:r>
      <w:r w:rsidR="002E53D9" w:rsidRPr="00796EA9">
        <w:rPr>
          <w:rFonts w:hint="eastAsia"/>
        </w:rPr>
        <w:t>1</w:t>
      </w:r>
      <w:r w:rsidR="002E53D9" w:rsidRPr="00796EA9">
        <w:t>項機場</w:t>
      </w:r>
      <w:r w:rsidR="002E53D9" w:rsidRPr="00796EA9">
        <w:rPr>
          <w:rFonts w:hint="eastAsia"/>
        </w:rPr>
        <w:t>60</w:t>
      </w:r>
      <w:r w:rsidR="002E53D9" w:rsidRPr="00796EA9">
        <w:t>分貝噪音線內回饋金及噪音防制費之發放作業與使用辦法，由園區所在地之直轄市、縣（市）政府定之。</w:t>
      </w:r>
      <w:r w:rsidR="002E53D9" w:rsidRPr="00796EA9">
        <w:rPr>
          <w:rFonts w:hint="eastAsia"/>
        </w:rPr>
        <w:t>」及「</w:t>
      </w:r>
      <w:r w:rsidR="002E53D9" w:rsidRPr="00796EA9">
        <w:t>國際機場園區發展條例施行細則</w:t>
      </w:r>
      <w:r w:rsidR="002E53D9" w:rsidRPr="00796EA9">
        <w:rPr>
          <w:rFonts w:hint="eastAsia"/>
        </w:rPr>
        <w:t>」</w:t>
      </w:r>
      <w:r w:rsidR="002E53D9" w:rsidRPr="00796EA9">
        <w:t>第</w:t>
      </w:r>
      <w:r w:rsidR="002E53D9" w:rsidRPr="00796EA9">
        <w:rPr>
          <w:rFonts w:hint="eastAsia"/>
        </w:rPr>
        <w:t>5</w:t>
      </w:r>
      <w:r w:rsidR="002E53D9" w:rsidRPr="00796EA9">
        <w:t>條規定：「</w:t>
      </w:r>
      <w:r w:rsidR="002E53D9" w:rsidRPr="00796EA9">
        <w:rPr>
          <w:rFonts w:hint="eastAsia"/>
        </w:rPr>
        <w:t>本條例第</w:t>
      </w:r>
      <w:hyperlink r:id="rId11" w:anchor="a14" w:history="1">
        <w:r w:rsidR="002E53D9" w:rsidRPr="00796EA9">
          <w:rPr>
            <w:rFonts w:hint="eastAsia"/>
          </w:rPr>
          <w:t>15</w:t>
        </w:r>
      </w:hyperlink>
      <w:r w:rsidR="002E53D9" w:rsidRPr="00796EA9">
        <w:rPr>
          <w:rFonts w:hint="eastAsia"/>
        </w:rPr>
        <w:t>條第2項所稱</w:t>
      </w:r>
      <w:proofErr w:type="gramStart"/>
      <w:r w:rsidR="002E53D9" w:rsidRPr="00796EA9">
        <w:rPr>
          <w:rFonts w:hint="eastAsia"/>
        </w:rPr>
        <w:t>提撥</w:t>
      </w:r>
      <w:proofErr w:type="gramEnd"/>
      <w:r w:rsidR="002E53D9" w:rsidRPr="00796EA9">
        <w:rPr>
          <w:rFonts w:hint="eastAsia"/>
        </w:rPr>
        <w:t>降落費之一定比率為15分之2。」</w:t>
      </w:r>
      <w:r w:rsidR="002E53D9" w:rsidRPr="00796EA9">
        <w:t>降落費之15分之2</w:t>
      </w:r>
      <w:proofErr w:type="gramStart"/>
      <w:r w:rsidR="002E53D9" w:rsidRPr="00796EA9">
        <w:t>提撥</w:t>
      </w:r>
      <w:proofErr w:type="gramEnd"/>
      <w:r w:rsidR="002E53D9" w:rsidRPr="00796EA9">
        <w:t>為地方政府回饋金</w:t>
      </w:r>
      <w:r w:rsidR="002E53D9" w:rsidRPr="00796EA9">
        <w:rPr>
          <w:rFonts w:hint="eastAsia"/>
        </w:rPr>
        <w:t>；</w:t>
      </w:r>
      <w:r w:rsidR="002E53D9" w:rsidRPr="00796EA9">
        <w:t>噪音防制費全數</w:t>
      </w:r>
      <w:proofErr w:type="gramStart"/>
      <w:r w:rsidR="002E53D9" w:rsidRPr="00796EA9">
        <w:t>提撥</w:t>
      </w:r>
      <w:proofErr w:type="gramEnd"/>
      <w:r w:rsidR="002E53D9" w:rsidRPr="00796EA9">
        <w:t>地方政府。</w:t>
      </w:r>
    </w:p>
    <w:p w:rsidR="002E53D9" w:rsidRPr="00796EA9" w:rsidRDefault="002E53D9" w:rsidP="002E53D9">
      <w:pPr>
        <w:pStyle w:val="3"/>
        <w:numPr>
          <w:ilvl w:val="2"/>
          <w:numId w:val="1"/>
        </w:numPr>
        <w:rPr>
          <w:rFonts w:hAnsi="標楷體"/>
        </w:rPr>
      </w:pPr>
      <w:proofErr w:type="gramStart"/>
      <w:r w:rsidRPr="00796EA9">
        <w:rPr>
          <w:rFonts w:hAnsi="標楷體"/>
        </w:rPr>
        <w:t>桃機公司</w:t>
      </w:r>
      <w:proofErr w:type="gramEnd"/>
      <w:r w:rsidRPr="00796EA9">
        <w:rPr>
          <w:rFonts w:hAnsi="標楷體"/>
        </w:rPr>
        <w:t>於104年間委託臺灣野村總</w:t>
      </w:r>
      <w:proofErr w:type="gramStart"/>
      <w:r w:rsidRPr="00796EA9">
        <w:rPr>
          <w:rFonts w:hAnsi="標楷體"/>
        </w:rPr>
        <w:t>研</w:t>
      </w:r>
      <w:proofErr w:type="gramEnd"/>
      <w:r w:rsidRPr="00796EA9">
        <w:rPr>
          <w:rFonts w:hAnsi="標楷體"/>
        </w:rPr>
        <w:t>諮詢顧問股份有限公司辦理「桃園機場公司資金籌措暨財務健全計畫」，顧問公司</w:t>
      </w:r>
      <w:proofErr w:type="gramStart"/>
      <w:r w:rsidRPr="00796EA9">
        <w:rPr>
          <w:rFonts w:hAnsi="標楷體"/>
        </w:rPr>
        <w:t>針對桃機公司</w:t>
      </w:r>
      <w:proofErr w:type="gramEnd"/>
      <w:r w:rsidRPr="00796EA9">
        <w:rPr>
          <w:rFonts w:hAnsi="標楷體"/>
        </w:rPr>
        <w:t>未來資金缺口進行推估，並以</w:t>
      </w:r>
      <w:proofErr w:type="gramStart"/>
      <w:r w:rsidRPr="00796EA9">
        <w:rPr>
          <w:rFonts w:hAnsi="標楷體"/>
        </w:rPr>
        <w:t>兼顧桃機公司</w:t>
      </w:r>
      <w:proofErr w:type="gramEnd"/>
      <w:r w:rsidRPr="00796EA9">
        <w:rPr>
          <w:rFonts w:hAnsi="標楷體"/>
        </w:rPr>
        <w:t>長期財務</w:t>
      </w:r>
      <w:proofErr w:type="gramStart"/>
      <w:r w:rsidRPr="00796EA9">
        <w:rPr>
          <w:rFonts w:hAnsi="標楷體"/>
        </w:rPr>
        <w:t>健全、</w:t>
      </w:r>
      <w:proofErr w:type="gramEnd"/>
      <w:r w:rsidRPr="00796EA9">
        <w:rPr>
          <w:rFonts w:hAnsi="標楷體"/>
        </w:rPr>
        <w:t>永續發展及確保建設資金如期到位之原則，提出籌資安排方案及配套措施。該計畫指出，</w:t>
      </w:r>
      <w:proofErr w:type="gramStart"/>
      <w:r w:rsidRPr="00796EA9">
        <w:rPr>
          <w:rFonts w:hAnsi="標楷體"/>
        </w:rPr>
        <w:t>桃機公司</w:t>
      </w:r>
      <w:proofErr w:type="gramEnd"/>
      <w:r w:rsidRPr="00796EA9">
        <w:rPr>
          <w:rFonts w:hAnsi="標楷體"/>
        </w:rPr>
        <w:t>受限</w:t>
      </w:r>
      <w:r w:rsidRPr="00796EA9">
        <w:rPr>
          <w:rFonts w:hAnsi="標楷體" w:hint="eastAsia"/>
        </w:rPr>
        <w:t>「</w:t>
      </w:r>
      <w:r w:rsidRPr="00796EA9">
        <w:rPr>
          <w:rFonts w:hAnsi="標楷體"/>
        </w:rPr>
        <w:t>國際機場園區發展條例</w:t>
      </w:r>
      <w:r w:rsidRPr="00796EA9">
        <w:rPr>
          <w:rFonts w:hAnsi="標楷體" w:hint="eastAsia"/>
        </w:rPr>
        <w:t>」</w:t>
      </w:r>
      <w:r w:rsidRPr="00796EA9">
        <w:rPr>
          <w:rFonts w:hAnsi="標楷體"/>
        </w:rPr>
        <w:t>第22條規定，每年稅後淨利除提列盈餘公積（現行法定盈餘公積10％、特別盈餘公積25％）再投入機場建設，其餘65％盈餘全數對外分配，自有資金不足支應重大建設所需，</w:t>
      </w:r>
      <w:proofErr w:type="gramStart"/>
      <w:r w:rsidRPr="00796EA9">
        <w:rPr>
          <w:rFonts w:hAnsi="標楷體"/>
        </w:rPr>
        <w:t>如桃機公司</w:t>
      </w:r>
      <w:proofErr w:type="gramEnd"/>
      <w:r w:rsidRPr="00796EA9">
        <w:rPr>
          <w:rFonts w:hAnsi="標楷體"/>
        </w:rPr>
        <w:t>全數舉債支應，負債權益比將達2.5倍（即負債比率71％），致財務經營風險偏高，</w:t>
      </w:r>
      <w:proofErr w:type="gramStart"/>
      <w:r w:rsidRPr="00796EA9">
        <w:rPr>
          <w:rFonts w:hAnsi="標楷體"/>
        </w:rPr>
        <w:t>不利桃機公司</w:t>
      </w:r>
      <w:proofErr w:type="gramEnd"/>
      <w:r w:rsidRPr="00796EA9">
        <w:rPr>
          <w:rFonts w:hAnsi="標楷體"/>
        </w:rPr>
        <w:t>財務資金調度，</w:t>
      </w:r>
      <w:proofErr w:type="gramStart"/>
      <w:r w:rsidRPr="00796EA9">
        <w:rPr>
          <w:rFonts w:hAnsi="標楷體"/>
        </w:rPr>
        <w:t>爰</w:t>
      </w:r>
      <w:proofErr w:type="gramEnd"/>
      <w:r w:rsidRPr="00796EA9">
        <w:rPr>
          <w:rFonts w:hAnsi="標楷體"/>
        </w:rPr>
        <w:t>該計畫建議透過</w:t>
      </w:r>
      <w:proofErr w:type="gramStart"/>
      <w:r w:rsidRPr="00796EA9">
        <w:rPr>
          <w:rFonts w:hAnsi="標楷體"/>
        </w:rPr>
        <w:t>提升桃機公司</w:t>
      </w:r>
      <w:proofErr w:type="gramEnd"/>
      <w:r w:rsidRPr="00796EA9">
        <w:rPr>
          <w:rFonts w:hAnsi="標楷體"/>
        </w:rPr>
        <w:t>盈</w:t>
      </w:r>
      <w:r w:rsidRPr="00796EA9">
        <w:rPr>
          <w:rFonts w:hAnsi="標楷體"/>
        </w:rPr>
        <w:lastRenderedPageBreak/>
        <w:t>餘自留</w:t>
      </w:r>
      <w:r w:rsidR="009307BA">
        <w:rPr>
          <w:rFonts w:hAnsi="標楷體"/>
        </w:rPr>
        <w:t>比率</w:t>
      </w:r>
      <w:r w:rsidRPr="00796EA9">
        <w:rPr>
          <w:rFonts w:hAnsi="標楷體"/>
        </w:rPr>
        <w:t>（或暫停盈餘分配）及調降園區土地租金費率等措施，</w:t>
      </w:r>
      <w:proofErr w:type="gramStart"/>
      <w:r w:rsidRPr="00796EA9">
        <w:rPr>
          <w:rFonts w:hAnsi="標楷體"/>
        </w:rPr>
        <w:t>充實桃機</w:t>
      </w:r>
      <w:proofErr w:type="gramEnd"/>
      <w:r w:rsidRPr="00796EA9">
        <w:rPr>
          <w:rFonts w:hAnsi="標楷體"/>
        </w:rPr>
        <w:t>公司自有資金，降低舉債金額及減輕財務負擔</w:t>
      </w:r>
      <w:r w:rsidRPr="00796EA9">
        <w:rPr>
          <w:rFonts w:hAnsi="標楷體" w:hint="eastAsia"/>
        </w:rPr>
        <w:t>。</w:t>
      </w:r>
      <w:proofErr w:type="gramStart"/>
      <w:r w:rsidRPr="00796EA9">
        <w:rPr>
          <w:rFonts w:hAnsi="標楷體" w:hint="eastAsia"/>
        </w:rPr>
        <w:t>審計部亦於105</w:t>
      </w:r>
      <w:proofErr w:type="gramEnd"/>
      <w:r w:rsidRPr="00796EA9">
        <w:rPr>
          <w:rFonts w:hAnsi="標楷體" w:hint="eastAsia"/>
        </w:rPr>
        <w:t>年度中央政府總決算審核報告</w:t>
      </w:r>
      <w:r w:rsidR="00780793" w:rsidRPr="00796EA9">
        <w:rPr>
          <w:rFonts w:hAnsi="標楷體" w:hint="eastAsia"/>
        </w:rPr>
        <w:t>中</w:t>
      </w:r>
      <w:r w:rsidRPr="00796EA9">
        <w:rPr>
          <w:rFonts w:hAnsi="標楷體" w:hint="eastAsia"/>
        </w:rPr>
        <w:t>建請交通部協助</w:t>
      </w:r>
      <w:proofErr w:type="gramStart"/>
      <w:r w:rsidRPr="00796EA9">
        <w:rPr>
          <w:rFonts w:hAnsi="標楷體" w:hint="eastAsia"/>
        </w:rPr>
        <w:t>減輕桃機公司</w:t>
      </w:r>
      <w:proofErr w:type="gramEnd"/>
      <w:r w:rsidRPr="00796EA9">
        <w:rPr>
          <w:rFonts w:hAnsi="標楷體" w:hint="eastAsia"/>
        </w:rPr>
        <w:t>財務負擔，</w:t>
      </w:r>
      <w:proofErr w:type="gramStart"/>
      <w:r w:rsidRPr="00796EA9">
        <w:rPr>
          <w:rFonts w:hAnsi="標楷體"/>
        </w:rPr>
        <w:t>調高桃機公司</w:t>
      </w:r>
      <w:proofErr w:type="gramEnd"/>
      <w:r w:rsidRPr="00796EA9">
        <w:rPr>
          <w:rFonts w:hAnsi="標楷體"/>
        </w:rPr>
        <w:t>特別盈餘公積分配比率</w:t>
      </w:r>
      <w:r w:rsidRPr="00796EA9">
        <w:rPr>
          <w:rFonts w:hAnsi="標楷體" w:hint="eastAsia"/>
        </w:rPr>
        <w:t>、</w:t>
      </w:r>
      <w:r w:rsidRPr="00796EA9">
        <w:rPr>
          <w:rFonts w:hAnsi="標楷體"/>
        </w:rPr>
        <w:t>調</w:t>
      </w:r>
      <w:proofErr w:type="gramStart"/>
      <w:r w:rsidRPr="00796EA9">
        <w:rPr>
          <w:rFonts w:hAnsi="標楷體"/>
        </w:rPr>
        <w:t>增桃機</w:t>
      </w:r>
      <w:proofErr w:type="gramEnd"/>
      <w:r w:rsidRPr="00796EA9">
        <w:rPr>
          <w:rFonts w:hAnsi="標楷體"/>
        </w:rPr>
        <w:t>公司機場服務費收入分配比率</w:t>
      </w:r>
      <w:r w:rsidRPr="00796EA9">
        <w:rPr>
          <w:rFonts w:hAnsi="標楷體" w:hint="eastAsia"/>
        </w:rPr>
        <w:t>、及檢討調降民航局經管土地租金費率。然而</w:t>
      </w:r>
      <w:proofErr w:type="gramStart"/>
      <w:r w:rsidRPr="00796EA9">
        <w:rPr>
          <w:rFonts w:hAnsi="標楷體"/>
        </w:rPr>
        <w:t>調高桃機公司</w:t>
      </w:r>
      <w:proofErr w:type="gramEnd"/>
      <w:r w:rsidRPr="00796EA9">
        <w:rPr>
          <w:rFonts w:hAnsi="標楷體"/>
        </w:rPr>
        <w:t>特別盈餘公積將減少</w:t>
      </w:r>
      <w:r w:rsidRPr="00796EA9">
        <w:rPr>
          <w:rFonts w:hAnsi="標楷體" w:hint="eastAsia"/>
        </w:rPr>
        <w:t>「民航事業作業基金」</w:t>
      </w:r>
      <w:r w:rsidRPr="00796EA9">
        <w:rPr>
          <w:rFonts w:hAnsi="標楷體"/>
        </w:rPr>
        <w:t>及地方政府之盈餘分配數，仍須與</w:t>
      </w:r>
      <w:r w:rsidRPr="00796EA9">
        <w:rPr>
          <w:rFonts w:hAnsi="標楷體" w:hint="eastAsia"/>
        </w:rPr>
        <w:t>「民航事業作業基金」</w:t>
      </w:r>
      <w:r w:rsidRPr="00796EA9">
        <w:rPr>
          <w:rFonts w:hAnsi="標楷體"/>
        </w:rPr>
        <w:t>及地方政府等利害關係人溝通，</w:t>
      </w:r>
      <w:r w:rsidRPr="00796EA9">
        <w:rPr>
          <w:rFonts w:hAnsi="標楷體" w:hint="eastAsia"/>
        </w:rPr>
        <w:t>要爭取支持頗具難度，</w:t>
      </w:r>
      <w:proofErr w:type="gramStart"/>
      <w:r w:rsidRPr="00796EA9">
        <w:rPr>
          <w:rFonts w:hAnsi="標楷體" w:hint="eastAsia"/>
        </w:rPr>
        <w:t>且</w:t>
      </w:r>
      <w:r w:rsidRPr="00796EA9">
        <w:rPr>
          <w:rFonts w:hAnsi="標楷體"/>
        </w:rPr>
        <w:t>桃機</w:t>
      </w:r>
      <w:proofErr w:type="gramEnd"/>
      <w:r w:rsidRPr="00796EA9">
        <w:rPr>
          <w:rFonts w:hAnsi="標楷體"/>
        </w:rPr>
        <w:t>公司目前特別盈餘</w:t>
      </w:r>
      <w:proofErr w:type="gramStart"/>
      <w:r w:rsidRPr="00796EA9">
        <w:rPr>
          <w:rFonts w:hAnsi="標楷體"/>
        </w:rPr>
        <w:t>公積提列</w:t>
      </w:r>
      <w:proofErr w:type="gramEnd"/>
      <w:r w:rsidR="009307BA">
        <w:rPr>
          <w:rFonts w:hAnsi="標楷體"/>
        </w:rPr>
        <w:t>比率</w:t>
      </w:r>
      <w:r w:rsidRPr="00796EA9">
        <w:rPr>
          <w:rFonts w:hAnsi="標楷體"/>
        </w:rPr>
        <w:t>上限25</w:t>
      </w:r>
      <w:r w:rsidRPr="00796EA9">
        <w:rPr>
          <w:rFonts w:hAnsi="標楷體" w:hint="eastAsia"/>
        </w:rPr>
        <w:t>％</w:t>
      </w:r>
      <w:r w:rsidRPr="00796EA9">
        <w:rPr>
          <w:rFonts w:hAnsi="標楷體"/>
        </w:rPr>
        <w:t>係依立法院第8屆第1會期交通委員會第9次全體委員會通過之臨時提案決議，如欲調整該</w:t>
      </w:r>
      <w:r w:rsidR="009307BA">
        <w:rPr>
          <w:rFonts w:hAnsi="標楷體"/>
        </w:rPr>
        <w:t>比率</w:t>
      </w:r>
      <w:r w:rsidRPr="00796EA9">
        <w:rPr>
          <w:rFonts w:hAnsi="標楷體"/>
        </w:rPr>
        <w:t>，仍需經立法院交通委員會決議鬆綁後始得循預算程序辦理</w:t>
      </w:r>
      <w:r w:rsidR="00780793" w:rsidRPr="00796EA9">
        <w:rPr>
          <w:rFonts w:hAnsi="標楷體" w:hint="eastAsia"/>
        </w:rPr>
        <w:t>，勢</w:t>
      </w:r>
      <w:r w:rsidRPr="00796EA9">
        <w:rPr>
          <w:rFonts w:hAnsi="標楷體" w:hint="eastAsia"/>
        </w:rPr>
        <w:t>必</w:t>
      </w:r>
      <w:proofErr w:type="gramStart"/>
      <w:r w:rsidRPr="00796EA9">
        <w:rPr>
          <w:rFonts w:hAnsi="標楷體" w:hint="eastAsia"/>
        </w:rPr>
        <w:t>曠</w:t>
      </w:r>
      <w:proofErr w:type="gramEnd"/>
      <w:r w:rsidRPr="00796EA9">
        <w:rPr>
          <w:rFonts w:hAnsi="標楷體" w:hint="eastAsia"/>
        </w:rPr>
        <w:t>日廢時</w:t>
      </w:r>
      <w:r w:rsidRPr="00796EA9">
        <w:rPr>
          <w:rFonts w:hAnsi="標楷體"/>
        </w:rPr>
        <w:t>。</w:t>
      </w:r>
    </w:p>
    <w:p w:rsidR="008F6AEC" w:rsidRPr="00796EA9" w:rsidRDefault="008F6AEC" w:rsidP="002E53D9">
      <w:pPr>
        <w:pStyle w:val="3"/>
        <w:numPr>
          <w:ilvl w:val="2"/>
          <w:numId w:val="1"/>
        </w:numPr>
        <w:rPr>
          <w:rFonts w:hAnsi="標楷體"/>
        </w:rPr>
      </w:pPr>
      <w:proofErr w:type="gramStart"/>
      <w:r w:rsidRPr="00796EA9">
        <w:rPr>
          <w:rFonts w:hAnsi="標楷體" w:hint="eastAsia"/>
        </w:rPr>
        <w:t>桃機公司</w:t>
      </w:r>
      <w:proofErr w:type="gramEnd"/>
      <w:r w:rsidRPr="00796EA9">
        <w:rPr>
          <w:rFonts w:hAnsi="標楷體" w:hint="eastAsia"/>
        </w:rPr>
        <w:t>面臨重大建設計畫資金需求，</w:t>
      </w:r>
      <w:r w:rsidR="00FA54F9" w:rsidRPr="00796EA9">
        <w:rPr>
          <w:rFonts w:hAnsi="標楷體" w:hint="eastAsia"/>
        </w:rPr>
        <w:t>交通部表示</w:t>
      </w:r>
      <w:proofErr w:type="gramStart"/>
      <w:r w:rsidR="00FA54F9" w:rsidRPr="00796EA9">
        <w:rPr>
          <w:rFonts w:hAnsi="標楷體"/>
        </w:rPr>
        <w:t>支持桃機公司</w:t>
      </w:r>
      <w:proofErr w:type="gramEnd"/>
      <w:r w:rsidR="00FA54F9" w:rsidRPr="00796EA9">
        <w:rPr>
          <w:rFonts w:hAnsi="標楷體"/>
        </w:rPr>
        <w:t>推動建設</w:t>
      </w:r>
      <w:r w:rsidR="00FA54F9" w:rsidRPr="00796EA9">
        <w:rPr>
          <w:rFonts w:hAnsi="標楷體" w:hint="eastAsia"/>
        </w:rPr>
        <w:t>，但對</w:t>
      </w:r>
      <w:r w:rsidR="00FA54F9" w:rsidRPr="00796EA9">
        <w:rPr>
          <w:rFonts w:hAnsi="標楷體"/>
        </w:rPr>
        <w:t>開源節流措施</w:t>
      </w:r>
      <w:r w:rsidR="00FA54F9" w:rsidRPr="00796EA9">
        <w:rPr>
          <w:rFonts w:hAnsi="標楷體" w:hint="eastAsia"/>
        </w:rPr>
        <w:t>因</w:t>
      </w:r>
      <w:r w:rsidR="00FA54F9" w:rsidRPr="00796EA9">
        <w:rPr>
          <w:rFonts w:hAnsi="標楷體"/>
        </w:rPr>
        <w:t>同時影響各單位財源調度及資源分配議題</w:t>
      </w:r>
      <w:r w:rsidR="00FA54F9" w:rsidRPr="00796EA9">
        <w:rPr>
          <w:rFonts w:hAnsi="標楷體" w:hint="eastAsia"/>
        </w:rPr>
        <w:t>，</w:t>
      </w:r>
      <w:r w:rsidR="00FA54F9" w:rsidRPr="00796EA9">
        <w:rPr>
          <w:rFonts w:hAnsi="標楷體"/>
        </w:rPr>
        <w:t>各項措施之實施方式及時點，將視機場園區實際發展情況，滾動檢討</w:t>
      </w:r>
      <w:r w:rsidR="00FA54F9" w:rsidRPr="00796EA9">
        <w:rPr>
          <w:rFonts w:hAnsi="標楷體" w:hint="eastAsia"/>
        </w:rPr>
        <w:t>。顯然尚無積極因應措施，且僅</w:t>
      </w:r>
      <w:proofErr w:type="gramStart"/>
      <w:r w:rsidR="00FA54F9" w:rsidRPr="00796EA9">
        <w:rPr>
          <w:rFonts w:hAnsi="標楷體" w:hint="eastAsia"/>
        </w:rPr>
        <w:t>要求</w:t>
      </w:r>
      <w:r w:rsidR="00FA54F9" w:rsidRPr="00796EA9">
        <w:rPr>
          <w:rFonts w:hAnsi="標楷體"/>
        </w:rPr>
        <w:t>桃機公司</w:t>
      </w:r>
      <w:proofErr w:type="gramEnd"/>
      <w:r w:rsidR="00FA54F9" w:rsidRPr="00796EA9">
        <w:rPr>
          <w:rFonts w:hAnsi="標楷體"/>
        </w:rPr>
        <w:t>善用市場上可運用之籌資工具</w:t>
      </w:r>
      <w:r w:rsidR="00FA54F9" w:rsidRPr="00796EA9">
        <w:rPr>
          <w:rFonts w:hAnsi="標楷體" w:hint="eastAsia"/>
        </w:rPr>
        <w:t>加以因應，其工具不外乎因應短中長期資金需求並考量資金成本，分別</w:t>
      </w:r>
      <w:proofErr w:type="gramStart"/>
      <w:r w:rsidR="00FA54F9" w:rsidRPr="00796EA9">
        <w:rPr>
          <w:rFonts w:hAnsi="標楷體" w:hint="eastAsia"/>
        </w:rPr>
        <w:t>採</w:t>
      </w:r>
      <w:proofErr w:type="gramEnd"/>
      <w:r w:rsidR="00FA54F9" w:rsidRPr="00796EA9">
        <w:rPr>
          <w:rFonts w:hAnsi="標楷體" w:hint="eastAsia"/>
        </w:rPr>
        <w:t>行</w:t>
      </w:r>
      <w:r w:rsidR="00FA54F9" w:rsidRPr="00796EA9">
        <w:rPr>
          <w:rFonts w:hAnsi="標楷體"/>
        </w:rPr>
        <w:t>商業本票</w:t>
      </w:r>
      <w:r w:rsidR="00FA54F9" w:rsidRPr="00796EA9">
        <w:rPr>
          <w:rFonts w:hAnsi="標楷體" w:hint="eastAsia"/>
        </w:rPr>
        <w:t>、</w:t>
      </w:r>
      <w:r w:rsidR="00FA54F9" w:rsidRPr="00796EA9">
        <w:rPr>
          <w:rFonts w:hAnsi="標楷體"/>
        </w:rPr>
        <w:t>一年以上固定利率循環票</w:t>
      </w:r>
      <w:proofErr w:type="gramStart"/>
      <w:r w:rsidR="00FA54F9" w:rsidRPr="00796EA9">
        <w:rPr>
          <w:rFonts w:hAnsi="標楷體"/>
        </w:rPr>
        <w:t>券</w:t>
      </w:r>
      <w:proofErr w:type="gramEnd"/>
      <w:r w:rsidR="00FA54F9" w:rsidRPr="00796EA9">
        <w:rPr>
          <w:rFonts w:hAnsi="標楷體"/>
        </w:rPr>
        <w:t>及銀行借款等</w:t>
      </w:r>
      <w:r w:rsidR="00FA54F9" w:rsidRPr="00796EA9">
        <w:rPr>
          <w:rFonts w:hAnsi="標楷體" w:hint="eastAsia"/>
        </w:rPr>
        <w:t>，</w:t>
      </w:r>
      <w:r w:rsidR="00C0654A" w:rsidRPr="00796EA9">
        <w:rPr>
          <w:rFonts w:hAnsi="標楷體" w:hint="eastAsia"/>
        </w:rPr>
        <w:t>但</w:t>
      </w:r>
      <w:r w:rsidR="00B81FA3" w:rsidRPr="00796EA9">
        <w:rPr>
          <w:rFonts w:hAnsi="標楷體" w:hint="eastAsia"/>
        </w:rPr>
        <w:t>如全數以借款因應，可能不利於未來資金調度及建設推動，亦將造成</w:t>
      </w:r>
      <w:r w:rsidR="00C0654A" w:rsidRPr="00796EA9">
        <w:rPr>
          <w:rFonts w:hAnsi="標楷體"/>
        </w:rPr>
        <w:t>舉債風險過高、償還本金及利息能力不佳</w:t>
      </w:r>
      <w:r w:rsidR="00780793" w:rsidRPr="00796EA9">
        <w:rPr>
          <w:rFonts w:hAnsi="標楷體" w:hint="eastAsia"/>
        </w:rPr>
        <w:t>等</w:t>
      </w:r>
      <w:r w:rsidR="00B81FA3" w:rsidRPr="00796EA9">
        <w:rPr>
          <w:rFonts w:hAnsi="標楷體" w:hint="eastAsia"/>
        </w:rPr>
        <w:t>情</w:t>
      </w:r>
      <w:r w:rsidR="00C0654A" w:rsidRPr="00796EA9">
        <w:rPr>
          <w:rFonts w:hAnsi="標楷體" w:hint="eastAsia"/>
        </w:rPr>
        <w:t>，</w:t>
      </w:r>
      <w:r w:rsidR="00B81FA3" w:rsidRPr="00796EA9">
        <w:rPr>
          <w:rFonts w:hAnsi="標楷體" w:hint="eastAsia"/>
        </w:rPr>
        <w:t>交通部及桃機公司實應未雨綢繆，及早規劃因應</w:t>
      </w:r>
      <w:r w:rsidR="00FA54F9" w:rsidRPr="00796EA9">
        <w:rPr>
          <w:rFonts w:hAnsi="標楷體"/>
        </w:rPr>
        <w:t>。</w:t>
      </w:r>
    </w:p>
    <w:p w:rsidR="00FA54F9" w:rsidRPr="00796EA9" w:rsidRDefault="00C0654A" w:rsidP="002E53D9">
      <w:pPr>
        <w:pStyle w:val="3"/>
        <w:numPr>
          <w:ilvl w:val="2"/>
          <w:numId w:val="1"/>
        </w:numPr>
        <w:rPr>
          <w:rFonts w:hAnsi="標楷體"/>
        </w:rPr>
      </w:pPr>
      <w:r w:rsidRPr="00796EA9">
        <w:rPr>
          <w:rFonts w:hAnsi="標楷體" w:hint="eastAsia"/>
        </w:rPr>
        <w:t>綜上，</w:t>
      </w:r>
      <w:r w:rsidR="00780793" w:rsidRPr="00796EA9">
        <w:rPr>
          <w:rFonts w:hAnsi="標楷體"/>
        </w:rPr>
        <w:t>桃園機場</w:t>
      </w:r>
      <w:r w:rsidR="00780793" w:rsidRPr="00796EA9">
        <w:rPr>
          <w:rFonts w:hAnsi="標楷體" w:hint="eastAsia"/>
        </w:rPr>
        <w:t>因同時進行多項重大建設開發致資金需求龐鉅，</w:t>
      </w:r>
      <w:r w:rsidR="00780793" w:rsidRPr="00796EA9">
        <w:rPr>
          <w:rFonts w:hAnsi="標楷體"/>
        </w:rPr>
        <w:t>預估</w:t>
      </w:r>
      <w:r w:rsidR="00780793" w:rsidRPr="00796EA9">
        <w:rPr>
          <w:rFonts w:hAnsi="標楷體" w:hint="eastAsia"/>
        </w:rPr>
        <w:t>將自1</w:t>
      </w:r>
      <w:r w:rsidR="00780793" w:rsidRPr="00796EA9">
        <w:rPr>
          <w:rFonts w:hAnsi="標楷體"/>
        </w:rPr>
        <w:t>08</w:t>
      </w:r>
      <w:r w:rsidR="00780793" w:rsidRPr="00796EA9">
        <w:rPr>
          <w:rFonts w:hAnsi="標楷體" w:hint="eastAsia"/>
        </w:rPr>
        <w:t>年始</w:t>
      </w:r>
      <w:r w:rsidR="00780793" w:rsidRPr="00796EA9">
        <w:rPr>
          <w:rFonts w:hAnsi="標楷體"/>
        </w:rPr>
        <w:t>出現資金缺口，</w:t>
      </w:r>
      <w:r w:rsidR="00780793" w:rsidRPr="00796EA9">
        <w:rPr>
          <w:rFonts w:hAnsi="標楷體" w:hint="eastAsia"/>
        </w:rPr>
        <w:t>至</w:t>
      </w:r>
      <w:r w:rsidR="00780793" w:rsidRPr="00796EA9">
        <w:rPr>
          <w:rFonts w:hAnsi="標楷體"/>
        </w:rPr>
        <w:t>第三跑道及</w:t>
      </w:r>
      <w:proofErr w:type="gramStart"/>
      <w:r w:rsidR="00780793" w:rsidRPr="00796EA9">
        <w:rPr>
          <w:rFonts w:hAnsi="標楷體"/>
        </w:rPr>
        <w:t>衛星廊廳完成</w:t>
      </w:r>
      <w:proofErr w:type="gramEnd"/>
      <w:r w:rsidR="00780793" w:rsidRPr="00796EA9">
        <w:rPr>
          <w:rFonts w:hAnsi="標楷體" w:hint="eastAsia"/>
        </w:rPr>
        <w:t>後</w:t>
      </w:r>
      <w:r w:rsidR="00780793" w:rsidRPr="00796EA9">
        <w:rPr>
          <w:rFonts w:hAnsi="標楷體"/>
        </w:rPr>
        <w:t>資金缺口</w:t>
      </w:r>
      <w:r w:rsidR="00780793" w:rsidRPr="00796EA9">
        <w:rPr>
          <w:rFonts w:hAnsi="標楷體" w:hint="eastAsia"/>
        </w:rPr>
        <w:t>高達</w:t>
      </w:r>
      <w:r w:rsidR="00780793" w:rsidRPr="00796EA9">
        <w:rPr>
          <w:rFonts w:hAnsi="標楷體"/>
        </w:rPr>
        <w:t>1,600億</w:t>
      </w:r>
      <w:r w:rsidR="00780793" w:rsidRPr="00796EA9">
        <w:rPr>
          <w:rFonts w:hAnsi="標楷體"/>
        </w:rPr>
        <w:lastRenderedPageBreak/>
        <w:t>元</w:t>
      </w:r>
      <w:r w:rsidR="00780793" w:rsidRPr="00796EA9">
        <w:rPr>
          <w:rFonts w:hAnsi="標楷體" w:hint="eastAsia"/>
        </w:rPr>
        <w:t>，且因工程延宕衍生經費追加情形。</w:t>
      </w:r>
      <w:proofErr w:type="gramStart"/>
      <w:r w:rsidR="00780793" w:rsidRPr="00796EA9">
        <w:rPr>
          <w:rFonts w:hAnsi="標楷體" w:hint="eastAsia"/>
        </w:rPr>
        <w:t>然</w:t>
      </w:r>
      <w:r w:rsidR="00780793" w:rsidRPr="00796EA9">
        <w:rPr>
          <w:rFonts w:hAnsi="標楷體" w:hint="eastAsia"/>
          <w:spacing w:val="10"/>
          <w:szCs w:val="32"/>
        </w:rPr>
        <w:t>桃機</w:t>
      </w:r>
      <w:proofErr w:type="gramEnd"/>
      <w:r w:rsidR="00780793" w:rsidRPr="00796EA9">
        <w:rPr>
          <w:rFonts w:hAnsi="標楷體" w:hint="eastAsia"/>
          <w:spacing w:val="10"/>
          <w:szCs w:val="32"/>
        </w:rPr>
        <w:t>公司於現行法規下</w:t>
      </w:r>
      <w:r w:rsidR="006D53A0" w:rsidRPr="00796EA9">
        <w:rPr>
          <w:rFonts w:hAnsi="標楷體" w:hint="eastAsia"/>
          <w:spacing w:val="10"/>
          <w:szCs w:val="32"/>
        </w:rPr>
        <w:t>，</w:t>
      </w:r>
      <w:r w:rsidR="00780793" w:rsidRPr="00796EA9">
        <w:rPr>
          <w:rFonts w:hAnsi="標楷體" w:hint="eastAsia"/>
          <w:spacing w:val="10"/>
          <w:szCs w:val="32"/>
        </w:rPr>
        <w:t>屬</w:t>
      </w:r>
      <w:r w:rsidR="00780793" w:rsidRPr="00796EA9">
        <w:rPr>
          <w:rFonts w:hAnsi="標楷體"/>
          <w:spacing w:val="10"/>
          <w:szCs w:val="32"/>
        </w:rPr>
        <w:t>政府獨資</w:t>
      </w:r>
      <w:r w:rsidR="00780793" w:rsidRPr="00796EA9">
        <w:rPr>
          <w:rFonts w:hAnsi="標楷體" w:hint="eastAsia"/>
          <w:spacing w:val="10"/>
          <w:szCs w:val="32"/>
        </w:rPr>
        <w:t>且特定盈餘</w:t>
      </w:r>
      <w:r w:rsidR="00780793" w:rsidRPr="00796EA9">
        <w:rPr>
          <w:rFonts w:hAnsi="標楷體"/>
          <w:spacing w:val="10"/>
          <w:szCs w:val="32"/>
        </w:rPr>
        <w:t>分配機制</w:t>
      </w:r>
      <w:r w:rsidR="00780793" w:rsidRPr="00796EA9">
        <w:rPr>
          <w:rFonts w:hAnsi="標楷體" w:hint="eastAsia"/>
          <w:spacing w:val="10"/>
          <w:szCs w:val="32"/>
        </w:rPr>
        <w:t>，且主要收入之</w:t>
      </w:r>
      <w:proofErr w:type="gramStart"/>
      <w:r w:rsidR="00780793" w:rsidRPr="00796EA9">
        <w:rPr>
          <w:rFonts w:hAnsi="標楷體" w:hint="eastAsia"/>
          <w:spacing w:val="10"/>
          <w:szCs w:val="32"/>
        </w:rPr>
        <w:t>一</w:t>
      </w:r>
      <w:proofErr w:type="gramEnd"/>
      <w:r w:rsidR="00780793" w:rsidRPr="00796EA9">
        <w:rPr>
          <w:rFonts w:hAnsi="標楷體" w:hint="eastAsia"/>
          <w:spacing w:val="10"/>
          <w:szCs w:val="32"/>
        </w:rPr>
        <w:t>的</w:t>
      </w:r>
      <w:r w:rsidR="00780793" w:rsidRPr="00796EA9">
        <w:rPr>
          <w:rFonts w:hAnsi="標楷體"/>
          <w:spacing w:val="10"/>
          <w:szCs w:val="32"/>
        </w:rPr>
        <w:t>機場服務費</w:t>
      </w:r>
      <w:r w:rsidR="00780793" w:rsidRPr="00796EA9">
        <w:rPr>
          <w:rFonts w:hAnsi="標楷體" w:hint="eastAsia"/>
          <w:spacing w:val="10"/>
          <w:szCs w:val="32"/>
        </w:rPr>
        <w:t>分配及土地租金費率亦有法規明定，籌資管道及開源節流措施皆受限制。</w:t>
      </w:r>
      <w:r w:rsidR="00780793" w:rsidRPr="00796EA9">
        <w:rPr>
          <w:rFonts w:hAnsi="標楷體" w:hint="eastAsia"/>
        </w:rPr>
        <w:t>交通部及桃機公司實應未雨綢繆，及早規劃因應，並</w:t>
      </w:r>
      <w:r w:rsidR="00780793" w:rsidRPr="00796EA9">
        <w:rPr>
          <w:rFonts w:hAnsi="標楷體" w:hint="eastAsia"/>
          <w:spacing w:val="10"/>
          <w:szCs w:val="32"/>
        </w:rPr>
        <w:t>檢視</w:t>
      </w:r>
      <w:proofErr w:type="gramStart"/>
      <w:r w:rsidR="00780793" w:rsidRPr="00796EA9">
        <w:rPr>
          <w:rFonts w:hAnsi="標楷體" w:hint="eastAsia"/>
          <w:spacing w:val="10"/>
          <w:szCs w:val="32"/>
        </w:rPr>
        <w:t>研</w:t>
      </w:r>
      <w:proofErr w:type="gramEnd"/>
      <w:r w:rsidR="00780793" w:rsidRPr="00796EA9">
        <w:rPr>
          <w:rFonts w:hAnsi="標楷體" w:hint="eastAsia"/>
          <w:spacing w:val="10"/>
          <w:szCs w:val="32"/>
        </w:rPr>
        <w:t>修相關法令之必要性</w:t>
      </w:r>
      <w:r w:rsidR="00780793" w:rsidRPr="00796EA9">
        <w:rPr>
          <w:rFonts w:hAnsi="標楷體" w:hint="eastAsia"/>
        </w:rPr>
        <w:t>，以確保長期財務健全，</w:t>
      </w:r>
      <w:proofErr w:type="gramStart"/>
      <w:r w:rsidR="00780793" w:rsidRPr="00796EA9">
        <w:rPr>
          <w:rFonts w:hAnsi="標楷體" w:hint="eastAsia"/>
        </w:rPr>
        <w:t>俾利永</w:t>
      </w:r>
      <w:proofErr w:type="gramEnd"/>
      <w:r w:rsidR="00780793" w:rsidRPr="00796EA9">
        <w:rPr>
          <w:rFonts w:hAnsi="標楷體" w:hint="eastAsia"/>
        </w:rPr>
        <w:t>續發展。</w:t>
      </w:r>
    </w:p>
    <w:p w:rsidR="002E53D9" w:rsidRPr="00796EA9" w:rsidRDefault="002E53D9" w:rsidP="00236D36">
      <w:pPr>
        <w:pStyle w:val="10"/>
        <w:ind w:left="680" w:firstLine="680"/>
        <w:rPr>
          <w:rFonts w:hAnsi="標楷體"/>
        </w:rPr>
      </w:pPr>
    </w:p>
    <w:p w:rsidR="00994270" w:rsidRPr="00796EA9" w:rsidRDefault="00994270" w:rsidP="00994270">
      <w:pPr>
        <w:pStyle w:val="2"/>
        <w:numPr>
          <w:ilvl w:val="1"/>
          <w:numId w:val="1"/>
        </w:numPr>
        <w:rPr>
          <w:rFonts w:hAnsi="標楷體"/>
          <w:b/>
        </w:rPr>
      </w:pPr>
      <w:bookmarkStart w:id="49" w:name="_Toc524895648"/>
      <w:bookmarkStart w:id="50" w:name="_Toc524896194"/>
      <w:bookmarkStart w:id="51" w:name="_Toc524896224"/>
      <w:bookmarkStart w:id="52" w:name="_Toc524902734"/>
      <w:bookmarkStart w:id="53" w:name="_Toc525066148"/>
      <w:bookmarkStart w:id="54" w:name="_Toc525070839"/>
      <w:bookmarkStart w:id="55" w:name="_Toc525938379"/>
      <w:bookmarkStart w:id="56" w:name="_Toc525939227"/>
      <w:bookmarkStart w:id="57" w:name="_Toc525939732"/>
      <w:bookmarkStart w:id="58" w:name="_Toc529218272"/>
      <w:proofErr w:type="gramStart"/>
      <w:r w:rsidRPr="00796EA9">
        <w:rPr>
          <w:rFonts w:hAnsi="標楷體" w:hint="eastAsia"/>
          <w:b/>
        </w:rPr>
        <w:t>桃機公司</w:t>
      </w:r>
      <w:proofErr w:type="gramEnd"/>
      <w:r w:rsidRPr="00796EA9">
        <w:rPr>
          <w:rFonts w:hAnsi="標楷體" w:hint="eastAsia"/>
          <w:b/>
        </w:rPr>
        <w:t>承租土地卻部分閒置或低度使用，徒增租金</w:t>
      </w:r>
      <w:r w:rsidR="00780793" w:rsidRPr="00796EA9">
        <w:rPr>
          <w:rFonts w:hAnsi="標楷體" w:hint="eastAsia"/>
          <w:b/>
        </w:rPr>
        <w:t>開支</w:t>
      </w:r>
      <w:r w:rsidRPr="00796EA9">
        <w:rPr>
          <w:rFonts w:hAnsi="標楷體" w:hint="eastAsia"/>
          <w:b/>
        </w:rPr>
        <w:t>，</w:t>
      </w:r>
      <w:proofErr w:type="gramStart"/>
      <w:r w:rsidRPr="00796EA9">
        <w:rPr>
          <w:rFonts w:hAnsi="標楷體" w:hint="eastAsia"/>
          <w:b/>
        </w:rPr>
        <w:t>鑒於桃機公司</w:t>
      </w:r>
      <w:proofErr w:type="gramEnd"/>
      <w:r w:rsidRPr="00796EA9">
        <w:rPr>
          <w:rFonts w:hAnsi="標楷體" w:hint="eastAsia"/>
          <w:b/>
        </w:rPr>
        <w:t>未來重大建設之資金需求龐鉅，交通部及桃機公司允宜就經營實需檢討土地承租面積、</w:t>
      </w:r>
      <w:r w:rsidRPr="00796EA9">
        <w:rPr>
          <w:rFonts w:hAnsi="標楷體"/>
          <w:b/>
        </w:rPr>
        <w:t>桃園機場園區擴增自由貿易港區之必要性</w:t>
      </w:r>
      <w:r w:rsidRPr="00796EA9">
        <w:rPr>
          <w:rFonts w:hAnsi="標楷體" w:hint="eastAsia"/>
          <w:b/>
        </w:rPr>
        <w:t>及重大建設期間之租金費率，以</w:t>
      </w:r>
      <w:proofErr w:type="gramStart"/>
      <w:r w:rsidR="009307BA">
        <w:rPr>
          <w:rFonts w:hAnsi="標楷體" w:hint="eastAsia"/>
          <w:b/>
        </w:rPr>
        <w:t>撙</w:t>
      </w:r>
      <w:proofErr w:type="gramEnd"/>
      <w:r w:rsidR="009307BA">
        <w:rPr>
          <w:rFonts w:hAnsi="標楷體" w:hint="eastAsia"/>
          <w:b/>
        </w:rPr>
        <w:t>節</w:t>
      </w:r>
      <w:r w:rsidRPr="00796EA9">
        <w:rPr>
          <w:rFonts w:hAnsi="標楷體" w:hint="eastAsia"/>
          <w:b/>
        </w:rPr>
        <w:t>租金費用，</w:t>
      </w:r>
      <w:r w:rsidR="00780793" w:rsidRPr="00796EA9">
        <w:rPr>
          <w:rFonts w:hAnsi="標楷體" w:hint="eastAsia"/>
          <w:b/>
        </w:rPr>
        <w:t>緩</w:t>
      </w:r>
      <w:proofErr w:type="gramStart"/>
      <w:r w:rsidR="00780793" w:rsidRPr="00796EA9">
        <w:rPr>
          <w:rFonts w:hAnsi="標楷體" w:hint="eastAsia"/>
          <w:b/>
        </w:rPr>
        <w:t>解</w:t>
      </w:r>
      <w:r w:rsidRPr="00796EA9">
        <w:rPr>
          <w:rFonts w:hAnsi="標楷體" w:hint="eastAsia"/>
          <w:b/>
        </w:rPr>
        <w:t>桃機</w:t>
      </w:r>
      <w:proofErr w:type="gramEnd"/>
      <w:r w:rsidRPr="00796EA9">
        <w:rPr>
          <w:rFonts w:hAnsi="標楷體" w:hint="eastAsia"/>
          <w:b/>
        </w:rPr>
        <w:t>公司資金壓力，</w:t>
      </w:r>
      <w:proofErr w:type="gramStart"/>
      <w:r w:rsidRPr="00796EA9">
        <w:rPr>
          <w:rFonts w:hAnsi="標楷體" w:hint="eastAsia"/>
          <w:b/>
        </w:rPr>
        <w:t>俾</w:t>
      </w:r>
      <w:proofErr w:type="gramEnd"/>
      <w:r w:rsidR="00780793" w:rsidRPr="00796EA9">
        <w:rPr>
          <w:rFonts w:hAnsi="標楷體" w:hint="eastAsia"/>
          <w:b/>
        </w:rPr>
        <w:t>確保</w:t>
      </w:r>
      <w:r w:rsidRPr="00796EA9">
        <w:rPr>
          <w:rFonts w:hAnsi="標楷體" w:hint="eastAsia"/>
          <w:b/>
        </w:rPr>
        <w:t>財務</w:t>
      </w:r>
      <w:r w:rsidR="00FF46B5" w:rsidRPr="00796EA9">
        <w:rPr>
          <w:rFonts w:hAnsi="標楷體" w:hint="eastAsia"/>
          <w:b/>
        </w:rPr>
        <w:t>之</w:t>
      </w:r>
      <w:r w:rsidRPr="00796EA9">
        <w:rPr>
          <w:rFonts w:hAnsi="標楷體" w:hint="eastAsia"/>
          <w:b/>
        </w:rPr>
        <w:t>健全發展。</w:t>
      </w:r>
    </w:p>
    <w:p w:rsidR="00994270" w:rsidRPr="00796EA9" w:rsidRDefault="00994270" w:rsidP="00994270">
      <w:pPr>
        <w:pStyle w:val="3"/>
        <w:numPr>
          <w:ilvl w:val="2"/>
          <w:numId w:val="1"/>
        </w:numPr>
        <w:rPr>
          <w:rFonts w:hAnsi="標楷體"/>
          <w:szCs w:val="32"/>
        </w:rPr>
      </w:pPr>
      <w:proofErr w:type="gramStart"/>
      <w:r w:rsidRPr="00796EA9">
        <w:rPr>
          <w:rFonts w:hAnsi="標楷體" w:hint="eastAsia"/>
          <w:szCs w:val="32"/>
        </w:rPr>
        <w:t>桃機公司107</w:t>
      </w:r>
      <w:proofErr w:type="gramEnd"/>
      <w:r w:rsidRPr="00796EA9">
        <w:rPr>
          <w:rFonts w:hAnsi="標楷體" w:hint="eastAsia"/>
          <w:szCs w:val="32"/>
        </w:rPr>
        <w:t>年度編列承租民航局預算土地租金費用50億7</w:t>
      </w:r>
      <w:r w:rsidR="00FF46B5" w:rsidRPr="00796EA9">
        <w:rPr>
          <w:rFonts w:hAnsi="標楷體" w:hint="eastAsia"/>
          <w:szCs w:val="32"/>
        </w:rPr>
        <w:t>百</w:t>
      </w:r>
      <w:r w:rsidRPr="00796EA9">
        <w:rPr>
          <w:rFonts w:hAnsi="標楷體" w:hint="eastAsia"/>
          <w:szCs w:val="32"/>
        </w:rPr>
        <w:t>萬</w:t>
      </w:r>
      <w:r w:rsidR="002E53D9" w:rsidRPr="00796EA9">
        <w:rPr>
          <w:rFonts w:hAnsi="標楷體" w:hint="eastAsia"/>
          <w:szCs w:val="32"/>
        </w:rPr>
        <w:t>餘</w:t>
      </w:r>
      <w:r w:rsidRPr="00796EA9">
        <w:rPr>
          <w:rFonts w:hAnsi="標楷體" w:hint="eastAsia"/>
          <w:szCs w:val="32"/>
        </w:rPr>
        <w:t>元，承租面積預計1,171.46公頃，租金費率係當年期公告地價年息</w:t>
      </w:r>
      <w:r w:rsidR="00780793" w:rsidRPr="00796EA9">
        <w:rPr>
          <w:rFonts w:hAnsi="標楷體" w:hint="eastAsia"/>
          <w:szCs w:val="32"/>
        </w:rPr>
        <w:t>之</w:t>
      </w:r>
      <w:r w:rsidRPr="00796EA9">
        <w:rPr>
          <w:rFonts w:hAnsi="標楷體" w:hint="eastAsia"/>
          <w:szCs w:val="32"/>
        </w:rPr>
        <w:t>7％。該公司近年承租面積中，不乏零碎且無法使用收益之土地，或目前尚無使用規劃之閒置土地(</w:t>
      </w:r>
      <w:proofErr w:type="gramStart"/>
      <w:r w:rsidRPr="00796EA9">
        <w:rPr>
          <w:rFonts w:hAnsi="標楷體" w:hint="eastAsia"/>
          <w:szCs w:val="32"/>
        </w:rPr>
        <w:t>詳表</w:t>
      </w:r>
      <w:proofErr w:type="gramEnd"/>
      <w:r w:rsidR="004459DC">
        <w:rPr>
          <w:rFonts w:hAnsi="標楷體" w:hint="eastAsia"/>
          <w:szCs w:val="32"/>
        </w:rPr>
        <w:t>5</w:t>
      </w:r>
      <w:r w:rsidRPr="00796EA9">
        <w:rPr>
          <w:rFonts w:hAnsi="標楷體" w:hint="eastAsia"/>
          <w:szCs w:val="32"/>
        </w:rPr>
        <w:t>)；且</w:t>
      </w:r>
      <w:proofErr w:type="gramStart"/>
      <w:r w:rsidRPr="00796EA9">
        <w:rPr>
          <w:rFonts w:hAnsi="標楷體" w:hint="eastAsia"/>
          <w:szCs w:val="32"/>
        </w:rPr>
        <w:t>據桃機</w:t>
      </w:r>
      <w:proofErr w:type="gramEnd"/>
      <w:r w:rsidRPr="00796EA9">
        <w:rPr>
          <w:rFonts w:hAnsi="標楷體" w:hint="eastAsia"/>
          <w:szCs w:val="32"/>
        </w:rPr>
        <w:t>公司估計，租金費率如降低1％，年租金支出約減少6.75億元</w:t>
      </w:r>
      <w:r w:rsidRPr="00796EA9">
        <w:rPr>
          <w:rStyle w:val="afe"/>
          <w:rFonts w:hAnsi="標楷體"/>
          <w:szCs w:val="32"/>
        </w:rPr>
        <w:footnoteReference w:id="19"/>
      </w:r>
      <w:r w:rsidRPr="00796EA9">
        <w:rPr>
          <w:rFonts w:hAnsi="標楷體" w:hint="eastAsia"/>
          <w:szCs w:val="32"/>
        </w:rPr>
        <w:t>，故基於國營事業應依企業</w:t>
      </w:r>
      <w:r w:rsidR="00FF46B5" w:rsidRPr="00796EA9">
        <w:rPr>
          <w:rFonts w:hAnsi="標楷體" w:hint="eastAsia"/>
          <w:szCs w:val="32"/>
        </w:rPr>
        <w:t>化</w:t>
      </w:r>
      <w:r w:rsidRPr="00796EA9">
        <w:rPr>
          <w:rFonts w:hAnsi="標楷體" w:hint="eastAsia"/>
          <w:szCs w:val="32"/>
        </w:rPr>
        <w:t>方式經營之精神</w:t>
      </w:r>
      <w:r w:rsidRPr="00796EA9">
        <w:rPr>
          <w:rStyle w:val="afe"/>
          <w:rFonts w:hAnsi="標楷體"/>
          <w:szCs w:val="32"/>
        </w:rPr>
        <w:footnoteReference w:id="20"/>
      </w:r>
      <w:r w:rsidRPr="00796EA9">
        <w:rPr>
          <w:rFonts w:hAnsi="標楷體" w:hint="eastAsia"/>
          <w:szCs w:val="32"/>
        </w:rPr>
        <w:t>，類此無使用收益或閒置未利用之土地，實</w:t>
      </w:r>
      <w:r w:rsidR="00780793" w:rsidRPr="00796EA9">
        <w:rPr>
          <w:rFonts w:hAnsi="標楷體" w:hint="eastAsia"/>
          <w:szCs w:val="32"/>
        </w:rPr>
        <w:t>應</w:t>
      </w:r>
      <w:r w:rsidRPr="00796EA9">
        <w:rPr>
          <w:rFonts w:hAnsi="標楷體" w:hint="eastAsia"/>
          <w:szCs w:val="32"/>
        </w:rPr>
        <w:t>檢討不予續租，以</w:t>
      </w:r>
      <w:proofErr w:type="gramStart"/>
      <w:r w:rsidR="009307BA">
        <w:rPr>
          <w:rFonts w:hAnsi="標楷體" w:hint="eastAsia"/>
        </w:rPr>
        <w:t>撙</w:t>
      </w:r>
      <w:proofErr w:type="gramEnd"/>
      <w:r w:rsidR="009307BA">
        <w:rPr>
          <w:rFonts w:hAnsi="標楷體" w:hint="eastAsia"/>
        </w:rPr>
        <w:t>節</w:t>
      </w:r>
      <w:r w:rsidRPr="00796EA9">
        <w:rPr>
          <w:rFonts w:hAnsi="標楷體" w:hint="eastAsia"/>
          <w:szCs w:val="32"/>
        </w:rPr>
        <w:t>租金</w:t>
      </w:r>
      <w:r w:rsidR="00780793" w:rsidRPr="00796EA9">
        <w:rPr>
          <w:rFonts w:hAnsi="標楷體" w:hint="eastAsia"/>
          <w:szCs w:val="32"/>
        </w:rPr>
        <w:t>開支</w:t>
      </w:r>
      <w:r w:rsidRPr="00796EA9">
        <w:rPr>
          <w:rFonts w:hAnsi="標楷體" w:hint="eastAsia"/>
          <w:szCs w:val="32"/>
        </w:rPr>
        <w:t>。</w:t>
      </w:r>
    </w:p>
    <w:p w:rsidR="00F165B8" w:rsidRPr="00796EA9" w:rsidRDefault="00F165B8">
      <w:pPr>
        <w:widowControl/>
        <w:overflowPunct/>
        <w:autoSpaceDE/>
        <w:autoSpaceDN/>
        <w:jc w:val="left"/>
        <w:rPr>
          <w:rFonts w:hAnsi="標楷體"/>
          <w:b/>
          <w:bCs/>
          <w:spacing w:val="-10"/>
          <w:kern w:val="28"/>
          <w:sz w:val="28"/>
          <w:szCs w:val="28"/>
        </w:rPr>
      </w:pPr>
      <w:r w:rsidRPr="00796EA9">
        <w:rPr>
          <w:rFonts w:hAnsi="標楷體"/>
          <w:b/>
        </w:rPr>
        <w:br w:type="page"/>
      </w:r>
    </w:p>
    <w:p w:rsidR="00994270" w:rsidRPr="00796EA9" w:rsidRDefault="00994270" w:rsidP="00994270">
      <w:pPr>
        <w:pStyle w:val="a3"/>
        <w:jc w:val="center"/>
        <w:rPr>
          <w:rFonts w:hAnsi="標楷體"/>
          <w:b/>
        </w:rPr>
      </w:pPr>
      <w:proofErr w:type="gramStart"/>
      <w:r w:rsidRPr="00796EA9">
        <w:rPr>
          <w:rFonts w:hAnsi="標楷體" w:hint="eastAsia"/>
          <w:b/>
        </w:rPr>
        <w:lastRenderedPageBreak/>
        <w:t>桃機公司</w:t>
      </w:r>
      <w:proofErr w:type="gramEnd"/>
      <w:r w:rsidRPr="00796EA9">
        <w:rPr>
          <w:rFonts w:hAnsi="標楷體" w:hint="eastAsia"/>
          <w:b/>
        </w:rPr>
        <w:t>承租民航局土地情形</w:t>
      </w:r>
    </w:p>
    <w:p w:rsidR="00994270" w:rsidRPr="00796EA9" w:rsidRDefault="00994270" w:rsidP="00994270">
      <w:pPr>
        <w:pStyle w:val="142"/>
        <w:jc w:val="right"/>
        <w:rPr>
          <w:rFonts w:hAnsi="標楷體"/>
        </w:rPr>
      </w:pPr>
      <w:r w:rsidRPr="00796EA9">
        <w:rPr>
          <w:rFonts w:hAnsi="標楷體" w:hint="eastAsia"/>
        </w:rPr>
        <w:t>單位：</w:t>
      </w:r>
      <w:r w:rsidR="005D5372" w:rsidRPr="00796EA9">
        <w:rPr>
          <w:rFonts w:hAnsi="標楷體" w:hint="eastAsia"/>
        </w:rPr>
        <w:t>億</w:t>
      </w:r>
      <w:r w:rsidRPr="00796EA9">
        <w:rPr>
          <w:rFonts w:hAnsi="標楷體" w:hint="eastAsia"/>
        </w:rPr>
        <w:t>元；公頃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6"/>
        <w:gridCol w:w="1500"/>
        <w:gridCol w:w="1500"/>
        <w:gridCol w:w="1500"/>
        <w:gridCol w:w="1498"/>
      </w:tblGrid>
      <w:tr w:rsidR="00796EA9" w:rsidRPr="00796EA9" w:rsidTr="005D5372">
        <w:trPr>
          <w:tblHeader/>
        </w:trPr>
        <w:tc>
          <w:tcPr>
            <w:tcW w:w="1597" w:type="pct"/>
            <w:tcBorders>
              <w:top w:val="single" w:sz="12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994270" w:rsidRPr="00796EA9" w:rsidRDefault="00994270" w:rsidP="008A0D6F">
            <w:pPr>
              <w:pStyle w:val="142"/>
              <w:jc w:val="right"/>
              <w:rPr>
                <w:rFonts w:hAnsi="標楷體"/>
                <w:b/>
              </w:rPr>
            </w:pPr>
            <w:r w:rsidRPr="00796EA9">
              <w:rPr>
                <w:rFonts w:hAnsi="標楷體" w:hint="eastAsia"/>
                <w:b/>
              </w:rPr>
              <w:t>年度</w:t>
            </w:r>
          </w:p>
          <w:p w:rsidR="00994270" w:rsidRPr="00796EA9" w:rsidRDefault="00994270" w:rsidP="008A0D6F">
            <w:pPr>
              <w:pStyle w:val="142"/>
              <w:rPr>
                <w:rFonts w:hAnsi="標楷體"/>
                <w:b/>
              </w:rPr>
            </w:pPr>
            <w:r w:rsidRPr="00796EA9">
              <w:rPr>
                <w:rFonts w:hAnsi="標楷體" w:hint="eastAsia"/>
                <w:b/>
              </w:rPr>
              <w:t>項目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994270" w:rsidRPr="00796EA9" w:rsidRDefault="00994270" w:rsidP="008A0D6F">
            <w:pPr>
              <w:pStyle w:val="142"/>
              <w:jc w:val="center"/>
              <w:rPr>
                <w:rFonts w:hAnsi="標楷體"/>
                <w:b/>
              </w:rPr>
            </w:pPr>
            <w:proofErr w:type="gramStart"/>
            <w:r w:rsidRPr="00796EA9">
              <w:rPr>
                <w:rFonts w:hAnsi="標楷體" w:hint="eastAsia"/>
                <w:b/>
              </w:rPr>
              <w:t>104</w:t>
            </w:r>
            <w:proofErr w:type="gramEnd"/>
            <w:r w:rsidRPr="00796EA9">
              <w:rPr>
                <w:rFonts w:hAnsi="標楷體" w:hint="eastAsia"/>
                <w:b/>
              </w:rPr>
              <w:t>年度決算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994270" w:rsidRPr="00796EA9" w:rsidRDefault="00994270" w:rsidP="008A0D6F">
            <w:pPr>
              <w:pStyle w:val="142"/>
              <w:jc w:val="center"/>
              <w:rPr>
                <w:rFonts w:hAnsi="標楷體"/>
                <w:b/>
              </w:rPr>
            </w:pPr>
            <w:proofErr w:type="gramStart"/>
            <w:r w:rsidRPr="00796EA9">
              <w:rPr>
                <w:rFonts w:hAnsi="標楷體" w:hint="eastAsia"/>
                <w:b/>
              </w:rPr>
              <w:t>105</w:t>
            </w:r>
            <w:proofErr w:type="gramEnd"/>
            <w:r w:rsidRPr="00796EA9">
              <w:rPr>
                <w:rFonts w:hAnsi="標楷體" w:hint="eastAsia"/>
                <w:b/>
              </w:rPr>
              <w:t>年度決算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994270" w:rsidRPr="00796EA9" w:rsidRDefault="00994270" w:rsidP="008A0D6F">
            <w:pPr>
              <w:pStyle w:val="142"/>
              <w:jc w:val="center"/>
              <w:rPr>
                <w:rFonts w:hAnsi="標楷體"/>
                <w:b/>
              </w:rPr>
            </w:pPr>
            <w:proofErr w:type="gramStart"/>
            <w:r w:rsidRPr="00796EA9">
              <w:rPr>
                <w:rFonts w:hAnsi="標楷體" w:hint="eastAsia"/>
                <w:b/>
              </w:rPr>
              <w:t>106</w:t>
            </w:r>
            <w:proofErr w:type="gramEnd"/>
            <w:r w:rsidRPr="00796EA9">
              <w:rPr>
                <w:rFonts w:hAnsi="標楷體" w:hint="eastAsia"/>
                <w:b/>
              </w:rPr>
              <w:t>年度</w:t>
            </w:r>
            <w:r w:rsidR="00A260E9" w:rsidRPr="00796EA9">
              <w:rPr>
                <w:rFonts w:hAnsi="標楷體" w:hint="eastAsia"/>
                <w:b/>
              </w:rPr>
              <w:t>決</w:t>
            </w:r>
            <w:r w:rsidRPr="00796EA9">
              <w:rPr>
                <w:rFonts w:hAnsi="標楷體" w:hint="eastAsia"/>
                <w:b/>
              </w:rPr>
              <w:t>算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94270" w:rsidRPr="00796EA9" w:rsidRDefault="00994270" w:rsidP="008A0D6F">
            <w:pPr>
              <w:pStyle w:val="142"/>
              <w:jc w:val="center"/>
              <w:rPr>
                <w:rFonts w:hAnsi="標楷體"/>
                <w:b/>
              </w:rPr>
            </w:pPr>
            <w:proofErr w:type="gramStart"/>
            <w:r w:rsidRPr="00796EA9">
              <w:rPr>
                <w:rFonts w:hAnsi="標楷體" w:hint="eastAsia"/>
                <w:b/>
              </w:rPr>
              <w:t>107</w:t>
            </w:r>
            <w:proofErr w:type="gramEnd"/>
            <w:r w:rsidRPr="00796EA9">
              <w:rPr>
                <w:rFonts w:hAnsi="標楷體" w:hint="eastAsia"/>
                <w:b/>
              </w:rPr>
              <w:t>年度預算</w:t>
            </w:r>
          </w:p>
        </w:tc>
      </w:tr>
      <w:tr w:rsidR="00796EA9" w:rsidRPr="00796EA9" w:rsidTr="005D5372">
        <w:tc>
          <w:tcPr>
            <w:tcW w:w="1597" w:type="pct"/>
            <w:tcBorders>
              <w:top w:val="single" w:sz="4" w:space="0" w:color="auto"/>
            </w:tcBorders>
            <w:shd w:val="clear" w:color="auto" w:fill="auto"/>
          </w:tcPr>
          <w:p w:rsidR="00994270" w:rsidRPr="00796EA9" w:rsidRDefault="00994270" w:rsidP="008A0D6F">
            <w:pPr>
              <w:pStyle w:val="142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土地租金</w:t>
            </w:r>
          </w:p>
        </w:tc>
        <w:tc>
          <w:tcPr>
            <w:tcW w:w="851" w:type="pct"/>
            <w:shd w:val="clear" w:color="auto" w:fill="auto"/>
          </w:tcPr>
          <w:p w:rsidR="00994270" w:rsidRPr="00796EA9" w:rsidRDefault="005D5372" w:rsidP="008A0D6F">
            <w:pPr>
              <w:pStyle w:val="142"/>
              <w:jc w:val="right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44.69</w:t>
            </w:r>
          </w:p>
        </w:tc>
        <w:tc>
          <w:tcPr>
            <w:tcW w:w="851" w:type="pct"/>
            <w:shd w:val="clear" w:color="auto" w:fill="auto"/>
          </w:tcPr>
          <w:p w:rsidR="00994270" w:rsidRPr="00796EA9" w:rsidRDefault="005D5372" w:rsidP="008A0D6F">
            <w:pPr>
              <w:pStyle w:val="142"/>
              <w:jc w:val="right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47.24</w:t>
            </w:r>
          </w:p>
        </w:tc>
        <w:tc>
          <w:tcPr>
            <w:tcW w:w="851" w:type="pct"/>
            <w:shd w:val="clear" w:color="auto" w:fill="auto"/>
          </w:tcPr>
          <w:p w:rsidR="00994270" w:rsidRPr="00796EA9" w:rsidRDefault="005D5372" w:rsidP="00FF46B5">
            <w:pPr>
              <w:pStyle w:val="142"/>
              <w:jc w:val="right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47.2</w:t>
            </w:r>
            <w:r w:rsidR="00FF46B5" w:rsidRPr="00796EA9">
              <w:rPr>
                <w:rFonts w:hAnsi="標楷體" w:hint="eastAsia"/>
              </w:rPr>
              <w:t>2</w:t>
            </w:r>
          </w:p>
        </w:tc>
        <w:tc>
          <w:tcPr>
            <w:tcW w:w="850" w:type="pct"/>
            <w:shd w:val="clear" w:color="auto" w:fill="auto"/>
          </w:tcPr>
          <w:p w:rsidR="00994270" w:rsidRPr="00796EA9" w:rsidRDefault="005D5372" w:rsidP="005D5372">
            <w:pPr>
              <w:pStyle w:val="142"/>
              <w:jc w:val="right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50.07</w:t>
            </w:r>
          </w:p>
        </w:tc>
      </w:tr>
      <w:tr w:rsidR="00796EA9" w:rsidRPr="00796EA9" w:rsidTr="005D5372">
        <w:tc>
          <w:tcPr>
            <w:tcW w:w="1597" w:type="pct"/>
            <w:shd w:val="clear" w:color="auto" w:fill="auto"/>
          </w:tcPr>
          <w:p w:rsidR="00994270" w:rsidRPr="00796EA9" w:rsidRDefault="00994270" w:rsidP="008A0D6F">
            <w:pPr>
              <w:pStyle w:val="142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租金費率</w:t>
            </w:r>
          </w:p>
        </w:tc>
        <w:tc>
          <w:tcPr>
            <w:tcW w:w="851" w:type="pct"/>
            <w:shd w:val="clear" w:color="auto" w:fill="auto"/>
          </w:tcPr>
          <w:p w:rsidR="00994270" w:rsidRPr="00796EA9" w:rsidRDefault="00994270" w:rsidP="008A0D6F">
            <w:pPr>
              <w:pStyle w:val="142"/>
              <w:jc w:val="right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7.00％</w:t>
            </w:r>
          </w:p>
        </w:tc>
        <w:tc>
          <w:tcPr>
            <w:tcW w:w="851" w:type="pct"/>
            <w:shd w:val="clear" w:color="auto" w:fill="auto"/>
          </w:tcPr>
          <w:p w:rsidR="00994270" w:rsidRPr="00796EA9" w:rsidRDefault="00994270" w:rsidP="008A0D6F">
            <w:pPr>
              <w:pStyle w:val="142"/>
              <w:jc w:val="right"/>
              <w:rPr>
                <w:rFonts w:hAnsi="標楷體"/>
              </w:rPr>
            </w:pPr>
            <w:r w:rsidRPr="00796EA9">
              <w:rPr>
                <w:rFonts w:hAnsi="標楷體"/>
              </w:rPr>
              <w:t>7.00％</w:t>
            </w:r>
          </w:p>
        </w:tc>
        <w:tc>
          <w:tcPr>
            <w:tcW w:w="851" w:type="pct"/>
            <w:shd w:val="clear" w:color="auto" w:fill="auto"/>
          </w:tcPr>
          <w:p w:rsidR="00994270" w:rsidRPr="00796EA9" w:rsidRDefault="00994270" w:rsidP="008A0D6F">
            <w:pPr>
              <w:pStyle w:val="142"/>
              <w:jc w:val="right"/>
              <w:rPr>
                <w:rFonts w:hAnsi="標楷體"/>
              </w:rPr>
            </w:pPr>
            <w:r w:rsidRPr="00796EA9">
              <w:rPr>
                <w:rFonts w:hAnsi="標楷體"/>
              </w:rPr>
              <w:t>7.00％</w:t>
            </w:r>
          </w:p>
        </w:tc>
        <w:tc>
          <w:tcPr>
            <w:tcW w:w="850" w:type="pct"/>
            <w:shd w:val="clear" w:color="auto" w:fill="auto"/>
          </w:tcPr>
          <w:p w:rsidR="00994270" w:rsidRPr="00796EA9" w:rsidRDefault="00994270" w:rsidP="008A0D6F">
            <w:pPr>
              <w:pStyle w:val="142"/>
              <w:jc w:val="right"/>
              <w:rPr>
                <w:rFonts w:hAnsi="標楷體"/>
              </w:rPr>
            </w:pPr>
            <w:r w:rsidRPr="00796EA9">
              <w:rPr>
                <w:rFonts w:hAnsi="標楷體"/>
              </w:rPr>
              <w:t>7.00％</w:t>
            </w:r>
          </w:p>
        </w:tc>
      </w:tr>
      <w:tr w:rsidR="00796EA9" w:rsidRPr="00796EA9" w:rsidTr="005D5372">
        <w:tc>
          <w:tcPr>
            <w:tcW w:w="1597" w:type="pct"/>
            <w:shd w:val="clear" w:color="auto" w:fill="auto"/>
          </w:tcPr>
          <w:p w:rsidR="00994270" w:rsidRPr="00796EA9" w:rsidRDefault="00994270" w:rsidP="008A0D6F">
            <w:pPr>
              <w:pStyle w:val="142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承租面積</w:t>
            </w:r>
          </w:p>
        </w:tc>
        <w:tc>
          <w:tcPr>
            <w:tcW w:w="851" w:type="pct"/>
            <w:shd w:val="clear" w:color="auto" w:fill="auto"/>
          </w:tcPr>
          <w:p w:rsidR="00994270" w:rsidRPr="00796EA9" w:rsidRDefault="00994270" w:rsidP="008A0D6F">
            <w:pPr>
              <w:pStyle w:val="142"/>
              <w:jc w:val="right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1,173.42</w:t>
            </w:r>
          </w:p>
        </w:tc>
        <w:tc>
          <w:tcPr>
            <w:tcW w:w="851" w:type="pct"/>
            <w:shd w:val="clear" w:color="auto" w:fill="auto"/>
          </w:tcPr>
          <w:p w:rsidR="00994270" w:rsidRPr="00796EA9" w:rsidRDefault="00994270" w:rsidP="008A0D6F">
            <w:pPr>
              <w:pStyle w:val="142"/>
              <w:jc w:val="right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1,173.40</w:t>
            </w:r>
          </w:p>
        </w:tc>
        <w:tc>
          <w:tcPr>
            <w:tcW w:w="851" w:type="pct"/>
            <w:shd w:val="clear" w:color="auto" w:fill="auto"/>
          </w:tcPr>
          <w:p w:rsidR="00994270" w:rsidRPr="00796EA9" w:rsidRDefault="00994270" w:rsidP="008A0D6F">
            <w:pPr>
              <w:pStyle w:val="142"/>
              <w:jc w:val="right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1,173.39</w:t>
            </w:r>
          </w:p>
        </w:tc>
        <w:tc>
          <w:tcPr>
            <w:tcW w:w="850" w:type="pct"/>
            <w:shd w:val="clear" w:color="auto" w:fill="auto"/>
          </w:tcPr>
          <w:p w:rsidR="00994270" w:rsidRPr="00796EA9" w:rsidRDefault="00994270" w:rsidP="008A0D6F">
            <w:pPr>
              <w:pStyle w:val="142"/>
              <w:jc w:val="right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1,171.46</w:t>
            </w:r>
          </w:p>
        </w:tc>
      </w:tr>
      <w:tr w:rsidR="00796EA9" w:rsidRPr="00796EA9" w:rsidTr="00CC4D8D">
        <w:tc>
          <w:tcPr>
            <w:tcW w:w="1597" w:type="pct"/>
            <w:shd w:val="clear" w:color="auto" w:fill="auto"/>
          </w:tcPr>
          <w:p w:rsidR="00FF46B5" w:rsidRPr="00796EA9" w:rsidRDefault="00FF46B5" w:rsidP="008A0D6F">
            <w:pPr>
              <w:pStyle w:val="142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無法使用收益之土地面積</w:t>
            </w:r>
            <w:r w:rsidRPr="00796EA9">
              <w:rPr>
                <w:rFonts w:hAnsi="標楷體" w:hint="eastAsia"/>
                <w:vertAlign w:val="superscript"/>
              </w:rPr>
              <w:t>1</w:t>
            </w:r>
          </w:p>
        </w:tc>
        <w:tc>
          <w:tcPr>
            <w:tcW w:w="851" w:type="pct"/>
            <w:shd w:val="clear" w:color="auto" w:fill="auto"/>
          </w:tcPr>
          <w:p w:rsidR="00FF46B5" w:rsidRPr="00796EA9" w:rsidRDefault="00FF46B5" w:rsidP="008A0D6F">
            <w:pPr>
              <w:pStyle w:val="142"/>
              <w:jc w:val="right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81.51</w:t>
            </w:r>
          </w:p>
        </w:tc>
        <w:tc>
          <w:tcPr>
            <w:tcW w:w="851" w:type="pct"/>
            <w:shd w:val="clear" w:color="auto" w:fill="auto"/>
          </w:tcPr>
          <w:p w:rsidR="00FF46B5" w:rsidRPr="00796EA9" w:rsidRDefault="00FF46B5" w:rsidP="008A0D6F">
            <w:pPr>
              <w:pStyle w:val="142"/>
              <w:jc w:val="right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81.51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F46B5" w:rsidRPr="00796EA9" w:rsidRDefault="00FF46B5" w:rsidP="00FF46B5">
            <w:pPr>
              <w:pStyle w:val="142"/>
              <w:jc w:val="right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80.38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FF46B5" w:rsidRPr="00796EA9" w:rsidRDefault="00FF46B5" w:rsidP="00FF46B5">
            <w:pPr>
              <w:pStyle w:val="142"/>
              <w:jc w:val="right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80.43</w:t>
            </w:r>
          </w:p>
        </w:tc>
      </w:tr>
      <w:tr w:rsidR="00796EA9" w:rsidRPr="00796EA9" w:rsidTr="00CC4D8D">
        <w:tc>
          <w:tcPr>
            <w:tcW w:w="1597" w:type="pct"/>
            <w:shd w:val="clear" w:color="auto" w:fill="auto"/>
          </w:tcPr>
          <w:p w:rsidR="00FF46B5" w:rsidRPr="00796EA9" w:rsidRDefault="00FF46B5" w:rsidP="008A0D6F">
            <w:pPr>
              <w:pStyle w:val="142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閒置尚未利用之土地面積</w:t>
            </w:r>
          </w:p>
        </w:tc>
        <w:tc>
          <w:tcPr>
            <w:tcW w:w="851" w:type="pct"/>
            <w:shd w:val="clear" w:color="auto" w:fill="auto"/>
          </w:tcPr>
          <w:p w:rsidR="00FF46B5" w:rsidRPr="00796EA9" w:rsidRDefault="00FF46B5" w:rsidP="008A0D6F">
            <w:pPr>
              <w:pStyle w:val="142"/>
              <w:jc w:val="right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10.53</w:t>
            </w:r>
          </w:p>
        </w:tc>
        <w:tc>
          <w:tcPr>
            <w:tcW w:w="851" w:type="pct"/>
            <w:shd w:val="clear" w:color="auto" w:fill="auto"/>
          </w:tcPr>
          <w:p w:rsidR="00FF46B5" w:rsidRPr="00796EA9" w:rsidRDefault="00FF46B5" w:rsidP="008A0D6F">
            <w:pPr>
              <w:pStyle w:val="142"/>
              <w:jc w:val="right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10.53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F46B5" w:rsidRPr="00796EA9" w:rsidRDefault="00FF46B5" w:rsidP="00FF46B5">
            <w:pPr>
              <w:pStyle w:val="142"/>
              <w:jc w:val="right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2.01</w:t>
            </w:r>
            <w:r w:rsidRPr="00796EA9">
              <w:rPr>
                <w:rFonts w:hAnsi="標楷體" w:hint="eastAsia"/>
                <w:vertAlign w:val="superscript"/>
              </w:rPr>
              <w:t>2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FF46B5" w:rsidRPr="00796EA9" w:rsidRDefault="00FF46B5" w:rsidP="00FF46B5">
            <w:pPr>
              <w:pStyle w:val="142"/>
              <w:jc w:val="right"/>
              <w:rPr>
                <w:rFonts w:hAnsi="標楷體"/>
              </w:rPr>
            </w:pPr>
            <w:r w:rsidRPr="00796EA9">
              <w:rPr>
                <w:rFonts w:hAnsi="標楷體" w:hint="eastAsia"/>
              </w:rPr>
              <w:t>2.01</w:t>
            </w:r>
            <w:r w:rsidRPr="00796EA9">
              <w:rPr>
                <w:rFonts w:hAnsi="標楷體" w:hint="eastAsia"/>
                <w:vertAlign w:val="superscript"/>
              </w:rPr>
              <w:t>2</w:t>
            </w:r>
          </w:p>
        </w:tc>
      </w:tr>
    </w:tbl>
    <w:p w:rsidR="00994270" w:rsidRPr="00796EA9" w:rsidRDefault="00994270" w:rsidP="00FF46B5">
      <w:pPr>
        <w:pStyle w:val="142"/>
        <w:ind w:left="630" w:hangingChars="242" w:hanging="630"/>
        <w:jc w:val="both"/>
        <w:rPr>
          <w:rFonts w:hAnsi="標楷體"/>
        </w:rPr>
      </w:pPr>
      <w:proofErr w:type="gramStart"/>
      <w:r w:rsidRPr="00796EA9">
        <w:rPr>
          <w:rFonts w:hAnsi="標楷體" w:hint="eastAsia"/>
        </w:rPr>
        <w:t>註</w:t>
      </w:r>
      <w:proofErr w:type="gramEnd"/>
      <w:r w:rsidRPr="00796EA9">
        <w:rPr>
          <w:rFonts w:hAnsi="標楷體" w:hint="eastAsia"/>
        </w:rPr>
        <w:t>：</w:t>
      </w:r>
      <w:r w:rsidR="00FF46B5" w:rsidRPr="00796EA9">
        <w:rPr>
          <w:rFonts w:hAnsi="標楷體" w:hint="eastAsia"/>
        </w:rPr>
        <w:t>1.</w:t>
      </w:r>
      <w:r w:rsidRPr="00796EA9">
        <w:rPr>
          <w:rFonts w:hAnsi="標楷體" w:hint="eastAsia"/>
        </w:rPr>
        <w:t>「無法使用收益之土地面積」，諸如零碎土地等，無法進行使用收益之規劃者；「閒置尚未利用之土地面積」，指可以進行使用收益之規劃，但目前尚無規劃或尚未開始利用者。</w:t>
      </w:r>
    </w:p>
    <w:p w:rsidR="00FF46B5" w:rsidRPr="00796EA9" w:rsidRDefault="00FF46B5" w:rsidP="00FF46B5">
      <w:pPr>
        <w:pStyle w:val="142"/>
        <w:ind w:leftChars="124" w:left="544" w:hangingChars="47" w:hanging="122"/>
        <w:jc w:val="both"/>
        <w:rPr>
          <w:rFonts w:hAnsi="標楷體"/>
        </w:rPr>
      </w:pPr>
      <w:r w:rsidRPr="00796EA9">
        <w:rPr>
          <w:rFonts w:hAnsi="標楷體" w:hint="eastAsia"/>
        </w:rPr>
        <w:t>2.該閒置尚未利用之土地面積為T3預定地，屬已有計畫但尚未開始利用者。</w:t>
      </w:r>
    </w:p>
    <w:p w:rsidR="00994270" w:rsidRPr="00796EA9" w:rsidRDefault="00345D27" w:rsidP="00345D27">
      <w:pPr>
        <w:pStyle w:val="142"/>
        <w:jc w:val="both"/>
        <w:rPr>
          <w:rFonts w:hAnsi="標楷體"/>
        </w:rPr>
      </w:pPr>
      <w:r w:rsidRPr="00796EA9">
        <w:rPr>
          <w:rFonts w:hAnsi="標楷體" w:hint="eastAsia"/>
        </w:rPr>
        <w:t>資料來源：</w:t>
      </w:r>
      <w:proofErr w:type="gramStart"/>
      <w:r w:rsidRPr="00796EA9">
        <w:rPr>
          <w:rFonts w:hAnsi="標楷體" w:hint="eastAsia"/>
        </w:rPr>
        <w:t>桃機公司</w:t>
      </w:r>
      <w:proofErr w:type="gramEnd"/>
      <w:r w:rsidRPr="00796EA9">
        <w:rPr>
          <w:rFonts w:hAnsi="標楷體" w:hint="eastAsia"/>
        </w:rPr>
        <w:t>。</w:t>
      </w:r>
    </w:p>
    <w:p w:rsidR="00345D27" w:rsidRPr="00796EA9" w:rsidRDefault="00345D27" w:rsidP="00345D27">
      <w:pPr>
        <w:pStyle w:val="142"/>
        <w:jc w:val="both"/>
        <w:rPr>
          <w:rFonts w:hAnsi="標楷體"/>
        </w:rPr>
      </w:pPr>
    </w:p>
    <w:p w:rsidR="00994270" w:rsidRPr="00796EA9" w:rsidRDefault="00994270" w:rsidP="00994270">
      <w:pPr>
        <w:pStyle w:val="3"/>
        <w:numPr>
          <w:ilvl w:val="2"/>
          <w:numId w:val="1"/>
        </w:numPr>
        <w:rPr>
          <w:rFonts w:hAnsi="標楷體"/>
        </w:rPr>
      </w:pPr>
      <w:r w:rsidRPr="00796EA9">
        <w:rPr>
          <w:rFonts w:hAnsi="標楷體" w:hint="eastAsia"/>
        </w:rPr>
        <w:t>依</w:t>
      </w:r>
      <w:r w:rsidR="00345D27" w:rsidRPr="00796EA9">
        <w:rPr>
          <w:rFonts w:hAnsi="標楷體" w:hint="eastAsia"/>
        </w:rPr>
        <w:t>「</w:t>
      </w:r>
      <w:r w:rsidRPr="00796EA9">
        <w:rPr>
          <w:rFonts w:hAnsi="標楷體" w:hint="eastAsia"/>
        </w:rPr>
        <w:t>交通部民用航空局經管國際機場園區公有土地提供使用辦法</w:t>
      </w:r>
      <w:r w:rsidR="00345D27" w:rsidRPr="00796EA9">
        <w:rPr>
          <w:rFonts w:hAnsi="標楷體" w:hint="eastAsia"/>
        </w:rPr>
        <w:t>」</w:t>
      </w:r>
      <w:r w:rsidRPr="00796EA9">
        <w:rPr>
          <w:rFonts w:hAnsi="標楷體" w:hint="eastAsia"/>
        </w:rPr>
        <w:t>第4條第1及第2項規定：「租賃之土地租金費率，依當年期公告地價年息7％計價為基準。」、「前項土地租金費率，每3年得由民航局與機場公司，視園區發展狀況，檢討調整之。但有下列情形之</w:t>
      </w:r>
      <w:proofErr w:type="gramStart"/>
      <w:r w:rsidRPr="00796EA9">
        <w:rPr>
          <w:rFonts w:hAnsi="標楷體" w:hint="eastAsia"/>
        </w:rPr>
        <w:t>一</w:t>
      </w:r>
      <w:proofErr w:type="gramEnd"/>
      <w:r w:rsidRPr="00796EA9">
        <w:rPr>
          <w:rFonts w:hAnsi="標楷體" w:hint="eastAsia"/>
        </w:rPr>
        <w:t>者，得隨時檢討調整：一、國內或國際之社會經濟環境發生重大變化。二、…</w:t>
      </w:r>
      <w:proofErr w:type="gramStart"/>
      <w:r w:rsidRPr="00796EA9">
        <w:rPr>
          <w:rFonts w:hAnsi="標楷體" w:hint="eastAsia"/>
        </w:rPr>
        <w:t>…</w:t>
      </w:r>
      <w:proofErr w:type="gramEnd"/>
      <w:r w:rsidRPr="00796EA9">
        <w:rPr>
          <w:rFonts w:hAnsi="標楷體" w:hint="eastAsia"/>
        </w:rPr>
        <w:t>。三、其他經主管機關認定有檢討必要。」民航局土地出租</w:t>
      </w:r>
      <w:proofErr w:type="gramStart"/>
      <w:r w:rsidRPr="00796EA9">
        <w:rPr>
          <w:rFonts w:hAnsi="標楷體" w:hint="eastAsia"/>
        </w:rPr>
        <w:t>予桃機</w:t>
      </w:r>
      <w:proofErr w:type="gramEnd"/>
      <w:r w:rsidRPr="00796EA9">
        <w:rPr>
          <w:rFonts w:hAnsi="標楷體" w:hint="eastAsia"/>
        </w:rPr>
        <w:t>公司之租金費率，以土地公告地價年息7％計算，租金費率原則上每3年檢討調整，如有特殊情形得隨時檢討調整。惟相較於臺灣港務</w:t>
      </w:r>
      <w:r w:rsidR="00345D27" w:rsidRPr="00796EA9">
        <w:rPr>
          <w:rFonts w:hAnsi="標楷體" w:hint="eastAsia"/>
        </w:rPr>
        <w:t>股份有限</w:t>
      </w:r>
      <w:r w:rsidRPr="00796EA9">
        <w:rPr>
          <w:rFonts w:hAnsi="標楷體" w:hint="eastAsia"/>
        </w:rPr>
        <w:t>公司承租交通部航港局土地係按申報地價年息2％計</w:t>
      </w:r>
      <w:r w:rsidRPr="00796EA9">
        <w:rPr>
          <w:rStyle w:val="afe"/>
          <w:rFonts w:hAnsi="標楷體"/>
        </w:rPr>
        <w:footnoteReference w:id="21"/>
      </w:r>
      <w:r w:rsidRPr="00796EA9">
        <w:rPr>
          <w:rFonts w:hAnsi="標楷體" w:hint="eastAsia"/>
        </w:rPr>
        <w:t>，</w:t>
      </w:r>
      <w:proofErr w:type="gramStart"/>
      <w:r w:rsidRPr="00796EA9">
        <w:rPr>
          <w:rFonts w:hAnsi="標楷體" w:hint="eastAsia"/>
        </w:rPr>
        <w:t>桃機公司</w:t>
      </w:r>
      <w:proofErr w:type="gramEnd"/>
      <w:r w:rsidRPr="00796EA9">
        <w:rPr>
          <w:rFonts w:hAnsi="標楷體" w:hint="eastAsia"/>
        </w:rPr>
        <w:t>承租民航局土地之租金費率卻按公告地價且年息7％，相對偏高。且自</w:t>
      </w:r>
      <w:proofErr w:type="gramStart"/>
      <w:r w:rsidRPr="00796EA9">
        <w:rPr>
          <w:rFonts w:hAnsi="標楷體" w:hint="eastAsia"/>
        </w:rPr>
        <w:t>99年11月1日桃機公司</w:t>
      </w:r>
      <w:proofErr w:type="gramEnd"/>
      <w:r w:rsidRPr="00796EA9">
        <w:rPr>
          <w:rFonts w:hAnsi="標楷體" w:hint="eastAsia"/>
        </w:rPr>
        <w:t>成立迄今，該</w:t>
      </w:r>
      <w:proofErr w:type="gramStart"/>
      <w:r w:rsidRPr="00796EA9">
        <w:rPr>
          <w:rFonts w:hAnsi="標楷體" w:hint="eastAsia"/>
        </w:rPr>
        <w:t>費率均未調整</w:t>
      </w:r>
      <w:proofErr w:type="gramEnd"/>
      <w:r w:rsidRPr="00796EA9">
        <w:rPr>
          <w:rStyle w:val="afe"/>
          <w:rFonts w:hAnsi="標楷體"/>
        </w:rPr>
        <w:footnoteReference w:id="22"/>
      </w:r>
      <w:r w:rsidRPr="00796EA9">
        <w:rPr>
          <w:rFonts w:hAnsi="標楷體" w:hint="eastAsia"/>
        </w:rPr>
        <w:t>，雖該公司</w:t>
      </w:r>
      <w:proofErr w:type="gramStart"/>
      <w:r w:rsidRPr="00796EA9">
        <w:rPr>
          <w:rFonts w:hAnsi="標楷體" w:hint="eastAsia"/>
        </w:rPr>
        <w:t>105年6月間曾致函</w:t>
      </w:r>
      <w:proofErr w:type="gramEnd"/>
      <w:r w:rsidRPr="00796EA9">
        <w:rPr>
          <w:rFonts w:hAnsi="標楷體" w:hint="eastAsia"/>
        </w:rPr>
        <w:t>民航局</w:t>
      </w:r>
      <w:r w:rsidR="00780793" w:rsidRPr="00796EA9">
        <w:rPr>
          <w:rFonts w:hAnsi="標楷體" w:hint="eastAsia"/>
        </w:rPr>
        <w:t>盼</w:t>
      </w:r>
      <w:r w:rsidRPr="00796EA9">
        <w:rPr>
          <w:rFonts w:hAnsi="標楷體" w:hint="eastAsia"/>
        </w:rPr>
        <w:t>調降費率，</w:t>
      </w:r>
      <w:r w:rsidR="00FF46B5" w:rsidRPr="00796EA9">
        <w:rPr>
          <w:rFonts w:hAnsi="標楷體" w:hint="eastAsia"/>
        </w:rPr>
        <w:t>卻未</w:t>
      </w:r>
      <w:r w:rsidRPr="00796EA9">
        <w:rPr>
          <w:rFonts w:hAnsi="標楷體" w:hint="eastAsia"/>
        </w:rPr>
        <w:t>達成調降之協議</w:t>
      </w:r>
      <w:r w:rsidRPr="00796EA9">
        <w:rPr>
          <w:rStyle w:val="afe"/>
          <w:rFonts w:hAnsi="標楷體"/>
        </w:rPr>
        <w:lastRenderedPageBreak/>
        <w:footnoteReference w:id="23"/>
      </w:r>
      <w:r w:rsidRPr="00796EA9">
        <w:rPr>
          <w:rFonts w:hAnsi="標楷體" w:hint="eastAsia"/>
        </w:rPr>
        <w:t>。為</w:t>
      </w:r>
      <w:proofErr w:type="gramStart"/>
      <w:r w:rsidRPr="00796EA9">
        <w:rPr>
          <w:rFonts w:hAnsi="標楷體" w:hint="eastAsia"/>
        </w:rPr>
        <w:t>減輕桃機公司</w:t>
      </w:r>
      <w:proofErr w:type="gramEnd"/>
      <w:r w:rsidRPr="00796EA9">
        <w:rPr>
          <w:rFonts w:hAnsi="標楷體" w:hint="eastAsia"/>
        </w:rPr>
        <w:t>對機場園區未來開發建設資金需求壓力，仍宜參酌交通部所屬臺灣港務</w:t>
      </w:r>
      <w:r w:rsidR="00345D27" w:rsidRPr="00796EA9">
        <w:rPr>
          <w:rFonts w:hAnsi="標楷體" w:hint="eastAsia"/>
        </w:rPr>
        <w:t>股份有限</w:t>
      </w:r>
      <w:r w:rsidRPr="00796EA9">
        <w:rPr>
          <w:rFonts w:hAnsi="標楷體" w:hint="eastAsia"/>
        </w:rPr>
        <w:t>公司承租土地租金費率，並依前述土地提供使用辦法第4條第3項</w:t>
      </w:r>
      <w:r w:rsidRPr="00796EA9">
        <w:rPr>
          <w:rStyle w:val="afe"/>
          <w:rFonts w:hAnsi="標楷體"/>
        </w:rPr>
        <w:footnoteReference w:id="24"/>
      </w:r>
      <w:r w:rsidRPr="00796EA9">
        <w:rPr>
          <w:rFonts w:hAnsi="標楷體" w:hint="eastAsia"/>
        </w:rPr>
        <w:t>，由主管機關核定調整。</w:t>
      </w:r>
      <w:proofErr w:type="gramStart"/>
      <w:r w:rsidRPr="00796EA9">
        <w:rPr>
          <w:rFonts w:hAnsi="標楷體" w:hint="eastAsia"/>
        </w:rPr>
        <w:t>審計部亦於</w:t>
      </w:r>
      <w:r w:rsidR="00780793" w:rsidRPr="00796EA9">
        <w:rPr>
          <w:rFonts w:hAnsi="標楷體" w:hint="eastAsia"/>
        </w:rPr>
        <w:t>1</w:t>
      </w:r>
      <w:r w:rsidRPr="00796EA9">
        <w:rPr>
          <w:rFonts w:hAnsi="標楷體" w:hint="eastAsia"/>
        </w:rPr>
        <w:t>05</w:t>
      </w:r>
      <w:proofErr w:type="gramEnd"/>
      <w:r w:rsidRPr="00796EA9">
        <w:rPr>
          <w:rFonts w:hAnsi="標楷體" w:hint="eastAsia"/>
        </w:rPr>
        <w:t>年度中央政府總決算審核報告</w:t>
      </w:r>
      <w:r w:rsidR="00780793" w:rsidRPr="00796EA9">
        <w:rPr>
          <w:rFonts w:hAnsi="標楷體" w:hint="eastAsia"/>
        </w:rPr>
        <w:t>中</w:t>
      </w:r>
      <w:r w:rsidRPr="00796EA9">
        <w:rPr>
          <w:rFonts w:hAnsi="標楷體" w:hint="eastAsia"/>
        </w:rPr>
        <w:t>建請交通部協助</w:t>
      </w:r>
      <w:r w:rsidR="00780793" w:rsidRPr="00796EA9">
        <w:rPr>
          <w:rFonts w:hAnsi="標楷體" w:hint="eastAsia"/>
        </w:rPr>
        <w:t>緩</w:t>
      </w:r>
      <w:proofErr w:type="gramStart"/>
      <w:r w:rsidR="00780793" w:rsidRPr="00796EA9">
        <w:rPr>
          <w:rFonts w:hAnsi="標楷體" w:hint="eastAsia"/>
        </w:rPr>
        <w:t>解</w:t>
      </w:r>
      <w:r w:rsidRPr="00796EA9">
        <w:rPr>
          <w:rFonts w:hAnsi="標楷體" w:hint="eastAsia"/>
        </w:rPr>
        <w:t>桃機</w:t>
      </w:r>
      <w:proofErr w:type="gramEnd"/>
      <w:r w:rsidRPr="00796EA9">
        <w:rPr>
          <w:rFonts w:hAnsi="標楷體" w:hint="eastAsia"/>
        </w:rPr>
        <w:t>公司財務負擔，其中</w:t>
      </w:r>
      <w:r w:rsidR="00780793" w:rsidRPr="00796EA9">
        <w:rPr>
          <w:rFonts w:hAnsi="標楷體" w:hint="eastAsia"/>
        </w:rPr>
        <w:t>作法</w:t>
      </w:r>
      <w:r w:rsidRPr="00796EA9">
        <w:rPr>
          <w:rFonts w:hAnsi="標楷體" w:hint="eastAsia"/>
        </w:rPr>
        <w:t>之</w:t>
      </w:r>
      <w:proofErr w:type="gramStart"/>
      <w:r w:rsidRPr="00796EA9">
        <w:rPr>
          <w:rFonts w:hAnsi="標楷體" w:hint="eastAsia"/>
        </w:rPr>
        <w:t>一</w:t>
      </w:r>
      <w:proofErr w:type="gramEnd"/>
      <w:r w:rsidR="00780793" w:rsidRPr="00796EA9">
        <w:rPr>
          <w:rFonts w:hAnsi="標楷體" w:hint="eastAsia"/>
        </w:rPr>
        <w:t>即</w:t>
      </w:r>
      <w:r w:rsidRPr="00796EA9">
        <w:rPr>
          <w:rFonts w:hAnsi="標楷體" w:hint="eastAsia"/>
        </w:rPr>
        <w:t>檢討調降民航局經管土地租金費率</w:t>
      </w:r>
      <w:r w:rsidRPr="00796EA9">
        <w:rPr>
          <w:rStyle w:val="afe"/>
          <w:rFonts w:hAnsi="標楷體"/>
        </w:rPr>
        <w:footnoteReference w:id="25"/>
      </w:r>
      <w:r w:rsidRPr="00796EA9">
        <w:rPr>
          <w:rFonts w:hAnsi="標楷體" w:hint="eastAsia"/>
        </w:rPr>
        <w:t>。</w:t>
      </w:r>
    </w:p>
    <w:p w:rsidR="00994270" w:rsidRPr="00796EA9" w:rsidRDefault="00994270" w:rsidP="00994270">
      <w:pPr>
        <w:pStyle w:val="3"/>
        <w:numPr>
          <w:ilvl w:val="2"/>
          <w:numId w:val="1"/>
        </w:numPr>
        <w:rPr>
          <w:rFonts w:hAnsi="標楷體"/>
        </w:rPr>
      </w:pPr>
      <w:r w:rsidRPr="00796EA9">
        <w:rPr>
          <w:rFonts w:hAnsi="標楷體"/>
        </w:rPr>
        <w:t>依據行政院核定之</w:t>
      </w:r>
      <w:r w:rsidR="001C2D73" w:rsidRPr="00796EA9">
        <w:rPr>
          <w:rFonts w:hAnsi="標楷體" w:hint="eastAsia"/>
        </w:rPr>
        <w:t>「臺灣桃園國際機場園區</w:t>
      </w:r>
      <w:r w:rsidR="001C2D73" w:rsidRPr="00796EA9">
        <w:rPr>
          <w:rFonts w:hAnsi="標楷體"/>
        </w:rPr>
        <w:t>綱要計畫</w:t>
      </w:r>
      <w:r w:rsidR="001C2D73" w:rsidRPr="00796EA9">
        <w:rPr>
          <w:rFonts w:hAnsi="標楷體" w:hint="eastAsia"/>
        </w:rPr>
        <w:t>」</w:t>
      </w:r>
      <w:r w:rsidRPr="00796EA9">
        <w:rPr>
          <w:rFonts w:hAnsi="標楷體"/>
        </w:rPr>
        <w:t>及內政部都市計畫委員會審定之「擬定桃園國際機場園區及附近地區特定區計畫」，民航局規劃於桃園機場園區取得104公頃土地，擴建自由貿易港區，預計於115年完成土地取得作業後即</w:t>
      </w:r>
      <w:proofErr w:type="gramStart"/>
      <w:r w:rsidRPr="00796EA9">
        <w:rPr>
          <w:rFonts w:hAnsi="標楷體"/>
        </w:rPr>
        <w:t>移交桃機公司</w:t>
      </w:r>
      <w:proofErr w:type="gramEnd"/>
      <w:r w:rsidRPr="00796EA9">
        <w:rPr>
          <w:rFonts w:hAnsi="標楷體"/>
        </w:rPr>
        <w:t>，並依</w:t>
      </w:r>
      <w:r w:rsidR="00345D27" w:rsidRPr="00796EA9">
        <w:rPr>
          <w:rFonts w:hAnsi="標楷體" w:hint="eastAsia"/>
        </w:rPr>
        <w:t>「</w:t>
      </w:r>
      <w:r w:rsidRPr="00796EA9">
        <w:rPr>
          <w:rFonts w:hAnsi="標楷體"/>
        </w:rPr>
        <w:t>交通部民用航空局經管國際機場園區公有土地提供使用辦法</w:t>
      </w:r>
      <w:r w:rsidR="00345D27" w:rsidRPr="00796EA9">
        <w:rPr>
          <w:rFonts w:hAnsi="標楷體" w:hint="eastAsia"/>
        </w:rPr>
        <w:t>」</w:t>
      </w:r>
      <w:r w:rsidRPr="00796EA9">
        <w:rPr>
          <w:rFonts w:hAnsi="標楷體"/>
        </w:rPr>
        <w:t>第4條規</w:t>
      </w:r>
      <w:proofErr w:type="gramStart"/>
      <w:r w:rsidRPr="00796EA9">
        <w:rPr>
          <w:rFonts w:hAnsi="標楷體"/>
        </w:rPr>
        <w:t>定向桃機公司</w:t>
      </w:r>
      <w:proofErr w:type="gramEnd"/>
      <w:r w:rsidRPr="00796EA9">
        <w:rPr>
          <w:rFonts w:hAnsi="標楷體"/>
        </w:rPr>
        <w:t>收取土地租金（當年期公告地價年息7％）。惟</w:t>
      </w:r>
      <w:proofErr w:type="gramStart"/>
      <w:r w:rsidRPr="00796EA9">
        <w:rPr>
          <w:rFonts w:hAnsi="標楷體"/>
        </w:rPr>
        <w:t>據桃機</w:t>
      </w:r>
      <w:proofErr w:type="gramEnd"/>
      <w:r w:rsidRPr="00796EA9">
        <w:rPr>
          <w:rFonts w:hAnsi="標楷體"/>
        </w:rPr>
        <w:t>公司預測，桃園機場</w:t>
      </w:r>
      <w:proofErr w:type="gramStart"/>
      <w:r w:rsidRPr="00796EA9">
        <w:rPr>
          <w:rFonts w:hAnsi="標楷體"/>
        </w:rPr>
        <w:t>119</w:t>
      </w:r>
      <w:proofErr w:type="gramEnd"/>
      <w:r w:rsidRPr="00796EA9">
        <w:rPr>
          <w:rFonts w:hAnsi="標楷體"/>
        </w:rPr>
        <w:t>年度航空貨運量約294萬噸，該公司目前營運區域既有及擬新建之倉儲容量計有322萬噸，已足敷使用，尚無使用上開計畫擴增自由貿易港區土地之需求。</w:t>
      </w:r>
    </w:p>
    <w:p w:rsidR="00345D27" w:rsidRPr="00796EA9" w:rsidRDefault="00994270" w:rsidP="00994270">
      <w:pPr>
        <w:pStyle w:val="3"/>
        <w:numPr>
          <w:ilvl w:val="2"/>
          <w:numId w:val="1"/>
        </w:numPr>
        <w:rPr>
          <w:rFonts w:hAnsi="標楷體"/>
        </w:rPr>
      </w:pPr>
      <w:proofErr w:type="gramStart"/>
      <w:r w:rsidRPr="00796EA9">
        <w:rPr>
          <w:rFonts w:hAnsi="標楷體" w:hint="eastAsia"/>
        </w:rPr>
        <w:t>桃機公司107</w:t>
      </w:r>
      <w:proofErr w:type="gramEnd"/>
      <w:r w:rsidRPr="00796EA9">
        <w:rPr>
          <w:rFonts w:hAnsi="標楷體" w:hint="eastAsia"/>
        </w:rPr>
        <w:t>年度預算除前述土地租金費用50.07億元外，並依法分配稅後淨利82％約31.70億元予</w:t>
      </w:r>
      <w:r w:rsidR="00FF46B5" w:rsidRPr="00796EA9">
        <w:rPr>
          <w:rFonts w:hAnsi="標楷體" w:hint="eastAsia"/>
        </w:rPr>
        <w:t>「</w:t>
      </w:r>
      <w:r w:rsidRPr="00796EA9">
        <w:rPr>
          <w:rFonts w:hAnsi="標楷體" w:hint="eastAsia"/>
        </w:rPr>
        <w:t>民航事業作業基金</w:t>
      </w:r>
      <w:r w:rsidR="00FF46B5" w:rsidRPr="00796EA9">
        <w:rPr>
          <w:rFonts w:hAnsi="標楷體" w:hint="eastAsia"/>
        </w:rPr>
        <w:t>」</w:t>
      </w:r>
      <w:r w:rsidRPr="00796EA9">
        <w:rPr>
          <w:rFonts w:hAnsi="標楷體" w:hint="eastAsia"/>
        </w:rPr>
        <w:t>。</w:t>
      </w:r>
      <w:proofErr w:type="gramStart"/>
      <w:r w:rsidRPr="00796EA9">
        <w:rPr>
          <w:rFonts w:hAnsi="標楷體" w:hint="eastAsia"/>
        </w:rPr>
        <w:t>桃機公司107</w:t>
      </w:r>
      <w:proofErr w:type="gramEnd"/>
      <w:r w:rsidRPr="00796EA9">
        <w:rPr>
          <w:rFonts w:hAnsi="標楷體" w:hint="eastAsia"/>
        </w:rPr>
        <w:t>年度預算所編土地租金支出約占營業成本與費用之3</w:t>
      </w:r>
      <w:r w:rsidR="005D5372" w:rsidRPr="00796EA9">
        <w:rPr>
          <w:rFonts w:hAnsi="標楷體" w:hint="eastAsia"/>
        </w:rPr>
        <w:t>3.3</w:t>
      </w:r>
      <w:r w:rsidRPr="00796EA9">
        <w:rPr>
          <w:rFonts w:hAnsi="標楷體" w:hint="eastAsia"/>
        </w:rPr>
        <w:t>％，如租金費率調降或承租面積減少，將可減少支出，提高盈餘</w:t>
      </w:r>
      <w:r w:rsidRPr="00796EA9">
        <w:rPr>
          <w:rFonts w:hAnsi="標楷體" w:hint="eastAsia"/>
        </w:rPr>
        <w:lastRenderedPageBreak/>
        <w:t>獲利，</w:t>
      </w:r>
      <w:r w:rsidR="00FF46B5" w:rsidRPr="00796EA9">
        <w:rPr>
          <w:rFonts w:hAnsi="標楷體" w:hint="eastAsia"/>
        </w:rPr>
        <w:t>「民航事業作業基金」</w:t>
      </w:r>
      <w:r w:rsidRPr="00796EA9">
        <w:rPr>
          <w:rFonts w:hAnsi="標楷體" w:hint="eastAsia"/>
        </w:rPr>
        <w:t>依法獲配數額亦將隨同調增。況且，未來倘公告地價調升，亦將</w:t>
      </w:r>
      <w:proofErr w:type="gramStart"/>
      <w:r w:rsidRPr="00796EA9">
        <w:rPr>
          <w:rFonts w:hAnsi="標楷體" w:hint="eastAsia"/>
        </w:rPr>
        <w:t>增加桃機公司</w:t>
      </w:r>
      <w:proofErr w:type="gramEnd"/>
      <w:r w:rsidRPr="00796EA9">
        <w:rPr>
          <w:rFonts w:hAnsi="標楷體" w:hint="eastAsia"/>
        </w:rPr>
        <w:t>土地租金費用負擔。</w:t>
      </w:r>
    </w:p>
    <w:p w:rsidR="00994270" w:rsidRPr="00796EA9" w:rsidRDefault="00994270" w:rsidP="00994270">
      <w:pPr>
        <w:pStyle w:val="3"/>
        <w:numPr>
          <w:ilvl w:val="2"/>
          <w:numId w:val="1"/>
        </w:numPr>
        <w:rPr>
          <w:rFonts w:hAnsi="標楷體"/>
        </w:rPr>
      </w:pPr>
      <w:r w:rsidRPr="00796EA9">
        <w:rPr>
          <w:rFonts w:hAnsi="標楷體" w:hint="eastAsia"/>
        </w:rPr>
        <w:t>綜上，</w:t>
      </w:r>
      <w:proofErr w:type="gramStart"/>
      <w:r w:rsidRPr="00796EA9">
        <w:rPr>
          <w:rFonts w:hAnsi="標楷體" w:hint="eastAsia"/>
        </w:rPr>
        <w:t>鑒於桃機公司</w:t>
      </w:r>
      <w:proofErr w:type="gramEnd"/>
      <w:r w:rsidRPr="00796EA9">
        <w:rPr>
          <w:rFonts w:hAnsi="標楷體" w:hint="eastAsia"/>
        </w:rPr>
        <w:t>未來重大建設之資金需求龐鉅，該公司宜全面清查需用土地面積，與相關機關</w:t>
      </w:r>
      <w:proofErr w:type="gramStart"/>
      <w:r w:rsidR="00FF46B5" w:rsidRPr="00796EA9">
        <w:rPr>
          <w:rFonts w:hAnsi="標楷體" w:hint="eastAsia"/>
        </w:rPr>
        <w:t>蹉</w:t>
      </w:r>
      <w:r w:rsidRPr="00796EA9">
        <w:rPr>
          <w:rFonts w:hAnsi="標楷體" w:hint="eastAsia"/>
        </w:rPr>
        <w:t>商</w:t>
      </w:r>
      <w:proofErr w:type="gramEnd"/>
      <w:r w:rsidRPr="00796EA9">
        <w:rPr>
          <w:rFonts w:hAnsi="標楷體" w:hint="eastAsia"/>
        </w:rPr>
        <w:t>調整租金費率並依實際需求面積承租，交通部並應</w:t>
      </w:r>
      <w:r w:rsidRPr="00796EA9">
        <w:rPr>
          <w:rFonts w:hAnsi="標楷體"/>
        </w:rPr>
        <w:t>檢討於桃園機場園區擴增自由貿易港區之必要性，</w:t>
      </w:r>
      <w:proofErr w:type="gramStart"/>
      <w:r w:rsidRPr="00796EA9">
        <w:rPr>
          <w:rFonts w:hAnsi="標楷體"/>
        </w:rPr>
        <w:t>倘確有</w:t>
      </w:r>
      <w:proofErr w:type="gramEnd"/>
      <w:r w:rsidRPr="00796EA9">
        <w:rPr>
          <w:rFonts w:hAnsi="標楷體"/>
        </w:rPr>
        <w:t>必要，宜檢討</w:t>
      </w:r>
      <w:proofErr w:type="gramStart"/>
      <w:r w:rsidRPr="00796EA9">
        <w:rPr>
          <w:rFonts w:hAnsi="標楷體"/>
        </w:rPr>
        <w:t>依據桃機公司</w:t>
      </w:r>
      <w:proofErr w:type="gramEnd"/>
      <w:r w:rsidRPr="00796EA9">
        <w:rPr>
          <w:rFonts w:hAnsi="標楷體"/>
        </w:rPr>
        <w:t>實際需求移交土地，</w:t>
      </w:r>
      <w:r w:rsidRPr="00796EA9">
        <w:rPr>
          <w:rFonts w:hAnsi="標楷體" w:hint="eastAsia"/>
        </w:rPr>
        <w:t>以減輕該公司於推行重大建設計畫期間之資金壓力，</w:t>
      </w:r>
      <w:proofErr w:type="gramStart"/>
      <w:r w:rsidRPr="00796EA9">
        <w:rPr>
          <w:rFonts w:hAnsi="標楷體" w:hint="eastAsia"/>
        </w:rPr>
        <w:t>俾</w:t>
      </w:r>
      <w:proofErr w:type="gramEnd"/>
      <w:r w:rsidR="00780793" w:rsidRPr="00796EA9">
        <w:rPr>
          <w:rFonts w:hAnsi="標楷體" w:hint="eastAsia"/>
        </w:rPr>
        <w:t>確保</w:t>
      </w:r>
      <w:r w:rsidRPr="00796EA9">
        <w:rPr>
          <w:rFonts w:hAnsi="標楷體" w:hint="eastAsia"/>
        </w:rPr>
        <w:t>財務</w:t>
      </w:r>
      <w:r w:rsidR="00FF46B5" w:rsidRPr="00796EA9">
        <w:rPr>
          <w:rFonts w:hAnsi="標楷體" w:hint="eastAsia"/>
        </w:rPr>
        <w:t>之</w:t>
      </w:r>
      <w:r w:rsidRPr="00796EA9">
        <w:rPr>
          <w:rFonts w:hAnsi="標楷體" w:hint="eastAsia"/>
        </w:rPr>
        <w:t>健全發展。</w:t>
      </w:r>
    </w:p>
    <w:p w:rsidR="007F37DB" w:rsidRPr="00796EA9" w:rsidRDefault="007F37DB" w:rsidP="007F37DB">
      <w:pPr>
        <w:pStyle w:val="3"/>
        <w:numPr>
          <w:ilvl w:val="0"/>
          <w:numId w:val="0"/>
        </w:numPr>
        <w:ind w:left="1361"/>
        <w:rPr>
          <w:rFonts w:hAnsi="標楷體"/>
        </w:rPr>
      </w:pPr>
    </w:p>
    <w:p w:rsidR="00994270" w:rsidRPr="00796EA9" w:rsidRDefault="00994270" w:rsidP="00994270">
      <w:pPr>
        <w:pStyle w:val="2"/>
        <w:numPr>
          <w:ilvl w:val="1"/>
          <w:numId w:val="1"/>
        </w:numPr>
        <w:rPr>
          <w:b/>
        </w:rPr>
      </w:pPr>
      <w:r w:rsidRPr="00796EA9">
        <w:rPr>
          <w:b/>
        </w:rPr>
        <w:t>桃園機場轉機旅客比率成長</w:t>
      </w:r>
      <w:proofErr w:type="gramStart"/>
      <w:r w:rsidRPr="00796EA9">
        <w:rPr>
          <w:b/>
        </w:rPr>
        <w:t>遲滯，</w:t>
      </w:r>
      <w:proofErr w:type="gramEnd"/>
      <w:r w:rsidRPr="00796EA9">
        <w:rPr>
          <w:b/>
        </w:rPr>
        <w:t>亟待</w:t>
      </w:r>
      <w:r w:rsidRPr="00796EA9">
        <w:rPr>
          <w:rFonts w:hint="eastAsia"/>
          <w:b/>
        </w:rPr>
        <w:t>交通部及</w:t>
      </w:r>
      <w:r w:rsidRPr="00796EA9">
        <w:rPr>
          <w:b/>
        </w:rPr>
        <w:t>桃機公司確實檢討原因，</w:t>
      </w:r>
      <w:proofErr w:type="gramStart"/>
      <w:r w:rsidRPr="00796EA9">
        <w:rPr>
          <w:b/>
        </w:rPr>
        <w:t>研</w:t>
      </w:r>
      <w:proofErr w:type="gramEnd"/>
      <w:r w:rsidRPr="00796EA9">
        <w:rPr>
          <w:b/>
        </w:rPr>
        <w:t>謀有效改善對策</w:t>
      </w:r>
      <w:r w:rsidRPr="00796EA9">
        <w:rPr>
          <w:rFonts w:hint="eastAsia"/>
          <w:b/>
        </w:rPr>
        <w:t>，</w:t>
      </w:r>
      <w:r w:rsidRPr="00796EA9">
        <w:rPr>
          <w:b/>
        </w:rPr>
        <w:t>妥擬相關因應措施，</w:t>
      </w:r>
      <w:r w:rsidRPr="00796EA9">
        <w:rPr>
          <w:rFonts w:hint="eastAsia"/>
          <w:b/>
        </w:rPr>
        <w:t>並</w:t>
      </w:r>
      <w:r w:rsidRPr="00796EA9">
        <w:rPr>
          <w:b/>
        </w:rPr>
        <w:t>積極收集分析旅客航運相關資料，作為推動開發轉機航線</w:t>
      </w:r>
      <w:proofErr w:type="gramStart"/>
      <w:r w:rsidRPr="00796EA9">
        <w:rPr>
          <w:b/>
        </w:rPr>
        <w:t>之參據</w:t>
      </w:r>
      <w:proofErr w:type="gramEnd"/>
      <w:r w:rsidRPr="00796EA9">
        <w:rPr>
          <w:b/>
        </w:rPr>
        <w:t>，以提升轉機旅客人數及</w:t>
      </w:r>
      <w:r w:rsidR="00780793" w:rsidRPr="00796EA9">
        <w:rPr>
          <w:rFonts w:hint="eastAsia"/>
          <w:b/>
        </w:rPr>
        <w:t>占</w:t>
      </w:r>
      <w:r w:rsidRPr="00796EA9">
        <w:rPr>
          <w:b/>
        </w:rPr>
        <w:t>比。</w:t>
      </w:r>
    </w:p>
    <w:p w:rsidR="007F37DB" w:rsidRPr="00796EA9" w:rsidRDefault="00994270" w:rsidP="00994270">
      <w:pPr>
        <w:pStyle w:val="3"/>
        <w:numPr>
          <w:ilvl w:val="2"/>
          <w:numId w:val="1"/>
        </w:numPr>
        <w:rPr>
          <w:rFonts w:hAnsi="標楷體"/>
        </w:rPr>
      </w:pPr>
      <w:proofErr w:type="gramStart"/>
      <w:r w:rsidRPr="00796EA9">
        <w:rPr>
          <w:rFonts w:hAnsi="標楷體"/>
        </w:rPr>
        <w:t>依據桃機公司</w:t>
      </w:r>
      <w:proofErr w:type="gramEnd"/>
      <w:r w:rsidRPr="00796EA9">
        <w:rPr>
          <w:rFonts w:hAnsi="標楷體"/>
        </w:rPr>
        <w:t>105年12月之業務報告：有</w:t>
      </w:r>
      <w:proofErr w:type="gramStart"/>
      <w:r w:rsidRPr="00796EA9">
        <w:rPr>
          <w:rFonts w:hAnsi="標楷體"/>
        </w:rPr>
        <w:t>關中轉量成長</w:t>
      </w:r>
      <w:proofErr w:type="gramEnd"/>
      <w:r w:rsidRPr="00796EA9">
        <w:rPr>
          <w:rFonts w:hAnsi="標楷體"/>
        </w:rPr>
        <w:t>目標，我國2大國籍航空之國際航網已然形成，惟桃園機場</w:t>
      </w:r>
      <w:r w:rsidR="003F51E2" w:rsidRPr="00796EA9">
        <w:rPr>
          <w:rFonts w:hAnsi="標楷體"/>
        </w:rPr>
        <w:t>中轉</w:t>
      </w:r>
      <w:r w:rsidRPr="00796EA9">
        <w:rPr>
          <w:rFonts w:hAnsi="標楷體"/>
        </w:rPr>
        <w:t>運量占比僅9％，與</w:t>
      </w:r>
      <w:r w:rsidR="005A4F25" w:rsidRPr="00796EA9">
        <w:rPr>
          <w:rFonts w:hAnsi="標楷體" w:hint="eastAsia"/>
        </w:rPr>
        <w:t>香港</w:t>
      </w:r>
      <w:proofErr w:type="gramStart"/>
      <w:r w:rsidR="005A4F25" w:rsidRPr="00796EA9">
        <w:rPr>
          <w:rFonts w:hAnsi="標楷體" w:hint="eastAsia"/>
        </w:rPr>
        <w:t>赤</w:t>
      </w:r>
      <w:proofErr w:type="gramEnd"/>
      <w:r w:rsidR="005A4F25" w:rsidRPr="00796EA9">
        <w:rPr>
          <w:rFonts w:hAnsi="標楷體" w:hint="eastAsia"/>
        </w:rPr>
        <w:t>鱲角機場</w:t>
      </w:r>
      <w:r w:rsidR="005A4F25" w:rsidRPr="00796EA9">
        <w:t>及</w:t>
      </w:r>
      <w:r w:rsidR="005A4F25" w:rsidRPr="00796EA9">
        <w:rPr>
          <w:rFonts w:hint="eastAsia"/>
        </w:rPr>
        <w:t>新加坡</w:t>
      </w:r>
      <w:r w:rsidRPr="00796EA9">
        <w:rPr>
          <w:rFonts w:hAnsi="標楷體"/>
        </w:rPr>
        <w:t>樟宜機場介於20％至30％相較</w:t>
      </w:r>
      <w:r w:rsidR="003F51E2" w:rsidRPr="00796EA9">
        <w:rPr>
          <w:rFonts w:hAnsi="標楷體" w:hint="eastAsia"/>
        </w:rPr>
        <w:t>明顯偏</w:t>
      </w:r>
      <w:r w:rsidRPr="00796EA9">
        <w:rPr>
          <w:rFonts w:hAnsi="標楷體"/>
        </w:rPr>
        <w:t>低，</w:t>
      </w:r>
      <w:r w:rsidR="003F51E2" w:rsidRPr="00796EA9">
        <w:rPr>
          <w:rFonts w:hAnsi="標楷體" w:hint="eastAsia"/>
        </w:rPr>
        <w:t>然</w:t>
      </w:r>
      <w:r w:rsidRPr="00796EA9">
        <w:rPr>
          <w:rFonts w:hAnsi="標楷體"/>
        </w:rPr>
        <w:t>桃園機場長期</w:t>
      </w:r>
      <w:r w:rsidR="00780793" w:rsidRPr="00796EA9">
        <w:rPr>
          <w:rFonts w:hAnsi="標楷體" w:hint="eastAsia"/>
        </w:rPr>
        <w:t>中轉運量</w:t>
      </w:r>
      <w:r w:rsidRPr="00796EA9">
        <w:rPr>
          <w:rFonts w:hAnsi="標楷體"/>
        </w:rPr>
        <w:t>目標（至131年）訂為22％。</w:t>
      </w:r>
      <w:proofErr w:type="gramStart"/>
      <w:r w:rsidRPr="00796EA9">
        <w:rPr>
          <w:rFonts w:hAnsi="標楷體"/>
        </w:rPr>
        <w:t>桃機公司</w:t>
      </w:r>
      <w:proofErr w:type="gramEnd"/>
      <w:r w:rsidRPr="00796EA9">
        <w:rPr>
          <w:rFonts w:hAnsi="標楷體"/>
        </w:rPr>
        <w:t>以「成為東亞樞紐機場之</w:t>
      </w:r>
      <w:proofErr w:type="gramStart"/>
      <w:r w:rsidRPr="00796EA9">
        <w:rPr>
          <w:rFonts w:hAnsi="標楷體"/>
        </w:rPr>
        <w:t>ㄧ</w:t>
      </w:r>
      <w:proofErr w:type="gramEnd"/>
      <w:r w:rsidRPr="00796EA9">
        <w:rPr>
          <w:rFonts w:hAnsi="標楷體"/>
        </w:rPr>
        <w:t>，兼顧</w:t>
      </w:r>
      <w:proofErr w:type="gramStart"/>
      <w:r w:rsidR="004B652E">
        <w:rPr>
          <w:rFonts w:hAnsi="標楷體"/>
        </w:rPr>
        <w:t>起迄</w:t>
      </w:r>
      <w:proofErr w:type="gramEnd"/>
      <w:r w:rsidRPr="00796EA9">
        <w:rPr>
          <w:rFonts w:hAnsi="標楷體"/>
        </w:rPr>
        <w:t>（O/D）及轉運（Transit/</w:t>
      </w:r>
      <w:r w:rsidR="00560A9F" w:rsidRPr="00796EA9">
        <w:rPr>
          <w:rFonts w:hAnsi="標楷體" w:hint="eastAsia"/>
        </w:rPr>
        <w:t xml:space="preserve"> </w:t>
      </w:r>
      <w:r w:rsidRPr="00796EA9">
        <w:rPr>
          <w:rFonts w:hAnsi="標楷體"/>
        </w:rPr>
        <w:t>Transfer）旅客發展」為其經營目標與願景。主要策略為拓展新航點航線，增加桃園機場航線網絡完整性，提升外國旅客運量成長，同時提升桃園機場轉機比率</w:t>
      </w:r>
      <w:r w:rsidR="003F51E2" w:rsidRPr="00796EA9">
        <w:rPr>
          <w:rFonts w:hAnsi="標楷體" w:hint="eastAsia"/>
        </w:rPr>
        <w:t>等</w:t>
      </w:r>
      <w:r w:rsidRPr="00796EA9">
        <w:rPr>
          <w:rFonts w:hAnsi="標楷體"/>
        </w:rPr>
        <w:t>。</w:t>
      </w:r>
    </w:p>
    <w:p w:rsidR="00994270" w:rsidRPr="00796EA9" w:rsidRDefault="00994270" w:rsidP="00994270">
      <w:pPr>
        <w:pStyle w:val="3"/>
        <w:numPr>
          <w:ilvl w:val="2"/>
          <w:numId w:val="1"/>
        </w:numPr>
        <w:rPr>
          <w:rFonts w:hAnsi="標楷體"/>
        </w:rPr>
      </w:pPr>
      <w:r w:rsidRPr="00796EA9">
        <w:rPr>
          <w:rFonts w:hAnsi="標楷體"/>
        </w:rPr>
        <w:t>經查桃園機場位於歐洲、北美及大洋洲飛亞洲，亞洲飛亞洲</w:t>
      </w:r>
      <w:proofErr w:type="gramStart"/>
      <w:r w:rsidRPr="00796EA9">
        <w:rPr>
          <w:rFonts w:hAnsi="標楷體"/>
        </w:rPr>
        <w:t>之中轉點</w:t>
      </w:r>
      <w:proofErr w:type="gramEnd"/>
      <w:r w:rsidRPr="00796EA9">
        <w:rPr>
          <w:rFonts w:hAnsi="標楷體"/>
        </w:rPr>
        <w:t>，亦為連接歐洲與大洋洲、北美與大洋洲之橋梁，桃園機場現有航點航線16</w:t>
      </w:r>
      <w:r w:rsidR="000814C8" w:rsidRPr="00796EA9">
        <w:rPr>
          <w:rFonts w:hAnsi="標楷體" w:hint="eastAsia"/>
        </w:rPr>
        <w:t>7</w:t>
      </w:r>
      <w:r w:rsidRPr="00796EA9">
        <w:rPr>
          <w:rFonts w:hAnsi="標楷體"/>
        </w:rPr>
        <w:t>個，高於東亞地區主要競爭機場之國際航點航線數量，並</w:t>
      </w:r>
      <w:r w:rsidRPr="00796EA9">
        <w:rPr>
          <w:rFonts w:hAnsi="標楷體"/>
        </w:rPr>
        <w:lastRenderedPageBreak/>
        <w:t>自</w:t>
      </w:r>
      <w:proofErr w:type="gramStart"/>
      <w:r w:rsidRPr="00796EA9">
        <w:rPr>
          <w:rFonts w:hAnsi="標楷體"/>
        </w:rPr>
        <w:t>104</w:t>
      </w:r>
      <w:proofErr w:type="gramEnd"/>
      <w:r w:rsidRPr="00796EA9">
        <w:rPr>
          <w:rFonts w:hAnsi="標楷體"/>
        </w:rPr>
        <w:t>年度</w:t>
      </w:r>
      <w:proofErr w:type="gramStart"/>
      <w:r w:rsidRPr="00796EA9">
        <w:rPr>
          <w:rFonts w:hAnsi="標楷體"/>
        </w:rPr>
        <w:t>起因應陸客</w:t>
      </w:r>
      <w:proofErr w:type="gramEnd"/>
      <w:r w:rsidRPr="00796EA9">
        <w:rPr>
          <w:rFonts w:hAnsi="標楷體"/>
        </w:rPr>
        <w:t>中轉業務，擴增轉機</w:t>
      </w:r>
      <w:proofErr w:type="gramStart"/>
      <w:r w:rsidRPr="00796EA9">
        <w:rPr>
          <w:rFonts w:hAnsi="標楷體"/>
        </w:rPr>
        <w:t>安檢區面積</w:t>
      </w:r>
      <w:proofErr w:type="gramEnd"/>
      <w:r w:rsidRPr="00796EA9">
        <w:rPr>
          <w:rFonts w:hAnsi="標楷體"/>
        </w:rPr>
        <w:t>，轉機安檢線由9線增加至14線。</w:t>
      </w:r>
      <w:proofErr w:type="gramStart"/>
      <w:r w:rsidRPr="00796EA9">
        <w:rPr>
          <w:rFonts w:hAnsi="標楷體"/>
        </w:rPr>
        <w:t>桃機公司</w:t>
      </w:r>
      <w:proofErr w:type="gramEnd"/>
      <w:r w:rsidRPr="00796EA9">
        <w:rPr>
          <w:rFonts w:hAnsi="標楷體"/>
        </w:rPr>
        <w:t>轉機業務主要</w:t>
      </w:r>
      <w:r w:rsidR="003F51E2" w:rsidRPr="00796EA9">
        <w:rPr>
          <w:rFonts w:hAnsi="標楷體" w:hint="eastAsia"/>
        </w:rPr>
        <w:t>納入</w:t>
      </w:r>
      <w:r w:rsidR="000814C8" w:rsidRPr="00796EA9">
        <w:rPr>
          <w:rFonts w:hAnsi="標楷體"/>
        </w:rPr>
        <w:t>整體</w:t>
      </w:r>
      <w:r w:rsidR="003F51E2" w:rsidRPr="00796EA9">
        <w:rPr>
          <w:rFonts w:hAnsi="標楷體"/>
        </w:rPr>
        <w:t>桃園機場（航線、航點開發）業務一</w:t>
      </w:r>
      <w:r w:rsidR="003F51E2" w:rsidRPr="00796EA9">
        <w:rPr>
          <w:rFonts w:hAnsi="標楷體" w:hint="eastAsia"/>
        </w:rPr>
        <w:t>併</w:t>
      </w:r>
      <w:r w:rsidRPr="00796EA9">
        <w:rPr>
          <w:rFonts w:hAnsi="標楷體"/>
        </w:rPr>
        <w:t>推動，該公司自100年起參加世界航線論壇（每年9月）及亞洲航線論壇（每年3月），該公司相關航線航點開發</w:t>
      </w:r>
      <w:r w:rsidR="009307BA">
        <w:rPr>
          <w:rFonts w:hAnsi="標楷體"/>
        </w:rPr>
        <w:t>企劃</w:t>
      </w:r>
      <w:r w:rsidRPr="00796EA9">
        <w:rPr>
          <w:rFonts w:hAnsi="標楷體"/>
        </w:rPr>
        <w:t>案，主要係採用102年起委託國際顧問公司制定之目標航空公司行銷方案（Business Case）。</w:t>
      </w:r>
    </w:p>
    <w:p w:rsidR="00994270" w:rsidRPr="00796EA9" w:rsidRDefault="00994270" w:rsidP="00994270">
      <w:pPr>
        <w:pStyle w:val="3"/>
        <w:numPr>
          <w:ilvl w:val="2"/>
          <w:numId w:val="1"/>
        </w:numPr>
        <w:rPr>
          <w:rFonts w:hAnsi="標楷體"/>
        </w:rPr>
      </w:pPr>
      <w:r w:rsidRPr="00796EA9">
        <w:rPr>
          <w:rFonts w:hAnsi="標楷體"/>
        </w:rPr>
        <w:t>桃園機場自100年</w:t>
      </w:r>
      <w:proofErr w:type="gramStart"/>
      <w:r w:rsidRPr="00796EA9">
        <w:rPr>
          <w:rFonts w:hAnsi="標楷體"/>
        </w:rPr>
        <w:t>迄</w:t>
      </w:r>
      <w:proofErr w:type="gramEnd"/>
      <w:r w:rsidRPr="00796EA9">
        <w:rPr>
          <w:rFonts w:hAnsi="標楷體"/>
        </w:rPr>
        <w:t>106年之各年度入、出境旅客、過境旅客、轉機旅客及占比等資料</w:t>
      </w:r>
      <w:proofErr w:type="gramStart"/>
      <w:r w:rsidRPr="00796EA9">
        <w:rPr>
          <w:rFonts w:hAnsi="標楷體"/>
        </w:rPr>
        <w:t>綜整如</w:t>
      </w:r>
      <w:proofErr w:type="gramEnd"/>
      <w:r w:rsidRPr="00796EA9">
        <w:rPr>
          <w:rFonts w:hAnsi="標楷體"/>
        </w:rPr>
        <w:t>表</w:t>
      </w:r>
      <w:r w:rsidRPr="00796EA9">
        <w:rPr>
          <w:rFonts w:hAnsi="標楷體" w:hint="eastAsia"/>
        </w:rPr>
        <w:t>1</w:t>
      </w:r>
      <w:r w:rsidR="000632CE" w:rsidRPr="00796EA9">
        <w:rPr>
          <w:rFonts w:hAnsi="標楷體" w:hint="eastAsia"/>
        </w:rPr>
        <w:t>2</w:t>
      </w:r>
      <w:r w:rsidRPr="00796EA9">
        <w:rPr>
          <w:rFonts w:hAnsi="標楷體"/>
        </w:rPr>
        <w:t>所示，</w:t>
      </w:r>
      <w:proofErr w:type="gramStart"/>
      <w:r w:rsidRPr="00796EA9">
        <w:rPr>
          <w:rFonts w:hAnsi="標楷體"/>
        </w:rPr>
        <w:t>106</w:t>
      </w:r>
      <w:proofErr w:type="gramEnd"/>
      <w:r w:rsidRPr="00796EA9">
        <w:rPr>
          <w:rFonts w:hAnsi="標楷體"/>
        </w:rPr>
        <w:t>年度桃園機場總旅客</w:t>
      </w:r>
      <w:proofErr w:type="gramStart"/>
      <w:r w:rsidRPr="00796EA9">
        <w:rPr>
          <w:rFonts w:hAnsi="標楷體"/>
        </w:rPr>
        <w:t>人數均</w:t>
      </w:r>
      <w:r w:rsidR="003F51E2" w:rsidRPr="00796EA9">
        <w:rPr>
          <w:rFonts w:hAnsi="標楷體" w:hint="eastAsia"/>
        </w:rPr>
        <w:t>已</w:t>
      </w:r>
      <w:r w:rsidRPr="00796EA9">
        <w:rPr>
          <w:rFonts w:hAnsi="標楷體"/>
        </w:rPr>
        <w:t>達</w:t>
      </w:r>
      <w:proofErr w:type="gramEnd"/>
      <w:r w:rsidRPr="00796EA9">
        <w:rPr>
          <w:rFonts w:hAnsi="標楷體"/>
        </w:rPr>
        <w:t>4千萬餘</w:t>
      </w:r>
      <w:proofErr w:type="gramStart"/>
      <w:r w:rsidRPr="00796EA9">
        <w:rPr>
          <w:rFonts w:hAnsi="標楷體"/>
        </w:rPr>
        <w:t>人次，</w:t>
      </w:r>
      <w:proofErr w:type="gramEnd"/>
      <w:r w:rsidRPr="00796EA9">
        <w:rPr>
          <w:rFonts w:hAnsi="標楷體"/>
        </w:rPr>
        <w:t>轉機人數達</w:t>
      </w:r>
      <w:r w:rsidRPr="00796EA9">
        <w:rPr>
          <w:rFonts w:hAnsi="標楷體" w:hint="eastAsia"/>
        </w:rPr>
        <w:t>532</w:t>
      </w:r>
      <w:r w:rsidRPr="00796EA9">
        <w:rPr>
          <w:rFonts w:hAnsi="標楷體"/>
        </w:rPr>
        <w:t>萬餘</w:t>
      </w:r>
      <w:proofErr w:type="gramStart"/>
      <w:r w:rsidRPr="00796EA9">
        <w:rPr>
          <w:rFonts w:hAnsi="標楷體"/>
        </w:rPr>
        <w:t>人次，</w:t>
      </w:r>
      <w:proofErr w:type="gramEnd"/>
      <w:r w:rsidRPr="00796EA9">
        <w:rPr>
          <w:rFonts w:hAnsi="標楷體"/>
        </w:rPr>
        <w:t>僅</w:t>
      </w:r>
      <w:r w:rsidR="003F51E2" w:rsidRPr="00796EA9">
        <w:rPr>
          <w:rFonts w:hAnsi="標楷體" w:hint="eastAsia"/>
        </w:rPr>
        <w:t>占</w:t>
      </w:r>
      <w:r w:rsidRPr="00796EA9">
        <w:rPr>
          <w:rFonts w:hAnsi="標楷體"/>
        </w:rPr>
        <w:t>總旅客人次約1</w:t>
      </w:r>
      <w:r w:rsidRPr="00796EA9">
        <w:rPr>
          <w:rFonts w:hAnsi="標楷體" w:hint="eastAsia"/>
        </w:rPr>
        <w:t>1</w:t>
      </w:r>
      <w:r w:rsidRPr="00796EA9">
        <w:rPr>
          <w:rFonts w:hAnsi="標楷體"/>
        </w:rPr>
        <w:t>％（同表</w:t>
      </w:r>
      <w:r w:rsidR="004459DC">
        <w:rPr>
          <w:rFonts w:hAnsi="標楷體" w:hint="eastAsia"/>
        </w:rPr>
        <w:t>6</w:t>
      </w:r>
      <w:r w:rsidRPr="00796EA9">
        <w:rPr>
          <w:rFonts w:hAnsi="標楷體"/>
        </w:rPr>
        <w:t>），又100至10</w:t>
      </w:r>
      <w:r w:rsidRPr="00796EA9">
        <w:rPr>
          <w:rFonts w:hAnsi="標楷體" w:hint="eastAsia"/>
        </w:rPr>
        <w:t>6</w:t>
      </w:r>
      <w:r w:rsidRPr="00796EA9">
        <w:rPr>
          <w:rFonts w:hAnsi="標楷體"/>
        </w:rPr>
        <w:t>年度轉機旅客人數雖因旅客總人數增加，惟轉機比率</w:t>
      </w:r>
      <w:r w:rsidR="003F51E2" w:rsidRPr="00796EA9">
        <w:rPr>
          <w:rFonts w:hAnsi="標楷體" w:hint="eastAsia"/>
        </w:rPr>
        <w:t>卻</w:t>
      </w:r>
      <w:r w:rsidRPr="00796EA9">
        <w:rPr>
          <w:rFonts w:hAnsi="標楷體"/>
        </w:rPr>
        <w:t>未成長，且桃園機場之轉機比率低於東亞地區競爭機場之</w:t>
      </w:r>
      <w:r w:rsidR="003F51E2" w:rsidRPr="00796EA9">
        <w:rPr>
          <w:rFonts w:hAnsi="標楷體" w:hint="eastAsia"/>
        </w:rPr>
        <w:t>占</w:t>
      </w:r>
      <w:r w:rsidRPr="00796EA9">
        <w:rPr>
          <w:rFonts w:hAnsi="標楷體"/>
        </w:rPr>
        <w:t>比（詳表</w:t>
      </w:r>
      <w:r w:rsidR="004459DC">
        <w:rPr>
          <w:rFonts w:hAnsi="標楷體" w:hint="eastAsia"/>
        </w:rPr>
        <w:t>7</w:t>
      </w:r>
      <w:bookmarkStart w:id="59" w:name="_GoBack"/>
      <w:bookmarkEnd w:id="59"/>
      <w:r w:rsidRPr="00796EA9">
        <w:rPr>
          <w:rFonts w:hAnsi="標楷體"/>
        </w:rPr>
        <w:t>）。桃園機場轉機客群主要為來自和前往北美、日本及東南亞地區的旅客。另105年2月開放陸客中轉部分</w:t>
      </w:r>
      <w:r w:rsidRPr="00796EA9">
        <w:rPr>
          <w:rStyle w:val="afe"/>
          <w:rFonts w:hAnsi="標楷體"/>
        </w:rPr>
        <w:footnoteReference w:id="26"/>
      </w:r>
      <w:r w:rsidRPr="00796EA9">
        <w:rPr>
          <w:rFonts w:hAnsi="標楷體"/>
        </w:rPr>
        <w:t>，國籍航空陸客來</w:t>
      </w:r>
      <w:proofErr w:type="gramStart"/>
      <w:r w:rsidR="005D6D07" w:rsidRPr="00796EA9">
        <w:rPr>
          <w:rFonts w:hAnsi="標楷體" w:hint="eastAsia"/>
        </w:rPr>
        <w:t>臺</w:t>
      </w:r>
      <w:proofErr w:type="gramEnd"/>
      <w:r w:rsidRPr="00796EA9">
        <w:rPr>
          <w:rFonts w:hAnsi="標楷體"/>
        </w:rPr>
        <w:t>中轉人數105年2至12月僅257位，</w:t>
      </w:r>
      <w:proofErr w:type="gramStart"/>
      <w:r w:rsidRPr="00796EA9">
        <w:rPr>
          <w:rFonts w:hAnsi="標楷體"/>
        </w:rPr>
        <w:t>106</w:t>
      </w:r>
      <w:proofErr w:type="gramEnd"/>
      <w:r w:rsidRPr="00796EA9">
        <w:rPr>
          <w:rFonts w:hAnsi="標楷體"/>
        </w:rPr>
        <w:t>年度僅181位。交通部表示，105年中前</w:t>
      </w:r>
      <w:r w:rsidR="003F51E2" w:rsidRPr="00796EA9">
        <w:rPr>
          <w:rFonts w:hAnsi="標楷體" w:hint="eastAsia"/>
        </w:rPr>
        <w:t>，</w:t>
      </w:r>
      <w:r w:rsidRPr="00796EA9">
        <w:rPr>
          <w:rFonts w:hAnsi="標楷體"/>
        </w:rPr>
        <w:t>兩岸交流較</w:t>
      </w:r>
      <w:proofErr w:type="gramStart"/>
      <w:r w:rsidRPr="00796EA9">
        <w:rPr>
          <w:rFonts w:hAnsi="標楷體"/>
        </w:rPr>
        <w:t>活躍，</w:t>
      </w:r>
      <w:proofErr w:type="gramEnd"/>
      <w:r w:rsidRPr="00796EA9">
        <w:rPr>
          <w:rFonts w:hAnsi="標楷體"/>
        </w:rPr>
        <w:t>大陸旅客來</w:t>
      </w:r>
      <w:proofErr w:type="gramStart"/>
      <w:r w:rsidRPr="00796EA9">
        <w:rPr>
          <w:rFonts w:hAnsi="標楷體"/>
        </w:rPr>
        <w:t>臺</w:t>
      </w:r>
      <w:proofErr w:type="gramEnd"/>
      <w:r w:rsidRPr="00796EA9">
        <w:rPr>
          <w:rFonts w:hAnsi="標楷體"/>
        </w:rPr>
        <w:t>為兩岸政府共同推動之觀光交流重心，陸客成為桃園機場旅客運量成長之驅動力之一，機場轉機比率可望藉開放陸客來</w:t>
      </w:r>
      <w:proofErr w:type="gramStart"/>
      <w:r w:rsidRPr="00796EA9">
        <w:rPr>
          <w:rFonts w:hAnsi="標楷體"/>
        </w:rPr>
        <w:t>臺</w:t>
      </w:r>
      <w:proofErr w:type="gramEnd"/>
      <w:r w:rsidRPr="00796EA9">
        <w:rPr>
          <w:rFonts w:hAnsi="標楷體"/>
        </w:rPr>
        <w:t>轉機政策</w:t>
      </w:r>
      <w:r w:rsidR="003F51E2" w:rsidRPr="00796EA9">
        <w:rPr>
          <w:rFonts w:hAnsi="標楷體" w:hint="eastAsia"/>
        </w:rPr>
        <w:t>而</w:t>
      </w:r>
      <w:r w:rsidRPr="00796EA9">
        <w:rPr>
          <w:rFonts w:hAnsi="標楷體"/>
        </w:rPr>
        <w:t>提升；105年起</w:t>
      </w:r>
      <w:r w:rsidR="003F51E2" w:rsidRPr="00796EA9">
        <w:rPr>
          <w:rFonts w:hAnsi="標楷體" w:hint="eastAsia"/>
        </w:rPr>
        <w:t>，</w:t>
      </w:r>
      <w:r w:rsidRPr="00796EA9">
        <w:rPr>
          <w:rFonts w:hAnsi="標楷體"/>
        </w:rPr>
        <w:t>因兩岸政策環境變化，影響陸客來</w:t>
      </w:r>
      <w:proofErr w:type="gramStart"/>
      <w:r w:rsidRPr="00796EA9">
        <w:rPr>
          <w:rFonts w:hAnsi="標楷體"/>
        </w:rPr>
        <w:t>臺</w:t>
      </w:r>
      <w:proofErr w:type="gramEnd"/>
      <w:r w:rsidRPr="00796EA9">
        <w:rPr>
          <w:rFonts w:hAnsi="標楷體"/>
        </w:rPr>
        <w:t>人數，連帶影響轉機比率之成長。</w:t>
      </w:r>
    </w:p>
    <w:p w:rsidR="00F165B8" w:rsidRPr="00796EA9" w:rsidRDefault="00F165B8">
      <w:pPr>
        <w:widowControl/>
        <w:overflowPunct/>
        <w:autoSpaceDE/>
        <w:autoSpaceDN/>
        <w:jc w:val="left"/>
        <w:rPr>
          <w:rFonts w:hAnsi="標楷體"/>
          <w:b/>
          <w:bCs/>
          <w:spacing w:val="-10"/>
          <w:kern w:val="28"/>
          <w:sz w:val="28"/>
          <w:szCs w:val="28"/>
        </w:rPr>
      </w:pPr>
      <w:r w:rsidRPr="00796EA9">
        <w:rPr>
          <w:rFonts w:hAnsi="標楷體"/>
          <w:b/>
        </w:rPr>
        <w:br w:type="page"/>
      </w:r>
    </w:p>
    <w:p w:rsidR="00994270" w:rsidRPr="00796EA9" w:rsidRDefault="00994270" w:rsidP="00994270">
      <w:pPr>
        <w:pStyle w:val="a3"/>
        <w:jc w:val="center"/>
        <w:rPr>
          <w:rFonts w:hAnsi="標楷體"/>
          <w:b/>
        </w:rPr>
      </w:pPr>
      <w:r w:rsidRPr="00796EA9">
        <w:rPr>
          <w:rFonts w:hAnsi="標楷體"/>
          <w:b/>
        </w:rPr>
        <w:lastRenderedPageBreak/>
        <w:t>桃園機場轉機旅客人數一覽表</w:t>
      </w:r>
    </w:p>
    <w:p w:rsidR="00994270" w:rsidRPr="00796EA9" w:rsidRDefault="00994270" w:rsidP="00994270">
      <w:pPr>
        <w:jc w:val="right"/>
        <w:rPr>
          <w:rFonts w:hAnsi="標楷體"/>
          <w:bCs/>
          <w:kern w:val="0"/>
          <w:sz w:val="24"/>
          <w:szCs w:val="24"/>
        </w:rPr>
      </w:pPr>
      <w:r w:rsidRPr="00796EA9">
        <w:rPr>
          <w:rFonts w:hAnsi="標楷體"/>
          <w:bCs/>
          <w:kern w:val="0"/>
          <w:sz w:val="24"/>
          <w:szCs w:val="24"/>
        </w:rPr>
        <w:t>單位：</w:t>
      </w:r>
      <w:proofErr w:type="gramStart"/>
      <w:r w:rsidRPr="00796EA9">
        <w:rPr>
          <w:rFonts w:hAnsi="標楷體"/>
          <w:bCs/>
          <w:kern w:val="0"/>
          <w:sz w:val="24"/>
          <w:szCs w:val="24"/>
        </w:rPr>
        <w:t>千人次</w:t>
      </w:r>
      <w:proofErr w:type="gramEnd"/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1346"/>
        <w:gridCol w:w="1346"/>
        <w:gridCol w:w="1346"/>
        <w:gridCol w:w="1347"/>
        <w:gridCol w:w="1497"/>
        <w:gridCol w:w="1559"/>
      </w:tblGrid>
      <w:tr w:rsidR="00796EA9" w:rsidRPr="00796EA9" w:rsidTr="003F51E2">
        <w:trPr>
          <w:trHeight w:val="283"/>
          <w:jc w:val="center"/>
        </w:trPr>
        <w:tc>
          <w:tcPr>
            <w:tcW w:w="1155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8A0D6F">
            <w:pPr>
              <w:widowControl/>
              <w:snapToGrid w:val="0"/>
              <w:jc w:val="center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年度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8A0D6F">
            <w:pPr>
              <w:widowControl/>
              <w:snapToGrid w:val="0"/>
              <w:jc w:val="center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合計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8A0D6F">
            <w:pPr>
              <w:widowControl/>
              <w:snapToGrid w:val="0"/>
              <w:jc w:val="center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入境旅客</w:t>
            </w:r>
          </w:p>
          <w:p w:rsidR="00994270" w:rsidRPr="00796EA9" w:rsidRDefault="00994270" w:rsidP="008A0D6F">
            <w:pPr>
              <w:widowControl/>
              <w:snapToGrid w:val="0"/>
              <w:jc w:val="center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（含轉機）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8A0D6F">
            <w:pPr>
              <w:widowControl/>
              <w:snapToGrid w:val="0"/>
              <w:jc w:val="center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出境旅客</w:t>
            </w:r>
          </w:p>
          <w:p w:rsidR="00994270" w:rsidRPr="00796EA9" w:rsidRDefault="00994270" w:rsidP="008A0D6F">
            <w:pPr>
              <w:widowControl/>
              <w:snapToGrid w:val="0"/>
              <w:jc w:val="center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（含轉機）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8A0D6F">
            <w:pPr>
              <w:widowControl/>
              <w:snapToGrid w:val="0"/>
              <w:jc w:val="center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過境旅客</w:t>
            </w:r>
          </w:p>
        </w:tc>
        <w:tc>
          <w:tcPr>
            <w:tcW w:w="1497" w:type="dxa"/>
            <w:tcBorders>
              <w:top w:val="single" w:sz="12" w:space="0" w:color="auto"/>
              <w:left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3F51E2">
            <w:pPr>
              <w:widowControl/>
              <w:snapToGrid w:val="0"/>
              <w:jc w:val="center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轉機旅客</w:t>
            </w:r>
          </w:p>
          <w:p w:rsidR="003F51E2" w:rsidRPr="00796EA9" w:rsidRDefault="003F51E2" w:rsidP="003F51E2">
            <w:pPr>
              <w:widowControl/>
              <w:snapToGrid w:val="0"/>
              <w:jc w:val="center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 w:hint="eastAsia"/>
                <w:b/>
                <w:kern w:val="0"/>
                <w:sz w:val="24"/>
                <w:szCs w:val="24"/>
              </w:rPr>
              <w:t>(</w:t>
            </w:r>
            <w:r w:rsidR="00994270" w:rsidRPr="00796EA9">
              <w:rPr>
                <w:rFonts w:hAnsi="標楷體"/>
                <w:b/>
                <w:kern w:val="0"/>
                <w:sz w:val="24"/>
                <w:szCs w:val="24"/>
              </w:rPr>
              <w:t>含入境</w:t>
            </w:r>
          </w:p>
          <w:p w:rsidR="00994270" w:rsidRPr="00796EA9" w:rsidRDefault="003F51E2" w:rsidP="003F51E2">
            <w:pPr>
              <w:widowControl/>
              <w:snapToGrid w:val="0"/>
              <w:jc w:val="center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及出境</w:t>
            </w:r>
            <w:r w:rsidRPr="00796EA9">
              <w:rPr>
                <w:rFonts w:hAnsi="標楷體" w:hint="eastAsia"/>
                <w:b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8A0D6F">
            <w:pPr>
              <w:widowControl/>
              <w:snapToGrid w:val="0"/>
              <w:jc w:val="center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轉機旅客</w:t>
            </w:r>
          </w:p>
          <w:p w:rsidR="00994270" w:rsidRPr="00796EA9" w:rsidRDefault="00994270" w:rsidP="008A0D6F">
            <w:pPr>
              <w:widowControl/>
              <w:snapToGrid w:val="0"/>
              <w:jc w:val="center"/>
              <w:rPr>
                <w:rFonts w:hAnsi="標楷體"/>
                <w:b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b/>
                <w:kern w:val="0"/>
                <w:sz w:val="24"/>
                <w:szCs w:val="24"/>
              </w:rPr>
              <w:t>占總人數％</w:t>
            </w:r>
          </w:p>
        </w:tc>
      </w:tr>
      <w:tr w:rsidR="00796EA9" w:rsidRPr="00796EA9" w:rsidTr="003F51E2">
        <w:trPr>
          <w:trHeight w:val="283"/>
          <w:jc w:val="center"/>
        </w:trPr>
        <w:tc>
          <w:tcPr>
            <w:tcW w:w="1155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8A0D6F">
            <w:pPr>
              <w:widowControl/>
              <w:snapToGrid w:val="0"/>
              <w:jc w:val="center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26,413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13,069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13,105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238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3,037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11.50％</w:t>
            </w:r>
          </w:p>
        </w:tc>
      </w:tr>
      <w:tr w:rsidR="00796EA9" w:rsidRPr="00796EA9" w:rsidTr="003F51E2">
        <w:trPr>
          <w:trHeight w:val="283"/>
          <w:jc w:val="center"/>
        </w:trPr>
        <w:tc>
          <w:tcPr>
            <w:tcW w:w="1155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8A0D6F">
            <w:pPr>
              <w:widowControl/>
              <w:snapToGrid w:val="0"/>
              <w:jc w:val="center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101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29,269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14,458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14,529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281</w:t>
            </w:r>
          </w:p>
        </w:tc>
        <w:tc>
          <w:tcPr>
            <w:tcW w:w="1497" w:type="dxa"/>
            <w:tcBorders>
              <w:top w:val="nil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3,027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10.34％</w:t>
            </w:r>
          </w:p>
        </w:tc>
      </w:tr>
      <w:tr w:rsidR="00796EA9" w:rsidRPr="00796EA9" w:rsidTr="003F51E2">
        <w:trPr>
          <w:trHeight w:val="283"/>
          <w:jc w:val="center"/>
        </w:trPr>
        <w:tc>
          <w:tcPr>
            <w:tcW w:w="1155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8A0D6F">
            <w:pPr>
              <w:widowControl/>
              <w:snapToGrid w:val="0"/>
              <w:jc w:val="center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102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32,213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15,999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15,811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402</w:t>
            </w:r>
          </w:p>
        </w:tc>
        <w:tc>
          <w:tcPr>
            <w:tcW w:w="1497" w:type="dxa"/>
            <w:tcBorders>
              <w:top w:val="nil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3,202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9.94％</w:t>
            </w:r>
          </w:p>
        </w:tc>
      </w:tr>
      <w:tr w:rsidR="00796EA9" w:rsidRPr="00796EA9" w:rsidTr="003F51E2">
        <w:trPr>
          <w:trHeight w:val="283"/>
          <w:jc w:val="center"/>
        </w:trPr>
        <w:tc>
          <w:tcPr>
            <w:tcW w:w="1155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8A0D6F">
            <w:pPr>
              <w:widowControl/>
              <w:snapToGrid w:val="0"/>
              <w:jc w:val="center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103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35,804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17,786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17,615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402</w:t>
            </w:r>
          </w:p>
        </w:tc>
        <w:tc>
          <w:tcPr>
            <w:tcW w:w="1497" w:type="dxa"/>
            <w:tcBorders>
              <w:top w:val="nil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3,394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9.48％</w:t>
            </w:r>
          </w:p>
        </w:tc>
      </w:tr>
      <w:tr w:rsidR="00796EA9" w:rsidRPr="00796EA9" w:rsidTr="003F51E2">
        <w:trPr>
          <w:trHeight w:val="283"/>
          <w:jc w:val="center"/>
        </w:trPr>
        <w:tc>
          <w:tcPr>
            <w:tcW w:w="1155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8A0D6F">
            <w:pPr>
              <w:widowControl/>
              <w:snapToGrid w:val="0"/>
              <w:jc w:val="center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104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38,473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19,075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19,028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369</w:t>
            </w:r>
          </w:p>
        </w:tc>
        <w:tc>
          <w:tcPr>
            <w:tcW w:w="1497" w:type="dxa"/>
            <w:tcBorders>
              <w:top w:val="nil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3,665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9.53％</w:t>
            </w:r>
          </w:p>
        </w:tc>
      </w:tr>
      <w:tr w:rsidR="00796EA9" w:rsidRPr="00796EA9" w:rsidTr="003F51E2">
        <w:trPr>
          <w:trHeight w:val="283"/>
          <w:jc w:val="center"/>
        </w:trPr>
        <w:tc>
          <w:tcPr>
            <w:tcW w:w="1155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8A0D6F">
            <w:pPr>
              <w:widowControl/>
              <w:snapToGrid w:val="0"/>
              <w:jc w:val="center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105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42,296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20,919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20,957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419</w:t>
            </w:r>
          </w:p>
        </w:tc>
        <w:tc>
          <w:tcPr>
            <w:tcW w:w="1497" w:type="dxa"/>
            <w:tcBorders>
              <w:top w:val="nil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4,461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10.55％</w:t>
            </w:r>
          </w:p>
        </w:tc>
      </w:tr>
      <w:tr w:rsidR="00796EA9" w:rsidRPr="00796EA9" w:rsidTr="003F51E2">
        <w:trPr>
          <w:trHeight w:val="283"/>
          <w:jc w:val="center"/>
        </w:trPr>
        <w:tc>
          <w:tcPr>
            <w:tcW w:w="1155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94270" w:rsidRPr="00796EA9" w:rsidRDefault="00994270" w:rsidP="008A0D6F">
            <w:pPr>
              <w:widowControl/>
              <w:snapToGrid w:val="0"/>
              <w:jc w:val="center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106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44,879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22,219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22,261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399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5,328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94270" w:rsidRPr="00796EA9" w:rsidRDefault="00994270" w:rsidP="00994270">
            <w:pPr>
              <w:widowControl/>
              <w:snapToGrid w:val="0"/>
              <w:ind w:rightChars="50" w:right="170"/>
              <w:jc w:val="right"/>
              <w:rPr>
                <w:rFonts w:hAnsi="標楷體"/>
                <w:kern w:val="0"/>
                <w:sz w:val="24"/>
                <w:szCs w:val="24"/>
              </w:rPr>
            </w:pPr>
            <w:r w:rsidRPr="00796EA9">
              <w:rPr>
                <w:rFonts w:hAnsi="標楷體"/>
                <w:kern w:val="0"/>
                <w:sz w:val="24"/>
                <w:szCs w:val="24"/>
              </w:rPr>
              <w:t>11.87％</w:t>
            </w:r>
          </w:p>
        </w:tc>
      </w:tr>
    </w:tbl>
    <w:p w:rsidR="00994270" w:rsidRPr="00796EA9" w:rsidRDefault="00994270" w:rsidP="00535817">
      <w:pPr>
        <w:spacing w:line="240" w:lineRule="exact"/>
        <w:ind w:leftChars="-125" w:left="779" w:hangingChars="463" w:hanging="1204"/>
        <w:rPr>
          <w:rFonts w:hAnsi="標楷體"/>
          <w:bCs/>
          <w:kern w:val="0"/>
          <w:sz w:val="24"/>
          <w:szCs w:val="24"/>
        </w:rPr>
      </w:pPr>
      <w:r w:rsidRPr="00796EA9">
        <w:rPr>
          <w:rFonts w:hAnsi="標楷體"/>
          <w:bCs/>
          <w:kern w:val="0"/>
          <w:sz w:val="24"/>
          <w:szCs w:val="24"/>
        </w:rPr>
        <w:t>資料來源：</w:t>
      </w:r>
      <w:r w:rsidRPr="00796EA9">
        <w:rPr>
          <w:rFonts w:hAnsi="標楷體" w:hint="eastAsia"/>
          <w:bCs/>
          <w:kern w:val="0"/>
          <w:sz w:val="24"/>
          <w:szCs w:val="24"/>
        </w:rPr>
        <w:t>交通部</w:t>
      </w:r>
      <w:r w:rsidRPr="00796EA9">
        <w:rPr>
          <w:rFonts w:hAnsi="標楷體"/>
          <w:bCs/>
          <w:kern w:val="0"/>
          <w:sz w:val="24"/>
          <w:szCs w:val="24"/>
        </w:rPr>
        <w:t>。</w:t>
      </w:r>
    </w:p>
    <w:p w:rsidR="00994270" w:rsidRPr="00796EA9" w:rsidRDefault="00994270" w:rsidP="00994270">
      <w:pPr>
        <w:pStyle w:val="a3"/>
        <w:jc w:val="center"/>
        <w:rPr>
          <w:rFonts w:hAnsi="標楷體"/>
          <w:b/>
        </w:rPr>
      </w:pPr>
      <w:r w:rsidRPr="00796EA9">
        <w:rPr>
          <w:rFonts w:hAnsi="標楷體"/>
          <w:b/>
        </w:rPr>
        <w:t>桃園機場與東亞地區競爭機場航點</w:t>
      </w:r>
      <w:r w:rsidR="00780793" w:rsidRPr="00796EA9">
        <w:rPr>
          <w:rFonts w:hAnsi="標楷體" w:hint="eastAsia"/>
          <w:b/>
        </w:rPr>
        <w:t>、</w:t>
      </w:r>
      <w:r w:rsidRPr="00796EA9">
        <w:rPr>
          <w:rFonts w:hAnsi="標楷體"/>
          <w:b/>
        </w:rPr>
        <w:t>航線及轉機比率一覽表</w:t>
      </w:r>
    </w:p>
    <w:p w:rsidR="00994270" w:rsidRPr="00796EA9" w:rsidRDefault="00994270" w:rsidP="00994270">
      <w:pPr>
        <w:jc w:val="right"/>
        <w:rPr>
          <w:rFonts w:hAnsi="標楷體"/>
          <w:bCs/>
          <w:kern w:val="0"/>
          <w:sz w:val="24"/>
          <w:szCs w:val="24"/>
        </w:rPr>
      </w:pPr>
      <w:r w:rsidRPr="00796EA9">
        <w:rPr>
          <w:rFonts w:hAnsi="標楷體"/>
          <w:bCs/>
          <w:kern w:val="0"/>
          <w:sz w:val="24"/>
          <w:szCs w:val="24"/>
        </w:rPr>
        <w:t>單位：</w:t>
      </w:r>
      <w:proofErr w:type="gramStart"/>
      <w:r w:rsidRPr="00796EA9">
        <w:rPr>
          <w:rFonts w:hAnsi="標楷體"/>
          <w:bCs/>
          <w:kern w:val="0"/>
          <w:sz w:val="24"/>
          <w:szCs w:val="24"/>
        </w:rPr>
        <w:t>個</w:t>
      </w:r>
      <w:proofErr w:type="gramEnd"/>
      <w:r w:rsidRPr="00796EA9">
        <w:rPr>
          <w:rFonts w:hAnsi="標楷體"/>
          <w:bCs/>
          <w:kern w:val="0"/>
          <w:sz w:val="24"/>
          <w:szCs w:val="24"/>
        </w:rPr>
        <w:t>、％</w:t>
      </w:r>
    </w:p>
    <w:tbl>
      <w:tblPr>
        <w:tblW w:w="1061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1036"/>
        <w:gridCol w:w="898"/>
        <w:gridCol w:w="898"/>
        <w:gridCol w:w="967"/>
        <w:gridCol w:w="967"/>
        <w:gridCol w:w="967"/>
        <w:gridCol w:w="967"/>
        <w:gridCol w:w="967"/>
        <w:gridCol w:w="967"/>
        <w:gridCol w:w="967"/>
      </w:tblGrid>
      <w:tr w:rsidR="00796EA9" w:rsidRPr="00796EA9" w:rsidTr="0062723D">
        <w:trPr>
          <w:trHeight w:val="20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jc w:val="right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機場</w:t>
            </w:r>
          </w:p>
          <w:p w:rsidR="0062723D" w:rsidRPr="00796EA9" w:rsidRDefault="0062723D" w:rsidP="00CC4D8D">
            <w:pPr>
              <w:widowControl/>
              <w:spacing w:line="240" w:lineRule="exact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地區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桃園</w:t>
            </w:r>
          </w:p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機場</w:t>
            </w:r>
          </w:p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（TPE）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香港</w:t>
            </w:r>
          </w:p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proofErr w:type="gramStart"/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赤</w:t>
            </w:r>
            <w:proofErr w:type="gramEnd"/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鱲角</w:t>
            </w:r>
          </w:p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機場（HKG）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泰國</w:t>
            </w:r>
          </w:p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曼谷機場</w:t>
            </w:r>
          </w:p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（BKK）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新加坡</w:t>
            </w:r>
          </w:p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proofErr w:type="gramStart"/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樟</w:t>
            </w:r>
            <w:proofErr w:type="gramEnd"/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宜機場</w:t>
            </w:r>
          </w:p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（SIN）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中國</w:t>
            </w:r>
          </w:p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廣州機場</w:t>
            </w:r>
          </w:p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（CAN）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中國</w:t>
            </w:r>
          </w:p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上海機場</w:t>
            </w:r>
          </w:p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（PVG）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中國</w:t>
            </w:r>
          </w:p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北京機場</w:t>
            </w:r>
          </w:p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（PEK）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韓國</w:t>
            </w:r>
          </w:p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proofErr w:type="gramStart"/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首爾機場</w:t>
            </w:r>
            <w:proofErr w:type="gramEnd"/>
          </w:p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（ICN）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日本</w:t>
            </w:r>
          </w:p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成田機場</w:t>
            </w:r>
          </w:p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（NRT）</w:t>
            </w:r>
          </w:p>
        </w:tc>
      </w:tr>
      <w:tr w:rsidR="00796EA9" w:rsidRPr="00796EA9" w:rsidTr="0062723D">
        <w:trPr>
          <w:trHeight w:val="283"/>
          <w:jc w:val="center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23D" w:rsidRPr="00796EA9" w:rsidRDefault="0062723D" w:rsidP="0062723D">
            <w:pPr>
              <w:spacing w:line="240" w:lineRule="exact"/>
              <w:ind w:left="720" w:hangingChars="300" w:hanging="720"/>
              <w:rPr>
                <w:rFonts w:hAnsi="標楷體"/>
                <w:bCs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Cs/>
                <w:kern w:val="0"/>
                <w:sz w:val="22"/>
                <w:szCs w:val="22"/>
              </w:rPr>
              <w:t>航點</w:t>
            </w:r>
          </w:p>
          <w:p w:rsidR="0062723D" w:rsidRPr="00796EA9" w:rsidRDefault="0062723D" w:rsidP="0062723D">
            <w:pPr>
              <w:spacing w:line="240" w:lineRule="exact"/>
              <w:ind w:left="720" w:hangingChars="300" w:hanging="720"/>
              <w:rPr>
                <w:rFonts w:hAnsi="標楷體"/>
                <w:bCs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Cs/>
                <w:kern w:val="0"/>
                <w:sz w:val="22"/>
                <w:szCs w:val="22"/>
              </w:rPr>
              <w:t>航線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spacing w:line="240" w:lineRule="exact"/>
              <w:ind w:left="721" w:hangingChars="300" w:hanging="721"/>
              <w:jc w:val="center"/>
              <w:rPr>
                <w:rFonts w:hAnsi="標楷體"/>
                <w:b/>
                <w:bCs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bCs/>
                <w:kern w:val="0"/>
                <w:sz w:val="22"/>
                <w:szCs w:val="22"/>
              </w:rPr>
              <w:t>合計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snapToGrid w:val="0"/>
              <w:ind w:left="721" w:rightChars="50" w:right="170" w:hangingChars="300" w:hanging="721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796EA9">
              <w:rPr>
                <w:b/>
                <w:bCs/>
                <w:kern w:val="0"/>
                <w:sz w:val="22"/>
                <w:szCs w:val="22"/>
              </w:rPr>
              <w:t>167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snapToGrid w:val="0"/>
              <w:ind w:left="721" w:rightChars="50" w:right="170" w:hangingChars="300" w:hanging="721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796EA9">
              <w:rPr>
                <w:b/>
                <w:bCs/>
                <w:kern w:val="0"/>
                <w:sz w:val="22"/>
                <w:szCs w:val="22"/>
              </w:rPr>
              <w:t>160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snapToGrid w:val="0"/>
              <w:ind w:left="721" w:rightChars="50" w:right="170" w:hangingChars="300" w:hanging="721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796EA9">
              <w:rPr>
                <w:b/>
                <w:bCs/>
                <w:kern w:val="0"/>
                <w:sz w:val="22"/>
                <w:szCs w:val="22"/>
              </w:rPr>
              <w:t>147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snapToGrid w:val="0"/>
              <w:ind w:left="721" w:rightChars="50" w:right="170" w:hangingChars="300" w:hanging="721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796EA9">
              <w:rPr>
                <w:b/>
                <w:bCs/>
                <w:kern w:val="0"/>
                <w:sz w:val="22"/>
                <w:szCs w:val="22"/>
              </w:rPr>
              <w:t>163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snapToGrid w:val="0"/>
              <w:ind w:left="721" w:rightChars="50" w:right="170" w:hangingChars="300" w:hanging="721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796EA9">
              <w:rPr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snapToGrid w:val="0"/>
              <w:ind w:left="721" w:rightChars="50" w:right="170" w:hangingChars="300" w:hanging="721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796EA9">
              <w:rPr>
                <w:b/>
                <w:bCs/>
                <w:kern w:val="0"/>
                <w:sz w:val="22"/>
                <w:szCs w:val="22"/>
              </w:rPr>
              <w:t>111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snapToGrid w:val="0"/>
              <w:ind w:left="721" w:rightChars="50" w:right="170" w:hangingChars="300" w:hanging="721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796EA9">
              <w:rPr>
                <w:b/>
                <w:bCs/>
                <w:kern w:val="0"/>
                <w:sz w:val="22"/>
                <w:szCs w:val="22"/>
              </w:rPr>
              <w:t>134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snapToGrid w:val="0"/>
              <w:ind w:left="721" w:rightChars="50" w:right="170" w:hangingChars="300" w:hanging="721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796EA9">
              <w:rPr>
                <w:b/>
                <w:bCs/>
                <w:kern w:val="0"/>
                <w:sz w:val="22"/>
                <w:szCs w:val="22"/>
              </w:rPr>
              <w:t>157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snapToGrid w:val="0"/>
              <w:ind w:left="721" w:rightChars="50" w:right="170" w:hangingChars="300" w:hanging="721"/>
              <w:jc w:val="right"/>
              <w:rPr>
                <w:b/>
                <w:bCs/>
                <w:kern w:val="0"/>
                <w:sz w:val="22"/>
                <w:szCs w:val="22"/>
              </w:rPr>
            </w:pPr>
            <w:r w:rsidRPr="00796EA9">
              <w:rPr>
                <w:b/>
                <w:bCs/>
                <w:kern w:val="0"/>
                <w:sz w:val="22"/>
                <w:szCs w:val="22"/>
              </w:rPr>
              <w:t>105</w:t>
            </w:r>
          </w:p>
        </w:tc>
      </w:tr>
      <w:tr w:rsidR="00796EA9" w:rsidRPr="00796EA9" w:rsidTr="0062723D">
        <w:trPr>
          <w:trHeight w:val="283"/>
          <w:jc w:val="center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kern w:val="0"/>
                <w:sz w:val="22"/>
                <w:szCs w:val="22"/>
              </w:rPr>
              <w:t>亞太地區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138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118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114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129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51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66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67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118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68</w:t>
            </w:r>
          </w:p>
        </w:tc>
      </w:tr>
      <w:tr w:rsidR="00796EA9" w:rsidRPr="00796EA9" w:rsidTr="0062723D">
        <w:trPr>
          <w:trHeight w:val="283"/>
          <w:jc w:val="center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kern w:val="0"/>
                <w:sz w:val="22"/>
                <w:szCs w:val="22"/>
              </w:rPr>
              <w:t>歐洲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22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19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34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19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17</w:t>
            </w:r>
          </w:p>
        </w:tc>
      </w:tr>
      <w:tr w:rsidR="00796EA9" w:rsidRPr="00796EA9" w:rsidTr="0062723D">
        <w:trPr>
          <w:trHeight w:val="283"/>
          <w:jc w:val="center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kern w:val="0"/>
                <w:sz w:val="22"/>
                <w:szCs w:val="22"/>
              </w:rPr>
              <w:t>北美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17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18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24</w:t>
            </w:r>
          </w:p>
        </w:tc>
      </w:tr>
      <w:tr w:rsidR="00796EA9" w:rsidRPr="00796EA9" w:rsidTr="0062723D">
        <w:trPr>
          <w:trHeight w:val="283"/>
          <w:jc w:val="center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kern w:val="0"/>
                <w:sz w:val="22"/>
                <w:szCs w:val="22"/>
              </w:rPr>
              <w:t>中東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3</w:t>
            </w:r>
          </w:p>
        </w:tc>
      </w:tr>
      <w:tr w:rsidR="00796EA9" w:rsidRPr="00796EA9" w:rsidTr="0062723D">
        <w:trPr>
          <w:trHeight w:val="283"/>
          <w:jc w:val="center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kern w:val="0"/>
                <w:sz w:val="22"/>
                <w:szCs w:val="22"/>
              </w:rPr>
              <w:t>拉丁美洲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1</w:t>
            </w:r>
          </w:p>
        </w:tc>
      </w:tr>
      <w:tr w:rsidR="00796EA9" w:rsidRPr="00796EA9" w:rsidTr="0062723D">
        <w:trPr>
          <w:trHeight w:val="283"/>
          <w:jc w:val="center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rPr>
                <w:rFonts w:hAnsi="標楷體"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kern w:val="0"/>
                <w:sz w:val="22"/>
                <w:szCs w:val="22"/>
              </w:rPr>
              <w:t>非洲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kern w:val="0"/>
                <w:sz w:val="22"/>
                <w:szCs w:val="22"/>
              </w:rPr>
            </w:pPr>
            <w:r w:rsidRPr="00796EA9">
              <w:rPr>
                <w:kern w:val="0"/>
                <w:sz w:val="22"/>
                <w:szCs w:val="22"/>
              </w:rPr>
              <w:t>2</w:t>
            </w:r>
          </w:p>
        </w:tc>
      </w:tr>
      <w:tr w:rsidR="00796EA9" w:rsidRPr="00796EA9" w:rsidTr="0062723D">
        <w:trPr>
          <w:trHeight w:val="283"/>
          <w:jc w:val="center"/>
        </w:trPr>
        <w:tc>
          <w:tcPr>
            <w:tcW w:w="1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23D" w:rsidRPr="00796EA9" w:rsidRDefault="0062723D" w:rsidP="00CC4D8D">
            <w:pPr>
              <w:widowControl/>
              <w:spacing w:line="240" w:lineRule="exact"/>
              <w:jc w:val="center"/>
              <w:rPr>
                <w:rFonts w:hAnsi="標楷體"/>
                <w:b/>
                <w:kern w:val="0"/>
                <w:sz w:val="22"/>
                <w:szCs w:val="22"/>
              </w:rPr>
            </w:pPr>
            <w:r w:rsidRPr="00796EA9">
              <w:rPr>
                <w:rFonts w:hAnsi="標楷體"/>
                <w:b/>
                <w:kern w:val="0"/>
                <w:sz w:val="22"/>
                <w:szCs w:val="22"/>
              </w:rPr>
              <w:t>轉機比率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b/>
                <w:kern w:val="0"/>
                <w:sz w:val="22"/>
                <w:szCs w:val="22"/>
              </w:rPr>
            </w:pPr>
            <w:r w:rsidRPr="00796EA9">
              <w:rPr>
                <w:b/>
                <w:kern w:val="0"/>
                <w:sz w:val="22"/>
                <w:szCs w:val="22"/>
              </w:rPr>
              <w:t>11.87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b/>
                <w:kern w:val="0"/>
                <w:sz w:val="22"/>
                <w:szCs w:val="22"/>
              </w:rPr>
            </w:pPr>
            <w:r w:rsidRPr="00796EA9">
              <w:rPr>
                <w:b/>
                <w:kern w:val="0"/>
                <w:sz w:val="22"/>
                <w:szCs w:val="22"/>
              </w:rPr>
              <w:t>29.9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b/>
                <w:kern w:val="0"/>
                <w:sz w:val="22"/>
                <w:szCs w:val="22"/>
              </w:rPr>
            </w:pPr>
            <w:r w:rsidRPr="00796EA9">
              <w:rPr>
                <w:b/>
                <w:kern w:val="0"/>
                <w:sz w:val="22"/>
                <w:szCs w:val="22"/>
              </w:rPr>
              <w:t>23.5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b/>
                <w:kern w:val="0"/>
                <w:sz w:val="22"/>
                <w:szCs w:val="22"/>
              </w:rPr>
            </w:pPr>
            <w:r w:rsidRPr="00796EA9">
              <w:rPr>
                <w:b/>
                <w:kern w:val="0"/>
                <w:sz w:val="22"/>
                <w:szCs w:val="22"/>
              </w:rPr>
              <w:t>26.2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b/>
                <w:kern w:val="0"/>
                <w:sz w:val="22"/>
                <w:szCs w:val="22"/>
              </w:rPr>
            </w:pPr>
            <w:r w:rsidRPr="00796EA9">
              <w:rPr>
                <w:b/>
                <w:kern w:val="0"/>
                <w:sz w:val="22"/>
                <w:szCs w:val="22"/>
              </w:rPr>
              <w:t>12.8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b/>
                <w:kern w:val="0"/>
                <w:sz w:val="22"/>
                <w:szCs w:val="22"/>
              </w:rPr>
            </w:pPr>
            <w:r w:rsidRPr="00796EA9">
              <w:rPr>
                <w:b/>
                <w:kern w:val="0"/>
                <w:sz w:val="22"/>
                <w:szCs w:val="22"/>
              </w:rPr>
              <w:t>14.1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b/>
                <w:kern w:val="0"/>
                <w:sz w:val="22"/>
                <w:szCs w:val="22"/>
              </w:rPr>
            </w:pPr>
            <w:r w:rsidRPr="00796EA9">
              <w:rPr>
                <w:b/>
                <w:kern w:val="0"/>
                <w:sz w:val="22"/>
                <w:szCs w:val="22"/>
              </w:rPr>
              <w:t>11.5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b/>
                <w:kern w:val="0"/>
                <w:sz w:val="22"/>
                <w:szCs w:val="22"/>
              </w:rPr>
            </w:pPr>
            <w:r w:rsidRPr="00796EA9">
              <w:rPr>
                <w:b/>
                <w:kern w:val="0"/>
                <w:sz w:val="22"/>
                <w:szCs w:val="22"/>
              </w:rPr>
              <w:t>13.8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23D" w:rsidRPr="00796EA9" w:rsidRDefault="0062723D" w:rsidP="0062723D">
            <w:pPr>
              <w:widowControl/>
              <w:snapToGrid w:val="0"/>
              <w:ind w:rightChars="50" w:right="170"/>
              <w:jc w:val="right"/>
              <w:rPr>
                <w:b/>
                <w:kern w:val="0"/>
                <w:sz w:val="22"/>
                <w:szCs w:val="22"/>
              </w:rPr>
            </w:pPr>
            <w:r w:rsidRPr="00796EA9">
              <w:rPr>
                <w:b/>
                <w:kern w:val="0"/>
                <w:sz w:val="22"/>
                <w:szCs w:val="22"/>
              </w:rPr>
              <w:t>18.4</w:t>
            </w:r>
          </w:p>
        </w:tc>
      </w:tr>
    </w:tbl>
    <w:p w:rsidR="0062723D" w:rsidRPr="00796EA9" w:rsidRDefault="0062723D" w:rsidP="00C105EF">
      <w:pPr>
        <w:spacing w:line="240" w:lineRule="exact"/>
        <w:ind w:leftChars="-254" w:left="-362" w:hangingChars="193" w:hanging="502"/>
        <w:rPr>
          <w:rFonts w:hAnsi="標楷體"/>
          <w:bCs/>
          <w:kern w:val="0"/>
          <w:sz w:val="24"/>
          <w:szCs w:val="24"/>
        </w:rPr>
      </w:pPr>
      <w:proofErr w:type="gramStart"/>
      <w:r w:rsidRPr="00796EA9">
        <w:rPr>
          <w:rFonts w:hAnsi="標楷體"/>
          <w:bCs/>
          <w:kern w:val="0"/>
          <w:sz w:val="24"/>
          <w:szCs w:val="24"/>
        </w:rPr>
        <w:t>註</w:t>
      </w:r>
      <w:proofErr w:type="gramEnd"/>
      <w:r w:rsidRPr="00796EA9">
        <w:rPr>
          <w:rFonts w:hAnsi="標楷體"/>
          <w:bCs/>
          <w:kern w:val="0"/>
          <w:sz w:val="24"/>
          <w:szCs w:val="24"/>
        </w:rPr>
        <w:t>：桃園機場資料為106年底，其他國際機場航點資料更新</w:t>
      </w:r>
      <w:r w:rsidR="00C105EF" w:rsidRPr="00796EA9">
        <w:rPr>
          <w:rFonts w:hAnsi="標楷體" w:hint="eastAsia"/>
          <w:bCs/>
          <w:kern w:val="0"/>
          <w:sz w:val="24"/>
          <w:szCs w:val="24"/>
        </w:rPr>
        <w:t>至</w:t>
      </w:r>
      <w:r w:rsidRPr="00796EA9">
        <w:rPr>
          <w:rFonts w:hAnsi="標楷體"/>
          <w:bCs/>
          <w:kern w:val="0"/>
          <w:sz w:val="24"/>
          <w:szCs w:val="24"/>
        </w:rPr>
        <w:t>2018年OAG 8月航班資訊，其他機場轉機資料為106年資料。</w:t>
      </w:r>
    </w:p>
    <w:p w:rsidR="0062723D" w:rsidRPr="00796EA9" w:rsidRDefault="0062723D" w:rsidP="00C105EF">
      <w:pPr>
        <w:spacing w:line="240" w:lineRule="exact"/>
        <w:ind w:leftChars="-259" w:left="-881"/>
        <w:rPr>
          <w:rFonts w:hAnsi="標楷體"/>
          <w:bCs/>
          <w:kern w:val="0"/>
          <w:sz w:val="24"/>
          <w:szCs w:val="24"/>
        </w:rPr>
      </w:pPr>
      <w:r w:rsidRPr="00796EA9">
        <w:rPr>
          <w:rFonts w:hAnsi="標楷體"/>
          <w:bCs/>
          <w:kern w:val="0"/>
          <w:sz w:val="24"/>
          <w:szCs w:val="24"/>
        </w:rPr>
        <w:t>資料來源：</w:t>
      </w:r>
      <w:r w:rsidRPr="00796EA9">
        <w:rPr>
          <w:rFonts w:hAnsi="標楷體" w:hint="eastAsia"/>
          <w:bCs/>
          <w:kern w:val="0"/>
          <w:sz w:val="24"/>
          <w:szCs w:val="24"/>
        </w:rPr>
        <w:t>交通部</w:t>
      </w:r>
      <w:r w:rsidRPr="00796EA9">
        <w:rPr>
          <w:rFonts w:hAnsi="標楷體"/>
          <w:bCs/>
          <w:kern w:val="0"/>
          <w:sz w:val="24"/>
          <w:szCs w:val="24"/>
        </w:rPr>
        <w:t>。</w:t>
      </w:r>
    </w:p>
    <w:p w:rsidR="00994270" w:rsidRPr="00796EA9" w:rsidRDefault="00994270" w:rsidP="00994270">
      <w:pPr>
        <w:pStyle w:val="2"/>
        <w:numPr>
          <w:ilvl w:val="0"/>
          <w:numId w:val="0"/>
        </w:numPr>
        <w:ind w:left="1021"/>
        <w:rPr>
          <w:rFonts w:hAnsi="標楷體"/>
        </w:rPr>
      </w:pPr>
    </w:p>
    <w:p w:rsidR="00633E2D" w:rsidRPr="00796EA9" w:rsidRDefault="00994270" w:rsidP="00994270">
      <w:pPr>
        <w:pStyle w:val="3"/>
        <w:numPr>
          <w:ilvl w:val="2"/>
          <w:numId w:val="1"/>
        </w:numPr>
        <w:rPr>
          <w:rFonts w:hAnsi="標楷體"/>
        </w:rPr>
      </w:pPr>
      <w:proofErr w:type="gramStart"/>
      <w:r w:rsidRPr="00796EA9">
        <w:rPr>
          <w:rFonts w:hAnsi="標楷體"/>
        </w:rPr>
        <w:t>桃機公司</w:t>
      </w:r>
      <w:proofErr w:type="gramEnd"/>
      <w:r w:rsidRPr="00796EA9">
        <w:rPr>
          <w:rFonts w:hAnsi="標楷體"/>
        </w:rPr>
        <w:t>提出根據臺灣桃園國際機場園區實施二版之航空運量預測發展，預計131年轉機旅客占總旅客比率目標值約為22％，期間轉機比率預測為109年15％、119年18％、131年22％。</w:t>
      </w:r>
      <w:proofErr w:type="gramStart"/>
      <w:r w:rsidRPr="00796EA9">
        <w:rPr>
          <w:rFonts w:hAnsi="標楷體" w:hint="eastAsia"/>
          <w:bCs w:val="0"/>
          <w:szCs w:val="20"/>
        </w:rPr>
        <w:t>然而</w:t>
      </w:r>
      <w:r w:rsidRPr="00796EA9">
        <w:rPr>
          <w:rFonts w:hAnsi="標楷體"/>
        </w:rPr>
        <w:t>桃機公司</w:t>
      </w:r>
      <w:proofErr w:type="gramEnd"/>
      <w:r w:rsidRPr="00796EA9">
        <w:rPr>
          <w:rFonts w:hAnsi="標楷體"/>
        </w:rPr>
        <w:t>相關旅客航運資料統計僅包括桃園機場國際航線、兩岸航線、出境及入境（轉機）、過境等總旅客人數，並未收集統計各航班客運量、入境航班之過境/轉機旅客資訊、出境航班之過境/轉機旅客資訊等資</w:t>
      </w:r>
      <w:r w:rsidRPr="00796EA9">
        <w:rPr>
          <w:rFonts w:hAnsi="標楷體"/>
        </w:rPr>
        <w:lastRenderedPageBreak/>
        <w:t>料，致無法進一步</w:t>
      </w:r>
      <w:proofErr w:type="gramStart"/>
      <w:r w:rsidRPr="00796EA9">
        <w:rPr>
          <w:rFonts w:hAnsi="標楷體"/>
        </w:rPr>
        <w:t>研析具</w:t>
      </w:r>
      <w:proofErr w:type="gramEnd"/>
      <w:r w:rsidRPr="00796EA9">
        <w:rPr>
          <w:rFonts w:hAnsi="標楷體"/>
        </w:rPr>
        <w:t>開發潛力之轉機航線，</w:t>
      </w:r>
      <w:proofErr w:type="gramStart"/>
      <w:r w:rsidRPr="00796EA9">
        <w:rPr>
          <w:rFonts w:hAnsi="標楷體"/>
        </w:rPr>
        <w:t>俾</w:t>
      </w:r>
      <w:proofErr w:type="gramEnd"/>
      <w:r w:rsidRPr="00796EA9">
        <w:rPr>
          <w:rFonts w:hAnsi="標楷體"/>
        </w:rPr>
        <w:t>即時推動航空業者開闢轉機航線，提升轉機旅客比率。</w:t>
      </w:r>
    </w:p>
    <w:p w:rsidR="00994270" w:rsidRPr="00796EA9" w:rsidRDefault="00994270" w:rsidP="00994270">
      <w:pPr>
        <w:pStyle w:val="3"/>
        <w:numPr>
          <w:ilvl w:val="2"/>
          <w:numId w:val="1"/>
        </w:numPr>
        <w:rPr>
          <w:rFonts w:hAnsi="標楷體"/>
        </w:rPr>
      </w:pPr>
      <w:r w:rsidRPr="00796EA9">
        <w:rPr>
          <w:rFonts w:hAnsi="標楷體"/>
        </w:rPr>
        <w:t>綜上，</w:t>
      </w:r>
      <w:r w:rsidRPr="00796EA9">
        <w:rPr>
          <w:rFonts w:hAnsi="標楷體" w:hint="eastAsia"/>
        </w:rPr>
        <w:t>桃園機場</w:t>
      </w:r>
      <w:r w:rsidRPr="00796EA9">
        <w:rPr>
          <w:rFonts w:hAnsi="標楷體"/>
        </w:rPr>
        <w:t>轉機旅客比率成長</w:t>
      </w:r>
      <w:proofErr w:type="gramStart"/>
      <w:r w:rsidRPr="00796EA9">
        <w:rPr>
          <w:rFonts w:hAnsi="標楷體"/>
        </w:rPr>
        <w:t>遲滯</w:t>
      </w:r>
      <w:r w:rsidRPr="00796EA9">
        <w:rPr>
          <w:rFonts w:hAnsi="標楷體" w:hint="eastAsia"/>
        </w:rPr>
        <w:t>，</w:t>
      </w:r>
      <w:r w:rsidRPr="00796EA9">
        <w:rPr>
          <w:rFonts w:hAnsi="標楷體"/>
        </w:rPr>
        <w:t>桃機</w:t>
      </w:r>
      <w:proofErr w:type="gramEnd"/>
      <w:r w:rsidRPr="00796EA9">
        <w:rPr>
          <w:rFonts w:hAnsi="標楷體"/>
        </w:rPr>
        <w:t>公司允宜確實檢討原因，妥擬相關因應措施，</w:t>
      </w:r>
      <w:r w:rsidRPr="00796EA9">
        <w:rPr>
          <w:rFonts w:hAnsi="標楷體" w:hint="eastAsia"/>
        </w:rPr>
        <w:t>並</w:t>
      </w:r>
      <w:r w:rsidRPr="00796EA9">
        <w:rPr>
          <w:rFonts w:hAnsi="標楷體"/>
        </w:rPr>
        <w:t>積極收集分析旅客航運相關資料，作為推動開發轉機航線</w:t>
      </w:r>
      <w:proofErr w:type="gramStart"/>
      <w:r w:rsidRPr="00796EA9">
        <w:rPr>
          <w:rFonts w:hAnsi="標楷體"/>
        </w:rPr>
        <w:t>之參據</w:t>
      </w:r>
      <w:proofErr w:type="gramEnd"/>
      <w:r w:rsidRPr="00796EA9">
        <w:rPr>
          <w:rFonts w:hAnsi="標楷體"/>
        </w:rPr>
        <w:t>，以提升轉機旅客人數及</w:t>
      </w:r>
      <w:r w:rsidR="00780793" w:rsidRPr="00796EA9">
        <w:rPr>
          <w:rFonts w:hAnsi="標楷體" w:hint="eastAsia"/>
        </w:rPr>
        <w:t>占</w:t>
      </w:r>
      <w:r w:rsidRPr="00796EA9">
        <w:rPr>
          <w:rFonts w:hAnsi="標楷體"/>
        </w:rPr>
        <w:t>比。</w:t>
      </w:r>
    </w:p>
    <w:p w:rsidR="00E25849" w:rsidRPr="00B85635" w:rsidRDefault="00E25849" w:rsidP="00994270">
      <w:pPr>
        <w:pStyle w:val="1"/>
        <w:ind w:left="2380" w:hanging="2380"/>
        <w:rPr>
          <w:rFonts w:hAnsi="標楷體"/>
          <w:b/>
        </w:rPr>
      </w:pPr>
      <w:r w:rsidRPr="00796EA9">
        <w:rPr>
          <w:rFonts w:hAnsi="標楷體"/>
        </w:rPr>
        <w:br w:type="page"/>
      </w:r>
      <w:bookmarkStart w:id="60" w:name="_Toc529222689"/>
      <w:bookmarkStart w:id="61" w:name="_Toc529223111"/>
      <w:bookmarkStart w:id="62" w:name="_Toc529223862"/>
      <w:bookmarkStart w:id="63" w:name="_Toc529228265"/>
      <w:bookmarkStart w:id="64" w:name="_Toc2400395"/>
      <w:bookmarkStart w:id="65" w:name="_Toc4316189"/>
      <w:bookmarkStart w:id="66" w:name="_Toc4473330"/>
      <w:bookmarkStart w:id="67" w:name="_Toc69556897"/>
      <w:bookmarkStart w:id="68" w:name="_Toc69556946"/>
      <w:bookmarkStart w:id="69" w:name="_Toc69609820"/>
      <w:bookmarkStart w:id="70" w:name="_Toc70241816"/>
      <w:bookmarkStart w:id="71" w:name="_Toc70242205"/>
      <w:bookmarkStart w:id="72" w:name="_Toc421794875"/>
      <w:bookmarkStart w:id="73" w:name="_Toc422834160"/>
      <w:r w:rsidRPr="00B85635">
        <w:rPr>
          <w:rFonts w:hAnsi="標楷體"/>
          <w:b/>
        </w:rPr>
        <w:lastRenderedPageBreak/>
        <w:t>處理辦法：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FB7770" w:rsidRPr="00796EA9" w:rsidRDefault="00FB7770" w:rsidP="00FB7770">
      <w:pPr>
        <w:pStyle w:val="2"/>
        <w:rPr>
          <w:rFonts w:hAnsi="標楷體"/>
        </w:rPr>
      </w:pPr>
      <w:bookmarkStart w:id="74" w:name="_Toc524895649"/>
      <w:bookmarkStart w:id="75" w:name="_Toc524896195"/>
      <w:bookmarkStart w:id="76" w:name="_Toc524896225"/>
      <w:bookmarkStart w:id="77" w:name="_Toc70241820"/>
      <w:bookmarkStart w:id="78" w:name="_Toc70242209"/>
      <w:bookmarkStart w:id="79" w:name="_Toc421794876"/>
      <w:bookmarkStart w:id="80" w:name="_Toc421795442"/>
      <w:bookmarkStart w:id="81" w:name="_Toc421796023"/>
      <w:bookmarkStart w:id="82" w:name="_Toc422728958"/>
      <w:bookmarkStart w:id="83" w:name="_Toc422834161"/>
      <w:bookmarkStart w:id="84" w:name="_Toc2400396"/>
      <w:bookmarkStart w:id="85" w:name="_Toc4316190"/>
      <w:bookmarkStart w:id="86" w:name="_Toc4473331"/>
      <w:bookmarkStart w:id="87" w:name="_Toc69556898"/>
      <w:bookmarkStart w:id="88" w:name="_Toc69556947"/>
      <w:bookmarkStart w:id="89" w:name="_Toc69609821"/>
      <w:bookmarkStart w:id="90" w:name="_Toc70241817"/>
      <w:bookmarkStart w:id="91" w:name="_Toc70242206"/>
      <w:bookmarkStart w:id="92" w:name="_Toc524902735"/>
      <w:bookmarkStart w:id="93" w:name="_Toc525066149"/>
      <w:bookmarkStart w:id="94" w:name="_Toc525070840"/>
      <w:bookmarkStart w:id="95" w:name="_Toc525938380"/>
      <w:bookmarkStart w:id="96" w:name="_Toc525939228"/>
      <w:bookmarkStart w:id="97" w:name="_Toc525939733"/>
      <w:bookmarkStart w:id="98" w:name="_Toc529218273"/>
      <w:bookmarkStart w:id="99" w:name="_Toc529222690"/>
      <w:bookmarkStart w:id="100" w:name="_Toc529223112"/>
      <w:bookmarkStart w:id="101" w:name="_Toc529223863"/>
      <w:bookmarkStart w:id="102" w:name="_Toc529228266"/>
      <w:bookmarkEnd w:id="74"/>
      <w:bookmarkEnd w:id="75"/>
      <w:bookmarkEnd w:id="76"/>
      <w:r w:rsidRPr="00796EA9">
        <w:rPr>
          <w:rFonts w:hAnsi="標楷體"/>
        </w:rPr>
        <w:t>調查意見，</w:t>
      </w:r>
      <w:bookmarkEnd w:id="77"/>
      <w:bookmarkEnd w:id="78"/>
      <w:bookmarkEnd w:id="79"/>
      <w:bookmarkEnd w:id="80"/>
      <w:bookmarkEnd w:id="81"/>
      <w:bookmarkEnd w:id="82"/>
      <w:bookmarkEnd w:id="83"/>
      <w:r w:rsidR="00720BAE" w:rsidRPr="00796EA9">
        <w:rPr>
          <w:rFonts w:hint="eastAsia"/>
        </w:rPr>
        <w:t>函請交通部督同所屬確實檢討改進</w:t>
      </w:r>
      <w:proofErr w:type="gramStart"/>
      <w:r w:rsidR="00720BAE" w:rsidRPr="00796EA9">
        <w:rPr>
          <w:rFonts w:hint="eastAsia"/>
        </w:rPr>
        <w:t>見復。</w:t>
      </w:r>
      <w:proofErr w:type="gramEnd"/>
    </w:p>
    <w:p w:rsidR="00FB7770" w:rsidRPr="00796EA9" w:rsidRDefault="00FB7770" w:rsidP="00F804D3">
      <w:pPr>
        <w:pStyle w:val="2"/>
        <w:rPr>
          <w:rFonts w:hAnsi="標楷體"/>
        </w:rPr>
      </w:pPr>
      <w:bookmarkStart w:id="103" w:name="_Toc70241819"/>
      <w:bookmarkStart w:id="104" w:name="_Toc70242208"/>
      <w:bookmarkStart w:id="105" w:name="_Toc421794878"/>
      <w:bookmarkStart w:id="106" w:name="_Toc421795444"/>
      <w:bookmarkStart w:id="107" w:name="_Toc421796025"/>
      <w:bookmarkStart w:id="108" w:name="_Toc422728960"/>
      <w:bookmarkStart w:id="109" w:name="_Toc422834163"/>
      <w:bookmarkStart w:id="110" w:name="_Toc70241818"/>
      <w:bookmarkStart w:id="111" w:name="_Toc70242207"/>
      <w:bookmarkStart w:id="112" w:name="_Toc69556899"/>
      <w:bookmarkStart w:id="113" w:name="_Toc69556948"/>
      <w:bookmarkStart w:id="114" w:name="_Toc69609822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Pr="00796EA9">
        <w:rPr>
          <w:rFonts w:hAnsi="標楷體"/>
        </w:rPr>
        <w:t>調查意見，函復審計部。</w:t>
      </w:r>
      <w:bookmarkEnd w:id="103"/>
      <w:bookmarkEnd w:id="104"/>
      <w:bookmarkEnd w:id="105"/>
      <w:bookmarkEnd w:id="106"/>
      <w:bookmarkEnd w:id="107"/>
      <w:bookmarkEnd w:id="108"/>
      <w:bookmarkEnd w:id="109"/>
    </w:p>
    <w:p w:rsidR="00E25849" w:rsidRPr="00796EA9" w:rsidRDefault="00E25849">
      <w:pPr>
        <w:pStyle w:val="2"/>
        <w:rPr>
          <w:rFonts w:hAnsi="標楷體"/>
        </w:rPr>
      </w:pPr>
      <w:bookmarkStart w:id="115" w:name="_Toc2400397"/>
      <w:bookmarkStart w:id="116" w:name="_Toc4316191"/>
      <w:bookmarkStart w:id="117" w:name="_Toc4473332"/>
      <w:bookmarkStart w:id="118" w:name="_Toc69556901"/>
      <w:bookmarkStart w:id="119" w:name="_Toc69556950"/>
      <w:bookmarkStart w:id="120" w:name="_Toc69609824"/>
      <w:bookmarkStart w:id="121" w:name="_Toc70241822"/>
      <w:bookmarkStart w:id="122" w:name="_Toc70242211"/>
      <w:bookmarkStart w:id="123" w:name="_Toc421794881"/>
      <w:bookmarkStart w:id="124" w:name="_Toc421795447"/>
      <w:bookmarkStart w:id="125" w:name="_Toc421796028"/>
      <w:bookmarkStart w:id="126" w:name="_Toc422728963"/>
      <w:bookmarkStart w:id="127" w:name="_Toc422834166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10"/>
      <w:bookmarkEnd w:id="111"/>
      <w:bookmarkEnd w:id="112"/>
      <w:bookmarkEnd w:id="113"/>
      <w:bookmarkEnd w:id="114"/>
      <w:r w:rsidRPr="00796EA9">
        <w:rPr>
          <w:rFonts w:hAnsi="標楷體"/>
        </w:rPr>
        <w:t>檢</w:t>
      </w:r>
      <w:proofErr w:type="gramStart"/>
      <w:r w:rsidRPr="00796EA9">
        <w:rPr>
          <w:rFonts w:hAnsi="標楷體"/>
        </w:rPr>
        <w:t>附派查函</w:t>
      </w:r>
      <w:proofErr w:type="gramEnd"/>
      <w:r w:rsidRPr="00796EA9">
        <w:rPr>
          <w:rFonts w:hAnsi="標楷體"/>
        </w:rPr>
        <w:t>及相關附件，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 w:rsidR="00720BAE" w:rsidRPr="00796EA9">
        <w:rPr>
          <w:rFonts w:hint="eastAsia"/>
        </w:rPr>
        <w:t>送請交通及採購委員會處理。</w:t>
      </w:r>
    </w:p>
    <w:p w:rsidR="00416721" w:rsidRPr="00D83707" w:rsidRDefault="00416721">
      <w:pPr>
        <w:widowControl/>
        <w:overflowPunct/>
        <w:autoSpaceDE/>
        <w:autoSpaceDN/>
        <w:jc w:val="left"/>
        <w:rPr>
          <w:rFonts w:hAnsi="標楷體"/>
          <w:bCs/>
          <w:kern w:val="0"/>
        </w:rPr>
      </w:pPr>
    </w:p>
    <w:sectPr w:rsidR="00416721" w:rsidRPr="00D83707" w:rsidSect="00C53E9C"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8A" w:rsidRDefault="00B96E8A">
      <w:r>
        <w:separator/>
      </w:r>
    </w:p>
  </w:endnote>
  <w:endnote w:type="continuationSeparator" w:id="0">
    <w:p w:rsidR="00B96E8A" w:rsidRDefault="00B9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7BA" w:rsidRDefault="009307BA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4459DC">
      <w:rPr>
        <w:rStyle w:val="ac"/>
        <w:noProof/>
        <w:sz w:val="24"/>
      </w:rPr>
      <w:t>23</w:t>
    </w:r>
    <w:r>
      <w:rPr>
        <w:rStyle w:val="ac"/>
        <w:sz w:val="24"/>
      </w:rPr>
      <w:fldChar w:fldCharType="end"/>
    </w:r>
  </w:p>
  <w:p w:rsidR="009307BA" w:rsidRDefault="009307BA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8A" w:rsidRDefault="00B96E8A">
      <w:r>
        <w:separator/>
      </w:r>
    </w:p>
  </w:footnote>
  <w:footnote w:type="continuationSeparator" w:id="0">
    <w:p w:rsidR="00B96E8A" w:rsidRDefault="00B96E8A">
      <w:r>
        <w:continuationSeparator/>
      </w:r>
    </w:p>
  </w:footnote>
  <w:footnote w:id="1">
    <w:p w:rsidR="009307BA" w:rsidRPr="00487ED4" w:rsidRDefault="009307BA" w:rsidP="002E53D9">
      <w:pPr>
        <w:pStyle w:val="afc"/>
        <w:ind w:left="209" w:hangingChars="95" w:hanging="209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審計部</w:t>
      </w:r>
      <w:r w:rsidRPr="00E07B6D">
        <w:rPr>
          <w:rFonts w:hint="eastAsia"/>
        </w:rPr>
        <w:t>106年11月20日</w:t>
      </w:r>
      <w:proofErr w:type="gramStart"/>
      <w:r w:rsidRPr="00E07B6D">
        <w:rPr>
          <w:rFonts w:hint="eastAsia"/>
        </w:rPr>
        <w:t>台審部交字</w:t>
      </w:r>
      <w:proofErr w:type="gramEnd"/>
      <w:r w:rsidRPr="00E07B6D">
        <w:rPr>
          <w:rFonts w:hint="eastAsia"/>
        </w:rPr>
        <w:t>第1060013806號</w:t>
      </w:r>
      <w:r>
        <w:rPr>
          <w:rFonts w:hint="eastAsia"/>
        </w:rPr>
        <w:t>函、交通部</w:t>
      </w:r>
      <w:proofErr w:type="gramStart"/>
      <w:r>
        <w:rPr>
          <w:rFonts w:hint="eastAsia"/>
        </w:rPr>
        <w:t>107年1月17日交航</w:t>
      </w:r>
      <w:proofErr w:type="gramEnd"/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)字第1069200114號函、</w:t>
      </w:r>
      <w:proofErr w:type="gramStart"/>
      <w:r>
        <w:rPr>
          <w:rFonts w:hint="eastAsia"/>
        </w:rPr>
        <w:t>107年7月27日交航</w:t>
      </w:r>
      <w:proofErr w:type="gramEnd"/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)字第1079200083號函，</w:t>
      </w:r>
      <w:r>
        <w:rPr>
          <w:rFonts w:hint="eastAsia"/>
          <w:spacing w:val="-8"/>
        </w:rPr>
        <w:t>及</w:t>
      </w:r>
      <w:r w:rsidRPr="00551485">
        <w:rPr>
          <w:rFonts w:hint="eastAsia"/>
          <w:spacing w:val="-8"/>
        </w:rPr>
        <w:t>相關附件、簡報、歷次書面說明、本院詢問筆錄及詢問</w:t>
      </w:r>
      <w:r>
        <w:rPr>
          <w:rFonts w:hint="eastAsia"/>
          <w:spacing w:val="-8"/>
        </w:rPr>
        <w:t>前</w:t>
      </w:r>
      <w:r w:rsidRPr="00551485">
        <w:rPr>
          <w:rFonts w:hint="eastAsia"/>
          <w:spacing w:val="-8"/>
        </w:rPr>
        <w:t>後補充查復資料。</w:t>
      </w:r>
      <w:r>
        <w:rPr>
          <w:rFonts w:hint="eastAsia"/>
        </w:rPr>
        <w:t>。</w:t>
      </w:r>
    </w:p>
  </w:footnote>
  <w:footnote w:id="2">
    <w:p w:rsidR="009307BA" w:rsidRPr="00D34ADF" w:rsidRDefault="009307BA" w:rsidP="00D378D6">
      <w:pPr>
        <w:pStyle w:val="aff1"/>
        <w:ind w:left="226" w:hanging="226"/>
      </w:pPr>
      <w:r>
        <w:rPr>
          <w:rStyle w:val="afe"/>
        </w:rPr>
        <w:footnoteRef/>
      </w:r>
      <w:r>
        <w:rPr>
          <w:rFonts w:hint="eastAsia"/>
        </w:rPr>
        <w:t xml:space="preserve"> </w:t>
      </w:r>
      <w:r w:rsidRPr="007F37DB">
        <w:rPr>
          <w:rFonts w:hAnsi="標楷體" w:hint="eastAsia"/>
          <w:sz w:val="20"/>
          <w:szCs w:val="20"/>
        </w:rPr>
        <w:t>「</w:t>
      </w:r>
      <w:r w:rsidRPr="007F37DB">
        <w:rPr>
          <w:rFonts w:hint="eastAsia"/>
          <w:sz w:val="20"/>
          <w:szCs w:val="20"/>
        </w:rPr>
        <w:t>臺灣桃園國際機場</w:t>
      </w:r>
      <w:r w:rsidRPr="00D34ADF">
        <w:rPr>
          <w:rFonts w:hint="eastAsia"/>
          <w:sz w:val="20"/>
          <w:szCs w:val="20"/>
        </w:rPr>
        <w:t>園區實施計畫</w:t>
      </w:r>
      <w:r w:rsidRPr="00D34ADF">
        <w:rPr>
          <w:rFonts w:hAnsi="標楷體" w:hint="eastAsia"/>
          <w:sz w:val="20"/>
          <w:szCs w:val="20"/>
        </w:rPr>
        <w:t>」第</w:t>
      </w:r>
      <w:r w:rsidRPr="00D34ADF">
        <w:rPr>
          <w:rFonts w:hint="eastAsia"/>
          <w:sz w:val="20"/>
          <w:szCs w:val="20"/>
        </w:rPr>
        <w:t>4章，「4.2.1桃園國際機場未來航空運量推估：一、綱要計畫未來航空運量推估結果」。</w:t>
      </w:r>
    </w:p>
  </w:footnote>
  <w:footnote w:id="3">
    <w:p w:rsidR="009307BA" w:rsidRPr="00D34ADF" w:rsidRDefault="009307BA" w:rsidP="00D378D6">
      <w:pPr>
        <w:pStyle w:val="aff1"/>
        <w:ind w:left="226" w:hanging="226"/>
      </w:pPr>
      <w:r w:rsidRPr="00D34ADF">
        <w:rPr>
          <w:rStyle w:val="afe"/>
        </w:rPr>
        <w:footnoteRef/>
      </w:r>
      <w:r w:rsidRPr="00D34ADF">
        <w:t xml:space="preserve"> </w:t>
      </w:r>
      <w:r w:rsidRPr="00D34ADF">
        <w:rPr>
          <w:rFonts w:hAnsi="標楷體" w:hint="eastAsia"/>
          <w:sz w:val="20"/>
          <w:szCs w:val="20"/>
        </w:rPr>
        <w:t>「</w:t>
      </w:r>
      <w:r w:rsidRPr="00D34ADF">
        <w:rPr>
          <w:rFonts w:hint="eastAsia"/>
          <w:sz w:val="20"/>
          <w:szCs w:val="20"/>
        </w:rPr>
        <w:t>臺灣桃園國際機場園區實施計畫</w:t>
      </w:r>
      <w:r w:rsidRPr="00D34ADF">
        <w:rPr>
          <w:rFonts w:hAnsi="標楷體" w:hint="eastAsia"/>
          <w:sz w:val="20"/>
          <w:szCs w:val="20"/>
        </w:rPr>
        <w:t>」</w:t>
      </w:r>
      <w:r w:rsidRPr="00D34ADF">
        <w:rPr>
          <w:rFonts w:hint="eastAsia"/>
          <w:sz w:val="20"/>
          <w:szCs w:val="20"/>
        </w:rPr>
        <w:t>第5章，「5.3.2第三航站區主航廈與登機廊廳</w:t>
      </w:r>
      <w:r w:rsidRPr="00D34ADF">
        <w:rPr>
          <w:rFonts w:hAnsi="標楷體" w:hint="eastAsia"/>
          <w:sz w:val="20"/>
          <w:szCs w:val="20"/>
        </w:rPr>
        <w:t>」</w:t>
      </w:r>
      <w:r w:rsidRPr="00D34ADF">
        <w:rPr>
          <w:rFonts w:hint="eastAsia"/>
          <w:sz w:val="20"/>
          <w:szCs w:val="20"/>
        </w:rPr>
        <w:t>。</w:t>
      </w:r>
    </w:p>
  </w:footnote>
  <w:footnote w:id="4">
    <w:p w:rsidR="009307BA" w:rsidRPr="00EA616A" w:rsidRDefault="009307BA" w:rsidP="006D53A0">
      <w:pPr>
        <w:pStyle w:val="afc"/>
        <w:ind w:left="181" w:hangingChars="82" w:hanging="181"/>
      </w:pPr>
      <w:r w:rsidRPr="00D34ADF">
        <w:rPr>
          <w:rStyle w:val="afe"/>
        </w:rPr>
        <w:footnoteRef/>
      </w:r>
      <w:r w:rsidRPr="00D34ADF">
        <w:t xml:space="preserve"> </w:t>
      </w:r>
      <w:proofErr w:type="gramStart"/>
      <w:r w:rsidRPr="00D34ADF">
        <w:rPr>
          <w:rFonts w:hint="eastAsia"/>
        </w:rPr>
        <w:t>107</w:t>
      </w:r>
      <w:proofErr w:type="gramEnd"/>
      <w:r w:rsidRPr="00D34ADF">
        <w:rPr>
          <w:rFonts w:hint="eastAsia"/>
        </w:rPr>
        <w:t>年度在建工程主要為WC滑行道遷建及</w:t>
      </w:r>
      <w:proofErr w:type="gramStart"/>
      <w:r w:rsidRPr="00D34ADF">
        <w:rPr>
          <w:rFonts w:hint="eastAsia"/>
        </w:rPr>
        <w:t>雙線化工程</w:t>
      </w:r>
      <w:proofErr w:type="gramEnd"/>
      <w:r w:rsidRPr="00D34ADF">
        <w:rPr>
          <w:rFonts w:hint="eastAsia"/>
        </w:rPr>
        <w:t>計畫、第三航站區建設計畫、第二航廈擴建工程、</w:t>
      </w:r>
      <w:proofErr w:type="gramStart"/>
      <w:r w:rsidRPr="00D34ADF">
        <w:rPr>
          <w:rFonts w:hint="eastAsia"/>
        </w:rPr>
        <w:t>空側設施</w:t>
      </w:r>
      <w:proofErr w:type="gramEnd"/>
      <w:r w:rsidRPr="00D34ADF">
        <w:rPr>
          <w:rFonts w:hint="eastAsia"/>
        </w:rPr>
        <w:t>全面強化工程。</w:t>
      </w:r>
    </w:p>
  </w:footnote>
  <w:footnote w:id="5">
    <w:p w:rsidR="009307BA" w:rsidRDefault="009307BA" w:rsidP="000233DC">
      <w:pPr>
        <w:pStyle w:val="afc"/>
        <w:ind w:left="559" w:hangingChars="254" w:hanging="559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>
        <w:rPr>
          <w:rFonts w:hint="eastAsia"/>
        </w:rPr>
        <w:t>道面整建</w:t>
      </w:r>
      <w:proofErr w:type="gramEnd"/>
      <w:r>
        <w:rPr>
          <w:rFonts w:hint="eastAsia"/>
        </w:rPr>
        <w:t>及助導航設施提升工程計畫：預算金額94.9億元，其中2.5億元由「民航事業作業基金」支應外，餘</w:t>
      </w:r>
      <w:proofErr w:type="gramStart"/>
      <w:r>
        <w:rPr>
          <w:rFonts w:hint="eastAsia"/>
        </w:rPr>
        <w:t>均由桃機</w:t>
      </w:r>
      <w:proofErr w:type="gramEnd"/>
      <w:r>
        <w:rPr>
          <w:rFonts w:hint="eastAsia"/>
        </w:rPr>
        <w:t>公司自有資金支應。</w:t>
      </w:r>
    </w:p>
    <w:p w:rsidR="009307BA" w:rsidRDefault="009307BA" w:rsidP="000233DC">
      <w:pPr>
        <w:pStyle w:val="afc"/>
        <w:ind w:leftChars="65" w:left="221"/>
      </w:pPr>
      <w:r>
        <w:rPr>
          <w:rFonts w:hint="eastAsia"/>
        </w:rPr>
        <w:t>2、第二航廈擴建工程建設計畫：預算金額23.0億元，</w:t>
      </w:r>
      <w:proofErr w:type="gramStart"/>
      <w:r>
        <w:rPr>
          <w:rFonts w:hint="eastAsia"/>
        </w:rPr>
        <w:t>桃機公司</w:t>
      </w:r>
      <w:proofErr w:type="gramEnd"/>
      <w:r>
        <w:rPr>
          <w:rFonts w:hint="eastAsia"/>
        </w:rPr>
        <w:t>自有資金支應。</w:t>
      </w:r>
    </w:p>
    <w:p w:rsidR="009307BA" w:rsidRDefault="009307BA" w:rsidP="000233DC">
      <w:pPr>
        <w:pStyle w:val="afc"/>
        <w:ind w:leftChars="65" w:left="221"/>
      </w:pPr>
      <w:r>
        <w:rPr>
          <w:rFonts w:hint="eastAsia"/>
        </w:rPr>
        <w:t>3、WC滑行道遷建及</w:t>
      </w:r>
      <w:proofErr w:type="gramStart"/>
      <w:r>
        <w:rPr>
          <w:rFonts w:hint="eastAsia"/>
        </w:rPr>
        <w:t>雙線化工程</w:t>
      </w:r>
      <w:proofErr w:type="gramEnd"/>
      <w:r>
        <w:rPr>
          <w:rFonts w:hint="eastAsia"/>
        </w:rPr>
        <w:t>建設計畫：預算金額36.1億元，</w:t>
      </w:r>
      <w:proofErr w:type="gramStart"/>
      <w:r>
        <w:rPr>
          <w:rFonts w:hint="eastAsia"/>
        </w:rPr>
        <w:t>桃機公司</w:t>
      </w:r>
      <w:proofErr w:type="gramEnd"/>
      <w:r>
        <w:rPr>
          <w:rFonts w:hint="eastAsia"/>
        </w:rPr>
        <w:t>自有資金支應。</w:t>
      </w:r>
    </w:p>
    <w:p w:rsidR="009307BA" w:rsidRPr="00D34ADF" w:rsidRDefault="009307BA" w:rsidP="000233DC">
      <w:pPr>
        <w:pStyle w:val="afc"/>
        <w:ind w:leftChars="65" w:left="221"/>
      </w:pPr>
      <w:r>
        <w:rPr>
          <w:rFonts w:hint="eastAsia"/>
        </w:rPr>
        <w:t>4、第三航站</w:t>
      </w:r>
      <w:r w:rsidRPr="00D34ADF">
        <w:rPr>
          <w:rFonts w:hint="eastAsia"/>
        </w:rPr>
        <w:t>區建設計畫：預算金額746.9億元。50％</w:t>
      </w:r>
      <w:proofErr w:type="gramStart"/>
      <w:r w:rsidRPr="00D34ADF">
        <w:rPr>
          <w:rFonts w:hint="eastAsia"/>
        </w:rPr>
        <w:t>桃機公司</w:t>
      </w:r>
      <w:proofErr w:type="gramEnd"/>
      <w:r w:rsidRPr="00D34ADF">
        <w:rPr>
          <w:rFonts w:hint="eastAsia"/>
        </w:rPr>
        <w:t>自有資金、50％舉借。</w:t>
      </w:r>
    </w:p>
    <w:p w:rsidR="009307BA" w:rsidRPr="00D34ADF" w:rsidRDefault="009307BA" w:rsidP="000233DC">
      <w:pPr>
        <w:pStyle w:val="afc"/>
        <w:ind w:leftChars="65" w:left="221"/>
      </w:pPr>
      <w:r w:rsidRPr="00D34ADF">
        <w:rPr>
          <w:rFonts w:hint="eastAsia"/>
        </w:rPr>
        <w:t>5、</w:t>
      </w:r>
      <w:proofErr w:type="gramStart"/>
      <w:r w:rsidRPr="00D34ADF">
        <w:rPr>
          <w:rFonts w:hint="eastAsia"/>
        </w:rPr>
        <w:t>空側設施</w:t>
      </w:r>
      <w:proofErr w:type="gramEnd"/>
      <w:r w:rsidRPr="00D34ADF">
        <w:rPr>
          <w:rFonts w:hint="eastAsia"/>
        </w:rPr>
        <w:t>全面強化工程計畫：預算金額30.3億元。</w:t>
      </w:r>
      <w:proofErr w:type="gramStart"/>
      <w:r w:rsidRPr="00D34ADF">
        <w:rPr>
          <w:rFonts w:hint="eastAsia"/>
        </w:rPr>
        <w:t>桃機公司</w:t>
      </w:r>
      <w:proofErr w:type="gramEnd"/>
      <w:r w:rsidRPr="00D34ADF">
        <w:rPr>
          <w:rFonts w:hint="eastAsia"/>
        </w:rPr>
        <w:t>自有資金支應。</w:t>
      </w:r>
    </w:p>
  </w:footnote>
  <w:footnote w:id="6">
    <w:p w:rsidR="009307BA" w:rsidRPr="00D34ADF" w:rsidRDefault="009307BA" w:rsidP="00D41A19">
      <w:pPr>
        <w:pStyle w:val="afc"/>
        <w:rPr>
          <w:rFonts w:ascii="Times New Roman"/>
        </w:rPr>
      </w:pPr>
      <w:r w:rsidRPr="00D34ADF">
        <w:rPr>
          <w:rStyle w:val="afe"/>
          <w:rFonts w:ascii="Times New Roman"/>
        </w:rPr>
        <w:footnoteRef/>
      </w:r>
      <w:r w:rsidRPr="00D34ADF">
        <w:rPr>
          <w:rFonts w:ascii="Times New Roman"/>
        </w:rPr>
        <w:t xml:space="preserve"> </w:t>
      </w:r>
      <w:r w:rsidRPr="00D34ADF">
        <w:rPr>
          <w:rFonts w:ascii="Times New Roman"/>
        </w:rPr>
        <w:t>資金缺口定義</w:t>
      </w:r>
      <w:r w:rsidRPr="00D34ADF">
        <w:rPr>
          <w:rFonts w:ascii="Times New Roman"/>
        </w:rPr>
        <w:t>=</w:t>
      </w:r>
      <w:r w:rsidRPr="00D34ADF">
        <w:rPr>
          <w:rFonts w:ascii="Times New Roman"/>
        </w:rPr>
        <w:t>營運活動現金流量</w:t>
      </w:r>
      <w:r w:rsidRPr="00D34ADF">
        <w:rPr>
          <w:rFonts w:ascii="Times New Roman"/>
        </w:rPr>
        <w:t>-</w:t>
      </w:r>
      <w:r w:rsidRPr="00D34ADF">
        <w:rPr>
          <w:rFonts w:ascii="Times New Roman"/>
        </w:rPr>
        <w:t>負債本息支出</w:t>
      </w:r>
      <w:r w:rsidRPr="00D34ADF">
        <w:rPr>
          <w:rFonts w:ascii="Times New Roman"/>
        </w:rPr>
        <w:t>-</w:t>
      </w:r>
      <w:r w:rsidRPr="00D34ADF">
        <w:rPr>
          <w:rFonts w:ascii="Times New Roman"/>
        </w:rPr>
        <w:t>盈餘分配</w:t>
      </w:r>
      <w:proofErr w:type="gramStart"/>
      <w:r w:rsidRPr="00D34ADF">
        <w:rPr>
          <w:rFonts w:ascii="Times New Roman"/>
        </w:rPr>
        <w:t>–</w:t>
      </w:r>
      <w:proofErr w:type="gramEnd"/>
      <w:r w:rsidRPr="00D34ADF">
        <w:rPr>
          <w:rFonts w:ascii="Times New Roman"/>
        </w:rPr>
        <w:t>資本支出。</w:t>
      </w:r>
    </w:p>
  </w:footnote>
  <w:footnote w:id="7">
    <w:p w:rsidR="009307BA" w:rsidRPr="00D34ADF" w:rsidRDefault="009307BA" w:rsidP="006D53A0">
      <w:pPr>
        <w:pStyle w:val="aff1"/>
        <w:ind w:left="250" w:hangingChars="96" w:hanging="250"/>
      </w:pPr>
      <w:r w:rsidRPr="00D34ADF">
        <w:rPr>
          <w:rStyle w:val="afe"/>
        </w:rPr>
        <w:footnoteRef/>
      </w:r>
      <w:r w:rsidRPr="00D34ADF">
        <w:rPr>
          <w:rFonts w:hint="eastAsia"/>
        </w:rPr>
        <w:t xml:space="preserve"> </w:t>
      </w:r>
      <w:r w:rsidRPr="00D34ADF">
        <w:rPr>
          <w:rFonts w:hint="eastAsia"/>
          <w:sz w:val="20"/>
          <w:szCs w:val="20"/>
        </w:rPr>
        <w:t>工程期程延宕原因包括1、配合重大建設計劃依既有用地可開發條件、用地取得時程、運量成長與對設施之需求進行檢討，據以核定調整年期。2、配合用地取得時程改變調整年期。3、第三航站區建設計畫，原計畫範疇內完工期程(工期33個月)並無達成可能性，故調整主體航廈工期為52個月。</w:t>
      </w:r>
    </w:p>
  </w:footnote>
  <w:footnote w:id="8">
    <w:p w:rsidR="009307BA" w:rsidRDefault="009307BA" w:rsidP="00703AB8">
      <w:pPr>
        <w:pStyle w:val="aff1"/>
        <w:ind w:left="226" w:hanging="226"/>
      </w:pPr>
      <w:r>
        <w:rPr>
          <w:rStyle w:val="afe"/>
        </w:rPr>
        <w:footnoteRef/>
      </w:r>
      <w:r>
        <w:rPr>
          <w:rFonts w:ascii="Times New Roman" w:hint="eastAsia"/>
          <w:bCs w:val="0"/>
          <w:noProof w:val="0"/>
          <w:kern w:val="2"/>
          <w:sz w:val="20"/>
          <w:szCs w:val="20"/>
        </w:rPr>
        <w:t xml:space="preserve"> 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近年資本支出計畫修正例如：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(1)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「第二航廈擴建工程」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103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年核定計畫總經費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20.47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億元、完工期程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106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年底；</w:t>
      </w:r>
      <w:proofErr w:type="gramStart"/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嗣</w:t>
      </w:r>
      <w:proofErr w:type="gramEnd"/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於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105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年核定修正計畫</w:t>
      </w:r>
      <w:proofErr w:type="gramStart"/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期程至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108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年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12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月</w:t>
      </w:r>
      <w:proofErr w:type="gramEnd"/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，修正總經費至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22.98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億元。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(2)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「臺灣桃園國際機場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WC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滑行道遷建及</w:t>
      </w:r>
      <w:proofErr w:type="gramStart"/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雙線化工程</w:t>
      </w:r>
      <w:proofErr w:type="gramEnd"/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計畫」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103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年核定計畫總經費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36.08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億元，完工期程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106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年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12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月；</w:t>
      </w:r>
      <w:proofErr w:type="gramStart"/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嗣</w:t>
      </w:r>
      <w:proofErr w:type="gramEnd"/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105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年修正完工期程延至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108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年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12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月。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(3)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「臺灣桃園國際機場</w:t>
      </w:r>
      <w:proofErr w:type="gramStart"/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道面整建</w:t>
      </w:r>
      <w:proofErr w:type="gramEnd"/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及助導航設施提升工程計畫」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99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年核定計畫總經費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107.42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萬元，完工期程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103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年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5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月；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102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年核定修正總經費為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104.46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億元，完工期程延至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104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年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12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月；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104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年第二次修正總經費為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94.91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億元，完工期程延至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106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年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7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月；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106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年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7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月第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3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次修正延後完工</w:t>
      </w:r>
      <w:proofErr w:type="gramStart"/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期程至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107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年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5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月</w:t>
      </w:r>
      <w:proofErr w:type="gramEnd"/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。</w:t>
      </w:r>
    </w:p>
  </w:footnote>
  <w:footnote w:id="9">
    <w:p w:rsidR="009307BA" w:rsidRDefault="009307BA" w:rsidP="00A3734E">
      <w:pPr>
        <w:pStyle w:val="aff1"/>
        <w:ind w:left="226" w:hanging="226"/>
      </w:pPr>
      <w:r>
        <w:rPr>
          <w:rStyle w:val="afe"/>
        </w:rPr>
        <w:footnoteRef/>
      </w:r>
      <w:r>
        <w:rPr>
          <w:rFonts w:hint="eastAsia"/>
        </w:rPr>
        <w:t xml:space="preserve"> </w:t>
      </w:r>
      <w:r w:rsidRPr="008A0D6F">
        <w:rPr>
          <w:rFonts w:hint="eastAsia"/>
          <w:sz w:val="20"/>
          <w:szCs w:val="20"/>
        </w:rPr>
        <w:t>「臺灣桃園國際機場第三航站區建設計畫」（104年核定版）第4章，主要工作項目階段性劃分為：前置作業、設計招標、設計階段、施工招標、施工階段。</w:t>
      </w:r>
    </w:p>
  </w:footnote>
  <w:footnote w:id="10">
    <w:p w:rsidR="009307BA" w:rsidRDefault="009307BA" w:rsidP="00A3734E">
      <w:pPr>
        <w:pStyle w:val="aff1"/>
        <w:ind w:left="226" w:hanging="226"/>
      </w:pPr>
      <w:r>
        <w:rPr>
          <w:rStyle w:val="afe"/>
        </w:rPr>
        <w:footnoteRef/>
      </w:r>
      <w:r>
        <w:rPr>
          <w:rFonts w:hint="eastAsia"/>
        </w:rPr>
        <w:t xml:space="preserve"> </w:t>
      </w:r>
      <w:r w:rsidRPr="008A0D6F">
        <w:rPr>
          <w:rFonts w:hint="eastAsia"/>
          <w:sz w:val="20"/>
          <w:szCs w:val="20"/>
        </w:rPr>
        <w:t>「臺灣桃園國際機場第三航站區建設計畫」（104年核定版）第4章，7個主要階段為：第一階段－埔心溪旁之迴轉道路工程；第二階段－W1及W2滑行道南滑行道橋；第三階段－W1及W2滑行道北滑行道橋；第四階段－多功能大樓初期開發、第二航廈團體報到設施、停機坪E；第五階段－第三航廈內側道路、停機坪F；第六階段－第三航廈外側道路、遠端停機坪F；第七階段－第三航廈及多功能大樓、停機坪G。該建設計畫聚焦第四至第七階段。</w:t>
      </w:r>
    </w:p>
  </w:footnote>
  <w:footnote w:id="11">
    <w:p w:rsidR="009307BA" w:rsidRDefault="009307BA" w:rsidP="00A3734E">
      <w:pPr>
        <w:pStyle w:val="aff1"/>
        <w:ind w:left="226" w:hanging="226"/>
      </w:pPr>
      <w:r>
        <w:rPr>
          <w:rStyle w:val="afe"/>
        </w:rPr>
        <w:footnoteRef/>
      </w:r>
      <w:r>
        <w:rPr>
          <w:rFonts w:hint="eastAsia"/>
        </w:rPr>
        <w:t xml:space="preserve"> </w:t>
      </w:r>
      <w:r w:rsidRPr="008A0D6F">
        <w:rPr>
          <w:rFonts w:hint="eastAsia"/>
          <w:sz w:val="20"/>
          <w:szCs w:val="20"/>
        </w:rPr>
        <w:t>「臺灣桃園國際機場第三航站區建設計畫」（104年核定版）第5章「期程與資源需求」。</w:t>
      </w:r>
    </w:p>
  </w:footnote>
  <w:footnote w:id="12">
    <w:p w:rsidR="009307BA" w:rsidRPr="001C1371" w:rsidRDefault="009307BA" w:rsidP="00A3734E">
      <w:pPr>
        <w:pStyle w:val="aff1"/>
        <w:wordWrap w:val="0"/>
        <w:ind w:left="226" w:hanging="226"/>
        <w:rPr>
          <w:rFonts w:ascii="Times New Roman"/>
          <w:bCs w:val="0"/>
          <w:noProof w:val="0"/>
          <w:kern w:val="2"/>
          <w:sz w:val="20"/>
          <w:szCs w:val="20"/>
        </w:rPr>
      </w:pPr>
      <w:r>
        <w:rPr>
          <w:rStyle w:val="afe"/>
        </w:rPr>
        <w:footnoteRef/>
      </w:r>
      <w:r>
        <w:rPr>
          <w:rFonts w:hint="eastAsia"/>
        </w:rPr>
        <w:t xml:space="preserve"> 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「臺灣桃園國際機場第三航站區建設計畫」第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28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頁「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 xml:space="preserve">1.3.1.5 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初期第三航廈之剩餘容量可因應第二</w:t>
      </w:r>
      <w:proofErr w:type="gramStart"/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航廈整建</w:t>
      </w:r>
      <w:proofErr w:type="gramEnd"/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需求」；以及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https://udn.com/news/story/7266/2659565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（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107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年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6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月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8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日）。</w:t>
      </w:r>
    </w:p>
  </w:footnote>
  <w:footnote w:id="13">
    <w:p w:rsidR="009307BA" w:rsidRDefault="009307BA" w:rsidP="00A3734E">
      <w:pPr>
        <w:pStyle w:val="aff1"/>
        <w:wordWrap w:val="0"/>
        <w:ind w:left="226" w:hanging="226"/>
      </w:pPr>
      <w:r>
        <w:rPr>
          <w:rStyle w:val="afe"/>
        </w:rPr>
        <w:footnoteRef/>
      </w:r>
      <w:r>
        <w:rPr>
          <w:rFonts w:hint="eastAsia"/>
        </w:rPr>
        <w:t xml:space="preserve"> </w:t>
      </w:r>
      <w:proofErr w:type="gramStart"/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參據交通部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07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年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7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月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3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日交航</w:t>
      </w:r>
      <w:proofErr w:type="gramEnd"/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(</w:t>
      </w:r>
      <w:proofErr w:type="gramStart"/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一</w:t>
      </w:r>
      <w:proofErr w:type="gramEnd"/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)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字第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1079200073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號函，以及</w:t>
      </w:r>
      <w:r w:rsidRPr="00736EDF">
        <w:rPr>
          <w:rFonts w:ascii="Times New Roman" w:hint="eastAsia"/>
          <w:bCs w:val="0"/>
          <w:noProof w:val="0"/>
          <w:kern w:val="2"/>
          <w:sz w:val="20"/>
          <w:szCs w:val="20"/>
        </w:rPr>
        <w:t>檢索自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http://www.cna.com.tw/news/ahel/201804280189-1.aspx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（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107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年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5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月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31</w:t>
      </w:r>
      <w:r w:rsidRPr="001C1371">
        <w:rPr>
          <w:rFonts w:ascii="Times New Roman" w:hint="eastAsia"/>
          <w:bCs w:val="0"/>
          <w:noProof w:val="0"/>
          <w:kern w:val="2"/>
          <w:sz w:val="20"/>
          <w:szCs w:val="20"/>
        </w:rPr>
        <w:t>日）。</w:t>
      </w:r>
    </w:p>
  </w:footnote>
  <w:footnote w:id="14">
    <w:p w:rsidR="009307BA" w:rsidRPr="001C1371" w:rsidRDefault="009307BA" w:rsidP="00A3734E">
      <w:pPr>
        <w:pStyle w:val="afc"/>
        <w:rPr>
          <w:rFonts w:ascii="Times New Roman"/>
        </w:rPr>
      </w:pPr>
      <w:r>
        <w:rPr>
          <w:rStyle w:val="afe"/>
        </w:rPr>
        <w:footnoteRef/>
      </w:r>
      <w:r>
        <w:rPr>
          <w:rFonts w:ascii="Times New Roman" w:hint="eastAsia"/>
        </w:rPr>
        <w:t xml:space="preserve"> </w:t>
      </w:r>
      <w:r w:rsidRPr="001C1371">
        <w:rPr>
          <w:rFonts w:ascii="Times New Roman"/>
        </w:rPr>
        <w:t>資料來源：</w:t>
      </w:r>
      <w:proofErr w:type="gramStart"/>
      <w:r w:rsidRPr="001C1371">
        <w:rPr>
          <w:rFonts w:ascii="Times New Roman"/>
        </w:rPr>
        <w:t>107</w:t>
      </w:r>
      <w:proofErr w:type="gramEnd"/>
      <w:r w:rsidRPr="001C1371">
        <w:rPr>
          <w:rFonts w:ascii="Times New Roman"/>
        </w:rPr>
        <w:t>年度及</w:t>
      </w:r>
      <w:proofErr w:type="gramStart"/>
      <w:r w:rsidRPr="001C1371">
        <w:rPr>
          <w:rFonts w:ascii="Times New Roman"/>
        </w:rPr>
        <w:t>108</w:t>
      </w:r>
      <w:proofErr w:type="gramEnd"/>
      <w:r w:rsidRPr="001C1371">
        <w:rPr>
          <w:rFonts w:ascii="Times New Roman"/>
        </w:rPr>
        <w:t>年度施政計畫先期作業目錄、園區實施計畫修正版</w:t>
      </w:r>
      <w:r w:rsidRPr="001C1371">
        <w:rPr>
          <w:rFonts w:ascii="Times New Roman"/>
        </w:rPr>
        <w:t>(</w:t>
      </w:r>
      <w:r w:rsidRPr="001C1371">
        <w:rPr>
          <w:rFonts w:ascii="Times New Roman"/>
        </w:rPr>
        <w:t>尚未核定</w:t>
      </w:r>
      <w:r w:rsidRPr="001C1371">
        <w:rPr>
          <w:rFonts w:ascii="Times New Roman"/>
        </w:rPr>
        <w:t>)</w:t>
      </w:r>
      <w:r>
        <w:rPr>
          <w:rFonts w:ascii="Times New Roman" w:hint="eastAsia"/>
        </w:rPr>
        <w:t>。</w:t>
      </w:r>
    </w:p>
  </w:footnote>
  <w:footnote w:id="15">
    <w:p w:rsidR="009307BA" w:rsidRPr="00D3552E" w:rsidRDefault="009307BA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Ansi="標楷體" w:hint="eastAsia"/>
        </w:rPr>
        <w:t>「</w:t>
      </w:r>
      <w:r w:rsidRPr="00D3552E">
        <w:rPr>
          <w:rFonts w:hAnsi="標楷體" w:hint="eastAsia"/>
        </w:rPr>
        <w:t>民航事業作業基金收支保管及運用辦法</w:t>
      </w:r>
      <w:r>
        <w:rPr>
          <w:rFonts w:hAnsi="標楷體" w:hint="eastAsia"/>
        </w:rPr>
        <w:t>」第6</w:t>
      </w:r>
      <w:r>
        <w:rPr>
          <w:rFonts w:hAnsi="標楷體" w:hint="eastAsia"/>
        </w:rPr>
        <w:t>條規定。</w:t>
      </w:r>
    </w:p>
  </w:footnote>
  <w:footnote w:id="16">
    <w:p w:rsidR="009307BA" w:rsidRPr="001A464F" w:rsidRDefault="009307BA" w:rsidP="002E53D9">
      <w:pPr>
        <w:pStyle w:val="afc"/>
        <w:ind w:left="284" w:hangingChars="129" w:hanging="284"/>
        <w:jc w:val="both"/>
        <w:rPr>
          <w:rFonts w:ascii="Times New Roman"/>
        </w:rPr>
      </w:pPr>
      <w:r w:rsidRPr="001A464F">
        <w:rPr>
          <w:rStyle w:val="afe"/>
          <w:rFonts w:ascii="Times New Roman"/>
        </w:rPr>
        <w:footnoteRef/>
      </w:r>
      <w:r w:rsidRPr="001A464F">
        <w:rPr>
          <w:rFonts w:ascii="Times New Roman"/>
        </w:rPr>
        <w:t xml:space="preserve"> </w:t>
      </w:r>
      <w:proofErr w:type="gramStart"/>
      <w:r w:rsidRPr="001A464F">
        <w:rPr>
          <w:rFonts w:ascii="Times New Roman"/>
        </w:rPr>
        <w:t>桃機公司</w:t>
      </w:r>
      <w:proofErr w:type="gramEnd"/>
      <w:r w:rsidRPr="001A464F">
        <w:rPr>
          <w:rFonts w:ascii="Times New Roman"/>
        </w:rPr>
        <w:t>之勞務收入屬於航空收入，其餘屬於非航空收入。勞務</w:t>
      </w:r>
      <w:r w:rsidRPr="00736EDF">
        <w:rPr>
          <w:rFonts w:ascii="Times New Roman"/>
        </w:rPr>
        <w:t>收入包含場站降落等費</w:t>
      </w:r>
      <w:r w:rsidRPr="00736EDF">
        <w:rPr>
          <w:rFonts w:ascii="Times New Roman" w:hint="eastAsia"/>
        </w:rPr>
        <w:t>用</w:t>
      </w:r>
      <w:r w:rsidRPr="00736EDF">
        <w:rPr>
          <w:rFonts w:ascii="Times New Roman"/>
        </w:rPr>
        <w:t>收入、航空站</w:t>
      </w:r>
      <w:proofErr w:type="gramStart"/>
      <w:r w:rsidRPr="00736EDF">
        <w:rPr>
          <w:rFonts w:ascii="Times New Roman"/>
        </w:rPr>
        <w:t>地勤業機坪</w:t>
      </w:r>
      <w:proofErr w:type="gramEnd"/>
      <w:r w:rsidRPr="00736EDF">
        <w:rPr>
          <w:rFonts w:ascii="Times New Roman"/>
        </w:rPr>
        <w:t>使用費收入、自辦航空站地勤業務機坪使用費收入、空</w:t>
      </w:r>
      <w:proofErr w:type="gramStart"/>
      <w:r w:rsidRPr="00736EDF">
        <w:rPr>
          <w:rFonts w:ascii="Times New Roman"/>
        </w:rPr>
        <w:t>廚業機</w:t>
      </w:r>
      <w:proofErr w:type="gramEnd"/>
      <w:r w:rsidRPr="00736EDF">
        <w:rPr>
          <w:rFonts w:ascii="Times New Roman"/>
        </w:rPr>
        <w:t>坪使用費收入、機場服務費收入、輸油設備使用費收入、停車費收</w:t>
      </w:r>
      <w:r w:rsidRPr="001A464F">
        <w:rPr>
          <w:rFonts w:ascii="Times New Roman"/>
        </w:rPr>
        <w:t>入。</w:t>
      </w:r>
      <w:r w:rsidRPr="001A464F">
        <w:rPr>
          <w:rFonts w:ascii="Times New Roman"/>
        </w:rPr>
        <w:tab/>
      </w:r>
      <w:r w:rsidRPr="001A464F">
        <w:rPr>
          <w:rFonts w:ascii="Times New Roman"/>
        </w:rPr>
        <w:t>其他營業收入包含土地租金收入、廠房租金收入、權利金收入、其他租賃收入。營業外收入包含賠償收入、</w:t>
      </w:r>
      <w:proofErr w:type="gramStart"/>
      <w:r w:rsidRPr="001A464F">
        <w:rPr>
          <w:rFonts w:ascii="Times New Roman"/>
        </w:rPr>
        <w:t>利息收入及什項</w:t>
      </w:r>
      <w:proofErr w:type="gramEnd"/>
      <w:r w:rsidRPr="001A464F">
        <w:rPr>
          <w:rFonts w:ascii="Times New Roman"/>
        </w:rPr>
        <w:t>收入。</w:t>
      </w:r>
    </w:p>
  </w:footnote>
  <w:footnote w:id="17">
    <w:p w:rsidR="009307BA" w:rsidRPr="001A464F" w:rsidRDefault="009307BA" w:rsidP="002E53D9">
      <w:pPr>
        <w:pStyle w:val="afc"/>
        <w:ind w:left="220" w:hangingChars="100" w:hanging="220"/>
        <w:jc w:val="both"/>
        <w:rPr>
          <w:rFonts w:ascii="Times New Roman"/>
        </w:rPr>
      </w:pPr>
      <w:r w:rsidRPr="001A464F">
        <w:rPr>
          <w:rStyle w:val="afe"/>
          <w:rFonts w:ascii="Times New Roman"/>
        </w:rPr>
        <w:footnoteRef/>
      </w:r>
      <w:r w:rsidRPr="001A464F">
        <w:rPr>
          <w:rFonts w:ascii="Times New Roman"/>
        </w:rPr>
        <w:t xml:space="preserve"> </w:t>
      </w:r>
      <w:r w:rsidRPr="001A464F">
        <w:rPr>
          <w:rFonts w:ascii="Times New Roman"/>
        </w:rPr>
        <w:t>由民航事業作業基金收取，不</w:t>
      </w:r>
      <w:proofErr w:type="gramStart"/>
      <w:r w:rsidRPr="001A464F">
        <w:rPr>
          <w:rFonts w:ascii="Times New Roman"/>
        </w:rPr>
        <w:t>列為桃機公司</w:t>
      </w:r>
      <w:proofErr w:type="gramEnd"/>
      <w:r w:rsidRPr="001A464F">
        <w:rPr>
          <w:rFonts w:ascii="Times New Roman"/>
        </w:rPr>
        <w:t>之收入。</w:t>
      </w:r>
    </w:p>
  </w:footnote>
  <w:footnote w:id="18">
    <w:p w:rsidR="009307BA" w:rsidRPr="001A464F" w:rsidRDefault="009307BA" w:rsidP="002E53D9">
      <w:pPr>
        <w:pStyle w:val="afc"/>
        <w:ind w:left="284" w:hangingChars="129" w:hanging="284"/>
        <w:jc w:val="both"/>
        <w:rPr>
          <w:rFonts w:ascii="Times New Roman"/>
        </w:rPr>
      </w:pPr>
      <w:r w:rsidRPr="001A464F">
        <w:rPr>
          <w:rStyle w:val="afe"/>
          <w:rFonts w:ascii="Times New Roman"/>
        </w:rPr>
        <w:footnoteRef/>
      </w:r>
      <w:r w:rsidRPr="001A464F">
        <w:rPr>
          <w:rFonts w:ascii="Times New Roman"/>
        </w:rPr>
        <w:t xml:space="preserve"> </w:t>
      </w:r>
      <w:r w:rsidRPr="001A464F">
        <w:rPr>
          <w:rFonts w:ascii="Times New Roman"/>
        </w:rPr>
        <w:t>「桃園國際機場股份有限公司經營機場專用區設施收費基準」修正並於</w:t>
      </w:r>
      <w:r w:rsidRPr="001A464F">
        <w:rPr>
          <w:rFonts w:ascii="Times New Roman"/>
        </w:rPr>
        <w:t>106</w:t>
      </w:r>
      <w:r w:rsidRPr="001A464F">
        <w:rPr>
          <w:rFonts w:ascii="Times New Roman"/>
        </w:rPr>
        <w:t>年</w:t>
      </w:r>
      <w:r w:rsidRPr="001A464F">
        <w:rPr>
          <w:rFonts w:ascii="Times New Roman"/>
        </w:rPr>
        <w:t>9</w:t>
      </w:r>
      <w:r w:rsidRPr="001A464F">
        <w:rPr>
          <w:rFonts w:ascii="Times New Roman"/>
        </w:rPr>
        <w:t>月</w:t>
      </w:r>
      <w:r w:rsidRPr="001A464F">
        <w:rPr>
          <w:rFonts w:ascii="Times New Roman"/>
        </w:rPr>
        <w:t>1</w:t>
      </w:r>
      <w:r w:rsidRPr="001A464F">
        <w:rPr>
          <w:rFonts w:ascii="Times New Roman"/>
        </w:rPr>
        <w:t>日起正式實施。</w:t>
      </w:r>
    </w:p>
  </w:footnote>
  <w:footnote w:id="19">
    <w:p w:rsidR="009307BA" w:rsidRPr="0072529B" w:rsidRDefault="009307BA" w:rsidP="00D34ADF">
      <w:pPr>
        <w:pStyle w:val="143"/>
        <w:wordWrap/>
        <w:ind w:leftChars="0" w:left="237" w:hangingChars="91" w:hanging="237"/>
        <w:rPr>
          <w:rFonts w:ascii="Times New Roman"/>
          <w:snapToGrid/>
          <w:sz w:val="20"/>
          <w:szCs w:val="20"/>
        </w:rPr>
      </w:pPr>
      <w:r>
        <w:rPr>
          <w:rStyle w:val="afe"/>
        </w:rPr>
        <w:footnoteRef/>
      </w:r>
      <w:r>
        <w:rPr>
          <w:rFonts w:hint="eastAsia"/>
        </w:rPr>
        <w:t xml:space="preserve"> </w:t>
      </w:r>
      <w:proofErr w:type="gramStart"/>
      <w:r w:rsidRPr="0072529B">
        <w:rPr>
          <w:rFonts w:ascii="Times New Roman" w:hint="eastAsia"/>
          <w:snapToGrid/>
          <w:sz w:val="20"/>
          <w:szCs w:val="20"/>
        </w:rPr>
        <w:t>據</w:t>
      </w:r>
      <w:r>
        <w:rPr>
          <w:rFonts w:ascii="Times New Roman" w:hint="eastAsia"/>
          <w:snapToGrid/>
          <w:sz w:val="20"/>
          <w:szCs w:val="20"/>
        </w:rPr>
        <w:t>桃</w:t>
      </w:r>
      <w:r w:rsidRPr="0072529B">
        <w:rPr>
          <w:rFonts w:ascii="Times New Roman" w:hint="eastAsia"/>
          <w:snapToGrid/>
          <w:sz w:val="20"/>
          <w:szCs w:val="20"/>
        </w:rPr>
        <w:t>機</w:t>
      </w:r>
      <w:proofErr w:type="gramEnd"/>
      <w:r w:rsidRPr="0072529B">
        <w:rPr>
          <w:rFonts w:ascii="Times New Roman" w:hint="eastAsia"/>
          <w:snapToGrid/>
          <w:sz w:val="20"/>
          <w:szCs w:val="20"/>
        </w:rPr>
        <w:t>公司</w:t>
      </w:r>
      <w:r w:rsidRPr="0072529B">
        <w:rPr>
          <w:rFonts w:ascii="Times New Roman" w:hint="eastAsia"/>
          <w:snapToGrid/>
          <w:sz w:val="20"/>
          <w:szCs w:val="20"/>
        </w:rPr>
        <w:t>106</w:t>
      </w:r>
      <w:r w:rsidRPr="0072529B">
        <w:rPr>
          <w:rFonts w:ascii="Times New Roman" w:hint="eastAsia"/>
          <w:snapToGrid/>
          <w:sz w:val="20"/>
          <w:szCs w:val="20"/>
        </w:rPr>
        <w:t>年</w:t>
      </w:r>
      <w:r w:rsidRPr="0072529B">
        <w:rPr>
          <w:rFonts w:ascii="Times New Roman" w:hint="eastAsia"/>
          <w:snapToGrid/>
          <w:sz w:val="20"/>
          <w:szCs w:val="20"/>
        </w:rPr>
        <w:t>9</w:t>
      </w:r>
      <w:r w:rsidRPr="0072529B">
        <w:rPr>
          <w:rFonts w:ascii="Times New Roman" w:hint="eastAsia"/>
          <w:snapToGrid/>
          <w:sz w:val="20"/>
          <w:szCs w:val="20"/>
        </w:rPr>
        <w:t>月間預估，如</w:t>
      </w:r>
      <w:proofErr w:type="gramStart"/>
      <w:r w:rsidRPr="0072529B">
        <w:rPr>
          <w:rFonts w:ascii="Times New Roman" w:hint="eastAsia"/>
          <w:snapToGrid/>
          <w:sz w:val="20"/>
          <w:szCs w:val="20"/>
        </w:rPr>
        <w:t>106</w:t>
      </w:r>
      <w:proofErr w:type="gramEnd"/>
      <w:r w:rsidRPr="0072529B">
        <w:rPr>
          <w:rFonts w:ascii="Times New Roman" w:hint="eastAsia"/>
          <w:snapToGrid/>
          <w:sz w:val="20"/>
          <w:szCs w:val="20"/>
        </w:rPr>
        <w:t>年度土地租金費率減少</w:t>
      </w:r>
      <w:r w:rsidRPr="0072529B">
        <w:rPr>
          <w:rFonts w:ascii="Times New Roman" w:hint="eastAsia"/>
          <w:snapToGrid/>
          <w:sz w:val="20"/>
          <w:szCs w:val="20"/>
        </w:rPr>
        <w:t>1</w:t>
      </w:r>
      <w:r>
        <w:rPr>
          <w:rFonts w:ascii="Times New Roman" w:hint="eastAsia"/>
          <w:snapToGrid/>
          <w:sz w:val="20"/>
          <w:szCs w:val="20"/>
        </w:rPr>
        <w:t>％</w:t>
      </w:r>
      <w:r w:rsidRPr="0072529B">
        <w:rPr>
          <w:rFonts w:ascii="Times New Roman" w:hint="eastAsia"/>
          <w:snapToGrid/>
          <w:sz w:val="20"/>
          <w:szCs w:val="20"/>
        </w:rPr>
        <w:t>，租金支出將減少將近</w:t>
      </w:r>
      <w:r w:rsidRPr="0072529B">
        <w:rPr>
          <w:rFonts w:ascii="Times New Roman" w:hint="eastAsia"/>
          <w:snapToGrid/>
          <w:sz w:val="20"/>
          <w:szCs w:val="20"/>
        </w:rPr>
        <w:t>6.75</w:t>
      </w:r>
      <w:r w:rsidRPr="0072529B">
        <w:rPr>
          <w:rFonts w:ascii="Times New Roman" w:hint="eastAsia"/>
          <w:snapToGrid/>
          <w:sz w:val="20"/>
          <w:szCs w:val="20"/>
        </w:rPr>
        <w:t>億元</w:t>
      </w:r>
      <w:r w:rsidRPr="0072529B">
        <w:rPr>
          <w:rFonts w:ascii="Times New Roman" w:hint="eastAsia"/>
          <w:snapToGrid/>
          <w:sz w:val="20"/>
          <w:szCs w:val="20"/>
        </w:rPr>
        <w:t>(</w:t>
      </w:r>
      <w:r w:rsidRPr="0072529B">
        <w:rPr>
          <w:rFonts w:ascii="Times New Roman" w:hint="eastAsia"/>
          <w:snapToGrid/>
          <w:sz w:val="20"/>
          <w:szCs w:val="20"/>
        </w:rPr>
        <w:t>未稅</w:t>
      </w:r>
      <w:r w:rsidRPr="0072529B">
        <w:rPr>
          <w:rFonts w:ascii="Times New Roman" w:hint="eastAsia"/>
          <w:snapToGrid/>
          <w:sz w:val="20"/>
          <w:szCs w:val="20"/>
        </w:rPr>
        <w:t>)</w:t>
      </w:r>
      <w:r w:rsidRPr="0072529B">
        <w:rPr>
          <w:rFonts w:ascii="Times New Roman" w:hint="eastAsia"/>
          <w:snapToGrid/>
          <w:sz w:val="20"/>
          <w:szCs w:val="20"/>
        </w:rPr>
        <w:t>。</w:t>
      </w:r>
    </w:p>
  </w:footnote>
  <w:footnote w:id="20">
    <w:p w:rsidR="009307BA" w:rsidRPr="0072529B" w:rsidRDefault="009307BA" w:rsidP="00D34ADF">
      <w:pPr>
        <w:pStyle w:val="143"/>
        <w:wordWrap/>
        <w:ind w:leftChars="0" w:left="237" w:hangingChars="91" w:hanging="237"/>
        <w:rPr>
          <w:rFonts w:ascii="Times New Roman"/>
          <w:snapToGrid/>
          <w:sz w:val="20"/>
          <w:szCs w:val="20"/>
        </w:rPr>
      </w:pPr>
      <w:r>
        <w:rPr>
          <w:rStyle w:val="afe"/>
        </w:rPr>
        <w:footnoteRef/>
      </w:r>
      <w:r>
        <w:rPr>
          <w:rFonts w:hint="eastAsia"/>
        </w:rPr>
        <w:t xml:space="preserve"> </w:t>
      </w:r>
      <w:r>
        <w:rPr>
          <w:rFonts w:hAnsi="標楷體" w:hint="eastAsia"/>
        </w:rPr>
        <w:t>「</w:t>
      </w:r>
      <w:r w:rsidRPr="0072529B">
        <w:rPr>
          <w:rFonts w:ascii="Times New Roman" w:hint="eastAsia"/>
          <w:snapToGrid/>
          <w:sz w:val="20"/>
          <w:szCs w:val="20"/>
        </w:rPr>
        <w:t>國營事業管理法</w:t>
      </w:r>
      <w:r>
        <w:rPr>
          <w:rFonts w:hAnsi="標楷體" w:hint="eastAsia"/>
        </w:rPr>
        <w:t>」</w:t>
      </w:r>
      <w:r w:rsidRPr="0072529B">
        <w:rPr>
          <w:rFonts w:ascii="Times New Roman" w:hint="eastAsia"/>
          <w:snapToGrid/>
          <w:sz w:val="20"/>
          <w:szCs w:val="20"/>
        </w:rPr>
        <w:t>第</w:t>
      </w:r>
      <w:r w:rsidRPr="0072529B">
        <w:rPr>
          <w:rFonts w:ascii="Times New Roman" w:hint="eastAsia"/>
          <w:snapToGrid/>
          <w:sz w:val="20"/>
          <w:szCs w:val="20"/>
        </w:rPr>
        <w:t>4</w:t>
      </w:r>
      <w:r w:rsidRPr="0072529B">
        <w:rPr>
          <w:rFonts w:ascii="Times New Roman" w:hint="eastAsia"/>
          <w:snapToGrid/>
          <w:sz w:val="20"/>
          <w:szCs w:val="20"/>
        </w:rPr>
        <w:t>條前段：「國營事業應依照企業方式經營，以事業養事業，以事業發展事業，並力求有盈無虧，增加國庫收入。」</w:t>
      </w:r>
    </w:p>
  </w:footnote>
  <w:footnote w:id="21">
    <w:p w:rsidR="009307BA" w:rsidRPr="0072529B" w:rsidRDefault="009307BA" w:rsidP="00D34ADF">
      <w:pPr>
        <w:pStyle w:val="143"/>
        <w:wordWrap/>
        <w:ind w:leftChars="0" w:left="237" w:hangingChars="91" w:hanging="237"/>
        <w:rPr>
          <w:rFonts w:ascii="Times New Roman"/>
          <w:snapToGrid/>
          <w:sz w:val="20"/>
          <w:szCs w:val="20"/>
        </w:rPr>
      </w:pPr>
      <w:r>
        <w:rPr>
          <w:rStyle w:val="afe"/>
        </w:rPr>
        <w:footnoteRef/>
      </w:r>
      <w:r>
        <w:t xml:space="preserve"> </w:t>
      </w:r>
      <w:proofErr w:type="gramStart"/>
      <w:r w:rsidRPr="0072529B">
        <w:rPr>
          <w:rFonts w:ascii="Times New Roman" w:hint="eastAsia"/>
          <w:snapToGrid/>
          <w:sz w:val="20"/>
          <w:szCs w:val="20"/>
        </w:rPr>
        <w:t>參據</w:t>
      </w:r>
      <w:proofErr w:type="gramEnd"/>
      <w:r>
        <w:rPr>
          <w:rFonts w:hAnsi="標楷體" w:hint="eastAsia"/>
          <w:snapToGrid/>
          <w:sz w:val="20"/>
          <w:szCs w:val="20"/>
        </w:rPr>
        <w:t>「</w:t>
      </w:r>
      <w:r w:rsidRPr="0072529B">
        <w:rPr>
          <w:rFonts w:ascii="Times New Roman" w:hint="eastAsia"/>
          <w:snapToGrid/>
          <w:sz w:val="20"/>
          <w:szCs w:val="20"/>
        </w:rPr>
        <w:t>交通部航港局經管公有財產提供商港經營事業機構使用辦法</w:t>
      </w:r>
      <w:r>
        <w:rPr>
          <w:rFonts w:hAnsi="標楷體" w:hint="eastAsia"/>
          <w:snapToGrid/>
          <w:sz w:val="20"/>
          <w:szCs w:val="20"/>
        </w:rPr>
        <w:t>」</w:t>
      </w:r>
      <w:r w:rsidRPr="0072529B">
        <w:rPr>
          <w:rFonts w:ascii="Times New Roman" w:hint="eastAsia"/>
          <w:snapToGrid/>
          <w:sz w:val="20"/>
          <w:szCs w:val="20"/>
        </w:rPr>
        <w:t>第</w:t>
      </w:r>
      <w:r w:rsidRPr="0072529B">
        <w:rPr>
          <w:rFonts w:ascii="Times New Roman" w:hint="eastAsia"/>
          <w:snapToGrid/>
          <w:sz w:val="20"/>
          <w:szCs w:val="20"/>
        </w:rPr>
        <w:t>3</w:t>
      </w:r>
      <w:r w:rsidRPr="0072529B">
        <w:rPr>
          <w:rFonts w:ascii="Times New Roman" w:hint="eastAsia"/>
          <w:snapToGrid/>
          <w:sz w:val="20"/>
          <w:szCs w:val="20"/>
        </w:rPr>
        <w:t>條第</w:t>
      </w:r>
      <w:r w:rsidRPr="0072529B">
        <w:rPr>
          <w:rFonts w:ascii="Times New Roman" w:hint="eastAsia"/>
          <w:snapToGrid/>
          <w:sz w:val="20"/>
          <w:szCs w:val="20"/>
        </w:rPr>
        <w:t>1</w:t>
      </w:r>
      <w:r w:rsidRPr="0072529B">
        <w:rPr>
          <w:rFonts w:ascii="Times New Roman" w:hint="eastAsia"/>
          <w:snapToGrid/>
          <w:sz w:val="20"/>
          <w:szCs w:val="20"/>
        </w:rPr>
        <w:t>項第</w:t>
      </w:r>
      <w:r w:rsidRPr="0072529B">
        <w:rPr>
          <w:rFonts w:ascii="Times New Roman" w:hint="eastAsia"/>
          <w:snapToGrid/>
          <w:sz w:val="20"/>
          <w:szCs w:val="20"/>
        </w:rPr>
        <w:t>2</w:t>
      </w:r>
      <w:r w:rsidRPr="0072529B">
        <w:rPr>
          <w:rFonts w:ascii="Times New Roman" w:hint="eastAsia"/>
          <w:snapToGrid/>
          <w:sz w:val="20"/>
          <w:szCs w:val="20"/>
        </w:rPr>
        <w:t>款：「經營機構以設定地上權方式使用航港局經管土地時，其權利金及租金之繳交，應依下列規定辦理：</w:t>
      </w:r>
      <w:r>
        <w:rPr>
          <w:rFonts w:ascii="Times New Roman" w:hint="eastAsia"/>
          <w:snapToGrid/>
          <w:sz w:val="20"/>
          <w:szCs w:val="20"/>
        </w:rPr>
        <w:t>…</w:t>
      </w:r>
      <w:proofErr w:type="gramStart"/>
      <w:r>
        <w:rPr>
          <w:rFonts w:ascii="Times New Roman" w:hint="eastAsia"/>
          <w:snapToGrid/>
          <w:sz w:val="20"/>
          <w:szCs w:val="20"/>
        </w:rPr>
        <w:t>…</w:t>
      </w:r>
      <w:proofErr w:type="gramEnd"/>
      <w:r w:rsidRPr="0072529B">
        <w:rPr>
          <w:rFonts w:ascii="Times New Roman" w:hint="eastAsia"/>
          <w:snapToGrid/>
          <w:sz w:val="20"/>
          <w:szCs w:val="20"/>
        </w:rPr>
        <w:t>土地租金依土地當期申報地價年息</w:t>
      </w:r>
      <w:r w:rsidRPr="0072529B">
        <w:rPr>
          <w:rFonts w:ascii="Times New Roman" w:hint="eastAsia"/>
          <w:snapToGrid/>
          <w:sz w:val="20"/>
          <w:szCs w:val="20"/>
        </w:rPr>
        <w:t>2</w:t>
      </w:r>
      <w:r>
        <w:rPr>
          <w:rFonts w:ascii="Times New Roman" w:hint="eastAsia"/>
          <w:snapToGrid/>
          <w:sz w:val="20"/>
          <w:szCs w:val="20"/>
        </w:rPr>
        <w:t>％</w:t>
      </w:r>
      <w:r w:rsidRPr="0072529B">
        <w:rPr>
          <w:rFonts w:ascii="Times New Roman" w:hint="eastAsia"/>
          <w:snapToGrid/>
          <w:sz w:val="20"/>
          <w:szCs w:val="20"/>
        </w:rPr>
        <w:t>計算</w:t>
      </w:r>
      <w:r>
        <w:rPr>
          <w:rFonts w:ascii="Times New Roman" w:hint="eastAsia"/>
          <w:snapToGrid/>
          <w:sz w:val="20"/>
          <w:szCs w:val="20"/>
        </w:rPr>
        <w:t>…</w:t>
      </w:r>
      <w:proofErr w:type="gramStart"/>
      <w:r>
        <w:rPr>
          <w:rFonts w:ascii="Times New Roman" w:hint="eastAsia"/>
          <w:snapToGrid/>
          <w:sz w:val="20"/>
          <w:szCs w:val="20"/>
        </w:rPr>
        <w:t>…</w:t>
      </w:r>
      <w:proofErr w:type="gramEnd"/>
      <w:r w:rsidRPr="0072529B">
        <w:rPr>
          <w:rFonts w:ascii="Times New Roman" w:hint="eastAsia"/>
          <w:snapToGrid/>
          <w:sz w:val="20"/>
          <w:szCs w:val="20"/>
        </w:rPr>
        <w:t>」。</w:t>
      </w:r>
    </w:p>
  </w:footnote>
  <w:footnote w:id="22">
    <w:p w:rsidR="009307BA" w:rsidRPr="0072529B" w:rsidRDefault="009307BA" w:rsidP="00D34ADF">
      <w:pPr>
        <w:pStyle w:val="143"/>
        <w:wordWrap/>
        <w:ind w:leftChars="0" w:left="237" w:hangingChars="91" w:hanging="237"/>
        <w:rPr>
          <w:rFonts w:ascii="Times New Roman"/>
          <w:snapToGrid/>
          <w:sz w:val="20"/>
          <w:szCs w:val="20"/>
        </w:rPr>
      </w:pPr>
      <w:r>
        <w:rPr>
          <w:rStyle w:val="afe"/>
        </w:rPr>
        <w:footnoteRef/>
      </w:r>
      <w:r>
        <w:rPr>
          <w:rFonts w:hint="eastAsia"/>
        </w:rPr>
        <w:t xml:space="preserve"> </w:t>
      </w:r>
      <w:r w:rsidRPr="0072529B">
        <w:rPr>
          <w:rFonts w:ascii="Times New Roman" w:hint="eastAsia"/>
          <w:snapToGrid/>
          <w:sz w:val="20"/>
          <w:szCs w:val="20"/>
        </w:rPr>
        <w:t>經</w:t>
      </w:r>
      <w:proofErr w:type="gramStart"/>
      <w:r w:rsidRPr="0072529B">
        <w:rPr>
          <w:rFonts w:ascii="Times New Roman" w:hint="eastAsia"/>
          <w:snapToGrid/>
          <w:sz w:val="20"/>
          <w:szCs w:val="20"/>
        </w:rPr>
        <w:t>洽</w:t>
      </w:r>
      <w:r>
        <w:rPr>
          <w:rFonts w:ascii="Times New Roman" w:hint="eastAsia"/>
          <w:snapToGrid/>
          <w:sz w:val="20"/>
          <w:szCs w:val="20"/>
        </w:rPr>
        <w:t>桃</w:t>
      </w:r>
      <w:r w:rsidRPr="0072529B">
        <w:rPr>
          <w:rFonts w:ascii="Times New Roman" w:hint="eastAsia"/>
          <w:snapToGrid/>
          <w:sz w:val="20"/>
          <w:szCs w:val="20"/>
        </w:rPr>
        <w:t>機</w:t>
      </w:r>
      <w:proofErr w:type="gramEnd"/>
      <w:r w:rsidRPr="0072529B">
        <w:rPr>
          <w:rFonts w:ascii="Times New Roman" w:hint="eastAsia"/>
          <w:snapToGrid/>
          <w:sz w:val="20"/>
          <w:szCs w:val="20"/>
        </w:rPr>
        <w:t>公司與民航局，</w:t>
      </w:r>
      <w:r w:rsidRPr="0072529B">
        <w:rPr>
          <w:rFonts w:ascii="Times New Roman" w:hint="eastAsia"/>
          <w:snapToGrid/>
          <w:sz w:val="20"/>
          <w:szCs w:val="20"/>
        </w:rPr>
        <w:t>101</w:t>
      </w:r>
      <w:r w:rsidRPr="0072529B">
        <w:rPr>
          <w:rFonts w:ascii="Times New Roman" w:hint="eastAsia"/>
          <w:snapToGrid/>
          <w:sz w:val="20"/>
          <w:szCs w:val="20"/>
        </w:rPr>
        <w:t>年該公司曾致函民航局</w:t>
      </w:r>
      <w:proofErr w:type="gramStart"/>
      <w:r w:rsidRPr="0072529B">
        <w:rPr>
          <w:rFonts w:ascii="Times New Roman" w:hint="eastAsia"/>
          <w:snapToGrid/>
          <w:sz w:val="20"/>
          <w:szCs w:val="20"/>
        </w:rPr>
        <w:t>研</w:t>
      </w:r>
      <w:proofErr w:type="gramEnd"/>
      <w:r w:rsidRPr="0072529B">
        <w:rPr>
          <w:rFonts w:ascii="Times New Roman" w:hint="eastAsia"/>
          <w:snapToGrid/>
          <w:sz w:val="20"/>
          <w:szCs w:val="20"/>
        </w:rPr>
        <w:t>商縮小承租範圍，惟雙方並未討論降低租金費率。</w:t>
      </w:r>
    </w:p>
  </w:footnote>
  <w:footnote w:id="23">
    <w:p w:rsidR="009307BA" w:rsidRPr="00D34ADF" w:rsidRDefault="009307BA" w:rsidP="00D34ADF">
      <w:pPr>
        <w:pStyle w:val="143"/>
        <w:wordWrap/>
        <w:ind w:leftChars="0" w:left="237" w:hangingChars="91" w:hanging="237"/>
        <w:rPr>
          <w:rFonts w:ascii="Times New Roman"/>
          <w:snapToGrid/>
          <w:sz w:val="20"/>
          <w:szCs w:val="20"/>
        </w:rPr>
      </w:pPr>
      <w:r>
        <w:rPr>
          <w:rStyle w:val="afe"/>
        </w:rPr>
        <w:footnoteRef/>
      </w:r>
      <w:r>
        <w:t xml:space="preserve"> </w:t>
      </w:r>
      <w:proofErr w:type="gramStart"/>
      <w:r w:rsidRPr="0072529B">
        <w:rPr>
          <w:rFonts w:ascii="Times New Roman" w:hint="eastAsia"/>
          <w:snapToGrid/>
          <w:sz w:val="20"/>
          <w:szCs w:val="20"/>
        </w:rPr>
        <w:t>105</w:t>
      </w:r>
      <w:r w:rsidRPr="0072529B">
        <w:rPr>
          <w:rFonts w:ascii="Times New Roman" w:hint="eastAsia"/>
          <w:snapToGrid/>
          <w:sz w:val="20"/>
          <w:szCs w:val="20"/>
        </w:rPr>
        <w:t>年</w:t>
      </w:r>
      <w:r>
        <w:rPr>
          <w:rFonts w:ascii="Times New Roman" w:hint="eastAsia"/>
          <w:snapToGrid/>
          <w:sz w:val="20"/>
          <w:szCs w:val="20"/>
        </w:rPr>
        <w:t>桃</w:t>
      </w:r>
      <w:r w:rsidRPr="0072529B">
        <w:rPr>
          <w:rFonts w:ascii="Times New Roman" w:hint="eastAsia"/>
          <w:snapToGrid/>
          <w:sz w:val="20"/>
          <w:szCs w:val="20"/>
        </w:rPr>
        <w:t>機公司</w:t>
      </w:r>
      <w:proofErr w:type="gramEnd"/>
      <w:r w:rsidRPr="0072529B">
        <w:rPr>
          <w:rFonts w:ascii="Times New Roman" w:hint="eastAsia"/>
          <w:snapToGrid/>
          <w:sz w:val="20"/>
          <w:szCs w:val="20"/>
        </w:rPr>
        <w:t>致函民航局調降土地租金費率，惟該</w:t>
      </w:r>
      <w:r w:rsidRPr="00D34ADF">
        <w:rPr>
          <w:rFonts w:ascii="Times New Roman" w:hint="eastAsia"/>
          <w:snapToGrid/>
          <w:sz w:val="20"/>
          <w:szCs w:val="20"/>
        </w:rPr>
        <w:t>局以「建議仍應維持目前費率」未予調整。</w:t>
      </w:r>
    </w:p>
  </w:footnote>
  <w:footnote w:id="24">
    <w:p w:rsidR="009307BA" w:rsidRPr="0072529B" w:rsidRDefault="009307BA" w:rsidP="00D34ADF">
      <w:pPr>
        <w:pStyle w:val="143"/>
        <w:wordWrap/>
        <w:ind w:leftChars="0" w:left="237" w:hangingChars="91" w:hanging="237"/>
        <w:rPr>
          <w:rFonts w:ascii="Times New Roman"/>
          <w:snapToGrid/>
          <w:sz w:val="20"/>
          <w:szCs w:val="20"/>
        </w:rPr>
      </w:pPr>
      <w:r w:rsidRPr="00D34ADF">
        <w:rPr>
          <w:rStyle w:val="afe"/>
        </w:rPr>
        <w:footnoteRef/>
      </w:r>
      <w:r w:rsidRPr="00D34ADF">
        <w:rPr>
          <w:rFonts w:hint="eastAsia"/>
        </w:rPr>
        <w:t xml:space="preserve"> </w:t>
      </w:r>
      <w:r w:rsidRPr="00D34ADF">
        <w:rPr>
          <w:rFonts w:hAnsi="標楷體" w:hint="eastAsia"/>
          <w:snapToGrid/>
          <w:sz w:val="20"/>
          <w:szCs w:val="20"/>
        </w:rPr>
        <w:t>「</w:t>
      </w:r>
      <w:r w:rsidRPr="00D34ADF">
        <w:rPr>
          <w:rFonts w:ascii="Times New Roman" w:hint="eastAsia"/>
          <w:snapToGrid/>
          <w:sz w:val="20"/>
          <w:szCs w:val="20"/>
        </w:rPr>
        <w:t>交通部民用航空局經管國際機場園區公有土地提供使用辦法</w:t>
      </w:r>
      <w:r w:rsidRPr="00D34ADF">
        <w:rPr>
          <w:rFonts w:hAnsi="標楷體" w:hint="eastAsia"/>
          <w:snapToGrid/>
          <w:sz w:val="20"/>
          <w:szCs w:val="20"/>
        </w:rPr>
        <w:t>」</w:t>
      </w:r>
      <w:r w:rsidRPr="00D34ADF">
        <w:rPr>
          <w:rFonts w:ascii="Times New Roman" w:hint="eastAsia"/>
          <w:snapToGrid/>
          <w:sz w:val="20"/>
          <w:szCs w:val="20"/>
        </w:rPr>
        <w:t>第</w:t>
      </w:r>
      <w:r w:rsidRPr="00D34ADF">
        <w:rPr>
          <w:rFonts w:ascii="Times New Roman" w:hint="eastAsia"/>
          <w:snapToGrid/>
          <w:sz w:val="20"/>
          <w:szCs w:val="20"/>
        </w:rPr>
        <w:t>4</w:t>
      </w:r>
      <w:r w:rsidRPr="00D34ADF">
        <w:rPr>
          <w:rFonts w:ascii="Times New Roman" w:hint="eastAsia"/>
          <w:snapToGrid/>
          <w:sz w:val="20"/>
          <w:szCs w:val="20"/>
        </w:rPr>
        <w:t>條第</w:t>
      </w:r>
      <w:r w:rsidRPr="00D34ADF">
        <w:rPr>
          <w:rFonts w:ascii="Times New Roman" w:hint="eastAsia"/>
          <w:snapToGrid/>
          <w:sz w:val="20"/>
          <w:szCs w:val="20"/>
        </w:rPr>
        <w:t>3</w:t>
      </w:r>
      <w:r w:rsidRPr="00D34ADF">
        <w:rPr>
          <w:rFonts w:ascii="Times New Roman" w:hint="eastAsia"/>
          <w:snapToGrid/>
          <w:sz w:val="20"/>
          <w:szCs w:val="20"/>
        </w:rPr>
        <w:t>項：「前項租金費率之調整，如民航局與機場公司雙方協議不成，由民</w:t>
      </w:r>
      <w:r w:rsidRPr="0072529B">
        <w:rPr>
          <w:rFonts w:ascii="Times New Roman" w:hint="eastAsia"/>
          <w:snapToGrid/>
          <w:sz w:val="20"/>
          <w:szCs w:val="20"/>
        </w:rPr>
        <w:t>航局報請主管機關核定。」</w:t>
      </w:r>
    </w:p>
  </w:footnote>
  <w:footnote w:id="25">
    <w:p w:rsidR="009307BA" w:rsidRPr="0072529B" w:rsidRDefault="009307BA" w:rsidP="00D34ADF">
      <w:pPr>
        <w:pStyle w:val="143"/>
        <w:wordWrap/>
        <w:ind w:leftChars="0" w:left="237" w:hangingChars="91" w:hanging="237"/>
        <w:rPr>
          <w:rFonts w:ascii="Times New Roman"/>
          <w:snapToGrid/>
          <w:sz w:val="20"/>
          <w:szCs w:val="20"/>
        </w:rPr>
      </w:pPr>
      <w:r>
        <w:rPr>
          <w:rStyle w:val="afe"/>
        </w:rPr>
        <w:footnoteRef/>
      </w:r>
      <w:r>
        <w:t xml:space="preserve"> </w:t>
      </w:r>
      <w:r w:rsidRPr="0072529B">
        <w:rPr>
          <w:rFonts w:ascii="Times New Roman" w:hint="eastAsia"/>
          <w:snapToGrid/>
          <w:sz w:val="20"/>
          <w:szCs w:val="20"/>
        </w:rPr>
        <w:t>參據</w:t>
      </w:r>
      <w:proofErr w:type="gramStart"/>
      <w:r w:rsidRPr="0072529B">
        <w:rPr>
          <w:rFonts w:ascii="Times New Roman" w:hint="eastAsia"/>
          <w:snapToGrid/>
          <w:sz w:val="20"/>
          <w:szCs w:val="20"/>
        </w:rPr>
        <w:t>105</w:t>
      </w:r>
      <w:proofErr w:type="gramEnd"/>
      <w:r w:rsidRPr="0072529B">
        <w:rPr>
          <w:rFonts w:ascii="Times New Roman" w:hint="eastAsia"/>
          <w:snapToGrid/>
          <w:sz w:val="20"/>
          <w:szCs w:val="20"/>
        </w:rPr>
        <w:t>年度中央政府總決算審核</w:t>
      </w:r>
      <w:proofErr w:type="gramStart"/>
      <w:r w:rsidRPr="0072529B">
        <w:rPr>
          <w:rFonts w:ascii="Times New Roman" w:hint="eastAsia"/>
          <w:snapToGrid/>
          <w:sz w:val="20"/>
          <w:szCs w:val="20"/>
        </w:rPr>
        <w:t>報告第乙</w:t>
      </w:r>
      <w:proofErr w:type="gramEnd"/>
      <w:r w:rsidRPr="0072529B">
        <w:rPr>
          <w:rFonts w:ascii="Times New Roman" w:hint="eastAsia"/>
          <w:snapToGrid/>
          <w:sz w:val="20"/>
          <w:szCs w:val="20"/>
        </w:rPr>
        <w:t>-434</w:t>
      </w:r>
      <w:r w:rsidRPr="0072529B">
        <w:rPr>
          <w:rFonts w:ascii="Times New Roman" w:hint="eastAsia"/>
          <w:snapToGrid/>
          <w:sz w:val="20"/>
          <w:szCs w:val="20"/>
        </w:rPr>
        <w:t>頁至</w:t>
      </w:r>
      <w:r w:rsidRPr="0072529B">
        <w:rPr>
          <w:rFonts w:ascii="Times New Roman" w:hint="eastAsia"/>
          <w:snapToGrid/>
          <w:sz w:val="20"/>
          <w:szCs w:val="20"/>
        </w:rPr>
        <w:t>435</w:t>
      </w:r>
      <w:r w:rsidRPr="0072529B">
        <w:rPr>
          <w:rFonts w:ascii="Times New Roman" w:hint="eastAsia"/>
          <w:snapToGrid/>
          <w:sz w:val="20"/>
          <w:szCs w:val="20"/>
        </w:rPr>
        <w:t>頁，「機場公司重大建設計畫資金需求龐鉅，…</w:t>
      </w:r>
      <w:proofErr w:type="gramStart"/>
      <w:r w:rsidRPr="0072529B">
        <w:rPr>
          <w:rFonts w:ascii="Times New Roman" w:hint="eastAsia"/>
          <w:snapToGrid/>
          <w:sz w:val="20"/>
          <w:szCs w:val="20"/>
        </w:rPr>
        <w:t>…</w:t>
      </w:r>
      <w:proofErr w:type="gramEnd"/>
      <w:r w:rsidRPr="0072529B">
        <w:rPr>
          <w:rFonts w:ascii="Times New Roman" w:hint="eastAsia"/>
          <w:snapToGrid/>
          <w:sz w:val="20"/>
          <w:szCs w:val="20"/>
        </w:rPr>
        <w:t>為減輕該公司未來財務負擔…</w:t>
      </w:r>
      <w:proofErr w:type="gramStart"/>
      <w:r w:rsidRPr="0072529B">
        <w:rPr>
          <w:rFonts w:ascii="Times New Roman" w:hint="eastAsia"/>
          <w:snapToGrid/>
          <w:sz w:val="20"/>
          <w:szCs w:val="20"/>
        </w:rPr>
        <w:t>…</w:t>
      </w:r>
      <w:proofErr w:type="gramEnd"/>
      <w:r w:rsidRPr="0072529B">
        <w:rPr>
          <w:rFonts w:ascii="Times New Roman" w:hint="eastAsia"/>
          <w:snapToGrid/>
          <w:sz w:val="20"/>
          <w:szCs w:val="20"/>
        </w:rPr>
        <w:t>建請交通部協助…</w:t>
      </w:r>
      <w:proofErr w:type="gramStart"/>
      <w:r w:rsidRPr="0072529B">
        <w:rPr>
          <w:rFonts w:ascii="Times New Roman" w:hint="eastAsia"/>
          <w:snapToGrid/>
          <w:sz w:val="20"/>
          <w:szCs w:val="20"/>
        </w:rPr>
        <w:t>…</w:t>
      </w:r>
      <w:proofErr w:type="gramEnd"/>
      <w:r w:rsidRPr="0072529B">
        <w:rPr>
          <w:rFonts w:ascii="Times New Roman" w:hint="eastAsia"/>
          <w:snapToGrid/>
          <w:sz w:val="20"/>
          <w:szCs w:val="20"/>
        </w:rPr>
        <w:t>於上揭重大建設計畫執行期間</w:t>
      </w:r>
      <w:proofErr w:type="gramStart"/>
      <w:r w:rsidRPr="0072529B">
        <w:rPr>
          <w:rFonts w:ascii="Times New Roman" w:hint="eastAsia"/>
          <w:snapToGrid/>
          <w:sz w:val="20"/>
          <w:szCs w:val="20"/>
        </w:rPr>
        <w:t>研</w:t>
      </w:r>
      <w:proofErr w:type="gramEnd"/>
      <w:r w:rsidRPr="0072529B">
        <w:rPr>
          <w:rFonts w:ascii="Times New Roman" w:hint="eastAsia"/>
          <w:snapToGrid/>
          <w:sz w:val="20"/>
          <w:szCs w:val="20"/>
        </w:rPr>
        <w:t>議採取下列開源節流措施：…</w:t>
      </w:r>
      <w:proofErr w:type="gramStart"/>
      <w:r w:rsidRPr="0072529B">
        <w:rPr>
          <w:rFonts w:ascii="Times New Roman" w:hint="eastAsia"/>
          <w:snapToGrid/>
          <w:sz w:val="20"/>
          <w:szCs w:val="20"/>
        </w:rPr>
        <w:t>…</w:t>
      </w:r>
      <w:proofErr w:type="gramEnd"/>
      <w:r w:rsidRPr="0072529B">
        <w:rPr>
          <w:rFonts w:ascii="Times New Roman" w:hint="eastAsia"/>
          <w:snapToGrid/>
          <w:sz w:val="20"/>
          <w:szCs w:val="20"/>
        </w:rPr>
        <w:t>(3)</w:t>
      </w:r>
      <w:r w:rsidRPr="0072529B">
        <w:rPr>
          <w:rFonts w:ascii="Times New Roman" w:hint="eastAsia"/>
          <w:snapToGrid/>
          <w:sz w:val="20"/>
          <w:szCs w:val="20"/>
        </w:rPr>
        <w:t>依據機場園區發展及桃園機場公司財務狀況，檢討調降交通部民用航空局經管土地租金費率；…</w:t>
      </w:r>
      <w:proofErr w:type="gramStart"/>
      <w:r w:rsidRPr="0072529B">
        <w:rPr>
          <w:rFonts w:ascii="Times New Roman" w:hint="eastAsia"/>
          <w:snapToGrid/>
          <w:sz w:val="20"/>
          <w:szCs w:val="20"/>
        </w:rPr>
        <w:t>…</w:t>
      </w:r>
      <w:proofErr w:type="gramEnd"/>
      <w:r w:rsidRPr="0072529B">
        <w:rPr>
          <w:rFonts w:ascii="Times New Roman" w:hint="eastAsia"/>
          <w:snapToGrid/>
          <w:sz w:val="20"/>
          <w:szCs w:val="20"/>
        </w:rPr>
        <w:t>」</w:t>
      </w:r>
    </w:p>
  </w:footnote>
  <w:footnote w:id="26">
    <w:p w:rsidR="009307BA" w:rsidRPr="00D34ADF" w:rsidRDefault="009307BA" w:rsidP="00D34ADF">
      <w:pPr>
        <w:pStyle w:val="afc"/>
        <w:ind w:left="238" w:hangingChars="108" w:hanging="238"/>
        <w:rPr>
          <w:rFonts w:ascii="Times New Roman"/>
        </w:rPr>
      </w:pPr>
      <w:r w:rsidRPr="001A464F">
        <w:rPr>
          <w:rStyle w:val="afe"/>
          <w:rFonts w:ascii="Times New Roman"/>
        </w:rPr>
        <w:footnoteRef/>
      </w:r>
      <w:r>
        <w:rPr>
          <w:rFonts w:ascii="Times New Roman" w:hint="eastAsia"/>
        </w:rPr>
        <w:t xml:space="preserve"> </w:t>
      </w:r>
      <w:r w:rsidRPr="001A464F">
        <w:rPr>
          <w:rFonts w:ascii="Times New Roman"/>
        </w:rPr>
        <w:t>目前實施陸</w:t>
      </w:r>
      <w:r w:rsidRPr="00D34ADF">
        <w:rPr>
          <w:rFonts w:ascii="Times New Roman"/>
        </w:rPr>
        <w:t>客中轉來</w:t>
      </w:r>
      <w:proofErr w:type="gramStart"/>
      <w:r w:rsidRPr="00D34ADF">
        <w:rPr>
          <w:rFonts w:ascii="Times New Roman"/>
        </w:rPr>
        <w:t>臺</w:t>
      </w:r>
      <w:proofErr w:type="gramEnd"/>
      <w:r w:rsidRPr="00D34ADF">
        <w:rPr>
          <w:rFonts w:ascii="Times New Roman"/>
        </w:rPr>
        <w:t>之城市</w:t>
      </w:r>
      <w:r w:rsidRPr="00D34ADF">
        <w:rPr>
          <w:rFonts w:ascii="Times New Roman" w:hint="eastAsia"/>
        </w:rPr>
        <w:t>為</w:t>
      </w:r>
      <w:r w:rsidRPr="00D34ADF">
        <w:rPr>
          <w:rFonts w:ascii="Times New Roman"/>
        </w:rPr>
        <w:t>南昌、昆明、重慶，其中南昌為</w:t>
      </w:r>
      <w:r w:rsidRPr="00D34ADF">
        <w:rPr>
          <w:rFonts w:hAnsi="標楷體" w:hint="eastAsia"/>
        </w:rPr>
        <w:t>「</w:t>
      </w:r>
      <w:r w:rsidRPr="00D34ADF">
        <w:rPr>
          <w:rFonts w:ascii="Times New Roman"/>
        </w:rPr>
        <w:t>中華</w:t>
      </w:r>
      <w:r w:rsidRPr="00D34ADF">
        <w:rPr>
          <w:rFonts w:ascii="Times New Roman" w:hint="eastAsia"/>
        </w:rPr>
        <w:t>航空</w:t>
      </w:r>
      <w:r w:rsidRPr="00D34ADF">
        <w:rPr>
          <w:rFonts w:hAnsi="標楷體" w:hint="eastAsia"/>
        </w:rPr>
        <w:t>」</w:t>
      </w:r>
      <w:r w:rsidRPr="00D34ADF">
        <w:rPr>
          <w:rFonts w:ascii="Times New Roman"/>
        </w:rPr>
        <w:t>直營據點、重慶為</w:t>
      </w:r>
      <w:r w:rsidRPr="00D34ADF">
        <w:rPr>
          <w:rFonts w:hAnsi="標楷體" w:hint="eastAsia"/>
        </w:rPr>
        <w:t>「</w:t>
      </w:r>
      <w:r w:rsidRPr="00D34ADF">
        <w:rPr>
          <w:rFonts w:ascii="Times New Roman"/>
        </w:rPr>
        <w:t>長榮</w:t>
      </w:r>
      <w:r w:rsidRPr="00D34ADF">
        <w:rPr>
          <w:rFonts w:ascii="Times New Roman" w:hint="eastAsia"/>
        </w:rPr>
        <w:t>航空</w:t>
      </w:r>
      <w:r w:rsidRPr="00D34ADF">
        <w:rPr>
          <w:rFonts w:hAnsi="標楷體" w:hint="eastAsia"/>
        </w:rPr>
        <w:t>」</w:t>
      </w:r>
      <w:r w:rsidRPr="00D34ADF">
        <w:rPr>
          <w:rFonts w:ascii="Times New Roman"/>
        </w:rPr>
        <w:t>直營據點。昆明、重慶為</w:t>
      </w:r>
      <w:r w:rsidRPr="00D34ADF">
        <w:rPr>
          <w:rFonts w:hAnsi="標楷體" w:hint="eastAsia"/>
        </w:rPr>
        <w:t>「</w:t>
      </w:r>
      <w:r w:rsidRPr="00D34ADF">
        <w:rPr>
          <w:rFonts w:ascii="Times New Roman"/>
        </w:rPr>
        <w:t>中國南方航空</w:t>
      </w:r>
      <w:r w:rsidRPr="00D34ADF">
        <w:rPr>
          <w:rFonts w:hAnsi="標楷體" w:hint="eastAsia"/>
        </w:rPr>
        <w:t>」</w:t>
      </w:r>
      <w:r w:rsidRPr="00D34ADF">
        <w:rPr>
          <w:rFonts w:ascii="Times New Roman"/>
        </w:rPr>
        <w:t>、</w:t>
      </w:r>
      <w:r w:rsidRPr="00D34ADF">
        <w:rPr>
          <w:rFonts w:hAnsi="標楷體" w:hint="eastAsia"/>
        </w:rPr>
        <w:t>「</w:t>
      </w:r>
      <w:r w:rsidRPr="00D34ADF">
        <w:rPr>
          <w:rFonts w:ascii="Times New Roman"/>
        </w:rPr>
        <w:t>中國國際航空</w:t>
      </w:r>
      <w:r w:rsidRPr="00D34ADF">
        <w:rPr>
          <w:rFonts w:hAnsi="標楷體" w:hint="eastAsia"/>
        </w:rPr>
        <w:t>」</w:t>
      </w:r>
      <w:r w:rsidRPr="00D34ADF">
        <w:rPr>
          <w:rFonts w:ascii="Times New Roman"/>
        </w:rPr>
        <w:t>之經營據點。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31A03138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410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DB803C60"/>
    <w:lvl w:ilvl="0" w:tplc="BAE68EF8">
      <w:start w:val="1"/>
      <w:numFmt w:val="decimal"/>
      <w:pStyle w:val="a1"/>
      <w:lvlText w:val="圖%1　"/>
      <w:lvlJc w:val="left"/>
      <w:pPr>
        <w:ind w:left="2040" w:hanging="480"/>
      </w:pPr>
      <w:rPr>
        <w:rFonts w:ascii="標楷體" w:eastAsia="標楷體" w:hint="eastAsia"/>
        <w:b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FDD6A7DC"/>
    <w:lvl w:ilvl="0" w:tplc="4D182310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1"/>
  </w:num>
  <w:num w:numId="43">
    <w:abstractNumId w:val="1"/>
  </w:num>
  <w:num w:numId="44">
    <w:abstractNumId w:val="6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5D78"/>
    <w:rsid w:val="00006961"/>
    <w:rsid w:val="000104A7"/>
    <w:rsid w:val="000112BF"/>
    <w:rsid w:val="00012233"/>
    <w:rsid w:val="000148E5"/>
    <w:rsid w:val="00017318"/>
    <w:rsid w:val="000233DC"/>
    <w:rsid w:val="000246F7"/>
    <w:rsid w:val="00030FC6"/>
    <w:rsid w:val="0003114D"/>
    <w:rsid w:val="00036D76"/>
    <w:rsid w:val="00052E31"/>
    <w:rsid w:val="00054EDE"/>
    <w:rsid w:val="000554BE"/>
    <w:rsid w:val="00057F32"/>
    <w:rsid w:val="00062A25"/>
    <w:rsid w:val="000632CE"/>
    <w:rsid w:val="00073CB5"/>
    <w:rsid w:val="0007425C"/>
    <w:rsid w:val="00077553"/>
    <w:rsid w:val="00077EC2"/>
    <w:rsid w:val="000814C8"/>
    <w:rsid w:val="000851A2"/>
    <w:rsid w:val="00093130"/>
    <w:rsid w:val="0009352E"/>
    <w:rsid w:val="00095BF5"/>
    <w:rsid w:val="00096B96"/>
    <w:rsid w:val="000A2F3F"/>
    <w:rsid w:val="000A30C0"/>
    <w:rsid w:val="000B0B4A"/>
    <w:rsid w:val="000B279A"/>
    <w:rsid w:val="000B61D2"/>
    <w:rsid w:val="000B70A7"/>
    <w:rsid w:val="000B73DD"/>
    <w:rsid w:val="000C495F"/>
    <w:rsid w:val="000D4BC1"/>
    <w:rsid w:val="000D578B"/>
    <w:rsid w:val="000E2649"/>
    <w:rsid w:val="000E6431"/>
    <w:rsid w:val="000E6F42"/>
    <w:rsid w:val="000F21A5"/>
    <w:rsid w:val="00102B9F"/>
    <w:rsid w:val="00112637"/>
    <w:rsid w:val="00112ABC"/>
    <w:rsid w:val="0012001E"/>
    <w:rsid w:val="00121867"/>
    <w:rsid w:val="00126A55"/>
    <w:rsid w:val="00126FDF"/>
    <w:rsid w:val="00127349"/>
    <w:rsid w:val="00133F08"/>
    <w:rsid w:val="001345E6"/>
    <w:rsid w:val="001378B0"/>
    <w:rsid w:val="00142E00"/>
    <w:rsid w:val="00151B20"/>
    <w:rsid w:val="00152793"/>
    <w:rsid w:val="00153B7E"/>
    <w:rsid w:val="001545A9"/>
    <w:rsid w:val="00157EA1"/>
    <w:rsid w:val="001637C7"/>
    <w:rsid w:val="0016480E"/>
    <w:rsid w:val="00167596"/>
    <w:rsid w:val="00174297"/>
    <w:rsid w:val="00180E06"/>
    <w:rsid w:val="001817B3"/>
    <w:rsid w:val="00182A36"/>
    <w:rsid w:val="00183014"/>
    <w:rsid w:val="001918D1"/>
    <w:rsid w:val="001959C2"/>
    <w:rsid w:val="001A464F"/>
    <w:rsid w:val="001A51E3"/>
    <w:rsid w:val="001A7968"/>
    <w:rsid w:val="001B1457"/>
    <w:rsid w:val="001B2E98"/>
    <w:rsid w:val="001B3483"/>
    <w:rsid w:val="001B3C1E"/>
    <w:rsid w:val="001B4494"/>
    <w:rsid w:val="001C0D8B"/>
    <w:rsid w:val="001C0DA8"/>
    <w:rsid w:val="001C2D73"/>
    <w:rsid w:val="001C6968"/>
    <w:rsid w:val="001D4AD7"/>
    <w:rsid w:val="001E0D8A"/>
    <w:rsid w:val="001E2B4F"/>
    <w:rsid w:val="001E67BA"/>
    <w:rsid w:val="001E74C2"/>
    <w:rsid w:val="001F4F82"/>
    <w:rsid w:val="001F5A48"/>
    <w:rsid w:val="001F6260"/>
    <w:rsid w:val="001F7969"/>
    <w:rsid w:val="00200007"/>
    <w:rsid w:val="00202AD7"/>
    <w:rsid w:val="002030A5"/>
    <w:rsid w:val="00203131"/>
    <w:rsid w:val="00212E88"/>
    <w:rsid w:val="00213C9C"/>
    <w:rsid w:val="00215F95"/>
    <w:rsid w:val="002179E2"/>
    <w:rsid w:val="0022009E"/>
    <w:rsid w:val="00223241"/>
    <w:rsid w:val="0022425C"/>
    <w:rsid w:val="002246DE"/>
    <w:rsid w:val="00236D36"/>
    <w:rsid w:val="00252BC4"/>
    <w:rsid w:val="00254014"/>
    <w:rsid w:val="00254B39"/>
    <w:rsid w:val="0026504D"/>
    <w:rsid w:val="00273A2F"/>
    <w:rsid w:val="002755B8"/>
    <w:rsid w:val="00280986"/>
    <w:rsid w:val="00281ECE"/>
    <w:rsid w:val="002831C7"/>
    <w:rsid w:val="002840C6"/>
    <w:rsid w:val="00295174"/>
    <w:rsid w:val="00296172"/>
    <w:rsid w:val="00296B92"/>
    <w:rsid w:val="002A2C22"/>
    <w:rsid w:val="002A5B50"/>
    <w:rsid w:val="002A79FC"/>
    <w:rsid w:val="002B02EB"/>
    <w:rsid w:val="002B1B4A"/>
    <w:rsid w:val="002C00D9"/>
    <w:rsid w:val="002C0602"/>
    <w:rsid w:val="002D16FA"/>
    <w:rsid w:val="002D5C16"/>
    <w:rsid w:val="002E53D9"/>
    <w:rsid w:val="002F2476"/>
    <w:rsid w:val="002F3DFF"/>
    <w:rsid w:val="002F5E05"/>
    <w:rsid w:val="0030378D"/>
    <w:rsid w:val="00307A76"/>
    <w:rsid w:val="003146A9"/>
    <w:rsid w:val="00315A16"/>
    <w:rsid w:val="00315BD2"/>
    <w:rsid w:val="00317053"/>
    <w:rsid w:val="0032109C"/>
    <w:rsid w:val="00322B45"/>
    <w:rsid w:val="00323809"/>
    <w:rsid w:val="00323D41"/>
    <w:rsid w:val="00325414"/>
    <w:rsid w:val="003302F1"/>
    <w:rsid w:val="0034470E"/>
    <w:rsid w:val="00345D27"/>
    <w:rsid w:val="00352DB0"/>
    <w:rsid w:val="00357F81"/>
    <w:rsid w:val="00361063"/>
    <w:rsid w:val="003626A4"/>
    <w:rsid w:val="0037094A"/>
    <w:rsid w:val="00371ED3"/>
    <w:rsid w:val="00372FFC"/>
    <w:rsid w:val="0037728A"/>
    <w:rsid w:val="00380B7D"/>
    <w:rsid w:val="00381A99"/>
    <w:rsid w:val="003829C2"/>
    <w:rsid w:val="003830B2"/>
    <w:rsid w:val="0038311F"/>
    <w:rsid w:val="00384724"/>
    <w:rsid w:val="003919B7"/>
    <w:rsid w:val="00391D57"/>
    <w:rsid w:val="00392292"/>
    <w:rsid w:val="00394F45"/>
    <w:rsid w:val="00397D11"/>
    <w:rsid w:val="003A5927"/>
    <w:rsid w:val="003B1017"/>
    <w:rsid w:val="003B3C07"/>
    <w:rsid w:val="003B4B4D"/>
    <w:rsid w:val="003B6081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1E2"/>
    <w:rsid w:val="003F5C2B"/>
    <w:rsid w:val="00402240"/>
    <w:rsid w:val="004023E9"/>
    <w:rsid w:val="0040454A"/>
    <w:rsid w:val="00413F83"/>
    <w:rsid w:val="0041490C"/>
    <w:rsid w:val="00416191"/>
    <w:rsid w:val="00416721"/>
    <w:rsid w:val="004170D9"/>
    <w:rsid w:val="00421EF0"/>
    <w:rsid w:val="004224FA"/>
    <w:rsid w:val="00423D07"/>
    <w:rsid w:val="00427936"/>
    <w:rsid w:val="0044346F"/>
    <w:rsid w:val="004459DC"/>
    <w:rsid w:val="00453FF6"/>
    <w:rsid w:val="0046405C"/>
    <w:rsid w:val="004640FF"/>
    <w:rsid w:val="0046520A"/>
    <w:rsid w:val="004672AB"/>
    <w:rsid w:val="004714FE"/>
    <w:rsid w:val="0047387C"/>
    <w:rsid w:val="0047630C"/>
    <w:rsid w:val="00477BAA"/>
    <w:rsid w:val="0048378C"/>
    <w:rsid w:val="00487ED4"/>
    <w:rsid w:val="00495053"/>
    <w:rsid w:val="004A1F59"/>
    <w:rsid w:val="004A29BE"/>
    <w:rsid w:val="004A3225"/>
    <w:rsid w:val="004A33EE"/>
    <w:rsid w:val="004A3AA8"/>
    <w:rsid w:val="004B13C7"/>
    <w:rsid w:val="004B652E"/>
    <w:rsid w:val="004B778F"/>
    <w:rsid w:val="004C0609"/>
    <w:rsid w:val="004C25F0"/>
    <w:rsid w:val="004C7ED1"/>
    <w:rsid w:val="004D141F"/>
    <w:rsid w:val="004D2742"/>
    <w:rsid w:val="004D5112"/>
    <w:rsid w:val="004D6310"/>
    <w:rsid w:val="004E0062"/>
    <w:rsid w:val="004E05A1"/>
    <w:rsid w:val="004F472A"/>
    <w:rsid w:val="004F5E57"/>
    <w:rsid w:val="004F6710"/>
    <w:rsid w:val="004F6EAB"/>
    <w:rsid w:val="00500C3E"/>
    <w:rsid w:val="00502849"/>
    <w:rsid w:val="00504334"/>
    <w:rsid w:val="0050498D"/>
    <w:rsid w:val="00505EB5"/>
    <w:rsid w:val="005104D7"/>
    <w:rsid w:val="00510B9E"/>
    <w:rsid w:val="00535817"/>
    <w:rsid w:val="00536314"/>
    <w:rsid w:val="00536BC2"/>
    <w:rsid w:val="005425E1"/>
    <w:rsid w:val="005427C5"/>
    <w:rsid w:val="00542CF6"/>
    <w:rsid w:val="00547635"/>
    <w:rsid w:val="00550786"/>
    <w:rsid w:val="00553C03"/>
    <w:rsid w:val="005579DE"/>
    <w:rsid w:val="00560A9F"/>
    <w:rsid w:val="00563692"/>
    <w:rsid w:val="00571679"/>
    <w:rsid w:val="00576246"/>
    <w:rsid w:val="005844E7"/>
    <w:rsid w:val="005908B8"/>
    <w:rsid w:val="005915CE"/>
    <w:rsid w:val="005943EF"/>
    <w:rsid w:val="0059512E"/>
    <w:rsid w:val="005A4F25"/>
    <w:rsid w:val="005A6DD2"/>
    <w:rsid w:val="005C385D"/>
    <w:rsid w:val="005D3B20"/>
    <w:rsid w:val="005D5372"/>
    <w:rsid w:val="005D6D07"/>
    <w:rsid w:val="005E3690"/>
    <w:rsid w:val="005E4759"/>
    <w:rsid w:val="005E4DB5"/>
    <w:rsid w:val="005E5C68"/>
    <w:rsid w:val="005E65C0"/>
    <w:rsid w:val="005F0390"/>
    <w:rsid w:val="00603B59"/>
    <w:rsid w:val="006072CD"/>
    <w:rsid w:val="00612023"/>
    <w:rsid w:val="00614190"/>
    <w:rsid w:val="006212D9"/>
    <w:rsid w:val="00622A99"/>
    <w:rsid w:val="00622E67"/>
    <w:rsid w:val="00623841"/>
    <w:rsid w:val="00626B57"/>
    <w:rsid w:val="00626EDC"/>
    <w:rsid w:val="0062723D"/>
    <w:rsid w:val="00633E2D"/>
    <w:rsid w:val="006359BB"/>
    <w:rsid w:val="00642F44"/>
    <w:rsid w:val="006470EC"/>
    <w:rsid w:val="006542D6"/>
    <w:rsid w:val="0065598E"/>
    <w:rsid w:val="00655AF2"/>
    <w:rsid w:val="00655BC5"/>
    <w:rsid w:val="006568BE"/>
    <w:rsid w:val="0066025D"/>
    <w:rsid w:val="0066091A"/>
    <w:rsid w:val="00662966"/>
    <w:rsid w:val="00664AD8"/>
    <w:rsid w:val="006750A8"/>
    <w:rsid w:val="006773EC"/>
    <w:rsid w:val="00680504"/>
    <w:rsid w:val="00681CD9"/>
    <w:rsid w:val="00683E30"/>
    <w:rsid w:val="00687024"/>
    <w:rsid w:val="006874D5"/>
    <w:rsid w:val="00695A0C"/>
    <w:rsid w:val="00695E22"/>
    <w:rsid w:val="0069722C"/>
    <w:rsid w:val="006B7093"/>
    <w:rsid w:val="006B7417"/>
    <w:rsid w:val="006D3691"/>
    <w:rsid w:val="006D53A0"/>
    <w:rsid w:val="006E0515"/>
    <w:rsid w:val="006E5EF0"/>
    <w:rsid w:val="006F18C9"/>
    <w:rsid w:val="006F3563"/>
    <w:rsid w:val="006F42B9"/>
    <w:rsid w:val="006F4556"/>
    <w:rsid w:val="006F6103"/>
    <w:rsid w:val="00703AB8"/>
    <w:rsid w:val="00704E00"/>
    <w:rsid w:val="007138F0"/>
    <w:rsid w:val="007209E7"/>
    <w:rsid w:val="00720BAE"/>
    <w:rsid w:val="00726182"/>
    <w:rsid w:val="00727635"/>
    <w:rsid w:val="0073137D"/>
    <w:rsid w:val="00732329"/>
    <w:rsid w:val="007337CA"/>
    <w:rsid w:val="00734CE4"/>
    <w:rsid w:val="00735123"/>
    <w:rsid w:val="00736EDF"/>
    <w:rsid w:val="00741837"/>
    <w:rsid w:val="00742A35"/>
    <w:rsid w:val="00743031"/>
    <w:rsid w:val="007453E6"/>
    <w:rsid w:val="00767482"/>
    <w:rsid w:val="0077309D"/>
    <w:rsid w:val="00776D84"/>
    <w:rsid w:val="007772BE"/>
    <w:rsid w:val="007774EE"/>
    <w:rsid w:val="00780793"/>
    <w:rsid w:val="00781822"/>
    <w:rsid w:val="00783F21"/>
    <w:rsid w:val="00787159"/>
    <w:rsid w:val="0079043A"/>
    <w:rsid w:val="00791668"/>
    <w:rsid w:val="00791AA1"/>
    <w:rsid w:val="007965B1"/>
    <w:rsid w:val="00796EA9"/>
    <w:rsid w:val="007A3793"/>
    <w:rsid w:val="007C1BA2"/>
    <w:rsid w:val="007C2B48"/>
    <w:rsid w:val="007C3106"/>
    <w:rsid w:val="007D20E9"/>
    <w:rsid w:val="007D7881"/>
    <w:rsid w:val="007D7E3A"/>
    <w:rsid w:val="007E0E10"/>
    <w:rsid w:val="007E4768"/>
    <w:rsid w:val="007E4CF7"/>
    <w:rsid w:val="007E777B"/>
    <w:rsid w:val="007F2070"/>
    <w:rsid w:val="007F37DB"/>
    <w:rsid w:val="007F63C1"/>
    <w:rsid w:val="00801866"/>
    <w:rsid w:val="008028D8"/>
    <w:rsid w:val="008053F5"/>
    <w:rsid w:val="00807AF7"/>
    <w:rsid w:val="00810198"/>
    <w:rsid w:val="00815DA8"/>
    <w:rsid w:val="0082194D"/>
    <w:rsid w:val="008221F9"/>
    <w:rsid w:val="00826EF5"/>
    <w:rsid w:val="00831693"/>
    <w:rsid w:val="00840104"/>
    <w:rsid w:val="00840C1F"/>
    <w:rsid w:val="008411C9"/>
    <w:rsid w:val="00841FC5"/>
    <w:rsid w:val="00845709"/>
    <w:rsid w:val="008576BD"/>
    <w:rsid w:val="00860463"/>
    <w:rsid w:val="008617F6"/>
    <w:rsid w:val="0086405D"/>
    <w:rsid w:val="008733DA"/>
    <w:rsid w:val="008850E4"/>
    <w:rsid w:val="008939AB"/>
    <w:rsid w:val="008A0D6F"/>
    <w:rsid w:val="008A12F5"/>
    <w:rsid w:val="008B1587"/>
    <w:rsid w:val="008B1B01"/>
    <w:rsid w:val="008B3BCD"/>
    <w:rsid w:val="008B617D"/>
    <w:rsid w:val="008B6DF8"/>
    <w:rsid w:val="008C106C"/>
    <w:rsid w:val="008C10F1"/>
    <w:rsid w:val="008C1926"/>
    <w:rsid w:val="008C1E99"/>
    <w:rsid w:val="008C32E2"/>
    <w:rsid w:val="008E0085"/>
    <w:rsid w:val="008E2AA6"/>
    <w:rsid w:val="008E311B"/>
    <w:rsid w:val="008F46E7"/>
    <w:rsid w:val="008F6AEC"/>
    <w:rsid w:val="008F6F0B"/>
    <w:rsid w:val="008F7D05"/>
    <w:rsid w:val="00900DBE"/>
    <w:rsid w:val="00902E8D"/>
    <w:rsid w:val="00907BA7"/>
    <w:rsid w:val="0091064E"/>
    <w:rsid w:val="00911432"/>
    <w:rsid w:val="00911FC5"/>
    <w:rsid w:val="00930142"/>
    <w:rsid w:val="009307BA"/>
    <w:rsid w:val="00931A10"/>
    <w:rsid w:val="00933171"/>
    <w:rsid w:val="00947967"/>
    <w:rsid w:val="00955201"/>
    <w:rsid w:val="00955E4F"/>
    <w:rsid w:val="009600A6"/>
    <w:rsid w:val="00965200"/>
    <w:rsid w:val="009668B3"/>
    <w:rsid w:val="00971471"/>
    <w:rsid w:val="009849C2"/>
    <w:rsid w:val="00984D24"/>
    <w:rsid w:val="009858EB"/>
    <w:rsid w:val="00987E18"/>
    <w:rsid w:val="00994270"/>
    <w:rsid w:val="009A3F47"/>
    <w:rsid w:val="009B0046"/>
    <w:rsid w:val="009C1440"/>
    <w:rsid w:val="009C2107"/>
    <w:rsid w:val="009C5D9E"/>
    <w:rsid w:val="009D1AD2"/>
    <w:rsid w:val="009D2C3E"/>
    <w:rsid w:val="009E0625"/>
    <w:rsid w:val="009E3034"/>
    <w:rsid w:val="009E549F"/>
    <w:rsid w:val="009F28A8"/>
    <w:rsid w:val="009F473E"/>
    <w:rsid w:val="009F682A"/>
    <w:rsid w:val="00A022BE"/>
    <w:rsid w:val="00A07B4B"/>
    <w:rsid w:val="00A10513"/>
    <w:rsid w:val="00A24C95"/>
    <w:rsid w:val="00A2599A"/>
    <w:rsid w:val="00A26094"/>
    <w:rsid w:val="00A260E9"/>
    <w:rsid w:val="00A301BF"/>
    <w:rsid w:val="00A302B2"/>
    <w:rsid w:val="00A331B4"/>
    <w:rsid w:val="00A3484E"/>
    <w:rsid w:val="00A356D3"/>
    <w:rsid w:val="00A36ADA"/>
    <w:rsid w:val="00A3734E"/>
    <w:rsid w:val="00A438D8"/>
    <w:rsid w:val="00A473F5"/>
    <w:rsid w:val="00A51F9D"/>
    <w:rsid w:val="00A5416A"/>
    <w:rsid w:val="00A607BE"/>
    <w:rsid w:val="00A639F4"/>
    <w:rsid w:val="00A81A32"/>
    <w:rsid w:val="00A835BD"/>
    <w:rsid w:val="00A9034E"/>
    <w:rsid w:val="00A97B15"/>
    <w:rsid w:val="00AA39CD"/>
    <w:rsid w:val="00AA42D5"/>
    <w:rsid w:val="00AB2FAB"/>
    <w:rsid w:val="00AB5C14"/>
    <w:rsid w:val="00AC1EE7"/>
    <w:rsid w:val="00AC333F"/>
    <w:rsid w:val="00AC585C"/>
    <w:rsid w:val="00AD176D"/>
    <w:rsid w:val="00AD1925"/>
    <w:rsid w:val="00AE0153"/>
    <w:rsid w:val="00AE067D"/>
    <w:rsid w:val="00AE68C1"/>
    <w:rsid w:val="00AF1181"/>
    <w:rsid w:val="00AF2F79"/>
    <w:rsid w:val="00AF4653"/>
    <w:rsid w:val="00AF7DB7"/>
    <w:rsid w:val="00B10D02"/>
    <w:rsid w:val="00B201E2"/>
    <w:rsid w:val="00B2263E"/>
    <w:rsid w:val="00B37967"/>
    <w:rsid w:val="00B40435"/>
    <w:rsid w:val="00B443E4"/>
    <w:rsid w:val="00B5484D"/>
    <w:rsid w:val="00B563EA"/>
    <w:rsid w:val="00B56CDF"/>
    <w:rsid w:val="00B60E51"/>
    <w:rsid w:val="00B63A54"/>
    <w:rsid w:val="00B64449"/>
    <w:rsid w:val="00B7537D"/>
    <w:rsid w:val="00B77D18"/>
    <w:rsid w:val="00B81FA3"/>
    <w:rsid w:val="00B8313A"/>
    <w:rsid w:val="00B84D54"/>
    <w:rsid w:val="00B85635"/>
    <w:rsid w:val="00B914FB"/>
    <w:rsid w:val="00B93503"/>
    <w:rsid w:val="00B96E8A"/>
    <w:rsid w:val="00BA31E8"/>
    <w:rsid w:val="00BA55E0"/>
    <w:rsid w:val="00BA6BD4"/>
    <w:rsid w:val="00BA6C7A"/>
    <w:rsid w:val="00BB17D1"/>
    <w:rsid w:val="00BB3752"/>
    <w:rsid w:val="00BB501D"/>
    <w:rsid w:val="00BB61BA"/>
    <w:rsid w:val="00BB6688"/>
    <w:rsid w:val="00BC26D4"/>
    <w:rsid w:val="00BD5B09"/>
    <w:rsid w:val="00BE0C80"/>
    <w:rsid w:val="00BE2A2F"/>
    <w:rsid w:val="00BF2A42"/>
    <w:rsid w:val="00C03D8C"/>
    <w:rsid w:val="00C055EC"/>
    <w:rsid w:val="00C0654A"/>
    <w:rsid w:val="00C105EF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53E9C"/>
    <w:rsid w:val="00C575E0"/>
    <w:rsid w:val="00C60A4E"/>
    <w:rsid w:val="00C6123C"/>
    <w:rsid w:val="00C6311A"/>
    <w:rsid w:val="00C7084D"/>
    <w:rsid w:val="00C7315E"/>
    <w:rsid w:val="00C75895"/>
    <w:rsid w:val="00C83C9F"/>
    <w:rsid w:val="00C9064F"/>
    <w:rsid w:val="00C94840"/>
    <w:rsid w:val="00CA1CD7"/>
    <w:rsid w:val="00CA4EE3"/>
    <w:rsid w:val="00CB027F"/>
    <w:rsid w:val="00CC0EBB"/>
    <w:rsid w:val="00CC2F36"/>
    <w:rsid w:val="00CC4D8D"/>
    <w:rsid w:val="00CC6297"/>
    <w:rsid w:val="00CC752C"/>
    <w:rsid w:val="00CC7690"/>
    <w:rsid w:val="00CD1986"/>
    <w:rsid w:val="00CD54BF"/>
    <w:rsid w:val="00CE3EB3"/>
    <w:rsid w:val="00CE4D5C"/>
    <w:rsid w:val="00CF05DA"/>
    <w:rsid w:val="00CF58EB"/>
    <w:rsid w:val="00CF6FEC"/>
    <w:rsid w:val="00D0106E"/>
    <w:rsid w:val="00D06383"/>
    <w:rsid w:val="00D12747"/>
    <w:rsid w:val="00D20E85"/>
    <w:rsid w:val="00D24615"/>
    <w:rsid w:val="00D25308"/>
    <w:rsid w:val="00D34ADF"/>
    <w:rsid w:val="00D3552E"/>
    <w:rsid w:val="00D37842"/>
    <w:rsid w:val="00D378D6"/>
    <w:rsid w:val="00D41A19"/>
    <w:rsid w:val="00D42DC2"/>
    <w:rsid w:val="00D4302B"/>
    <w:rsid w:val="00D530A4"/>
    <w:rsid w:val="00D537E1"/>
    <w:rsid w:val="00D55BB2"/>
    <w:rsid w:val="00D6091A"/>
    <w:rsid w:val="00D6605A"/>
    <w:rsid w:val="00D6695F"/>
    <w:rsid w:val="00D717F4"/>
    <w:rsid w:val="00D75644"/>
    <w:rsid w:val="00D81656"/>
    <w:rsid w:val="00D83707"/>
    <w:rsid w:val="00D83D87"/>
    <w:rsid w:val="00D84A6D"/>
    <w:rsid w:val="00D86A30"/>
    <w:rsid w:val="00D97CB4"/>
    <w:rsid w:val="00D97DD4"/>
    <w:rsid w:val="00DA5A8A"/>
    <w:rsid w:val="00DB1170"/>
    <w:rsid w:val="00DB26CD"/>
    <w:rsid w:val="00DB2D43"/>
    <w:rsid w:val="00DB441C"/>
    <w:rsid w:val="00DB44AF"/>
    <w:rsid w:val="00DC1A36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657F"/>
    <w:rsid w:val="00DF1218"/>
    <w:rsid w:val="00DF321D"/>
    <w:rsid w:val="00DF6462"/>
    <w:rsid w:val="00E02FA0"/>
    <w:rsid w:val="00E036DC"/>
    <w:rsid w:val="00E06328"/>
    <w:rsid w:val="00E07B6D"/>
    <w:rsid w:val="00E10454"/>
    <w:rsid w:val="00E112E5"/>
    <w:rsid w:val="00E122D8"/>
    <w:rsid w:val="00E12CC8"/>
    <w:rsid w:val="00E15352"/>
    <w:rsid w:val="00E21CC7"/>
    <w:rsid w:val="00E24D9E"/>
    <w:rsid w:val="00E24FE2"/>
    <w:rsid w:val="00E2508E"/>
    <w:rsid w:val="00E25849"/>
    <w:rsid w:val="00E3197E"/>
    <w:rsid w:val="00E342F8"/>
    <w:rsid w:val="00E351ED"/>
    <w:rsid w:val="00E6034B"/>
    <w:rsid w:val="00E61C59"/>
    <w:rsid w:val="00E6549E"/>
    <w:rsid w:val="00E65EDE"/>
    <w:rsid w:val="00E70F81"/>
    <w:rsid w:val="00E77055"/>
    <w:rsid w:val="00E77460"/>
    <w:rsid w:val="00E83ABC"/>
    <w:rsid w:val="00E844F2"/>
    <w:rsid w:val="00E84E17"/>
    <w:rsid w:val="00E90AD0"/>
    <w:rsid w:val="00E92D11"/>
    <w:rsid w:val="00E92FCB"/>
    <w:rsid w:val="00EA0566"/>
    <w:rsid w:val="00EA147F"/>
    <w:rsid w:val="00EA4A27"/>
    <w:rsid w:val="00EA4FA6"/>
    <w:rsid w:val="00EA616A"/>
    <w:rsid w:val="00EB1A25"/>
    <w:rsid w:val="00EC7363"/>
    <w:rsid w:val="00ED03AB"/>
    <w:rsid w:val="00ED1963"/>
    <w:rsid w:val="00ED1CD4"/>
    <w:rsid w:val="00ED1D2B"/>
    <w:rsid w:val="00ED64B5"/>
    <w:rsid w:val="00EE055D"/>
    <w:rsid w:val="00EE7CCA"/>
    <w:rsid w:val="00F165B8"/>
    <w:rsid w:val="00F16A14"/>
    <w:rsid w:val="00F362D7"/>
    <w:rsid w:val="00F37D7B"/>
    <w:rsid w:val="00F5314C"/>
    <w:rsid w:val="00F5688C"/>
    <w:rsid w:val="00F60048"/>
    <w:rsid w:val="00F635AA"/>
    <w:rsid w:val="00F635DD"/>
    <w:rsid w:val="00F6627B"/>
    <w:rsid w:val="00F7336E"/>
    <w:rsid w:val="00F734F2"/>
    <w:rsid w:val="00F75052"/>
    <w:rsid w:val="00F76662"/>
    <w:rsid w:val="00F804D3"/>
    <w:rsid w:val="00F816CB"/>
    <w:rsid w:val="00F81CD2"/>
    <w:rsid w:val="00F82641"/>
    <w:rsid w:val="00F84A28"/>
    <w:rsid w:val="00F90F18"/>
    <w:rsid w:val="00F911BF"/>
    <w:rsid w:val="00F937E4"/>
    <w:rsid w:val="00F95EE7"/>
    <w:rsid w:val="00F97047"/>
    <w:rsid w:val="00FA0C3F"/>
    <w:rsid w:val="00FA39E6"/>
    <w:rsid w:val="00FA54F9"/>
    <w:rsid w:val="00FA7BC9"/>
    <w:rsid w:val="00FB378E"/>
    <w:rsid w:val="00FB37F1"/>
    <w:rsid w:val="00FB47C0"/>
    <w:rsid w:val="00FB501B"/>
    <w:rsid w:val="00FB7770"/>
    <w:rsid w:val="00FD3B91"/>
    <w:rsid w:val="00FD4501"/>
    <w:rsid w:val="00FD576B"/>
    <w:rsid w:val="00FD579E"/>
    <w:rsid w:val="00FD6845"/>
    <w:rsid w:val="00FE4516"/>
    <w:rsid w:val="00FE64C8"/>
    <w:rsid w:val="00FF1AD9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F9F8B0-273F-43EE-9004-BD9AA394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8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8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8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8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8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8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8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8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8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5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6"/>
      </w:numPr>
      <w:adjustRightInd w:val="0"/>
      <w:snapToGrid w:val="0"/>
      <w:spacing w:before="40" w:after="240" w:line="360" w:lineRule="exact"/>
      <w:ind w:left="480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7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9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1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c">
    <w:name w:val="footnote text"/>
    <w:basedOn w:val="a6"/>
    <w:link w:val="afd"/>
    <w:uiPriority w:val="99"/>
    <w:unhideWhenUsed/>
    <w:rsid w:val="00E2508E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rsid w:val="00E2508E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unhideWhenUsed/>
    <w:rsid w:val="00E2508E"/>
    <w:rPr>
      <w:vertAlign w:val="superscript"/>
    </w:rPr>
  </w:style>
  <w:style w:type="character" w:customStyle="1" w:styleId="30">
    <w:name w:val="標題 3 字元"/>
    <w:basedOn w:val="a7"/>
    <w:link w:val="3"/>
    <w:rsid w:val="00095BF5"/>
    <w:rPr>
      <w:rFonts w:ascii="標楷體" w:eastAsia="標楷體" w:hAnsi="Arial"/>
      <w:bCs/>
      <w:kern w:val="32"/>
      <w:sz w:val="32"/>
      <w:szCs w:val="36"/>
    </w:rPr>
  </w:style>
  <w:style w:type="paragraph" w:customStyle="1" w:styleId="aff">
    <w:name w:val="說明"/>
    <w:basedOn w:val="af1"/>
    <w:rsid w:val="00FF1AD9"/>
    <w:pPr>
      <w:overflowPunct/>
      <w:autoSpaceDE/>
      <w:autoSpaceDN/>
      <w:spacing w:line="640" w:lineRule="exact"/>
      <w:ind w:left="952" w:firstLineChars="0" w:hanging="952"/>
      <w:jc w:val="left"/>
    </w:pPr>
    <w:rPr>
      <w:rFonts w:ascii="Arial" w:hAnsi="Arial"/>
      <w:szCs w:val="24"/>
    </w:rPr>
  </w:style>
  <w:style w:type="paragraph" w:customStyle="1" w:styleId="141">
    <w:name w:val="第二層(14號字)"/>
    <w:rsid w:val="00994270"/>
    <w:pPr>
      <w:spacing w:line="500" w:lineRule="exact"/>
      <w:ind w:left="200" w:hangingChars="200" w:hanging="200"/>
      <w:jc w:val="both"/>
    </w:pPr>
    <w:rPr>
      <w:rFonts w:ascii="標楷體" w:eastAsia="標楷體"/>
      <w:b/>
      <w:snapToGrid w:val="0"/>
      <w:kern w:val="2"/>
      <w:sz w:val="28"/>
    </w:rPr>
  </w:style>
  <w:style w:type="paragraph" w:customStyle="1" w:styleId="aff0">
    <w:name w:val="(一)(二)(三)"/>
    <w:basedOn w:val="a6"/>
    <w:rsid w:val="00994270"/>
    <w:pPr>
      <w:overflowPunct/>
      <w:autoSpaceDE/>
      <w:autoSpaceDN/>
      <w:spacing w:line="500" w:lineRule="exact"/>
      <w:ind w:leftChars="200" w:left="300" w:hangingChars="100" w:hanging="100"/>
    </w:pPr>
    <w:rPr>
      <w:snapToGrid w:val="0"/>
      <w:sz w:val="28"/>
      <w:szCs w:val="28"/>
    </w:rPr>
  </w:style>
  <w:style w:type="paragraph" w:customStyle="1" w:styleId="123">
    <w:name w:val="1.2.3."/>
    <w:basedOn w:val="a6"/>
    <w:rsid w:val="00994270"/>
    <w:pPr>
      <w:overflowPunct/>
      <w:autoSpaceDE/>
      <w:autoSpaceDN/>
      <w:spacing w:line="500" w:lineRule="exact"/>
      <w:ind w:leftChars="300" w:left="400" w:hangingChars="100" w:hanging="100"/>
    </w:pPr>
    <w:rPr>
      <w:snapToGrid w:val="0"/>
      <w:sz w:val="28"/>
      <w:szCs w:val="28"/>
    </w:rPr>
  </w:style>
  <w:style w:type="paragraph" w:customStyle="1" w:styleId="142">
    <w:name w:val="表格內文(14行高)"/>
    <w:basedOn w:val="af4"/>
    <w:rsid w:val="00994270"/>
    <w:pPr>
      <w:overflowPunct/>
      <w:autoSpaceDE/>
      <w:autoSpaceDN/>
      <w:spacing w:line="280" w:lineRule="exact"/>
      <w:ind w:left="0" w:firstLineChars="0" w:firstLine="0"/>
      <w:jc w:val="left"/>
    </w:pPr>
    <w:rPr>
      <w:snapToGrid w:val="0"/>
      <w:sz w:val="24"/>
      <w:szCs w:val="28"/>
    </w:rPr>
  </w:style>
  <w:style w:type="paragraph" w:customStyle="1" w:styleId="200">
    <w:name w:val="表格內文(20行高)"/>
    <w:basedOn w:val="142"/>
    <w:rsid w:val="00994270"/>
    <w:pPr>
      <w:spacing w:line="400" w:lineRule="exact"/>
    </w:pPr>
  </w:style>
  <w:style w:type="paragraph" w:customStyle="1" w:styleId="22">
    <w:name w:val="(一)下內文縮2"/>
    <w:basedOn w:val="a6"/>
    <w:rsid w:val="00994270"/>
    <w:pPr>
      <w:overflowPunct/>
      <w:autoSpaceDE/>
      <w:autoSpaceDN/>
      <w:adjustRightInd w:val="0"/>
      <w:spacing w:line="500" w:lineRule="exact"/>
      <w:ind w:leftChars="300" w:left="300" w:firstLineChars="200" w:firstLine="200"/>
    </w:pPr>
    <w:rPr>
      <w:snapToGrid w:val="0"/>
      <w:sz w:val="28"/>
      <w:szCs w:val="28"/>
    </w:rPr>
  </w:style>
  <w:style w:type="paragraph" w:customStyle="1" w:styleId="aff1">
    <w:name w:val="註腳"/>
    <w:basedOn w:val="afc"/>
    <w:qFormat/>
    <w:rsid w:val="00994270"/>
    <w:pPr>
      <w:overflowPunct/>
      <w:autoSpaceDE/>
      <w:autoSpaceDN/>
      <w:spacing w:line="260" w:lineRule="exact"/>
      <w:ind w:left="194" w:hangingChars="87" w:hanging="194"/>
      <w:jc w:val="both"/>
    </w:pPr>
    <w:rPr>
      <w:bCs/>
      <w:noProof/>
      <w:kern w:val="0"/>
      <w:sz w:val="24"/>
      <w:szCs w:val="22"/>
    </w:rPr>
  </w:style>
  <w:style w:type="paragraph" w:customStyle="1" w:styleId="143">
    <w:name w:val="註腳(表格內文14行高左右齊)"/>
    <w:basedOn w:val="142"/>
    <w:qFormat/>
    <w:rsid w:val="00994270"/>
    <w:pPr>
      <w:wordWrap w:val="0"/>
      <w:ind w:leftChars="-15" w:left="153" w:hangingChars="80" w:hanging="19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1.hl.gov.tw/webplaw/data/%E5%9C%8B%E9%9A%9B%E6%A9%9F%E5%A0%B4%E5%9C%92%E5%8D%80%E7%99%BC%E5%B1%95%E6%A2%9D%E4%BE%8B.htm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6law.idv.tw/6law/law/%E7%99%BC%E5%B1%95%E8%A7%80%E5%85%89%E6%A2%9D%E4%BE%8B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F89BB-9B37-431E-A9F6-E2F78BF8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3</TotalTime>
  <Pages>23</Pages>
  <Words>1998</Words>
  <Characters>11395</Characters>
  <Application>Microsoft Office Word</Application>
  <DocSecurity>0</DocSecurity>
  <Lines>94</Lines>
  <Paragraphs>26</Paragraphs>
  <ScaleCrop>false</ScaleCrop>
  <Company>cy</Company>
  <LinksUpToDate>false</LinksUpToDate>
  <CharactersWithSpaces>13367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郭才華</dc:creator>
  <cp:lastModifiedBy>陳一杰</cp:lastModifiedBy>
  <cp:revision>4</cp:revision>
  <cp:lastPrinted>2018-10-01T08:53:00Z</cp:lastPrinted>
  <dcterms:created xsi:type="dcterms:W3CDTF">2018-10-09T09:26:00Z</dcterms:created>
  <dcterms:modified xsi:type="dcterms:W3CDTF">2018-10-12T07:07:00Z</dcterms:modified>
</cp:coreProperties>
</file>