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5C" w:rsidRPr="00E60E88" w:rsidRDefault="0039025C" w:rsidP="0039025C">
      <w:pPr>
        <w:pStyle w:val="1"/>
        <w:numPr>
          <w:ilvl w:val="0"/>
          <w:numId w:val="0"/>
        </w:numPr>
        <w:ind w:left="699" w:hanging="699"/>
      </w:pPr>
      <w:bookmarkStart w:id="0" w:name="_Toc524892372"/>
      <w:bookmarkStart w:id="1" w:name="_Toc525066144"/>
      <w:bookmarkStart w:id="2" w:name="_Toc529218261"/>
      <w:bookmarkStart w:id="3" w:name="_Toc529222684"/>
      <w:bookmarkStart w:id="4" w:name="_Toc529223106"/>
      <w:bookmarkStart w:id="5" w:name="_Toc529223857"/>
      <w:bookmarkStart w:id="6" w:name="_Toc529228253"/>
      <w:bookmarkStart w:id="7" w:name="_Toc2400390"/>
      <w:bookmarkStart w:id="8" w:name="_Toc4316184"/>
      <w:bookmarkStart w:id="9" w:name="_Toc4473325"/>
      <w:bookmarkStart w:id="10" w:name="_Toc69556892"/>
      <w:bookmarkStart w:id="11" w:name="_Toc69556941"/>
      <w:bookmarkStart w:id="12" w:name="_Toc69609815"/>
      <w:bookmarkStart w:id="13" w:name="_Toc70241811"/>
      <w:bookmarkStart w:id="14" w:name="_Toc70242200"/>
    </w:p>
    <w:p w:rsidR="00717DAD" w:rsidRPr="00E60E88" w:rsidRDefault="000810EC" w:rsidP="00F33E64">
      <w:pPr>
        <w:pStyle w:val="1"/>
        <w:numPr>
          <w:ilvl w:val="0"/>
          <w:numId w:val="0"/>
        </w:numPr>
        <w:jc w:val="center"/>
      </w:pPr>
      <w:bookmarkStart w:id="15" w:name="_Toc524895646"/>
      <w:bookmarkStart w:id="16" w:name="_Toc524896192"/>
      <w:bookmarkStart w:id="17" w:name="_Toc524896222"/>
      <w:bookmarkStart w:id="18" w:name="_Toc524902729"/>
      <w:bookmarkStart w:id="19" w:name="_Toc525066145"/>
      <w:bookmarkStart w:id="20" w:name="_Toc525070836"/>
      <w:bookmarkStart w:id="21" w:name="_Toc525938376"/>
      <w:bookmarkStart w:id="22" w:name="_Toc525939224"/>
      <w:bookmarkStart w:id="23" w:name="_Toc525939729"/>
      <w:bookmarkStart w:id="24" w:name="_Toc529218269"/>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60E88">
        <w:rPr>
          <w:rFonts w:hint="eastAsia"/>
        </w:rPr>
        <w:t>調查意見：</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B04B3B" w:rsidRPr="00E60E88" w:rsidRDefault="00B04B3B">
      <w:pPr>
        <w:pStyle w:val="10"/>
        <w:ind w:left="680" w:firstLine="680"/>
      </w:pPr>
      <w:bookmarkStart w:id="37" w:name="_Toc524902730"/>
      <w:proofErr w:type="gramStart"/>
      <w:r w:rsidRPr="00E60E88">
        <w:rPr>
          <w:rFonts w:hint="eastAsia"/>
        </w:rPr>
        <w:t>據訴</w:t>
      </w:r>
      <w:proofErr w:type="gramEnd"/>
      <w:r w:rsidRPr="00E60E88">
        <w:rPr>
          <w:rFonts w:hint="eastAsia"/>
        </w:rPr>
        <w:t>：渠等於民國（下同）77年間陸續購入坐落臺北市士林區至善段土地多筆，總共約6,023坪。該等土地自68年臺北市政府已編定為「保變住編號住25地區」，並於76年6月2日修訂細部計畫公告實施在案。</w:t>
      </w:r>
      <w:proofErr w:type="gramStart"/>
      <w:r w:rsidRPr="00E60E88">
        <w:rPr>
          <w:rFonts w:hint="eastAsia"/>
        </w:rPr>
        <w:t>廿</w:t>
      </w:r>
      <w:proofErr w:type="gramEnd"/>
      <w:r w:rsidRPr="00E60E88">
        <w:rPr>
          <w:rFonts w:hint="eastAsia"/>
        </w:rPr>
        <w:t>餘年來，陳述人等多次提出開發方案，</w:t>
      </w:r>
      <w:proofErr w:type="gramStart"/>
      <w:r w:rsidRPr="00E60E88">
        <w:rPr>
          <w:rFonts w:hint="eastAsia"/>
        </w:rPr>
        <w:t>詎該府今卻</w:t>
      </w:r>
      <w:proofErr w:type="gramEnd"/>
      <w:r w:rsidRPr="00E60E88">
        <w:rPr>
          <w:rFonts w:hint="eastAsia"/>
        </w:rPr>
        <w:t>表示該區不可開發，損及權益</w:t>
      </w:r>
      <w:proofErr w:type="gramStart"/>
      <w:r w:rsidRPr="00E60E88">
        <w:rPr>
          <w:rFonts w:hint="eastAsia"/>
        </w:rPr>
        <w:t>等情乙案</w:t>
      </w:r>
      <w:proofErr w:type="gramEnd"/>
      <w:r w:rsidRPr="00E60E88">
        <w:rPr>
          <w:rFonts w:hint="eastAsia"/>
        </w:rPr>
        <w:t>，經於100年6月28日至現場履</w:t>
      </w:r>
      <w:proofErr w:type="gramStart"/>
      <w:r w:rsidRPr="00E60E88">
        <w:rPr>
          <w:rFonts w:hint="eastAsia"/>
        </w:rPr>
        <w:t>勘</w:t>
      </w:r>
      <w:proofErr w:type="gramEnd"/>
      <w:r w:rsidRPr="00E60E88">
        <w:rPr>
          <w:rFonts w:hint="eastAsia"/>
        </w:rPr>
        <w:t>，聽取臺北市政府都市發展局、環保局、地政處及土地開發總隊說明簡報，且詢問相關案情。並於100年9月21日諮詢政治大學法律學系劉宗德教授、中華大學建築與都市計畫學系解鴻年教授，業</w:t>
      </w:r>
      <w:proofErr w:type="gramStart"/>
      <w:r w:rsidRPr="00E60E88">
        <w:rPr>
          <w:rFonts w:hint="eastAsia"/>
        </w:rPr>
        <w:t>調查竣事</w:t>
      </w:r>
      <w:proofErr w:type="gramEnd"/>
      <w:r w:rsidRPr="00E60E88">
        <w:rPr>
          <w:rFonts w:hint="eastAsia"/>
        </w:rPr>
        <w:t>，茲將調查意見</w:t>
      </w:r>
      <w:proofErr w:type="gramStart"/>
      <w:r w:rsidRPr="00E60E88">
        <w:rPr>
          <w:rFonts w:hint="eastAsia"/>
        </w:rPr>
        <w:t>臚</w:t>
      </w:r>
      <w:proofErr w:type="gramEnd"/>
      <w:r w:rsidRPr="00E60E88">
        <w:rPr>
          <w:rFonts w:hint="eastAsia"/>
        </w:rPr>
        <w:t>述如下：</w:t>
      </w:r>
      <w:r w:rsidRPr="00E60E88">
        <w:t xml:space="preserve"> </w:t>
      </w:r>
    </w:p>
    <w:p w:rsidR="00B04B3B" w:rsidRPr="00E60E88" w:rsidRDefault="00B04B3B" w:rsidP="00842AB4">
      <w:pPr>
        <w:pStyle w:val="2"/>
        <w:ind w:left="1360" w:hanging="680"/>
        <w:rPr>
          <w:rFonts w:hAnsi="標楷體"/>
          <w:b/>
          <w:szCs w:val="32"/>
        </w:rPr>
      </w:pPr>
      <w:r w:rsidRPr="00E60E88">
        <w:rPr>
          <w:rFonts w:hint="eastAsia"/>
          <w:b/>
        </w:rPr>
        <w:t>臺北市政府於變更本案都市計畫前，未能縝密評估地區地形及現況，考量相關因素，即率予變更為住宅區並完成細部計畫，復因法令更迭開發限制日趨</w:t>
      </w:r>
      <w:proofErr w:type="gramStart"/>
      <w:r w:rsidRPr="00E60E88">
        <w:rPr>
          <w:rFonts w:hint="eastAsia"/>
          <w:b/>
        </w:rPr>
        <w:t>嚴格，</w:t>
      </w:r>
      <w:proofErr w:type="gramEnd"/>
      <w:r w:rsidRPr="00E60E88">
        <w:rPr>
          <w:rFonts w:hint="eastAsia"/>
          <w:b/>
        </w:rPr>
        <w:t>致民眾信賴政府公布之計畫取得土地，並投入開發成本，卻延宕迄今仍無法建築使用；復因進行公辦市地重劃，而且縮小面積，使陳情人</w:t>
      </w:r>
      <w:proofErr w:type="gramStart"/>
      <w:r w:rsidRPr="00E60E88">
        <w:rPr>
          <w:rFonts w:hint="eastAsia"/>
          <w:b/>
        </w:rPr>
        <w:t>誤信公辦</w:t>
      </w:r>
      <w:proofErr w:type="gramEnd"/>
      <w:r w:rsidRPr="00E60E88">
        <w:rPr>
          <w:rFonts w:hint="eastAsia"/>
          <w:b/>
        </w:rPr>
        <w:t>可行，嗣後卻無法辦理，造成陳訴人不合理的期待，不啻</w:t>
      </w:r>
      <w:proofErr w:type="gramStart"/>
      <w:r w:rsidRPr="00E60E88">
        <w:rPr>
          <w:rFonts w:hint="eastAsia"/>
          <w:b/>
        </w:rPr>
        <w:t>斲</w:t>
      </w:r>
      <w:proofErr w:type="gramEnd"/>
      <w:r w:rsidRPr="00E60E88">
        <w:rPr>
          <w:rFonts w:hint="eastAsia"/>
          <w:b/>
        </w:rPr>
        <w:t>傷政府威信與人民之信賴，更嚴重損及民眾之權益，難謂允當。</w:t>
      </w:r>
    </w:p>
    <w:p w:rsidR="00B04B3B" w:rsidRPr="00E60E88" w:rsidRDefault="00B04B3B" w:rsidP="00812436">
      <w:pPr>
        <w:pStyle w:val="3"/>
        <w:ind w:left="1360" w:hanging="680"/>
      </w:pPr>
      <w:r w:rsidRPr="00E60E88">
        <w:rPr>
          <w:rFonts w:hint="eastAsia"/>
        </w:rPr>
        <w:t>按臺北市政府於64年間辦理都市計畫保護區通盤檢討，68年2月12日公告發布實施「變更臺北市都市計畫保護區計畫（通盤檢討）」案。因當時保護區變更為住宅係主要計畫之分區變更，尚待擬定細部計畫，故於公告案計畫說明書內附有「臺北市保護區變更為住宅區開發要點」（下稱保變住開發要點），規定變更地區開發條件及開發細節，內容有「以開發區為單位，</w:t>
      </w:r>
      <w:proofErr w:type="gramStart"/>
      <w:r w:rsidRPr="00E60E88">
        <w:rPr>
          <w:rFonts w:hint="eastAsia"/>
        </w:rPr>
        <w:t>採</w:t>
      </w:r>
      <w:proofErr w:type="gramEnd"/>
      <w:r w:rsidRPr="00E60E88">
        <w:rPr>
          <w:rFonts w:hint="eastAsia"/>
        </w:rPr>
        <w:t>自辦重劃或要求政府協助</w:t>
      </w:r>
      <w:r w:rsidRPr="00E60E88">
        <w:rPr>
          <w:rFonts w:hint="eastAsia"/>
        </w:rPr>
        <w:lastRenderedPageBreak/>
        <w:t>辦理方式實施整體規劃與開發。」等6項。簡言之，各開發區應以全區為範圍，而由開發申請人自行擬定細部計畫後，以自辦重劃或要求政府協助辦理方式整體開發。</w:t>
      </w:r>
    </w:p>
    <w:p w:rsidR="00B04B3B" w:rsidRPr="00E60E88" w:rsidRDefault="00B04B3B" w:rsidP="00812436">
      <w:pPr>
        <w:pStyle w:val="3"/>
        <w:ind w:left="1360" w:hanging="680"/>
      </w:pPr>
      <w:r w:rsidRPr="00E60E88">
        <w:rPr>
          <w:rFonts w:hint="eastAsia"/>
        </w:rPr>
        <w:t>查陳訴人等所有士林區至善段三小段土地，面積19,910.98平方公尺，約6,023.07坪（下稱系爭土地）係屬上述68年2月12日公告變更25處保護區為住宅區中之一部分，編號「住25」（下稱系爭「住25」地區）。惟該區不同於其他「保變住」地區，其細部計畫業經納入「擬訂外雙溪附近地區細部計畫暨配合修訂主要計畫案」並於70年6月29日發布實施，屬已完成細部計畫地區，且該細部計畫又經通盤檢討修訂後於76年6月2日發布實施在案。系爭土地所有人中除同小段○○地號之共有人林○○○</w:t>
      </w:r>
      <w:proofErr w:type="gramStart"/>
      <w:r w:rsidRPr="00E60E88">
        <w:rPr>
          <w:rFonts w:hint="eastAsia"/>
        </w:rPr>
        <w:t>（</w:t>
      </w:r>
      <w:proofErr w:type="gramEnd"/>
      <w:r w:rsidRPr="00E60E88">
        <w:rPr>
          <w:rFonts w:hint="eastAsia"/>
        </w:rPr>
        <w:t>面積615平方公尺，權利範圍：10000分之537，計33.03平方公尺</w:t>
      </w:r>
      <w:proofErr w:type="gramStart"/>
      <w:r w:rsidRPr="00E60E88">
        <w:rPr>
          <w:rFonts w:hint="eastAsia"/>
        </w:rPr>
        <w:t>）</w:t>
      </w:r>
      <w:proofErr w:type="gramEnd"/>
      <w:r w:rsidRPr="00E60E88">
        <w:rPr>
          <w:rFonts w:hint="eastAsia"/>
        </w:rPr>
        <w:t>係於76年5月取得土地，其餘</w:t>
      </w:r>
      <w:proofErr w:type="gramStart"/>
      <w:r w:rsidRPr="00E60E88">
        <w:rPr>
          <w:rFonts w:hint="eastAsia"/>
        </w:rPr>
        <w:t>所有人均在76年6月2日</w:t>
      </w:r>
      <w:proofErr w:type="gramEnd"/>
      <w:r w:rsidRPr="00E60E88">
        <w:rPr>
          <w:rFonts w:hint="eastAsia"/>
        </w:rPr>
        <w:t>細部計畫通盤檢討修訂發布實施後始取得土地。</w:t>
      </w:r>
    </w:p>
    <w:p w:rsidR="00B04B3B" w:rsidRPr="00E60E88" w:rsidRDefault="00B04B3B" w:rsidP="00C125A0">
      <w:pPr>
        <w:pStyle w:val="3"/>
        <w:ind w:left="1360" w:hanging="680"/>
      </w:pPr>
      <w:r w:rsidRPr="00E60E88">
        <w:rPr>
          <w:rFonts w:hint="eastAsia"/>
        </w:rPr>
        <w:t>陳訴人等於取得系爭土地，</w:t>
      </w:r>
      <w:proofErr w:type="gramStart"/>
      <w:r w:rsidRPr="00E60E88">
        <w:rPr>
          <w:rFonts w:hint="eastAsia"/>
        </w:rPr>
        <w:t>即依系爭</w:t>
      </w:r>
      <w:proofErr w:type="gramEnd"/>
      <w:r w:rsidRPr="00E60E88">
        <w:rPr>
          <w:rFonts w:hint="eastAsia"/>
        </w:rPr>
        <w:t>「住25」地區細部計畫及「保變住開發要點」規定積極辦理市地重劃，歷經：</w:t>
      </w:r>
    </w:p>
    <w:p w:rsidR="00B04B3B" w:rsidRPr="00E60E88" w:rsidRDefault="00B04B3B" w:rsidP="00535E28">
      <w:pPr>
        <w:pStyle w:val="4"/>
        <w:ind w:left="1700" w:hanging="680"/>
      </w:pPr>
      <w:r w:rsidRPr="00E60E88">
        <w:rPr>
          <w:rFonts w:hint="eastAsia"/>
        </w:rPr>
        <w:t>78年4月18日向臺北市政府申請成立自辦市地重劃區籌備會，經該府同年6月13日備查成立。惟因該籌備會無法依「獎勵土地所有權人辦理市地重劃辦法」第11條第2項規定之法定人數（該區土地所有權人3/4出席）召開會員大會，而於79年5月8日申請解散該籌備會。</w:t>
      </w:r>
    </w:p>
    <w:p w:rsidR="00B04B3B" w:rsidRPr="00E60E88" w:rsidRDefault="00B04B3B" w:rsidP="00535E28">
      <w:pPr>
        <w:pStyle w:val="4"/>
        <w:ind w:left="1700" w:hanging="680"/>
      </w:pPr>
      <w:r w:rsidRPr="00E60E88">
        <w:rPr>
          <w:rFonts w:hint="eastAsia"/>
        </w:rPr>
        <w:t>79年5月8日依平均地權條例第</w:t>
      </w:r>
      <w:r w:rsidRPr="00E60E88">
        <w:t>57</w:t>
      </w:r>
      <w:r w:rsidRPr="00E60E88">
        <w:rPr>
          <w:rFonts w:hint="eastAsia"/>
        </w:rPr>
        <w:t>條規定，向臺北市政府申請優先辦理系爭「住25」地區市地重劃（即公辦市地重劃）。惟與「保變住開發要點」</w:t>
      </w:r>
      <w:r w:rsidRPr="00E60E88">
        <w:rPr>
          <w:rFonts w:hint="eastAsia"/>
        </w:rPr>
        <w:lastRenderedPageBreak/>
        <w:t>要求以自辦市地重劃方式開發規定仍有所不符，且「保變住開發要點」修正案尚在審議中，而無法辦理。</w:t>
      </w:r>
    </w:p>
    <w:p w:rsidR="00B04B3B" w:rsidRPr="00E60E88" w:rsidRDefault="00B04B3B" w:rsidP="00535E28">
      <w:pPr>
        <w:pStyle w:val="4"/>
        <w:ind w:left="1700" w:hanging="680"/>
      </w:pPr>
      <w:r w:rsidRPr="00E60E88">
        <w:rPr>
          <w:rFonts w:hint="eastAsia"/>
        </w:rPr>
        <w:t>82年8月3日陳訴人再提出申請，仍因申請重劃之範圍與細部計畫規定不符而無法進行。</w:t>
      </w:r>
    </w:p>
    <w:p w:rsidR="00B04B3B" w:rsidRPr="00E60E88" w:rsidRDefault="00B04B3B" w:rsidP="00535E28">
      <w:pPr>
        <w:pStyle w:val="4"/>
        <w:numPr>
          <w:ilvl w:val="0"/>
          <w:numId w:val="0"/>
        </w:numPr>
        <w:tabs>
          <w:tab w:val="left" w:pos="1843"/>
        </w:tabs>
        <w:ind w:left="1418" w:firstLine="567"/>
      </w:pPr>
      <w:r w:rsidRPr="00E60E88">
        <w:rPr>
          <w:rFonts w:hint="eastAsia"/>
        </w:rPr>
        <w:t>及至83年10月7日「保變住開發要點」修正通過，將開發條件修正為：1.各開發區以自辦重劃為原則，必要時得依平均地權條例請求政府協助辦理整體規劃與開發；如開發區內已有建築密集地區，且參與重劃困難，得於擬訂細部計畫時，經規劃單位認定，自重劃範圍剔除之。2.除</w:t>
      </w:r>
      <w:proofErr w:type="gramStart"/>
      <w:r w:rsidRPr="00E60E88">
        <w:rPr>
          <w:rFonts w:hint="eastAsia"/>
        </w:rPr>
        <w:t>闢</w:t>
      </w:r>
      <w:proofErr w:type="gramEnd"/>
      <w:r w:rsidRPr="00E60E88">
        <w:rPr>
          <w:rFonts w:hint="eastAsia"/>
        </w:rPr>
        <w:t>建道路外，坡度超過30％以上地區，原則不准開挖、填土。但如有適當之擋土及排水設施，則坡度30％至45可做法定空地，坡度逾45％以上者應於細部計畫檢討列為公園、綠地</w:t>
      </w:r>
      <w:proofErr w:type="gramStart"/>
      <w:r w:rsidRPr="00E60E88">
        <w:rPr>
          <w:rFonts w:hint="eastAsia"/>
        </w:rPr>
        <w:t>（</w:t>
      </w:r>
      <w:proofErr w:type="gramEnd"/>
      <w:r w:rsidRPr="00E60E88">
        <w:rPr>
          <w:rFonts w:hint="eastAsia"/>
        </w:rPr>
        <w:t>該要點貳、一、</w:t>
      </w:r>
      <w:proofErr w:type="gramStart"/>
      <w:r w:rsidRPr="00E60E88">
        <w:rPr>
          <w:rFonts w:hint="eastAsia"/>
        </w:rPr>
        <w:t>（</w:t>
      </w:r>
      <w:proofErr w:type="gramEnd"/>
      <w:r w:rsidRPr="00E60E88">
        <w:rPr>
          <w:rFonts w:hint="eastAsia"/>
        </w:rPr>
        <w:t>二</w:t>
      </w:r>
      <w:proofErr w:type="gramStart"/>
      <w:r w:rsidRPr="00E60E88">
        <w:rPr>
          <w:rFonts w:hint="eastAsia"/>
        </w:rPr>
        <w:t>）</w:t>
      </w:r>
      <w:proofErr w:type="gramEnd"/>
      <w:r w:rsidRPr="00E60E88">
        <w:rPr>
          <w:rFonts w:hint="eastAsia"/>
        </w:rPr>
        <w:t>及貳、九、（三）參照</w:t>
      </w:r>
      <w:proofErr w:type="gramStart"/>
      <w:r w:rsidRPr="00E60E88">
        <w:rPr>
          <w:rFonts w:hint="eastAsia"/>
        </w:rPr>
        <w:t>）</w:t>
      </w:r>
      <w:proofErr w:type="gramEnd"/>
      <w:r w:rsidRPr="00E60E88">
        <w:rPr>
          <w:rFonts w:hint="eastAsia"/>
        </w:rPr>
        <w:t>，公辦市地重劃才得以進行。</w:t>
      </w:r>
    </w:p>
    <w:p w:rsidR="00B04B3B" w:rsidRPr="00E60E88" w:rsidRDefault="00B04B3B" w:rsidP="00C125A0">
      <w:pPr>
        <w:pStyle w:val="3"/>
        <w:ind w:left="1360" w:hanging="680"/>
      </w:pPr>
      <w:proofErr w:type="gramStart"/>
      <w:r w:rsidRPr="00E60E88">
        <w:rPr>
          <w:rFonts w:hint="eastAsia"/>
        </w:rPr>
        <w:t>惟依系爭</w:t>
      </w:r>
      <w:proofErr w:type="gramEnd"/>
      <w:r w:rsidRPr="00E60E88">
        <w:rPr>
          <w:rFonts w:hint="eastAsia"/>
        </w:rPr>
        <w:t>「住25」地區細部計畫，北側陡峭區劃設計畫道路，顯無法開闢，且計畫範圍內</w:t>
      </w:r>
      <w:proofErr w:type="gramStart"/>
      <w:r w:rsidRPr="00E60E88">
        <w:rPr>
          <w:rFonts w:hint="eastAsia"/>
        </w:rPr>
        <w:t>東北側已有</w:t>
      </w:r>
      <w:proofErr w:type="gramEnd"/>
      <w:r w:rsidRPr="00E60E88">
        <w:rPr>
          <w:rFonts w:hint="eastAsia"/>
        </w:rPr>
        <w:t>密集建築使用地區，不願參與重劃，復以山坡地坡度超過30％供做空地比之問題遲遲未決，延誤7年有餘未能實施重劃，陳訴人乃於83年10月12日向臺北市議會陳情，請該議會協調臺北市政府儘速檢討修訂系爭「住25」地區細部計畫，早日辦理市地重劃。案經該府於</w:t>
      </w:r>
      <w:r w:rsidRPr="00E60E88">
        <w:t>83</w:t>
      </w:r>
      <w:r w:rsidRPr="00E60E88">
        <w:rPr>
          <w:rFonts w:hint="eastAsia"/>
        </w:rPr>
        <w:t>年</w:t>
      </w:r>
      <w:r w:rsidRPr="00E60E88">
        <w:t>11</w:t>
      </w:r>
      <w:r w:rsidRPr="00E60E88">
        <w:rPr>
          <w:rFonts w:hint="eastAsia"/>
        </w:rPr>
        <w:t>月28日召開第1次工作小組會議，作成結論略</w:t>
      </w:r>
      <w:proofErr w:type="gramStart"/>
      <w:r w:rsidRPr="00E60E88">
        <w:rPr>
          <w:rFonts w:hint="eastAsia"/>
        </w:rPr>
        <w:t>以</w:t>
      </w:r>
      <w:proofErr w:type="gramEnd"/>
      <w:r w:rsidRPr="00E60E88">
        <w:rPr>
          <w:rFonts w:hint="eastAsia"/>
        </w:rPr>
        <w:t>：由該府地政處提出都市計畫變更案之申請。84年7月6日召開第2次工作小組會議，作成結論略</w:t>
      </w:r>
      <w:proofErr w:type="gramStart"/>
      <w:r w:rsidRPr="00E60E88">
        <w:rPr>
          <w:rFonts w:hint="eastAsia"/>
        </w:rPr>
        <w:t>以</w:t>
      </w:r>
      <w:proofErr w:type="gramEnd"/>
      <w:r w:rsidRPr="00E60E88">
        <w:rPr>
          <w:rFonts w:hint="eastAsia"/>
        </w:rPr>
        <w:t>：本案涉及環境影響評估及水土保持計畫部分，應於各開發階段依法辦理。</w:t>
      </w:r>
      <w:r w:rsidRPr="00E60E88">
        <w:rPr>
          <w:rFonts w:hAnsi="標楷體" w:cs="新細明體" w:hint="eastAsia"/>
          <w:kern w:val="36"/>
          <w:szCs w:val="32"/>
        </w:rPr>
        <w:t>環境影響評估法</w:t>
      </w:r>
      <w:r w:rsidRPr="00E60E88">
        <w:rPr>
          <w:rFonts w:hAnsi="標楷體" w:cs="新細明體" w:hint="eastAsia"/>
          <w:bCs w:val="0"/>
          <w:kern w:val="36"/>
          <w:szCs w:val="32"/>
        </w:rPr>
        <w:t>於</w:t>
      </w:r>
      <w:r w:rsidRPr="00E60E88">
        <w:rPr>
          <w:rFonts w:hAnsi="標楷體" w:cs="新細明體"/>
          <w:iCs/>
          <w:szCs w:val="32"/>
        </w:rPr>
        <w:t>八十三年十二月三十日</w:t>
      </w:r>
      <w:r w:rsidRPr="00E60E88">
        <w:rPr>
          <w:rFonts w:hAnsi="標楷體" w:cs="新細明體" w:hint="eastAsia"/>
          <w:iCs/>
          <w:szCs w:val="32"/>
        </w:rPr>
        <w:t>以</w:t>
      </w:r>
      <w:r w:rsidRPr="00E60E88">
        <w:rPr>
          <w:rFonts w:hAnsi="標楷體" w:cs="新細明體"/>
          <w:iCs/>
          <w:szCs w:val="32"/>
        </w:rPr>
        <w:t>總統華總(</w:t>
      </w:r>
      <w:proofErr w:type="gramStart"/>
      <w:r w:rsidRPr="00E60E88">
        <w:rPr>
          <w:rFonts w:hAnsi="標楷體" w:cs="新細明體"/>
          <w:iCs/>
          <w:szCs w:val="32"/>
        </w:rPr>
        <w:t>一</w:t>
      </w:r>
      <w:proofErr w:type="gramEnd"/>
      <w:r w:rsidRPr="00E60E88">
        <w:rPr>
          <w:rFonts w:hAnsi="標楷體" w:cs="新細明體"/>
          <w:iCs/>
          <w:szCs w:val="32"/>
        </w:rPr>
        <w:t>)</w:t>
      </w:r>
      <w:proofErr w:type="gramStart"/>
      <w:r w:rsidRPr="00E60E88">
        <w:rPr>
          <w:rFonts w:hAnsi="標楷體" w:cs="新細明體"/>
          <w:iCs/>
          <w:szCs w:val="32"/>
        </w:rPr>
        <w:t>義字第八一五六</w:t>
      </w:r>
      <w:proofErr w:type="gramEnd"/>
      <w:r w:rsidRPr="00E60E88">
        <w:rPr>
          <w:rFonts w:hAnsi="標楷體" w:cs="新細明體"/>
          <w:iCs/>
          <w:szCs w:val="32"/>
        </w:rPr>
        <w:t>號令制定公布</w:t>
      </w:r>
      <w:r w:rsidRPr="00E60E88">
        <w:rPr>
          <w:rFonts w:hAnsi="標楷體" w:cs="新細明體" w:hint="eastAsia"/>
          <w:iCs/>
          <w:szCs w:val="32"/>
        </w:rPr>
        <w:t>實施，而水土</w:t>
      </w:r>
      <w:r w:rsidRPr="00E60E88">
        <w:rPr>
          <w:rFonts w:hAnsi="標楷體" w:cs="新細明體" w:hint="eastAsia"/>
          <w:iCs/>
          <w:szCs w:val="32"/>
        </w:rPr>
        <w:lastRenderedPageBreak/>
        <w:t>保持法於</w:t>
      </w:r>
      <w:r w:rsidRPr="00E60E88">
        <w:rPr>
          <w:rFonts w:hAnsi="標楷體"/>
          <w:szCs w:val="32"/>
        </w:rPr>
        <w:t>八十三年五月二十七日</w:t>
      </w:r>
      <w:r w:rsidRPr="00E60E88">
        <w:rPr>
          <w:rFonts w:hAnsi="標楷體" w:hint="eastAsia"/>
          <w:szCs w:val="32"/>
        </w:rPr>
        <w:t>以</w:t>
      </w:r>
      <w:r w:rsidRPr="00E60E88">
        <w:rPr>
          <w:rFonts w:hAnsi="標楷體"/>
          <w:szCs w:val="32"/>
        </w:rPr>
        <w:t>總統華總 (</w:t>
      </w:r>
      <w:proofErr w:type="gramStart"/>
      <w:r w:rsidRPr="00E60E88">
        <w:rPr>
          <w:rFonts w:hAnsi="標楷體"/>
          <w:szCs w:val="32"/>
        </w:rPr>
        <w:t>一</w:t>
      </w:r>
      <w:proofErr w:type="gramEnd"/>
      <w:r w:rsidRPr="00E60E88">
        <w:rPr>
          <w:rFonts w:hAnsi="標楷體"/>
          <w:szCs w:val="32"/>
        </w:rPr>
        <w:t xml:space="preserve">) </w:t>
      </w:r>
      <w:proofErr w:type="gramStart"/>
      <w:r w:rsidRPr="00E60E88">
        <w:rPr>
          <w:rFonts w:hAnsi="標楷體"/>
          <w:szCs w:val="32"/>
        </w:rPr>
        <w:t>義字第二八四五</w:t>
      </w:r>
      <w:proofErr w:type="gramEnd"/>
      <w:r w:rsidRPr="00E60E88">
        <w:rPr>
          <w:rFonts w:hAnsi="標楷體"/>
          <w:szCs w:val="32"/>
        </w:rPr>
        <w:t>號令</w:t>
      </w:r>
      <w:r w:rsidRPr="00E60E88">
        <w:rPr>
          <w:rFonts w:hAnsi="標楷體" w:hint="eastAsia"/>
          <w:szCs w:val="32"/>
        </w:rPr>
        <w:t>制定公布實施，業無從免除環境影響評估與應擬具水土保持計畫，並</w:t>
      </w:r>
      <w:r w:rsidRPr="00E60E88">
        <w:rPr>
          <w:rFonts w:hAnsi="標楷體" w:cs="新細明體"/>
          <w:szCs w:val="32"/>
        </w:rPr>
        <w:t>送請</w:t>
      </w:r>
      <w:r w:rsidRPr="00E60E88">
        <w:rPr>
          <w:rFonts w:hAnsi="標楷體" w:cs="新細明體" w:hint="eastAsia"/>
          <w:szCs w:val="32"/>
        </w:rPr>
        <w:t>台北市政府</w:t>
      </w:r>
      <w:r w:rsidRPr="00E60E88">
        <w:rPr>
          <w:rFonts w:hAnsi="標楷體" w:cs="新細明體"/>
          <w:szCs w:val="32"/>
        </w:rPr>
        <w:t>核定</w:t>
      </w:r>
      <w:r w:rsidRPr="00E60E88">
        <w:rPr>
          <w:rFonts w:hAnsi="標楷體" w:cs="新細明體" w:hint="eastAsia"/>
          <w:szCs w:val="32"/>
        </w:rPr>
        <w:t>等事項</w:t>
      </w:r>
      <w:r w:rsidRPr="00E60E88">
        <w:rPr>
          <w:rFonts w:hAnsi="標楷體" w:cs="新細明體"/>
          <w:szCs w:val="32"/>
        </w:rPr>
        <w:t>。</w:t>
      </w:r>
      <w:r w:rsidRPr="00E60E88">
        <w:rPr>
          <w:rStyle w:val="af2"/>
          <w:rFonts w:hAnsi="標楷體" w:cs="新細明體"/>
          <w:szCs w:val="32"/>
        </w:rPr>
        <w:footnoteReference w:id="1"/>
      </w:r>
    </w:p>
    <w:p w:rsidR="00B04B3B" w:rsidRPr="00E60E88" w:rsidRDefault="00B04B3B" w:rsidP="00C125A0">
      <w:pPr>
        <w:pStyle w:val="3"/>
        <w:ind w:left="1360" w:hanging="680"/>
      </w:pPr>
      <w:r w:rsidRPr="00E60E88">
        <w:rPr>
          <w:rFonts w:hint="eastAsia"/>
        </w:rPr>
        <w:t>84年11月11日臺北市土地重劃大隊（於94年9月6日裁撤，併入臺北市政府地政處土地開發總隊，下稱重劃大隊）邀請有關單位共同</w:t>
      </w:r>
      <w:proofErr w:type="gramStart"/>
      <w:r w:rsidRPr="00E60E88">
        <w:rPr>
          <w:rFonts w:hint="eastAsia"/>
        </w:rPr>
        <w:t>研商系</w:t>
      </w:r>
      <w:proofErr w:type="gramEnd"/>
      <w:r w:rsidRPr="00E60E88">
        <w:rPr>
          <w:rFonts w:hint="eastAsia"/>
        </w:rPr>
        <w:t>爭「住25」地區細部計畫變更事宜會議，獲致結論（五）略</w:t>
      </w:r>
      <w:proofErr w:type="gramStart"/>
      <w:r w:rsidRPr="00E60E88">
        <w:rPr>
          <w:rFonts w:hint="eastAsia"/>
        </w:rPr>
        <w:t>以</w:t>
      </w:r>
      <w:proofErr w:type="gramEnd"/>
      <w:r w:rsidRPr="00E60E88">
        <w:rPr>
          <w:rFonts w:hint="eastAsia"/>
        </w:rPr>
        <w:t>：本重劃區應於重劃前辦理環境影響評估及水土保持計畫，有關環境影響評估及水土保持計畫由重劃大隊專案簽報覓得經費後辦理。惟該府以市地重劃實施辦法第9條規定：「選定之重劃區尚未發布細部計畫或其細部計畫須變更者應於完成細部計畫之擬訂或變更程序後再行辦理重劃。」無法編列預算辦理環境影響評估等作業為由，於84年11月25日函請陳訴人協調其他土地所有權人</w:t>
      </w:r>
      <w:proofErr w:type="gramStart"/>
      <w:r w:rsidRPr="00E60E88">
        <w:rPr>
          <w:rFonts w:hint="eastAsia"/>
        </w:rPr>
        <w:t>研</w:t>
      </w:r>
      <w:proofErr w:type="gramEnd"/>
      <w:r w:rsidRPr="00E60E88">
        <w:rPr>
          <w:rFonts w:hint="eastAsia"/>
        </w:rPr>
        <w:t>提環境影響評估、水土保持及土地開發利用方式送第3次工作小組會議參</w:t>
      </w:r>
      <w:proofErr w:type="gramStart"/>
      <w:r w:rsidRPr="00E60E88">
        <w:rPr>
          <w:rFonts w:hint="eastAsia"/>
        </w:rPr>
        <w:t>研</w:t>
      </w:r>
      <w:proofErr w:type="gramEnd"/>
      <w:r w:rsidRPr="00E60E88">
        <w:rPr>
          <w:rFonts w:hint="eastAsia"/>
        </w:rPr>
        <w:t>。</w:t>
      </w:r>
    </w:p>
    <w:p w:rsidR="00B04B3B" w:rsidRPr="00E60E88" w:rsidRDefault="00B04B3B" w:rsidP="00734E60">
      <w:pPr>
        <w:pStyle w:val="3"/>
        <w:tabs>
          <w:tab w:val="left" w:pos="2977"/>
        </w:tabs>
        <w:ind w:left="1360" w:hanging="680"/>
      </w:pPr>
      <w:proofErr w:type="gramStart"/>
      <w:r w:rsidRPr="00E60E88">
        <w:rPr>
          <w:rFonts w:hint="eastAsia"/>
        </w:rPr>
        <w:t>陳訴人慮及</w:t>
      </w:r>
      <w:proofErr w:type="gramEnd"/>
      <w:r w:rsidRPr="00E60E88">
        <w:rPr>
          <w:rFonts w:hint="eastAsia"/>
        </w:rPr>
        <w:t>本案雖為公辦重劃，惟重劃大隊覓得經費困難，勢必延緩作業時間，乃自費委託專業公司</w:t>
      </w:r>
      <w:proofErr w:type="gramStart"/>
      <w:r w:rsidRPr="00E60E88">
        <w:rPr>
          <w:rFonts w:hint="eastAsia"/>
        </w:rPr>
        <w:t>研</w:t>
      </w:r>
      <w:proofErr w:type="gramEnd"/>
      <w:r w:rsidRPr="00E60E88">
        <w:rPr>
          <w:rFonts w:hint="eastAsia"/>
        </w:rPr>
        <w:t>提「臺北市士林區(住25)都市計畫修訂變更環境影響說明」，</w:t>
      </w:r>
      <w:r w:rsidRPr="00E60E88">
        <w:rPr>
          <w:rFonts w:hint="eastAsia"/>
          <w:b/>
          <w:u w:val="single"/>
        </w:rPr>
        <w:t>將</w:t>
      </w:r>
      <w:proofErr w:type="gramStart"/>
      <w:r w:rsidRPr="00E60E88">
        <w:rPr>
          <w:rFonts w:hint="eastAsia"/>
          <w:b/>
          <w:u w:val="single"/>
        </w:rPr>
        <w:t>東北側已有</w:t>
      </w:r>
      <w:proofErr w:type="gramEnd"/>
      <w:r w:rsidRPr="00E60E88">
        <w:rPr>
          <w:rFonts w:hint="eastAsia"/>
          <w:b/>
          <w:u w:val="single"/>
        </w:rPr>
        <w:t>建築密集地區剔除於重劃範圍之外，同時變更部分道路，於85年2月16日送臺北市政府。惟經該府環境保護局於85年2月26日函復：「住25」地區計畫開發住宅面積</w:t>
      </w:r>
      <w:r w:rsidRPr="00E60E88">
        <w:rPr>
          <w:rFonts w:hint="eastAsia"/>
          <w:b/>
          <w:u w:val="single"/>
        </w:rPr>
        <w:lastRenderedPageBreak/>
        <w:t>2.6328公頃，且位於山坡地，屬「開發行為應實施環境影響評估細目及範圍認定標準」第25條所規範之開發行為，應依「環境影響評估法」第6條規定，於規劃時實施</w:t>
      </w:r>
      <w:r w:rsidRPr="00E60E88">
        <w:rPr>
          <w:rFonts w:hint="eastAsia"/>
        </w:rPr>
        <w:t>第一階段環境影響評估，陳訴人乃再配合製作都市計畫變更環境影響說明書送審。經臺北市政府於85年10月17日召開第3次工作小組會議，作成結論略</w:t>
      </w:r>
      <w:proofErr w:type="gramStart"/>
      <w:r w:rsidRPr="00E60E88">
        <w:rPr>
          <w:rFonts w:hint="eastAsia"/>
        </w:rPr>
        <w:t>以</w:t>
      </w:r>
      <w:proofErr w:type="gramEnd"/>
      <w:r w:rsidRPr="00E60E88">
        <w:rPr>
          <w:rFonts w:hint="eastAsia"/>
        </w:rPr>
        <w:t>：有關環境影響評估說明及水土保持計畫等後續作業，請申辦單位應先作業，並送主管單位檢視。至</w:t>
      </w:r>
      <w:r w:rsidRPr="00E60E88">
        <w:t>86</w:t>
      </w:r>
      <w:r w:rsidRPr="00E60E88">
        <w:rPr>
          <w:rFonts w:hint="eastAsia"/>
        </w:rPr>
        <w:t>年8月9日召開</w:t>
      </w:r>
      <w:r w:rsidRPr="00E60E88">
        <w:t>4</w:t>
      </w:r>
      <w:r w:rsidRPr="00E60E88">
        <w:rPr>
          <w:rFonts w:hint="eastAsia"/>
        </w:rPr>
        <w:t>次工作小組會議，確定重劃範圍調整、環境影響評估說明及水土保持計畫等後續作業相關事宜，並決定以專案申請方式辦理都市計畫變更。</w:t>
      </w:r>
    </w:p>
    <w:p w:rsidR="00B04B3B" w:rsidRPr="00E60E88" w:rsidRDefault="00B04B3B" w:rsidP="00E27B60">
      <w:pPr>
        <w:pStyle w:val="3"/>
        <w:ind w:left="1360" w:hanging="680"/>
      </w:pPr>
      <w:proofErr w:type="gramStart"/>
      <w:r w:rsidRPr="00E60E88">
        <w:rPr>
          <w:rFonts w:hint="eastAsia"/>
        </w:rPr>
        <w:t>嗣</w:t>
      </w:r>
      <w:proofErr w:type="gramEnd"/>
      <w:r w:rsidRPr="00E60E88">
        <w:rPr>
          <w:rFonts w:hint="eastAsia"/>
        </w:rPr>
        <w:t>臺北市政府於</w:t>
      </w:r>
      <w:r w:rsidRPr="00E60E88">
        <w:t>87</w:t>
      </w:r>
      <w:r w:rsidRPr="00E60E88">
        <w:rPr>
          <w:rFonts w:hint="eastAsia"/>
        </w:rPr>
        <w:t>年</w:t>
      </w:r>
      <w:r w:rsidRPr="00E60E88">
        <w:t>6</w:t>
      </w:r>
      <w:r w:rsidRPr="00E60E88">
        <w:rPr>
          <w:rFonts w:hint="eastAsia"/>
        </w:rPr>
        <w:t>月</w:t>
      </w:r>
      <w:r w:rsidRPr="00E60E88">
        <w:t>12</w:t>
      </w:r>
      <w:r w:rsidRPr="00E60E88">
        <w:rPr>
          <w:rFonts w:hint="eastAsia"/>
        </w:rPr>
        <w:t>日辦理「住</w:t>
      </w:r>
      <w:r w:rsidRPr="00E60E88">
        <w:t>25</w:t>
      </w:r>
      <w:r w:rsidRPr="00E60E88">
        <w:rPr>
          <w:rFonts w:hint="eastAsia"/>
        </w:rPr>
        <w:t>」地區細部計畫變更案公開展覽後，送經臺北市都市計畫委員會（下稱都委會）</w:t>
      </w:r>
      <w:r w:rsidRPr="00E60E88">
        <w:t>88</w:t>
      </w:r>
      <w:r w:rsidRPr="00E60E88">
        <w:rPr>
          <w:rFonts w:hint="eastAsia"/>
        </w:rPr>
        <w:t>年</w:t>
      </w:r>
      <w:r w:rsidRPr="00E60E88">
        <w:t>3</w:t>
      </w:r>
      <w:r w:rsidRPr="00E60E88">
        <w:rPr>
          <w:rFonts w:hint="eastAsia"/>
        </w:rPr>
        <w:t>月</w:t>
      </w:r>
      <w:r w:rsidRPr="00E60E88">
        <w:t>15</w:t>
      </w:r>
      <w:r w:rsidRPr="00E60E88">
        <w:rPr>
          <w:rFonts w:hint="eastAsia"/>
        </w:rPr>
        <w:t>日第</w:t>
      </w:r>
      <w:r w:rsidRPr="00E60E88">
        <w:t>445</w:t>
      </w:r>
      <w:r w:rsidRPr="00E60E88">
        <w:rPr>
          <w:rFonts w:hint="eastAsia"/>
        </w:rPr>
        <w:t>次委員</w:t>
      </w:r>
      <w:proofErr w:type="gramStart"/>
      <w:r w:rsidRPr="00E60E88">
        <w:rPr>
          <w:rFonts w:hint="eastAsia"/>
        </w:rPr>
        <w:t>會議審決</w:t>
      </w:r>
      <w:proofErr w:type="gramEnd"/>
      <w:r w:rsidRPr="00E60E88">
        <w:rPr>
          <w:rFonts w:hint="eastAsia"/>
        </w:rPr>
        <w:t>：「配合歷次專案小組會議結論」修正通過，且「本都市計畫審查結果，不得與環境影響評估結果有所違背」，</w:t>
      </w:r>
      <w:proofErr w:type="gramStart"/>
      <w:r w:rsidRPr="00E60E88">
        <w:rPr>
          <w:rFonts w:hint="eastAsia"/>
        </w:rPr>
        <w:t>惟系爭</w:t>
      </w:r>
      <w:proofErr w:type="gramEnd"/>
      <w:r w:rsidRPr="00E60E88">
        <w:rPr>
          <w:rFonts w:hint="eastAsia"/>
        </w:rPr>
        <w:t>「住</w:t>
      </w:r>
      <w:r w:rsidRPr="00E60E88">
        <w:t>25</w:t>
      </w:r>
      <w:r w:rsidRPr="00E60E88">
        <w:rPr>
          <w:rFonts w:hint="eastAsia"/>
        </w:rPr>
        <w:t>」地區開發環境影響評估案，經臺北市環境影響評估審查委員會（下稱環評會）</w:t>
      </w:r>
      <w:r w:rsidRPr="00E60E88">
        <w:t>88</w:t>
      </w:r>
      <w:r w:rsidRPr="00E60E88">
        <w:rPr>
          <w:rFonts w:hint="eastAsia"/>
        </w:rPr>
        <w:t>年</w:t>
      </w:r>
      <w:r w:rsidRPr="00E60E88">
        <w:t>7</w:t>
      </w:r>
      <w:r w:rsidRPr="00E60E88">
        <w:rPr>
          <w:rFonts w:hint="eastAsia"/>
        </w:rPr>
        <w:t>月</w:t>
      </w:r>
      <w:r w:rsidRPr="00E60E88">
        <w:t>7</w:t>
      </w:r>
      <w:r w:rsidRPr="00E60E88">
        <w:rPr>
          <w:rFonts w:hint="eastAsia"/>
        </w:rPr>
        <w:t>日審查結論，認定不應開發，都委會復於同年</w:t>
      </w:r>
      <w:r w:rsidRPr="00E60E88">
        <w:t>11</w:t>
      </w:r>
      <w:r w:rsidRPr="00E60E88">
        <w:rPr>
          <w:rFonts w:hint="eastAsia"/>
        </w:rPr>
        <w:t>月</w:t>
      </w:r>
      <w:r w:rsidRPr="00E60E88">
        <w:t>1</w:t>
      </w:r>
      <w:r w:rsidRPr="00E60E88">
        <w:rPr>
          <w:rFonts w:hint="eastAsia"/>
        </w:rPr>
        <w:t>日第</w:t>
      </w:r>
      <w:r w:rsidRPr="00E60E88">
        <w:t>455</w:t>
      </w:r>
      <w:r w:rsidRPr="00E60E88">
        <w:rPr>
          <w:rFonts w:hint="eastAsia"/>
        </w:rPr>
        <w:t>次委員會決議：同意暫緩本都市計畫變更案之程序，並請開發單位依程序提出替代</w:t>
      </w:r>
      <w:proofErr w:type="gramStart"/>
      <w:r w:rsidRPr="00E60E88">
        <w:rPr>
          <w:rFonts w:hint="eastAsia"/>
        </w:rPr>
        <w:t>方案送環評</w:t>
      </w:r>
      <w:proofErr w:type="gramEnd"/>
      <w:r w:rsidRPr="00E60E88">
        <w:rPr>
          <w:rFonts w:hint="eastAsia"/>
        </w:rPr>
        <w:t>會審查。</w:t>
      </w:r>
      <w:proofErr w:type="gramStart"/>
      <w:r w:rsidRPr="00E60E88">
        <w:rPr>
          <w:rFonts w:hint="eastAsia"/>
        </w:rPr>
        <w:t>惟</w:t>
      </w:r>
      <w:proofErr w:type="gramEnd"/>
      <w:r w:rsidRPr="00E60E88">
        <w:rPr>
          <w:rFonts w:hint="eastAsia"/>
        </w:rPr>
        <w:t>陳訴人多次提送環境影響評估替代方案，</w:t>
      </w:r>
      <w:proofErr w:type="gramStart"/>
      <w:r w:rsidRPr="00E60E88">
        <w:rPr>
          <w:rFonts w:hint="eastAsia"/>
        </w:rPr>
        <w:t>均經環</w:t>
      </w:r>
      <w:proofErr w:type="gramEnd"/>
      <w:r w:rsidRPr="00E60E88">
        <w:rPr>
          <w:rFonts w:hint="eastAsia"/>
        </w:rPr>
        <w:t>評會審查結論認定不應開發，而無法完成都市計畫變更之程序，臺北市政府</w:t>
      </w:r>
      <w:proofErr w:type="gramStart"/>
      <w:r w:rsidRPr="00E60E88">
        <w:rPr>
          <w:rFonts w:hint="eastAsia"/>
        </w:rPr>
        <w:t>爰</w:t>
      </w:r>
      <w:proofErr w:type="gramEnd"/>
      <w:r w:rsidRPr="00E60E88">
        <w:rPr>
          <w:rFonts w:hint="eastAsia"/>
        </w:rPr>
        <w:t>於97年5月5日以「本重劃區位於山坡地，平均坡度超過30％以上之土地面積約占全區土地面積之68％，依『臺北市山坡地開發建築要點』（下稱山坡地開發建築要點）第4點規定，不得作為建築使用，也</w:t>
      </w:r>
      <w:proofErr w:type="gramStart"/>
      <w:r w:rsidRPr="00E60E88">
        <w:rPr>
          <w:rFonts w:hint="eastAsia"/>
        </w:rPr>
        <w:t>不</w:t>
      </w:r>
      <w:proofErr w:type="gramEnd"/>
      <w:r w:rsidRPr="00E60E88">
        <w:rPr>
          <w:rFonts w:hint="eastAsia"/>
        </w:rPr>
        <w:t>得計入建築基地面積檢討</w:t>
      </w:r>
      <w:r w:rsidRPr="00E60E88">
        <w:rPr>
          <w:rFonts w:hint="eastAsia"/>
        </w:rPr>
        <w:lastRenderedPageBreak/>
        <w:t>建蔽率與容積率，致重劃後該部分仍無法建築使用。」為由，函復陳訴人「住25」地區以公辦市地重劃方式開發不可行，故不再推動公辦市地重劃。</w:t>
      </w:r>
    </w:p>
    <w:p w:rsidR="00B04B3B" w:rsidRPr="00E60E88" w:rsidRDefault="00B04B3B" w:rsidP="00812436">
      <w:pPr>
        <w:pStyle w:val="3"/>
        <w:ind w:left="1360" w:hanging="680"/>
      </w:pPr>
      <w:r w:rsidRPr="00E60E88">
        <w:rPr>
          <w:rFonts w:hint="eastAsia"/>
        </w:rPr>
        <w:t>綜上，臺北市政府辦理系爭「住25」地區之都市計畫變更過程中，未能縝密評估該地區68％以上之土地平均坡度超過30％，且部分地區已有密集建築，考量生態環境、水土保持及公共安全等因素，即</w:t>
      </w:r>
      <w:proofErr w:type="gramStart"/>
      <w:r w:rsidRPr="00E60E88">
        <w:rPr>
          <w:rFonts w:hint="eastAsia"/>
        </w:rPr>
        <w:t>率予將原</w:t>
      </w:r>
      <w:proofErr w:type="gramEnd"/>
      <w:r w:rsidRPr="00E60E88">
        <w:rPr>
          <w:rFonts w:hint="eastAsia"/>
        </w:rPr>
        <w:t>保護區變更為住宅區，並完成細部計畫後納入「擬訂外雙溪附近地區細部計畫暨配合修訂主要計畫案」，因北側陡峭區劃設難以開闢之空中樓閣計畫道路，同時規定以自辦市地重劃方式整體開發，致陳訴人購買取得系爭土地後欲依細部計畫開發，卻因系爭「住25」地區內已有密集房屋、坡度</w:t>
      </w:r>
      <w:proofErr w:type="gramStart"/>
      <w:r w:rsidRPr="00E60E88">
        <w:rPr>
          <w:rFonts w:hint="eastAsia"/>
        </w:rPr>
        <w:t>過陡等窒礙</w:t>
      </w:r>
      <w:proofErr w:type="gramEnd"/>
      <w:r w:rsidRPr="00E60E88">
        <w:rPr>
          <w:rFonts w:hint="eastAsia"/>
        </w:rPr>
        <w:t>難行之原因，遲遲無法進行自辦重劃，</w:t>
      </w:r>
      <w:proofErr w:type="gramStart"/>
      <w:r w:rsidRPr="00E60E88">
        <w:rPr>
          <w:rFonts w:hint="eastAsia"/>
        </w:rPr>
        <w:t>嗣</w:t>
      </w:r>
      <w:proofErr w:type="gramEnd"/>
      <w:r w:rsidRPr="00E60E88">
        <w:rPr>
          <w:rFonts w:hint="eastAsia"/>
        </w:rPr>
        <w:t>臺北市政府雖修改相關法令，變更整體開發範圍，改</w:t>
      </w:r>
      <w:proofErr w:type="gramStart"/>
      <w:r w:rsidRPr="00E60E88">
        <w:rPr>
          <w:rFonts w:hint="eastAsia"/>
        </w:rPr>
        <w:t>採</w:t>
      </w:r>
      <w:proofErr w:type="gramEnd"/>
      <w:r w:rsidRPr="00E60E88">
        <w:rPr>
          <w:rFonts w:hint="eastAsia"/>
        </w:rPr>
        <w:t>公辦重劃方式開發，惟因未慮及水土保持法、山坡地開發建築要點、環境影響評估法等相關法令已陸續公布，山坡地開發限制日趨</w:t>
      </w:r>
      <w:proofErr w:type="gramStart"/>
      <w:r w:rsidRPr="00E60E88">
        <w:rPr>
          <w:rFonts w:hint="eastAsia"/>
        </w:rPr>
        <w:t>嚴格，</w:t>
      </w:r>
      <w:proofErr w:type="gramEnd"/>
      <w:r w:rsidRPr="00E60E88">
        <w:rPr>
          <w:rFonts w:hint="eastAsia"/>
        </w:rPr>
        <w:t>致民眾</w:t>
      </w:r>
      <w:proofErr w:type="gramStart"/>
      <w:r w:rsidRPr="00E60E88">
        <w:rPr>
          <w:rFonts w:hint="eastAsia"/>
        </w:rPr>
        <w:t>誤信公辦</w:t>
      </w:r>
      <w:proofErr w:type="gramEnd"/>
      <w:r w:rsidRPr="00E60E88">
        <w:rPr>
          <w:rFonts w:hint="eastAsia"/>
        </w:rPr>
        <w:t>重劃方式可行，配合辦理都市計畫變更及環境影響評估審查，惟歷經</w:t>
      </w:r>
      <w:r w:rsidRPr="00E60E88">
        <w:t>9</w:t>
      </w:r>
      <w:r w:rsidRPr="00E60E88">
        <w:rPr>
          <w:rFonts w:hint="eastAsia"/>
        </w:rPr>
        <w:t>年仍因提送之環境影響評估替代方案，</w:t>
      </w:r>
      <w:proofErr w:type="gramStart"/>
      <w:r w:rsidRPr="00E60E88">
        <w:rPr>
          <w:rFonts w:hint="eastAsia"/>
        </w:rPr>
        <w:t>均經環</w:t>
      </w:r>
      <w:proofErr w:type="gramEnd"/>
      <w:r w:rsidRPr="00E60E88">
        <w:rPr>
          <w:rFonts w:hint="eastAsia"/>
        </w:rPr>
        <w:t>評會審查認定不應開發，而無法完成環境影響評估及都市計畫變更之程序，自70年公布細部計畫迄今已30年，原公告實施之細部計畫確實無法據以執行、而擬修訂之新細部計畫因環評審查之因素無法完成變更程序、陳訴人取得系爭土地，並投入開發成本卻無法建築使用之困境，造成陳訴人不合理的期待，不啻</w:t>
      </w:r>
      <w:proofErr w:type="gramStart"/>
      <w:r w:rsidRPr="00E60E88">
        <w:rPr>
          <w:rFonts w:hint="eastAsia"/>
        </w:rPr>
        <w:t>斲</w:t>
      </w:r>
      <w:proofErr w:type="gramEnd"/>
      <w:r w:rsidRPr="00E60E88">
        <w:rPr>
          <w:rFonts w:hint="eastAsia"/>
        </w:rPr>
        <w:t>傷政府威信與人民之信賴，更嚴重損及民眾之權益，難謂允當。</w:t>
      </w:r>
    </w:p>
    <w:p w:rsidR="00B04B3B" w:rsidRPr="00E60E88" w:rsidRDefault="00B04B3B" w:rsidP="003B0FFC">
      <w:pPr>
        <w:pStyle w:val="2"/>
        <w:ind w:left="1020" w:hanging="680"/>
        <w:rPr>
          <w:b/>
        </w:rPr>
      </w:pPr>
      <w:r w:rsidRPr="00E60E88">
        <w:rPr>
          <w:rFonts w:hint="eastAsia"/>
          <w:b/>
        </w:rPr>
        <w:t>陳訴</w:t>
      </w:r>
      <w:proofErr w:type="gramStart"/>
      <w:r w:rsidRPr="00E60E88">
        <w:rPr>
          <w:rFonts w:hint="eastAsia"/>
          <w:b/>
        </w:rPr>
        <w:t>人於系爭</w:t>
      </w:r>
      <w:proofErr w:type="gramEnd"/>
      <w:r w:rsidRPr="00E60E88">
        <w:rPr>
          <w:rFonts w:hint="eastAsia"/>
          <w:b/>
        </w:rPr>
        <w:t>「住25」地區細部計畫公告實施後，於77年間</w:t>
      </w:r>
      <w:proofErr w:type="gramStart"/>
      <w:r w:rsidRPr="00E60E88">
        <w:rPr>
          <w:rFonts w:hint="eastAsia"/>
          <w:b/>
        </w:rPr>
        <w:t>購入系爭</w:t>
      </w:r>
      <w:proofErr w:type="gramEnd"/>
      <w:r w:rsidRPr="00E60E88">
        <w:rPr>
          <w:rFonts w:hint="eastAsia"/>
          <w:b/>
        </w:rPr>
        <w:t>土地，惟因種種障礙事由致延宕多年</w:t>
      </w:r>
      <w:r w:rsidRPr="00E60E88">
        <w:rPr>
          <w:rFonts w:hint="eastAsia"/>
          <w:b/>
        </w:rPr>
        <w:lastRenderedPageBreak/>
        <w:t>未能辦理開發，臺北市政府允應審慎檢討，是否有合於</w:t>
      </w:r>
      <w:r w:rsidRPr="00E60E88">
        <w:rPr>
          <w:rFonts w:hAnsi="標楷體" w:cs="細明體" w:hint="eastAsia"/>
          <w:b/>
          <w:szCs w:val="32"/>
        </w:rPr>
        <w:t>司法院大法官釋字第525號解釋範圍，民眾信賴政府法令或計畫之</w:t>
      </w:r>
      <w:r w:rsidRPr="00E60E88">
        <w:rPr>
          <w:rFonts w:hAnsi="標楷體" w:cs="細明體"/>
          <w:b/>
          <w:szCs w:val="32"/>
        </w:rPr>
        <w:t>具體表現</w:t>
      </w:r>
      <w:r w:rsidRPr="00E60E88">
        <w:rPr>
          <w:rFonts w:hAnsi="標楷體" w:cs="細明體" w:hint="eastAsia"/>
          <w:b/>
          <w:szCs w:val="32"/>
        </w:rPr>
        <w:t>而產生</w:t>
      </w:r>
      <w:r w:rsidRPr="00E60E88">
        <w:rPr>
          <w:rFonts w:hAnsi="標楷體" w:cs="細明體"/>
          <w:b/>
          <w:szCs w:val="32"/>
        </w:rPr>
        <w:t>實體法上利益損害</w:t>
      </w:r>
      <w:r w:rsidRPr="00E60E88">
        <w:rPr>
          <w:rFonts w:hAnsi="標楷體" w:hint="eastAsia"/>
          <w:b/>
          <w:szCs w:val="32"/>
        </w:rPr>
        <w:t>之情形，積極謀求解決之道</w:t>
      </w:r>
      <w:r w:rsidRPr="00E60E88">
        <w:rPr>
          <w:rFonts w:hAnsi="標楷體" w:cs="細明體"/>
          <w:b/>
          <w:szCs w:val="32"/>
        </w:rPr>
        <w:t>，</w:t>
      </w:r>
      <w:r w:rsidRPr="00E60E88">
        <w:rPr>
          <w:rFonts w:hAnsi="標楷體" w:cs="細明體" w:hint="eastAsia"/>
          <w:b/>
          <w:szCs w:val="32"/>
        </w:rPr>
        <w:t>以</w:t>
      </w:r>
      <w:r w:rsidRPr="00E60E88">
        <w:rPr>
          <w:rFonts w:hAnsi="標楷體" w:cs="細明體"/>
          <w:b/>
          <w:szCs w:val="32"/>
        </w:rPr>
        <w:t>符憲法保障人民權利之意旨</w:t>
      </w:r>
      <w:r w:rsidRPr="00E60E88">
        <w:rPr>
          <w:rFonts w:hint="eastAsia"/>
          <w:b/>
        </w:rPr>
        <w:t>。</w:t>
      </w:r>
    </w:p>
    <w:p w:rsidR="00B04B3B" w:rsidRPr="00E60E88" w:rsidRDefault="00B04B3B" w:rsidP="00DB162E">
      <w:pPr>
        <w:pStyle w:val="3"/>
      </w:pPr>
      <w:r w:rsidRPr="00E60E88">
        <w:rPr>
          <w:rFonts w:hint="eastAsia"/>
        </w:rPr>
        <w:t>按行政程序法第8條規定：「行政行為，應以誠實信用之方法為之，並應保護人民正當合理之信賴。」同法第119條規定：「受益人有下列各款情形之</w:t>
      </w:r>
      <w:proofErr w:type="gramStart"/>
      <w:r w:rsidRPr="00E60E88">
        <w:rPr>
          <w:rFonts w:hint="eastAsia"/>
        </w:rPr>
        <w:t>一</w:t>
      </w:r>
      <w:proofErr w:type="gramEnd"/>
      <w:r w:rsidRPr="00E60E88">
        <w:rPr>
          <w:rFonts w:hint="eastAsia"/>
        </w:rPr>
        <w:t>者，其信賴不值得保護</w:t>
      </w:r>
      <w:proofErr w:type="gramStart"/>
      <w:r w:rsidRPr="00E60E88">
        <w:rPr>
          <w:rFonts w:hint="eastAsia"/>
        </w:rPr>
        <w:t>︰</w:t>
      </w:r>
      <w:proofErr w:type="gramEnd"/>
      <w:r w:rsidRPr="00E60E88">
        <w:rPr>
          <w:rFonts w:hint="eastAsia"/>
        </w:rPr>
        <w:t>一、以詐欺、脅迫或賄賂方法，使行政機關作成行政處分者。二、對重要事項提供不正確資料或為不完全陳述，致使行政機關依該資料或陳述而作成行政處分者。三、明知行政處分違法或因重大過失而不知者。」司法院大法官釋字第525號解釋稱：「</w:t>
      </w:r>
      <w:r w:rsidRPr="00E60E88">
        <w:t>信賴保護原則</w:t>
      </w:r>
      <w:proofErr w:type="gramStart"/>
      <w:r w:rsidRPr="00E60E88">
        <w:t>攸</w:t>
      </w:r>
      <w:proofErr w:type="gramEnd"/>
      <w:r w:rsidRPr="00E60E88">
        <w:t>關憲法上人民權利之保障，公權力行使涉及人民信賴利益而有保護之必要者，不限於授益行政處分之撤銷或廢止(行政程序法第一百十九條、第一百二十條及第一百二十六條參照)</w:t>
      </w:r>
      <w:r w:rsidRPr="00E60E88">
        <w:rPr>
          <w:b/>
        </w:rPr>
        <w:t>，</w:t>
      </w:r>
      <w:r w:rsidRPr="00E60E88">
        <w:t>即行政法規之廢止或變更亦有其適用。行政法規公布施行後，制定或發布法規之機關依法定程序予以修改或廢止時，應兼顧規範對象信賴利益之保護。除法規預先定有施行期間或因情事變遷而停止適用，不生信賴保護問題外，其因公益之必要廢止法規或修改內容致人民客觀上具體表現其因信賴而生之實體法上利益受損害，應採取合理之補救措施，或訂定過渡期間之條款，</w:t>
      </w:r>
      <w:proofErr w:type="gramStart"/>
      <w:r w:rsidRPr="00E60E88">
        <w:t>俾</w:t>
      </w:r>
      <w:proofErr w:type="gramEnd"/>
      <w:r w:rsidRPr="00E60E88">
        <w:t>減輕損害，方符憲法保障人民權利之意旨。至經廢止或變更之法規有重大明顯違反上位規範情形，或法規 (如解釋性、</w:t>
      </w:r>
      <w:proofErr w:type="gramStart"/>
      <w:r w:rsidRPr="00E60E88">
        <w:t>裁量性之</w:t>
      </w:r>
      <w:proofErr w:type="gramEnd"/>
      <w:r w:rsidRPr="00E60E88">
        <w:t>行政規則)係因主張權益受害者以不正當方法或提供不正確資料而發布者，其信賴即不值得保護；又純屬願望、期待而</w:t>
      </w:r>
      <w:r w:rsidRPr="00E60E88">
        <w:lastRenderedPageBreak/>
        <w:t>未有表現其已生信賴之事實者，則欠缺信賴要件，不在保護範圍。</w:t>
      </w:r>
      <w:r w:rsidRPr="00E60E88">
        <w:rPr>
          <w:rFonts w:hint="eastAsia"/>
        </w:rPr>
        <w:t>」是則，行政機關所為行政行為，不論為行政處分、法規命令或行政指導等，若因人民信賴該行為，所</w:t>
      </w:r>
      <w:r w:rsidRPr="00E60E88">
        <w:t>生之實體法上利益受損害，應採取合理之補救措施，</w:t>
      </w:r>
      <w:r w:rsidRPr="00E60E88">
        <w:rPr>
          <w:rFonts w:hint="eastAsia"/>
        </w:rPr>
        <w:t>始符法治國家保障人民權益之意旨，</w:t>
      </w:r>
      <w:proofErr w:type="gramStart"/>
      <w:r w:rsidRPr="00E60E88">
        <w:rPr>
          <w:rFonts w:hint="eastAsia"/>
        </w:rPr>
        <w:t>合先敘</w:t>
      </w:r>
      <w:proofErr w:type="gramEnd"/>
      <w:r w:rsidRPr="00E60E88">
        <w:rPr>
          <w:rFonts w:hint="eastAsia"/>
        </w:rPr>
        <w:t>明。</w:t>
      </w:r>
    </w:p>
    <w:p w:rsidR="00B04B3B" w:rsidRPr="00E60E88" w:rsidRDefault="00B04B3B" w:rsidP="00C93A93">
      <w:pPr>
        <w:pStyle w:val="3"/>
        <w:ind w:left="1360" w:hanging="680"/>
      </w:pPr>
      <w:r w:rsidRPr="00E60E88">
        <w:rPr>
          <w:rFonts w:hint="eastAsia"/>
        </w:rPr>
        <w:t>按陳訴人等於臺北市政府公告發布「住25」地區細部計畫後，認可據以辦理開發，始於77年間</w:t>
      </w:r>
      <w:proofErr w:type="gramStart"/>
      <w:r w:rsidRPr="00E60E88">
        <w:rPr>
          <w:rFonts w:hint="eastAsia"/>
        </w:rPr>
        <w:t>購入系爭</w:t>
      </w:r>
      <w:proofErr w:type="gramEnd"/>
      <w:r w:rsidRPr="00E60E88">
        <w:rPr>
          <w:rFonts w:hint="eastAsia"/>
        </w:rPr>
        <w:t>土地。</w:t>
      </w:r>
      <w:proofErr w:type="gramStart"/>
      <w:r w:rsidRPr="00E60E88">
        <w:rPr>
          <w:rFonts w:hint="eastAsia"/>
        </w:rPr>
        <w:t>惟</w:t>
      </w:r>
      <w:proofErr w:type="gramEnd"/>
      <w:r w:rsidRPr="00E60E88">
        <w:rPr>
          <w:rFonts w:hint="eastAsia"/>
        </w:rPr>
        <w:t>延宕多年未能辦理開發，其主要障礙分述如下：</w:t>
      </w:r>
    </w:p>
    <w:p w:rsidR="00B04B3B" w:rsidRPr="00E60E88" w:rsidRDefault="00B04B3B" w:rsidP="00C93A93">
      <w:pPr>
        <w:pStyle w:val="4"/>
        <w:ind w:left="1700" w:hanging="680"/>
      </w:pPr>
      <w:r w:rsidRPr="00E60E88">
        <w:rPr>
          <w:rFonts w:hint="eastAsia"/>
        </w:rPr>
        <w:t>「住25」地區依「保變住開發要點」規定，須以自辦市地重劃方式整體開發，惟該細部計畫於北側陡峭區劃設計畫道路，實際上並不可行。</w:t>
      </w:r>
    </w:p>
    <w:p w:rsidR="00B04B3B" w:rsidRPr="00E60E88" w:rsidRDefault="00B04B3B" w:rsidP="00C93A93">
      <w:pPr>
        <w:pStyle w:val="4"/>
        <w:ind w:left="1700" w:hanging="680"/>
      </w:pPr>
      <w:proofErr w:type="gramStart"/>
      <w:r w:rsidRPr="00E60E88">
        <w:rPr>
          <w:rFonts w:hint="eastAsia"/>
        </w:rPr>
        <w:t>東北側已有</w:t>
      </w:r>
      <w:proofErr w:type="gramEnd"/>
      <w:r w:rsidRPr="00E60E88">
        <w:rPr>
          <w:rFonts w:hint="eastAsia"/>
        </w:rPr>
        <w:t>密集建築使用地區不願參與重劃，致無法達到自辦市地重劃規定之法定人數。</w:t>
      </w:r>
    </w:p>
    <w:p w:rsidR="00B04B3B" w:rsidRPr="00E60E88" w:rsidRDefault="00B04B3B" w:rsidP="00C93A93">
      <w:pPr>
        <w:pStyle w:val="4"/>
        <w:ind w:left="1700" w:hanging="680"/>
      </w:pPr>
      <w:r w:rsidRPr="00E60E88">
        <w:rPr>
          <w:rFonts w:hint="eastAsia"/>
        </w:rPr>
        <w:t>陳訴人所</w:t>
      </w:r>
      <w:proofErr w:type="gramStart"/>
      <w:r w:rsidRPr="00E60E88">
        <w:rPr>
          <w:rFonts w:hint="eastAsia"/>
        </w:rPr>
        <w:t>研</w:t>
      </w:r>
      <w:proofErr w:type="gramEnd"/>
      <w:r w:rsidRPr="00E60E88">
        <w:rPr>
          <w:rFonts w:hint="eastAsia"/>
        </w:rPr>
        <w:t>提尚未核准之重劃區範圍（將原細部計畫東北側已有建築密集地區剔除於重劃範圍之外）位於山坡地，平均坡度超過30％以上之土地面積約占全區土地面積之68％，修正前「山坡地開發建築要點」第</w:t>
      </w:r>
      <w:r w:rsidRPr="00E60E88">
        <w:t>4</w:t>
      </w:r>
      <w:r w:rsidRPr="00E60E88">
        <w:rPr>
          <w:rFonts w:hint="eastAsia"/>
        </w:rPr>
        <w:t>條規定，山坡地之坡度超過</w:t>
      </w:r>
      <w:r w:rsidRPr="00E60E88">
        <w:t>30</w:t>
      </w:r>
      <w:r w:rsidRPr="00E60E88">
        <w:rPr>
          <w:rFonts w:hint="eastAsia"/>
        </w:rPr>
        <w:t>％者，不得作為建築基地，但有適當之擋土及排水設施，事先經主管機關核可者不在此限。</w:t>
      </w:r>
      <w:proofErr w:type="gramStart"/>
      <w:r w:rsidRPr="00E60E88">
        <w:rPr>
          <w:rFonts w:hint="eastAsia"/>
        </w:rPr>
        <w:t>嗣</w:t>
      </w:r>
      <w:proofErr w:type="gramEnd"/>
      <w:r w:rsidRPr="00E60E88">
        <w:rPr>
          <w:rFonts w:hint="eastAsia"/>
        </w:rPr>
        <w:t>88年「山坡地開發建築要點」修正，規定開發區域內原自然地形平均坡度超過30%者，除水土保持必要設施外，不得作為建築使用，也</w:t>
      </w:r>
      <w:proofErr w:type="gramStart"/>
      <w:r w:rsidRPr="00E60E88">
        <w:rPr>
          <w:rFonts w:hint="eastAsia"/>
        </w:rPr>
        <w:t>不</w:t>
      </w:r>
      <w:proofErr w:type="gramEnd"/>
      <w:r w:rsidRPr="00E60E88">
        <w:rPr>
          <w:rFonts w:hint="eastAsia"/>
        </w:rPr>
        <w:t>得計入建築基地面積檢討建蔽率與容積率，僅得計入開發範圍，</w:t>
      </w:r>
      <w:proofErr w:type="gramStart"/>
      <w:r w:rsidRPr="00E60E88">
        <w:rPr>
          <w:rFonts w:hint="eastAsia"/>
        </w:rPr>
        <w:t>致系爭</w:t>
      </w:r>
      <w:proofErr w:type="gramEnd"/>
      <w:r w:rsidRPr="00E60E88">
        <w:rPr>
          <w:rFonts w:hint="eastAsia"/>
        </w:rPr>
        <w:t>土地雖屬住宅區，惟坡度超過30%以上者不但無法建築使用，亦無法計入建築基地之建蔽率與容積率。</w:t>
      </w:r>
    </w:p>
    <w:p w:rsidR="00B04B3B" w:rsidRPr="00E60E88" w:rsidRDefault="00B04B3B" w:rsidP="00E2624D">
      <w:pPr>
        <w:pStyle w:val="4"/>
        <w:ind w:left="1700" w:hanging="680"/>
      </w:pPr>
      <w:r w:rsidRPr="00E60E88">
        <w:rPr>
          <w:rFonts w:hint="eastAsia"/>
        </w:rPr>
        <w:t>環境影響評估法於83年12月30公布施行，依該</w:t>
      </w:r>
      <w:r w:rsidRPr="00E60E88">
        <w:rPr>
          <w:rFonts w:hint="eastAsia"/>
        </w:rPr>
        <w:lastRenderedPageBreak/>
        <w:t>法第6條第1項規定：「開發行為依前條規定應實施環境影響評估者，開發單位於規劃時，應依環境影響評估作業準則，實施第一階段環境影響評估，並作成環境影響說明書」，84年10月18日公布「開發行為應實施環境影響評估細目及範圍認定標準」，依該標準第25條規定：「新市區建設，有左列情形之</w:t>
      </w:r>
      <w:proofErr w:type="gramStart"/>
      <w:r w:rsidRPr="00E60E88">
        <w:rPr>
          <w:rFonts w:hint="eastAsia"/>
        </w:rPr>
        <w:t>一</w:t>
      </w:r>
      <w:proofErr w:type="gramEnd"/>
      <w:r w:rsidRPr="00E60E88">
        <w:rPr>
          <w:rFonts w:hint="eastAsia"/>
        </w:rPr>
        <w:t>者，應實施環境影響評估：…</w:t>
      </w:r>
      <w:proofErr w:type="gramStart"/>
      <w:r w:rsidRPr="00E60E88">
        <w:rPr>
          <w:rFonts w:hint="eastAsia"/>
        </w:rPr>
        <w:t>…</w:t>
      </w:r>
      <w:proofErr w:type="gramEnd"/>
      <w:r w:rsidRPr="00E60E88">
        <w:rPr>
          <w:rFonts w:hint="eastAsia"/>
        </w:rPr>
        <w:t>（五）位於山坡地，申請開發建築面積1公頃以上者。…</w:t>
      </w:r>
      <w:proofErr w:type="gramStart"/>
      <w:r w:rsidRPr="00E60E88">
        <w:rPr>
          <w:rFonts w:hint="eastAsia"/>
        </w:rPr>
        <w:t>…</w:t>
      </w:r>
      <w:proofErr w:type="gramEnd"/>
      <w:r w:rsidRPr="00E60E88">
        <w:rPr>
          <w:rFonts w:hint="eastAsia"/>
        </w:rPr>
        <w:t>」系爭土地規劃開發面積2.6公頃，且位於山坡地，故須實施第一階段環境影響評估，並作成環境影響說明書，歷次環評審查均認定不應開發。</w:t>
      </w:r>
    </w:p>
    <w:p w:rsidR="00B04B3B" w:rsidRPr="00E60E88" w:rsidRDefault="00B04B3B" w:rsidP="006B49C1">
      <w:pPr>
        <w:pStyle w:val="4"/>
        <w:ind w:left="1700" w:hanging="680"/>
      </w:pPr>
      <w:r w:rsidRPr="00E60E88">
        <w:rPr>
          <w:rFonts w:hAnsi="標楷體" w:hint="eastAsia"/>
          <w:szCs w:val="32"/>
        </w:rPr>
        <w:t>按水土保持法於83年5月27日公布施行，第13條規定：「於</w:t>
      </w:r>
      <w:r w:rsidRPr="00E60E88">
        <w:rPr>
          <w:rFonts w:hAnsi="標楷體" w:hint="eastAsia"/>
          <w:bCs/>
          <w:szCs w:val="32"/>
        </w:rPr>
        <w:t>山坡地</w:t>
      </w:r>
      <w:r w:rsidRPr="00E60E88">
        <w:rPr>
          <w:rFonts w:hAnsi="標楷體" w:hint="eastAsia"/>
          <w:szCs w:val="32"/>
        </w:rPr>
        <w:t>、沙丘地或森林區內</w:t>
      </w:r>
      <w:r w:rsidRPr="00E60E88">
        <w:rPr>
          <w:rFonts w:hAnsi="標楷體" w:hint="eastAsia"/>
          <w:bCs/>
          <w:szCs w:val="32"/>
        </w:rPr>
        <w:t>開發建築</w:t>
      </w:r>
      <w:r w:rsidRPr="00E60E88">
        <w:rPr>
          <w:rFonts w:hAnsi="標楷體" w:hint="eastAsia"/>
          <w:szCs w:val="32"/>
        </w:rPr>
        <w:t>、設置公園、墳墓、遊憩用地、運動場地或森林遊樂區、堆積土石、處理廢棄物或其他開挖、整地者，</w:t>
      </w:r>
      <w:r w:rsidRPr="00E60E88">
        <w:rPr>
          <w:rFonts w:hAnsi="標楷體" w:hint="eastAsia"/>
          <w:bCs/>
          <w:szCs w:val="32"/>
        </w:rPr>
        <w:t>應配合</w:t>
      </w:r>
      <w:r w:rsidRPr="00E60E88">
        <w:rPr>
          <w:rFonts w:hAnsi="標楷體" w:hint="eastAsia"/>
          <w:szCs w:val="32"/>
        </w:rPr>
        <w:t>區域計畫、</w:t>
      </w:r>
      <w:r w:rsidRPr="00E60E88">
        <w:rPr>
          <w:rFonts w:hAnsi="標楷體" w:hint="eastAsia"/>
          <w:bCs/>
          <w:szCs w:val="32"/>
        </w:rPr>
        <w:t>都市計畫</w:t>
      </w:r>
      <w:r w:rsidRPr="00E60E88">
        <w:rPr>
          <w:rFonts w:hAnsi="標楷體" w:hint="eastAsia"/>
          <w:szCs w:val="32"/>
        </w:rPr>
        <w:t>或集水區治理計畫，並不得影響水土資源及自然生態環境，或造成崩塌沖蝕。</w:t>
      </w:r>
      <w:r w:rsidRPr="00E60E88">
        <w:rPr>
          <w:rFonts w:hAnsi="標楷體" w:hint="eastAsia"/>
          <w:bCs/>
          <w:szCs w:val="32"/>
        </w:rPr>
        <w:t>申請為前項之使用，應先擬具水土保持計畫，送請各該目的事業主管機關會同主管機關核定，</w:t>
      </w:r>
      <w:r w:rsidRPr="00E60E88">
        <w:rPr>
          <w:rFonts w:hAnsi="標楷體" w:hint="eastAsia"/>
          <w:szCs w:val="32"/>
        </w:rPr>
        <w:t>並由各該目的事業主管機關會同主管機關監督其水土保持義務人實施及維護。其計畫內容、審核程序及實施維護之檢查，由各該目的事業主管機關會同主管機關定之。</w:t>
      </w:r>
      <w:r w:rsidRPr="00E60E88">
        <w:rPr>
          <w:rFonts w:hAnsi="標楷體" w:hint="eastAsia"/>
          <w:bCs/>
          <w:szCs w:val="32"/>
        </w:rPr>
        <w:t>第一項土地使用，屬中央主管機關指定之開發利用行為者，於申請使用前之規劃階段，應進行環境影響評估，報請目的事業主管機關核轉環境保護主管機關審查。</w:t>
      </w:r>
      <w:r w:rsidRPr="00E60E88">
        <w:rPr>
          <w:rFonts w:hAnsi="標楷體" w:hint="eastAsia"/>
          <w:szCs w:val="32"/>
        </w:rPr>
        <w:t>」亦造成開發建築相當障礙。</w:t>
      </w:r>
    </w:p>
    <w:p w:rsidR="00B04B3B" w:rsidRPr="00E60E88" w:rsidRDefault="00B04B3B" w:rsidP="00C93A93">
      <w:pPr>
        <w:pStyle w:val="3"/>
        <w:ind w:left="1360" w:hanging="680"/>
      </w:pPr>
      <w:r w:rsidRPr="00E60E88">
        <w:rPr>
          <w:rFonts w:hAnsi="標楷體" w:hint="eastAsia"/>
          <w:szCs w:val="32"/>
        </w:rPr>
        <w:t>有關涉及「保變住」法令變動時點，若為陳訴人購買系爭土地前，因係陳訴人應有明確瞭解當時法令</w:t>
      </w:r>
      <w:r w:rsidRPr="00E60E88">
        <w:rPr>
          <w:rFonts w:hAnsi="標楷體" w:hint="eastAsia"/>
          <w:szCs w:val="32"/>
        </w:rPr>
        <w:lastRenderedPageBreak/>
        <w:t>狀態之義務，故不涉及信賴保護原則之適用；至於購買系爭土地後，是否因相關法令變動而造成陳訴人等無法進行開發，則需詳細審慎研究；又前揭（二）之第4點與第5點部分，所涉環境影響評估法與水土保持法係對於「開發行為」所為一般性之規定，並非單獨對於「保變住開發行為」所為特定行為之措施，質言之，該法並非禁止山坡地開發行為，而係對山坡地開發行為環境影響設定標準，與信賴保護原則適用情形未盡相符</w:t>
      </w:r>
      <w:r w:rsidRPr="00E60E88">
        <w:rPr>
          <w:rStyle w:val="af2"/>
          <w:rFonts w:hAnsi="標楷體"/>
          <w:szCs w:val="32"/>
        </w:rPr>
        <w:footnoteReference w:id="2"/>
      </w:r>
      <w:r w:rsidRPr="00E60E88">
        <w:rPr>
          <w:rFonts w:hAnsi="標楷體" w:hint="eastAsia"/>
          <w:szCs w:val="32"/>
        </w:rPr>
        <w:t>；另</w:t>
      </w:r>
      <w:r w:rsidRPr="00E60E88">
        <w:rPr>
          <w:rFonts w:hAnsi="標楷體" w:cs="細明體" w:hint="eastAsia"/>
          <w:szCs w:val="32"/>
        </w:rPr>
        <w:t>第1點與第2點部分，</w:t>
      </w:r>
      <w:proofErr w:type="gramStart"/>
      <w:r w:rsidRPr="00E60E88">
        <w:rPr>
          <w:rFonts w:hAnsi="標楷體" w:cs="細明體" w:hint="eastAsia"/>
          <w:szCs w:val="32"/>
        </w:rPr>
        <w:t>即</w:t>
      </w:r>
      <w:r w:rsidRPr="00E60E88">
        <w:rPr>
          <w:rFonts w:hint="eastAsia"/>
        </w:rPr>
        <w:t>系爭</w:t>
      </w:r>
      <w:proofErr w:type="gramEnd"/>
      <w:r w:rsidRPr="00E60E88">
        <w:rPr>
          <w:rFonts w:hint="eastAsia"/>
        </w:rPr>
        <w:t>「住25」地區細部計畫於北側陡峭區劃設計畫道路，且將</w:t>
      </w:r>
      <w:proofErr w:type="gramStart"/>
      <w:r w:rsidRPr="00E60E88">
        <w:rPr>
          <w:rFonts w:hint="eastAsia"/>
        </w:rPr>
        <w:t>東北側已建築</w:t>
      </w:r>
      <w:proofErr w:type="gramEnd"/>
      <w:r w:rsidRPr="00E60E88">
        <w:rPr>
          <w:rFonts w:hint="eastAsia"/>
        </w:rPr>
        <w:t>使用地區納入，加上坡度超過30度之山坡地是否可供作空地比之問題遲遲未決等因素，致延宕多年未能以自辦市地重劃方式開發之問題，經</w:t>
      </w:r>
      <w:proofErr w:type="gramStart"/>
      <w:r w:rsidRPr="00E60E88">
        <w:rPr>
          <w:rFonts w:hint="eastAsia"/>
        </w:rPr>
        <w:t>詢</w:t>
      </w:r>
      <w:proofErr w:type="gramEnd"/>
      <w:r w:rsidRPr="00E60E88">
        <w:rPr>
          <w:rFonts w:hint="eastAsia"/>
        </w:rPr>
        <w:t>據臺北市政府地政處土地開發總隊表示，本案既已發布細部計畫，重劃計畫必需與細部計畫完全一致，整體開發及重劃目的，僅為落實公共設施用地取得本案仍需以市地重劃方式經核准後始能辦理整體開發。上述問題，於細部計畫案通盤檢討發布實施時即可知悉，系爭土地所有權人取得土地之時間，</w:t>
      </w:r>
      <w:proofErr w:type="gramStart"/>
      <w:r w:rsidRPr="00E60E88">
        <w:rPr>
          <w:rFonts w:hint="eastAsia"/>
        </w:rPr>
        <w:t>絕大多數均在細部</w:t>
      </w:r>
      <w:proofErr w:type="gramEnd"/>
      <w:r w:rsidRPr="00E60E88">
        <w:rPr>
          <w:rFonts w:hint="eastAsia"/>
        </w:rPr>
        <w:t>計畫案通盤檢討發布實施後，此一細部計畫內容與「市地重劃方式辦理整體開發」之要求雖非全然合理，但</w:t>
      </w:r>
      <w:proofErr w:type="gramStart"/>
      <w:r w:rsidRPr="00E60E88">
        <w:rPr>
          <w:rFonts w:hint="eastAsia"/>
        </w:rPr>
        <w:t>仍為渠等</w:t>
      </w:r>
      <w:proofErr w:type="gramEnd"/>
      <w:r w:rsidRPr="00E60E88">
        <w:rPr>
          <w:rFonts w:hint="eastAsia"/>
        </w:rPr>
        <w:t>購地時即已知之限制條件，尚難認有信賴保護原則之適用；</w:t>
      </w:r>
      <w:r w:rsidRPr="00E60E88">
        <w:rPr>
          <w:rFonts w:hAnsi="標楷體" w:hint="eastAsia"/>
          <w:szCs w:val="32"/>
        </w:rPr>
        <w:t>另有關第3點部分則直接涉及系爭土地實際可供建築面積，查76年6月2日府工二字第164307號修訂外雙溪附近地區細部計畫（通盤檢討）暨配合修訂主要計畫案（P076015）細部計畫通盤檢討分區編號：115（即系爭「住25」地區細</w:t>
      </w:r>
      <w:r w:rsidRPr="00E60E88">
        <w:rPr>
          <w:rFonts w:hAnsi="標楷體" w:hint="eastAsia"/>
          <w:szCs w:val="32"/>
        </w:rPr>
        <w:lastRenderedPageBreak/>
        <w:t>部計畫）中分別將68</w:t>
      </w:r>
      <w:r w:rsidRPr="00E60E88">
        <w:rPr>
          <w:rFonts w:hAnsi="標楷體" w:cs="新細明體"/>
          <w:szCs w:val="32"/>
        </w:rPr>
        <w:t>年</w:t>
      </w:r>
      <w:r w:rsidRPr="00E60E88">
        <w:rPr>
          <w:rFonts w:hAnsi="標楷體" w:cs="新細明體" w:hint="eastAsia"/>
          <w:szCs w:val="32"/>
        </w:rPr>
        <w:t>12</w:t>
      </w:r>
      <w:r w:rsidRPr="00E60E88">
        <w:rPr>
          <w:rFonts w:hAnsi="標楷體" w:cs="新細明體"/>
          <w:szCs w:val="32"/>
        </w:rPr>
        <w:t>月</w:t>
      </w:r>
      <w:r w:rsidRPr="00E60E88">
        <w:rPr>
          <w:rFonts w:hAnsi="標楷體" w:cs="新細明體" w:hint="eastAsia"/>
          <w:szCs w:val="32"/>
        </w:rPr>
        <w:t>20</w:t>
      </w:r>
      <w:r w:rsidRPr="00E60E88">
        <w:rPr>
          <w:rFonts w:hAnsi="標楷體" w:cs="新細明體"/>
          <w:szCs w:val="32"/>
        </w:rPr>
        <w:t>日臺北市政府(68)府工二字第</w:t>
      </w:r>
      <w:r w:rsidRPr="00E60E88">
        <w:rPr>
          <w:rFonts w:hAnsi="標楷體" w:cs="新細明體" w:hint="eastAsia"/>
          <w:szCs w:val="32"/>
        </w:rPr>
        <w:t>47627</w:t>
      </w:r>
      <w:r w:rsidRPr="00E60E88">
        <w:rPr>
          <w:rFonts w:hAnsi="標楷體" w:cs="新細明體"/>
          <w:szCs w:val="32"/>
        </w:rPr>
        <w:t>號函修正</w:t>
      </w:r>
      <w:r w:rsidRPr="00E60E88">
        <w:rPr>
          <w:rFonts w:hAnsi="標楷體" w:cs="新細明體" w:hint="eastAsia"/>
          <w:szCs w:val="32"/>
        </w:rPr>
        <w:t>之</w:t>
      </w:r>
      <w:r w:rsidRPr="00E60E88">
        <w:rPr>
          <w:rFonts w:hAnsi="標楷體" w:hint="eastAsia"/>
          <w:szCs w:val="32"/>
        </w:rPr>
        <w:t>臺北市保護區變更為住宅區開發要點與75</w:t>
      </w:r>
      <w:r w:rsidRPr="00E60E88">
        <w:rPr>
          <w:rFonts w:hAnsi="標楷體" w:cs="新細明體"/>
          <w:szCs w:val="32"/>
        </w:rPr>
        <w:t>年</w:t>
      </w:r>
      <w:r w:rsidRPr="00E60E88">
        <w:rPr>
          <w:rFonts w:hAnsi="標楷體" w:cs="新細明體" w:hint="eastAsia"/>
          <w:szCs w:val="32"/>
        </w:rPr>
        <w:t>3</w:t>
      </w:r>
      <w:r w:rsidRPr="00E60E88">
        <w:rPr>
          <w:rFonts w:hAnsi="標楷體" w:cs="新細明體"/>
          <w:szCs w:val="32"/>
        </w:rPr>
        <w:t>月</w:t>
      </w:r>
      <w:r w:rsidRPr="00E60E88">
        <w:rPr>
          <w:rFonts w:hAnsi="標楷體" w:cs="新細明體" w:hint="eastAsia"/>
          <w:szCs w:val="32"/>
        </w:rPr>
        <w:t>19</w:t>
      </w:r>
      <w:r w:rsidRPr="00E60E88">
        <w:rPr>
          <w:rFonts w:hAnsi="標楷體" w:cs="新細明體"/>
          <w:szCs w:val="32"/>
        </w:rPr>
        <w:t>日臺北市政府(75)府工二字第</w:t>
      </w:r>
      <w:r w:rsidRPr="00E60E88">
        <w:rPr>
          <w:rFonts w:hAnsi="標楷體" w:cs="新細明體" w:hint="eastAsia"/>
          <w:szCs w:val="32"/>
        </w:rPr>
        <w:t>57442</w:t>
      </w:r>
      <w:r w:rsidRPr="00E60E88">
        <w:rPr>
          <w:rFonts w:hAnsi="標楷體" w:cs="新細明體"/>
          <w:szCs w:val="32"/>
        </w:rPr>
        <w:t>號函修正</w:t>
      </w:r>
      <w:r w:rsidRPr="00E60E88">
        <w:rPr>
          <w:rFonts w:hAnsi="標楷體" w:cs="新細明體" w:hint="eastAsia"/>
          <w:szCs w:val="32"/>
        </w:rPr>
        <w:t>之</w:t>
      </w:r>
      <w:r w:rsidRPr="00E60E88">
        <w:rPr>
          <w:rFonts w:hAnsi="標楷體" w:hint="eastAsia"/>
          <w:szCs w:val="32"/>
        </w:rPr>
        <w:t>山坡地開發建築要點</w:t>
      </w:r>
      <w:r w:rsidRPr="00E60E88">
        <w:rPr>
          <w:rStyle w:val="af2"/>
          <w:rFonts w:hAnsi="標楷體"/>
          <w:szCs w:val="32"/>
        </w:rPr>
        <w:footnoteReference w:id="3"/>
      </w:r>
      <w:r w:rsidRPr="00E60E88">
        <w:rPr>
          <w:rFonts w:hAnsi="標楷體" w:hint="eastAsia"/>
          <w:szCs w:val="32"/>
        </w:rPr>
        <w:t>列入附件，而前</w:t>
      </w:r>
      <w:proofErr w:type="gramStart"/>
      <w:r w:rsidRPr="00E60E88">
        <w:rPr>
          <w:rFonts w:hAnsi="標楷體" w:hint="eastAsia"/>
          <w:szCs w:val="32"/>
        </w:rPr>
        <w:t>揭兩法令迭經</w:t>
      </w:r>
      <w:proofErr w:type="gramEnd"/>
      <w:r w:rsidRPr="00E60E88">
        <w:rPr>
          <w:rFonts w:hAnsi="標楷體" w:hint="eastAsia"/>
          <w:szCs w:val="32"/>
        </w:rPr>
        <w:t>修正，造成可開發面積因原</w:t>
      </w:r>
      <w:r w:rsidRPr="00E60E88">
        <w:rPr>
          <w:rFonts w:hint="eastAsia"/>
        </w:rPr>
        <w:t>自然地形平均坡度超過30%者，</w:t>
      </w:r>
      <w:proofErr w:type="gramStart"/>
      <w:r w:rsidRPr="00E60E88">
        <w:rPr>
          <w:rFonts w:hint="eastAsia"/>
        </w:rPr>
        <w:t>不</w:t>
      </w:r>
      <w:proofErr w:type="gramEnd"/>
      <w:r w:rsidRPr="00E60E88">
        <w:rPr>
          <w:rFonts w:hint="eastAsia"/>
        </w:rPr>
        <w:t>得計入建築基地面積檢討建蔽率與容積率，僅得計入開發範圍之修正影響建築基地之建蔽率與容積率，確實導致樓地板面積縮減，且涉及相關</w:t>
      </w:r>
      <w:r w:rsidRPr="00E60E88">
        <w:rPr>
          <w:rFonts w:hAnsi="標楷體" w:cs="細明體"/>
          <w:szCs w:val="32"/>
        </w:rPr>
        <w:t>行政法規變更</w:t>
      </w:r>
      <w:r w:rsidRPr="00E60E88">
        <w:rPr>
          <w:rFonts w:hAnsi="標楷體" w:cs="細明體" w:hint="eastAsia"/>
          <w:szCs w:val="32"/>
        </w:rPr>
        <w:t>之情形，雖</w:t>
      </w:r>
      <w:r w:rsidRPr="00E60E88">
        <w:rPr>
          <w:rFonts w:hint="eastAsia"/>
        </w:rPr>
        <w:t>合乎</w:t>
      </w:r>
      <w:r w:rsidRPr="00E60E88">
        <w:rPr>
          <w:rFonts w:hAnsi="標楷體" w:cs="細明體" w:hint="eastAsia"/>
          <w:szCs w:val="32"/>
        </w:rPr>
        <w:t>司法院大法官釋字第525號解釋意旨範圍，然其因公辦重劃尚未核准，原細部計畫仍存在下，是否確因</w:t>
      </w:r>
      <w:r w:rsidRPr="00E60E88">
        <w:rPr>
          <w:rFonts w:hAnsi="標楷體" w:hint="eastAsia"/>
          <w:szCs w:val="32"/>
        </w:rPr>
        <w:t>山坡地開發建築要點</w:t>
      </w:r>
      <w:r w:rsidRPr="00E60E88">
        <w:rPr>
          <w:rFonts w:hAnsi="標楷體" w:cs="細明體"/>
          <w:szCs w:val="32"/>
        </w:rPr>
        <w:t>修改內容</w:t>
      </w:r>
      <w:r w:rsidRPr="00E60E88">
        <w:rPr>
          <w:rFonts w:hAnsi="標楷體" w:cs="細明體" w:hint="eastAsia"/>
          <w:szCs w:val="32"/>
        </w:rPr>
        <w:t>導致陳情人確有</w:t>
      </w:r>
      <w:r w:rsidRPr="00E60E88">
        <w:rPr>
          <w:rFonts w:hAnsi="標楷體" w:cs="細明體"/>
          <w:szCs w:val="32"/>
        </w:rPr>
        <w:t>客觀上具體表現其因信賴而生之實體法上利益受損害</w:t>
      </w:r>
      <w:r w:rsidRPr="00E60E88">
        <w:rPr>
          <w:rFonts w:hAnsi="標楷體" w:cs="細明體" w:hint="eastAsia"/>
          <w:szCs w:val="32"/>
        </w:rPr>
        <w:t>及有無信賴</w:t>
      </w:r>
      <w:r w:rsidRPr="00E60E88">
        <w:rPr>
          <w:rFonts w:hAnsi="標楷體" w:hint="eastAsia"/>
          <w:szCs w:val="32"/>
        </w:rPr>
        <w:t>不值得保護之情形，其判定仍猶待主管機關詳細審酌。</w:t>
      </w:r>
    </w:p>
    <w:p w:rsidR="00B04B3B" w:rsidRPr="00E60E88" w:rsidRDefault="00B04B3B" w:rsidP="00BF6F77">
      <w:pPr>
        <w:pStyle w:val="3"/>
        <w:ind w:left="1360" w:hanging="680"/>
      </w:pPr>
      <w:r w:rsidRPr="00E60E88">
        <w:rPr>
          <w:rFonts w:hint="eastAsia"/>
        </w:rPr>
        <w:t>綜上，陳訴</w:t>
      </w:r>
      <w:proofErr w:type="gramStart"/>
      <w:r w:rsidRPr="00E60E88">
        <w:rPr>
          <w:rFonts w:hint="eastAsia"/>
        </w:rPr>
        <w:t>人於系爭</w:t>
      </w:r>
      <w:proofErr w:type="gramEnd"/>
      <w:r w:rsidRPr="00E60E88">
        <w:rPr>
          <w:rFonts w:hint="eastAsia"/>
        </w:rPr>
        <w:t>「住25」地區細部計畫公告實施後，於77年間</w:t>
      </w:r>
      <w:proofErr w:type="gramStart"/>
      <w:r w:rsidRPr="00E60E88">
        <w:rPr>
          <w:rFonts w:hint="eastAsia"/>
        </w:rPr>
        <w:t>購入系爭</w:t>
      </w:r>
      <w:proofErr w:type="gramEnd"/>
      <w:r w:rsidRPr="00E60E88">
        <w:rPr>
          <w:rFonts w:hint="eastAsia"/>
        </w:rPr>
        <w:t>土地，惟因種種障礙事由致延宕多年未能辦理開發，臺北市政府允應審慎檢討，是否有合於司法院大法官釋字第525號解釋範圍，民眾信賴政府法令或計畫之具體表現而產生實體法上利益損害之情形，積極謀求解決之道，以符憲法保障人民權利之意旨。</w:t>
      </w:r>
      <w:r w:rsidRPr="00E60E88">
        <w:rPr>
          <w:rFonts w:hAnsi="標楷體" w:hint="eastAsia"/>
          <w:szCs w:val="32"/>
        </w:rPr>
        <w:t>本院諮詢專家學者相關法律見解及建議</w:t>
      </w:r>
      <w:r w:rsidRPr="00E60E88">
        <w:rPr>
          <w:rStyle w:val="af2"/>
          <w:rFonts w:hAnsi="標楷體" w:cs="細明體"/>
          <w:szCs w:val="32"/>
        </w:rPr>
        <w:footnoteReference w:id="4"/>
      </w:r>
      <w:r w:rsidRPr="00E60E88">
        <w:rPr>
          <w:rFonts w:hAnsi="標楷體" w:hint="eastAsia"/>
          <w:szCs w:val="32"/>
        </w:rPr>
        <w:t>，可資參考，</w:t>
      </w:r>
      <w:proofErr w:type="gramStart"/>
      <w:r w:rsidRPr="00E60E88">
        <w:rPr>
          <w:rFonts w:hAnsi="標楷體" w:hint="eastAsia"/>
          <w:szCs w:val="32"/>
        </w:rPr>
        <w:t>併予敘</w:t>
      </w:r>
      <w:proofErr w:type="gramEnd"/>
      <w:r w:rsidRPr="00E60E88">
        <w:rPr>
          <w:rFonts w:hAnsi="標楷體" w:hint="eastAsia"/>
          <w:szCs w:val="32"/>
        </w:rPr>
        <w:t>明</w:t>
      </w:r>
      <w:r w:rsidRPr="00E60E88">
        <w:rPr>
          <w:rFonts w:hint="eastAsia"/>
        </w:rPr>
        <w:t>。</w:t>
      </w:r>
    </w:p>
    <w:p w:rsidR="00B04B3B" w:rsidRPr="00E60E88" w:rsidRDefault="00B04B3B" w:rsidP="00BE1C3B">
      <w:pPr>
        <w:pStyle w:val="2"/>
        <w:ind w:left="1020" w:hanging="680"/>
        <w:rPr>
          <w:b/>
        </w:rPr>
      </w:pPr>
      <w:r w:rsidRPr="00E60E88">
        <w:rPr>
          <w:rFonts w:hint="eastAsia"/>
          <w:b/>
        </w:rPr>
        <w:lastRenderedPageBreak/>
        <w:t>系爭「住25」地區環境影響評估替代方案，</w:t>
      </w:r>
      <w:proofErr w:type="gramStart"/>
      <w:r w:rsidRPr="00E60E88">
        <w:rPr>
          <w:rFonts w:hint="eastAsia"/>
          <w:b/>
        </w:rPr>
        <w:t>雖迭經環</w:t>
      </w:r>
      <w:proofErr w:type="gramEnd"/>
      <w:r w:rsidRPr="00E60E88">
        <w:rPr>
          <w:rFonts w:hint="eastAsia"/>
          <w:b/>
        </w:rPr>
        <w:t>評會審查認定不應開發，惟陳訴人仍可依環境影響評估法第14條等相關法令規定，檢討歷次環評審查意見，另行提出具體可行之替代方案重新送審，以謀求解決；臺北市政府於陳訴人提出申請時，允宜給予適時之協助。</w:t>
      </w:r>
    </w:p>
    <w:p w:rsidR="00B04B3B" w:rsidRPr="00E60E88" w:rsidRDefault="00B04B3B" w:rsidP="00812436">
      <w:pPr>
        <w:pStyle w:val="3"/>
        <w:ind w:left="1360" w:hanging="680"/>
      </w:pPr>
      <w:r w:rsidRPr="00E60E88">
        <w:rPr>
          <w:rFonts w:hint="eastAsia"/>
        </w:rPr>
        <w:t>系爭「住25」地區之環境影響說明書，歷經</w:t>
      </w:r>
      <w:r w:rsidRPr="00E60E88">
        <w:t>88</w:t>
      </w:r>
      <w:r w:rsidRPr="00E60E88">
        <w:rPr>
          <w:rFonts w:hint="eastAsia"/>
        </w:rPr>
        <w:t>年</w:t>
      </w:r>
      <w:r w:rsidRPr="00E60E88">
        <w:t>5</w:t>
      </w:r>
      <w:r w:rsidRPr="00E60E88">
        <w:rPr>
          <w:rFonts w:hint="eastAsia"/>
        </w:rPr>
        <w:t>月</w:t>
      </w:r>
      <w:r w:rsidRPr="00E60E88">
        <w:t>5</w:t>
      </w:r>
      <w:r w:rsidRPr="00E60E88">
        <w:rPr>
          <w:rFonts w:hint="eastAsia"/>
        </w:rPr>
        <w:t>日、</w:t>
      </w:r>
      <w:r w:rsidRPr="00E60E88">
        <w:t>88</w:t>
      </w:r>
      <w:r w:rsidRPr="00E60E88">
        <w:rPr>
          <w:rFonts w:hint="eastAsia"/>
        </w:rPr>
        <w:t>年</w:t>
      </w:r>
      <w:r w:rsidRPr="00E60E88">
        <w:t>7</w:t>
      </w:r>
      <w:r w:rsidRPr="00E60E88">
        <w:rPr>
          <w:rFonts w:hint="eastAsia"/>
        </w:rPr>
        <w:t>月</w:t>
      </w:r>
      <w:r w:rsidRPr="00E60E88">
        <w:t>7</w:t>
      </w:r>
      <w:r w:rsidRPr="00E60E88">
        <w:rPr>
          <w:rFonts w:hint="eastAsia"/>
        </w:rPr>
        <w:t>日、</w:t>
      </w:r>
      <w:r w:rsidRPr="00E60E88">
        <w:t>89</w:t>
      </w:r>
      <w:r w:rsidRPr="00E60E88">
        <w:rPr>
          <w:rFonts w:hint="eastAsia"/>
        </w:rPr>
        <w:t>年</w:t>
      </w:r>
      <w:r w:rsidRPr="00E60E88">
        <w:t>4</w:t>
      </w:r>
      <w:r w:rsidRPr="00E60E88">
        <w:rPr>
          <w:rFonts w:hint="eastAsia"/>
        </w:rPr>
        <w:t>月</w:t>
      </w:r>
      <w:r w:rsidRPr="00E60E88">
        <w:t>26</w:t>
      </w:r>
      <w:r w:rsidRPr="00E60E88">
        <w:rPr>
          <w:rFonts w:hint="eastAsia"/>
        </w:rPr>
        <w:t>日、</w:t>
      </w:r>
      <w:r w:rsidRPr="00E60E88">
        <w:t>89</w:t>
      </w:r>
      <w:r w:rsidRPr="00E60E88">
        <w:rPr>
          <w:rFonts w:hint="eastAsia"/>
        </w:rPr>
        <w:t>年</w:t>
      </w:r>
      <w:r w:rsidRPr="00E60E88">
        <w:t>11</w:t>
      </w:r>
      <w:r w:rsidRPr="00E60E88">
        <w:rPr>
          <w:rFonts w:hint="eastAsia"/>
        </w:rPr>
        <w:t>月</w:t>
      </w:r>
      <w:r w:rsidRPr="00E60E88">
        <w:t>6</w:t>
      </w:r>
      <w:r w:rsidRPr="00E60E88">
        <w:rPr>
          <w:rFonts w:hint="eastAsia"/>
        </w:rPr>
        <w:t>日、</w:t>
      </w:r>
      <w:r w:rsidRPr="00E60E88">
        <w:t>91</w:t>
      </w:r>
      <w:r w:rsidRPr="00E60E88">
        <w:rPr>
          <w:rFonts w:hint="eastAsia"/>
        </w:rPr>
        <w:t>年</w:t>
      </w:r>
      <w:r w:rsidRPr="00E60E88">
        <w:t>7</w:t>
      </w:r>
      <w:r w:rsidRPr="00E60E88">
        <w:rPr>
          <w:rFonts w:hint="eastAsia"/>
        </w:rPr>
        <w:t>月</w:t>
      </w:r>
      <w:r w:rsidRPr="00E60E88">
        <w:t>9</w:t>
      </w:r>
      <w:r w:rsidRPr="00E60E88">
        <w:rPr>
          <w:rFonts w:hint="eastAsia"/>
        </w:rPr>
        <w:t>日、</w:t>
      </w:r>
      <w:r w:rsidRPr="00E60E88">
        <w:t>93</w:t>
      </w:r>
      <w:r w:rsidRPr="00E60E88">
        <w:rPr>
          <w:rFonts w:hint="eastAsia"/>
        </w:rPr>
        <w:t>年</w:t>
      </w:r>
      <w:r w:rsidRPr="00E60E88">
        <w:t>6</w:t>
      </w:r>
      <w:r w:rsidRPr="00E60E88">
        <w:rPr>
          <w:rFonts w:hint="eastAsia"/>
        </w:rPr>
        <w:t>月</w:t>
      </w:r>
      <w:r w:rsidRPr="00E60E88">
        <w:t>17</w:t>
      </w:r>
      <w:r w:rsidRPr="00E60E88">
        <w:rPr>
          <w:rFonts w:hint="eastAsia"/>
        </w:rPr>
        <w:t>日等</w:t>
      </w:r>
      <w:r w:rsidRPr="00E60E88">
        <w:t>6</w:t>
      </w:r>
      <w:r w:rsidRPr="00E60E88">
        <w:rPr>
          <w:rFonts w:hint="eastAsia"/>
        </w:rPr>
        <w:t>次審查結論均</w:t>
      </w:r>
      <w:proofErr w:type="gramStart"/>
      <w:r w:rsidRPr="00E60E88">
        <w:rPr>
          <w:rFonts w:hint="eastAsia"/>
        </w:rPr>
        <w:t>以</w:t>
      </w:r>
      <w:proofErr w:type="gramEnd"/>
      <w:r w:rsidRPr="00E60E88">
        <w:rPr>
          <w:rFonts w:hint="eastAsia"/>
        </w:rPr>
        <w:t>：本開發基地狹窄、地勢陡斜，坡地安全及水土保持方面仍有疑慮而認定不應開發，</w:t>
      </w:r>
      <w:r w:rsidRPr="00E60E88">
        <w:t>96</w:t>
      </w:r>
      <w:r w:rsidRPr="00E60E88">
        <w:rPr>
          <w:rFonts w:hint="eastAsia"/>
        </w:rPr>
        <w:t>年間再次檢送替代方案之環境影響說明書，經</w:t>
      </w:r>
      <w:r w:rsidRPr="00E60E88">
        <w:t>96</w:t>
      </w:r>
      <w:r w:rsidRPr="00E60E88">
        <w:rPr>
          <w:rFonts w:hint="eastAsia"/>
        </w:rPr>
        <w:t>年</w:t>
      </w:r>
      <w:r w:rsidRPr="00E60E88">
        <w:t>10</w:t>
      </w:r>
      <w:r w:rsidRPr="00E60E88">
        <w:rPr>
          <w:rFonts w:hint="eastAsia"/>
        </w:rPr>
        <w:t>月</w:t>
      </w:r>
      <w:r w:rsidRPr="00E60E88">
        <w:t>8</w:t>
      </w:r>
      <w:r w:rsidRPr="00E60E88">
        <w:rPr>
          <w:rFonts w:hint="eastAsia"/>
        </w:rPr>
        <w:t>日環評會審查結論，仍認定「不同意本開發案之替代方案」，理由如下：</w:t>
      </w:r>
    </w:p>
    <w:p w:rsidR="00B04B3B" w:rsidRPr="00E60E88" w:rsidRDefault="00B04B3B" w:rsidP="00ED4825">
      <w:pPr>
        <w:pStyle w:val="4"/>
        <w:ind w:left="1700" w:hanging="680"/>
      </w:pPr>
      <w:r w:rsidRPr="00E60E88">
        <w:rPr>
          <w:rFonts w:hint="eastAsia"/>
        </w:rPr>
        <w:t>生態調查資料不足。</w:t>
      </w:r>
    </w:p>
    <w:p w:rsidR="00B04B3B" w:rsidRPr="00E60E88" w:rsidRDefault="00B04B3B" w:rsidP="00ED4825">
      <w:pPr>
        <w:pStyle w:val="4"/>
        <w:ind w:left="1700" w:hanging="680"/>
      </w:pPr>
      <w:r w:rsidRPr="00E60E88">
        <w:rPr>
          <w:rFonts w:hint="eastAsia"/>
        </w:rPr>
        <w:t>地下水位調查及坡地穩定分析資料不足。</w:t>
      </w:r>
    </w:p>
    <w:p w:rsidR="00B04B3B" w:rsidRPr="00E60E88" w:rsidRDefault="00B04B3B" w:rsidP="00ED4825">
      <w:pPr>
        <w:pStyle w:val="4"/>
        <w:ind w:left="1700" w:hanging="680"/>
      </w:pPr>
      <w:r w:rsidRPr="00E60E88">
        <w:rPr>
          <w:rFonts w:hint="eastAsia"/>
        </w:rPr>
        <w:lastRenderedPageBreak/>
        <w:t>地下室工程未考量施工遇到巨石所造成之影響。</w:t>
      </w:r>
    </w:p>
    <w:p w:rsidR="00B04B3B" w:rsidRPr="00E60E88" w:rsidRDefault="00B04B3B" w:rsidP="00ED4825">
      <w:pPr>
        <w:pStyle w:val="4"/>
        <w:ind w:left="1700" w:hanging="680"/>
      </w:pPr>
      <w:r w:rsidRPr="00E60E88">
        <w:rPr>
          <w:rFonts w:hint="eastAsia"/>
        </w:rPr>
        <w:t>公園部分政府接管相關問題未</w:t>
      </w:r>
      <w:proofErr w:type="gramStart"/>
      <w:r w:rsidRPr="00E60E88">
        <w:rPr>
          <w:rFonts w:hint="eastAsia"/>
        </w:rPr>
        <w:t>釐</w:t>
      </w:r>
      <w:proofErr w:type="gramEnd"/>
      <w:r w:rsidRPr="00E60E88">
        <w:rPr>
          <w:rFonts w:hint="eastAsia"/>
        </w:rPr>
        <w:t>清。</w:t>
      </w:r>
    </w:p>
    <w:p w:rsidR="00B04B3B" w:rsidRPr="00E60E88" w:rsidRDefault="00B04B3B" w:rsidP="00ED4825">
      <w:pPr>
        <w:pStyle w:val="4"/>
        <w:ind w:left="1700" w:hanging="680"/>
      </w:pPr>
      <w:r w:rsidRPr="00E60E88">
        <w:rPr>
          <w:rFonts w:hint="eastAsia"/>
        </w:rPr>
        <w:t>本案為特殊案例，詳細水土保持計畫應整體規劃(含建築基地)。</w:t>
      </w:r>
    </w:p>
    <w:p w:rsidR="00B04B3B" w:rsidRPr="00E60E88" w:rsidRDefault="00B04B3B" w:rsidP="00ED4825">
      <w:pPr>
        <w:pStyle w:val="4"/>
        <w:ind w:left="1700" w:hanging="680"/>
      </w:pPr>
      <w:r w:rsidRPr="00E60E88">
        <w:rPr>
          <w:rFonts w:hint="eastAsia"/>
        </w:rPr>
        <w:t>宜另行評估縮小實際開發範圍或興建量體之替代方案。</w:t>
      </w:r>
    </w:p>
    <w:p w:rsidR="00B04B3B" w:rsidRPr="00E60E88" w:rsidRDefault="00B04B3B" w:rsidP="00ED4825">
      <w:pPr>
        <w:pStyle w:val="4"/>
        <w:ind w:left="1700" w:hanging="680"/>
      </w:pPr>
      <w:r w:rsidRPr="00E60E88">
        <w:rPr>
          <w:rFonts w:hint="eastAsia"/>
        </w:rPr>
        <w:t>個別基地開發內容應一併納入，整體送審。</w:t>
      </w:r>
    </w:p>
    <w:p w:rsidR="00B04B3B" w:rsidRPr="00E60E88" w:rsidRDefault="00B04B3B" w:rsidP="00812436">
      <w:pPr>
        <w:pStyle w:val="3"/>
        <w:ind w:left="1360" w:hanging="680"/>
      </w:pPr>
      <w:r w:rsidRPr="00E60E88">
        <w:rPr>
          <w:rFonts w:hint="eastAsia"/>
        </w:rPr>
        <w:t>按環境影響評估法第14條第2項、第3項規定：「經主管機關審查認定不應開發者，目的事業主管機關不得為開發行為之許可。但開發單位得另行提出替代方案，重新送主管機關審查。開發單位依前項提出之替代方案，如就原地點重新規劃時，不得與主管機關原審查認定不應開發之理由牴觸。」系爭「住25」地區環境影響評估替代方案，</w:t>
      </w:r>
      <w:proofErr w:type="gramStart"/>
      <w:r w:rsidRPr="00E60E88">
        <w:rPr>
          <w:rFonts w:hint="eastAsia"/>
        </w:rPr>
        <w:t>雖迭經環</w:t>
      </w:r>
      <w:proofErr w:type="gramEnd"/>
      <w:r w:rsidRPr="00E60E88">
        <w:rPr>
          <w:rFonts w:hint="eastAsia"/>
        </w:rPr>
        <w:t>評會審查認定不應開發，陳訴人仍應依上開法令規定，檢討歷次環評審查意見，另行提出替代方案，重新送主管機關審查，以謀求解決，臺北市政府於陳訴人提出申請時，允宜給予適時之協助。</w:t>
      </w:r>
    </w:p>
    <w:p w:rsidR="00B04B3B" w:rsidRPr="00E60E88" w:rsidRDefault="00B04B3B" w:rsidP="00ED4825">
      <w:pPr>
        <w:pStyle w:val="3"/>
        <w:ind w:left="1360" w:hanging="680"/>
      </w:pPr>
      <w:r w:rsidRPr="00E60E88">
        <w:rPr>
          <w:rFonts w:hint="eastAsia"/>
          <w:szCs w:val="32"/>
        </w:rPr>
        <w:t>另按環境影響評估法第三條規定：「</w:t>
      </w:r>
      <w:r w:rsidRPr="00E60E88">
        <w:rPr>
          <w:rFonts w:ascii="Verdana" w:hAnsi="Verdana"/>
          <w:szCs w:val="32"/>
        </w:rPr>
        <w:t>各級主管機關為審查環境影響評估報告有關事項，應設環境影響評估審查委員會</w:t>
      </w:r>
      <w:r w:rsidRPr="00E60E88">
        <w:rPr>
          <w:rFonts w:ascii="Verdana" w:hAnsi="Verdana" w:hint="eastAsia"/>
          <w:szCs w:val="32"/>
        </w:rPr>
        <w:t>。」其係行政機關依法將公權力授與專業委員會處理，而審查結論則屬行政處分，為行政行為</w:t>
      </w:r>
      <w:proofErr w:type="gramStart"/>
      <w:r w:rsidRPr="00E60E88">
        <w:rPr>
          <w:rFonts w:ascii="Verdana" w:hAnsi="Verdana" w:hint="eastAsia"/>
          <w:szCs w:val="32"/>
        </w:rPr>
        <w:t>乙環。</w:t>
      </w:r>
      <w:proofErr w:type="gramEnd"/>
      <w:r w:rsidRPr="00E60E88">
        <w:rPr>
          <w:rFonts w:ascii="Verdana" w:hAnsi="Verdana" w:hint="eastAsia"/>
          <w:szCs w:val="32"/>
        </w:rPr>
        <w:t>故雖所組成環評委員</w:t>
      </w:r>
      <w:proofErr w:type="gramStart"/>
      <w:r w:rsidRPr="00E60E88">
        <w:rPr>
          <w:rFonts w:ascii="Verdana" w:hAnsi="Verdana" w:hint="eastAsia"/>
          <w:szCs w:val="32"/>
        </w:rPr>
        <w:t>因屆次不同且相隔多年</w:t>
      </w:r>
      <w:proofErr w:type="gramEnd"/>
      <w:r w:rsidRPr="00E60E88">
        <w:rPr>
          <w:rFonts w:ascii="Verdana" w:hAnsi="Verdana" w:hint="eastAsia"/>
          <w:szCs w:val="32"/>
        </w:rPr>
        <w:t>，其評審意見仍應具有一致性，始符行政程序法第七條行政自我拘束原則</w:t>
      </w:r>
      <w:r w:rsidRPr="00E60E88">
        <w:rPr>
          <w:rStyle w:val="af2"/>
          <w:rFonts w:hAnsi="標楷體" w:cs="細明體"/>
          <w:szCs w:val="32"/>
        </w:rPr>
        <w:footnoteReference w:id="5"/>
      </w:r>
      <w:r w:rsidRPr="00E60E88">
        <w:rPr>
          <w:rFonts w:ascii="Verdana" w:hAnsi="Verdana" w:hint="eastAsia"/>
          <w:szCs w:val="32"/>
        </w:rPr>
        <w:t>之適用。</w:t>
      </w: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End w:id="37"/>
      <w:r w:rsidRPr="00E60E88">
        <w:br w:type="page"/>
      </w:r>
      <w:bookmarkStart w:id="48" w:name="_Toc529222689"/>
      <w:bookmarkStart w:id="49" w:name="_Toc529223111"/>
      <w:bookmarkStart w:id="50" w:name="_Toc529223862"/>
      <w:bookmarkStart w:id="51" w:name="_Toc529228265"/>
      <w:bookmarkStart w:id="52" w:name="_Toc2400395"/>
      <w:bookmarkStart w:id="53" w:name="_Toc4316189"/>
      <w:bookmarkStart w:id="54" w:name="_Toc4473330"/>
      <w:bookmarkStart w:id="55" w:name="_Toc69556897"/>
      <w:bookmarkStart w:id="56" w:name="_Toc69556946"/>
      <w:bookmarkStart w:id="57" w:name="_Toc69609820"/>
      <w:bookmarkStart w:id="58" w:name="_Toc70241816"/>
      <w:bookmarkStart w:id="59" w:name="_Toc70242205"/>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205D7F" w:rsidRPr="00E60E88" w:rsidRDefault="00DA3D22" w:rsidP="00DA3D22">
      <w:pPr>
        <w:pStyle w:val="ab"/>
        <w:ind w:left="1044" w:hangingChars="307" w:hanging="1044"/>
        <w:jc w:val="center"/>
        <w:rPr>
          <w:bCs/>
        </w:rPr>
      </w:pPr>
      <w:r>
        <w:rPr>
          <w:rFonts w:hint="eastAsia"/>
          <w:bCs/>
        </w:rPr>
        <w:lastRenderedPageBreak/>
        <w:t>調查委員：馬以工、沈美真</w:t>
      </w:r>
    </w:p>
    <w:sectPr w:rsidR="00205D7F" w:rsidRPr="00E60E88" w:rsidSect="00421C5B">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B1" w:rsidRDefault="00931AB1" w:rsidP="00717DAD">
      <w:r>
        <w:separator/>
      </w:r>
    </w:p>
  </w:endnote>
  <w:endnote w:type="continuationSeparator" w:id="0">
    <w:p w:rsidR="00931AB1" w:rsidRDefault="00931AB1" w:rsidP="00717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細明體a....">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25" w:rsidRDefault="006A4434">
    <w:pPr>
      <w:pStyle w:val="af0"/>
      <w:framePr w:wrap="around" w:vAnchor="text" w:hAnchor="margin" w:xAlign="center" w:y="1"/>
      <w:rPr>
        <w:rStyle w:val="a7"/>
        <w:sz w:val="24"/>
      </w:rPr>
    </w:pPr>
    <w:r>
      <w:rPr>
        <w:rStyle w:val="a7"/>
        <w:sz w:val="24"/>
      </w:rPr>
      <w:fldChar w:fldCharType="begin"/>
    </w:r>
    <w:r w:rsidR="00ED4825">
      <w:rPr>
        <w:rStyle w:val="a7"/>
        <w:sz w:val="24"/>
      </w:rPr>
      <w:instrText xml:space="preserve">PAGE  </w:instrText>
    </w:r>
    <w:r>
      <w:rPr>
        <w:rStyle w:val="a7"/>
        <w:sz w:val="24"/>
      </w:rPr>
      <w:fldChar w:fldCharType="separate"/>
    </w:r>
    <w:r w:rsidR="00DA3D22">
      <w:rPr>
        <w:rStyle w:val="a7"/>
        <w:noProof/>
        <w:sz w:val="24"/>
      </w:rPr>
      <w:t>14</w:t>
    </w:r>
    <w:r>
      <w:rPr>
        <w:rStyle w:val="a7"/>
        <w:sz w:val="24"/>
      </w:rPr>
      <w:fldChar w:fldCharType="end"/>
    </w:r>
  </w:p>
  <w:p w:rsidR="00ED4825" w:rsidRDefault="00ED482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B1" w:rsidRDefault="00931AB1" w:rsidP="00717DAD">
      <w:r>
        <w:separator/>
      </w:r>
    </w:p>
  </w:footnote>
  <w:footnote w:type="continuationSeparator" w:id="0">
    <w:p w:rsidR="00931AB1" w:rsidRDefault="00931AB1" w:rsidP="00717DAD">
      <w:r>
        <w:continuationSeparator/>
      </w:r>
    </w:p>
  </w:footnote>
  <w:footnote w:id="1">
    <w:p w:rsidR="00B04B3B" w:rsidRPr="00B10AA6" w:rsidRDefault="00B04B3B" w:rsidP="00535E28">
      <w:pPr>
        <w:pStyle w:val="ae"/>
        <w:rPr>
          <w:rFonts w:asciiTheme="majorEastAsia" w:eastAsiaTheme="majorEastAsia" w:hAnsiTheme="majorEastAsia"/>
          <w:color w:val="000000" w:themeColor="text1"/>
          <w:sz w:val="24"/>
          <w:szCs w:val="24"/>
        </w:rPr>
      </w:pPr>
      <w:r w:rsidRPr="00B10AA6">
        <w:rPr>
          <w:rStyle w:val="af2"/>
          <w:rFonts w:asciiTheme="majorEastAsia" w:eastAsiaTheme="majorEastAsia" w:hAnsiTheme="majorEastAsia"/>
          <w:color w:val="000000" w:themeColor="text1"/>
          <w:sz w:val="24"/>
          <w:szCs w:val="24"/>
        </w:rPr>
        <w:footnoteRef/>
      </w:r>
      <w:r w:rsidRPr="00B10AA6">
        <w:rPr>
          <w:rFonts w:asciiTheme="majorEastAsia" w:eastAsiaTheme="majorEastAsia" w:hAnsiTheme="majorEastAsia"/>
          <w:color w:val="000000" w:themeColor="text1"/>
          <w:sz w:val="24"/>
          <w:szCs w:val="24"/>
        </w:rPr>
        <w:t xml:space="preserve"> </w:t>
      </w:r>
      <w:r w:rsidRPr="00B10AA6">
        <w:rPr>
          <w:rFonts w:asciiTheme="majorEastAsia" w:eastAsiaTheme="majorEastAsia" w:hAnsiTheme="majorEastAsia" w:hint="eastAsia"/>
          <w:color w:val="000000" w:themeColor="text1"/>
          <w:sz w:val="24"/>
          <w:szCs w:val="24"/>
        </w:rPr>
        <w:t>水土保持法第12條略</w:t>
      </w:r>
      <w:proofErr w:type="gramStart"/>
      <w:r w:rsidRPr="00B10AA6">
        <w:rPr>
          <w:rFonts w:asciiTheme="majorEastAsia" w:eastAsiaTheme="majorEastAsia" w:hAnsiTheme="majorEastAsia" w:hint="eastAsia"/>
          <w:color w:val="000000" w:themeColor="text1"/>
          <w:sz w:val="24"/>
          <w:szCs w:val="24"/>
        </w:rPr>
        <w:t>以</w:t>
      </w:r>
      <w:proofErr w:type="gramEnd"/>
      <w:r w:rsidRPr="00B10AA6">
        <w:rPr>
          <w:rFonts w:asciiTheme="majorEastAsia" w:eastAsiaTheme="majorEastAsia" w:hAnsiTheme="majorEastAsia" w:hint="eastAsia"/>
          <w:color w:val="000000" w:themeColor="text1"/>
          <w:sz w:val="24"/>
          <w:szCs w:val="24"/>
        </w:rPr>
        <w:t>，</w:t>
      </w:r>
      <w:r w:rsidRPr="00B774C2">
        <w:rPr>
          <w:rFonts w:asciiTheme="majorEastAsia" w:eastAsiaTheme="majorEastAsia" w:hAnsiTheme="majorEastAsia" w:cs="新細明體"/>
          <w:color w:val="000000" w:themeColor="text1"/>
          <w:kern w:val="0"/>
          <w:sz w:val="24"/>
          <w:szCs w:val="24"/>
        </w:rPr>
        <w:t>水土保持義務人於山坡地或森林區內從事下列行為，應先擬具水土保持計畫，送請主管機關核定，如屬依法應進行環境影響評估者，並應檢附環境影響評估審查結果一併送核：</w:t>
      </w:r>
      <w:r w:rsidRPr="00B10AA6">
        <w:rPr>
          <w:rFonts w:asciiTheme="majorEastAsia" w:eastAsiaTheme="majorEastAsia" w:hAnsiTheme="majorEastAsia" w:cs="新細明體" w:hint="eastAsia"/>
          <w:color w:val="000000" w:themeColor="text1"/>
          <w:kern w:val="0"/>
          <w:sz w:val="24"/>
          <w:szCs w:val="24"/>
        </w:rPr>
        <w:t>4.</w:t>
      </w:r>
      <w:r w:rsidRPr="00B774C2">
        <w:rPr>
          <w:rFonts w:asciiTheme="majorEastAsia" w:eastAsiaTheme="majorEastAsia" w:hAnsiTheme="majorEastAsia" w:cs="新細明體"/>
          <w:color w:val="000000" w:themeColor="text1"/>
          <w:kern w:val="0"/>
          <w:sz w:val="24"/>
          <w:szCs w:val="24"/>
        </w:rPr>
        <w:t>開發建築用地、</w:t>
      </w:r>
      <w:r w:rsidRPr="00B774C2">
        <w:rPr>
          <w:rFonts w:asciiTheme="majorEastAsia" w:eastAsiaTheme="majorEastAsia" w:hAnsiTheme="majorEastAsia"/>
          <w:color w:val="000000" w:themeColor="text1"/>
          <w:sz w:val="24"/>
          <w:szCs w:val="24"/>
        </w:rPr>
        <w:t>設置</w:t>
      </w:r>
      <w:r w:rsidRPr="00B774C2">
        <w:rPr>
          <w:rFonts w:asciiTheme="majorEastAsia" w:eastAsiaTheme="majorEastAsia" w:hAnsiTheme="majorEastAsia" w:cs="新細明體"/>
          <w:color w:val="000000" w:themeColor="text1"/>
          <w:kern w:val="0"/>
          <w:sz w:val="24"/>
          <w:szCs w:val="24"/>
        </w:rPr>
        <w:t>公園、墳墓、遊憩用地、運動場地或軍事訓練場、堆積土石、處理廢棄物或其他開挖整地。 前項水土保持計畫未經主管機關核定前，各目的事業主管機關不得逕行核發開發或利用之許可。</w:t>
      </w:r>
    </w:p>
  </w:footnote>
  <w:footnote w:id="2">
    <w:p w:rsidR="00B04B3B" w:rsidRPr="00B10AA6" w:rsidRDefault="00B04B3B" w:rsidP="00C93A93">
      <w:pPr>
        <w:pStyle w:val="ae"/>
        <w:rPr>
          <w:rFonts w:asciiTheme="majorEastAsia" w:eastAsiaTheme="majorEastAsia" w:hAnsiTheme="majorEastAsia"/>
          <w:color w:val="000000" w:themeColor="text1"/>
          <w:sz w:val="24"/>
          <w:szCs w:val="24"/>
        </w:rPr>
      </w:pPr>
      <w:r w:rsidRPr="00B10AA6">
        <w:rPr>
          <w:rStyle w:val="af2"/>
          <w:rFonts w:asciiTheme="majorEastAsia" w:eastAsiaTheme="majorEastAsia" w:hAnsiTheme="majorEastAsia"/>
          <w:color w:val="000000" w:themeColor="text1"/>
          <w:sz w:val="24"/>
          <w:szCs w:val="24"/>
        </w:rPr>
        <w:footnoteRef/>
      </w:r>
      <w:r w:rsidRPr="00B10AA6">
        <w:rPr>
          <w:rFonts w:asciiTheme="majorEastAsia" w:eastAsiaTheme="majorEastAsia" w:hAnsiTheme="majorEastAsia"/>
          <w:color w:val="000000" w:themeColor="text1"/>
          <w:sz w:val="24"/>
          <w:szCs w:val="24"/>
        </w:rPr>
        <w:t xml:space="preserve"> </w:t>
      </w:r>
      <w:r w:rsidRPr="00B10AA6">
        <w:rPr>
          <w:rFonts w:asciiTheme="majorEastAsia" w:eastAsiaTheme="majorEastAsia" w:hAnsiTheme="majorEastAsia" w:hint="eastAsia"/>
          <w:color w:val="000000" w:themeColor="text1"/>
          <w:sz w:val="24"/>
          <w:szCs w:val="24"/>
        </w:rPr>
        <w:t>例如購買土地養地20年後始申請建照，仍不得適用當時購地時相關法令。</w:t>
      </w:r>
    </w:p>
  </w:footnote>
  <w:footnote w:id="3">
    <w:p w:rsidR="00B04B3B" w:rsidRPr="00B10AA6" w:rsidRDefault="00B04B3B" w:rsidP="00E07C92">
      <w:pPr>
        <w:pStyle w:val="ae"/>
        <w:jc w:val="both"/>
        <w:rPr>
          <w:rFonts w:asciiTheme="majorEastAsia" w:eastAsiaTheme="majorEastAsia" w:hAnsiTheme="majorEastAsia"/>
          <w:color w:val="000000" w:themeColor="text1"/>
          <w:sz w:val="24"/>
          <w:szCs w:val="24"/>
        </w:rPr>
      </w:pPr>
      <w:r w:rsidRPr="00B10AA6">
        <w:rPr>
          <w:rStyle w:val="af2"/>
          <w:rFonts w:asciiTheme="majorEastAsia" w:eastAsiaTheme="majorEastAsia" w:hAnsiTheme="majorEastAsia"/>
          <w:color w:val="000000" w:themeColor="text1"/>
          <w:sz w:val="24"/>
          <w:szCs w:val="24"/>
        </w:rPr>
        <w:footnoteRef/>
      </w:r>
      <w:r w:rsidRPr="00B10AA6">
        <w:rPr>
          <w:rFonts w:asciiTheme="majorEastAsia" w:eastAsiaTheme="majorEastAsia" w:hAnsiTheme="majorEastAsia" w:hint="eastAsia"/>
          <w:color w:val="000000" w:themeColor="text1"/>
          <w:sz w:val="24"/>
          <w:szCs w:val="24"/>
        </w:rPr>
        <w:t>本</w:t>
      </w:r>
      <w:r>
        <w:rPr>
          <w:rFonts w:asciiTheme="majorEastAsia" w:eastAsiaTheme="majorEastAsia" w:hAnsiTheme="majorEastAsia" w:hint="eastAsia"/>
          <w:color w:val="000000" w:themeColor="text1"/>
          <w:sz w:val="24"/>
          <w:szCs w:val="24"/>
        </w:rPr>
        <w:t>案</w:t>
      </w:r>
      <w:r w:rsidRPr="00B10AA6">
        <w:rPr>
          <w:rFonts w:asciiTheme="majorEastAsia" w:eastAsiaTheme="majorEastAsia" w:hAnsiTheme="majorEastAsia" w:hint="eastAsia"/>
          <w:color w:val="000000" w:themeColor="text1"/>
          <w:sz w:val="24"/>
          <w:szCs w:val="24"/>
        </w:rPr>
        <w:t>諮詢學者劉宗德教授則認為：「本案所應探討之第二</w:t>
      </w:r>
      <w:proofErr w:type="gramStart"/>
      <w:r w:rsidRPr="00B10AA6">
        <w:rPr>
          <w:rFonts w:asciiTheme="majorEastAsia" w:eastAsiaTheme="majorEastAsia" w:hAnsiTheme="majorEastAsia" w:hint="eastAsia"/>
          <w:color w:val="000000" w:themeColor="text1"/>
          <w:sz w:val="24"/>
          <w:szCs w:val="24"/>
        </w:rPr>
        <w:t>個</w:t>
      </w:r>
      <w:proofErr w:type="gramEnd"/>
      <w:r w:rsidRPr="00B10AA6">
        <w:rPr>
          <w:rFonts w:asciiTheme="majorEastAsia" w:eastAsiaTheme="majorEastAsia" w:hAnsiTheme="majorEastAsia" w:hint="eastAsia"/>
          <w:color w:val="000000" w:themeColor="text1"/>
          <w:sz w:val="24"/>
          <w:szCs w:val="24"/>
        </w:rPr>
        <w:t>行政行為，為臺北市政府於68年2月12日公告實施保護區變更為住宅區之主要計畫所附「臺北市保護區變更為住宅區開發要點」，該要點未經過民意機關臺北市議會通過即可任意修廢，應屬位階較低之行政規則，惟該要點涉及人民權利義務，本應該依行政程序法第160條第2項規定登載於政府公報發布實施，惟當時行政程序法尚未實施，人民無所適從此類之行政規則，變動後如何做為人民申請案件之審查。質言之，這樣之行政規則不足以作為人民權利義務變動之依據。」</w:t>
      </w:r>
    </w:p>
  </w:footnote>
  <w:footnote w:id="4">
    <w:p w:rsidR="00B04B3B" w:rsidRPr="00B10AA6" w:rsidRDefault="00B04B3B" w:rsidP="00DA1D8C">
      <w:pPr>
        <w:pStyle w:val="ae"/>
        <w:jc w:val="both"/>
        <w:rPr>
          <w:rFonts w:asciiTheme="majorEastAsia" w:eastAsiaTheme="majorEastAsia" w:hAnsiTheme="majorEastAsia"/>
          <w:color w:val="000000" w:themeColor="text1"/>
          <w:sz w:val="24"/>
          <w:szCs w:val="24"/>
        </w:rPr>
      </w:pPr>
      <w:r w:rsidRPr="00B10AA6">
        <w:rPr>
          <w:rStyle w:val="af2"/>
          <w:rFonts w:asciiTheme="majorEastAsia" w:eastAsiaTheme="majorEastAsia" w:hAnsiTheme="majorEastAsia"/>
          <w:color w:val="000000" w:themeColor="text1"/>
          <w:sz w:val="24"/>
          <w:szCs w:val="24"/>
        </w:rPr>
        <w:footnoteRef/>
      </w:r>
      <w:r w:rsidRPr="00B10AA6">
        <w:rPr>
          <w:rFonts w:asciiTheme="majorEastAsia" w:eastAsiaTheme="majorEastAsia" w:hAnsiTheme="majorEastAsia" w:hint="eastAsia"/>
          <w:color w:val="000000" w:themeColor="text1"/>
          <w:sz w:val="24"/>
          <w:szCs w:val="24"/>
        </w:rPr>
        <w:t>本案諮詢學者劉宗德教授認為陳訴人既有信賴保護之適用，得以行使計畫擔保請求權，即臺北市政府有擔保計畫實施之責任，如果無法使計畫實現，就會產生憲法第24條之行政責任及國家賠償、損失補償責任之問題，國家賠償必須要有故意過失，因此本案而言，要查明臺北市政府在辦理本案過程是否有行政缺失，將來如過要提國賠訴訟，還要查明該府有無違法性及故意過失。如果沒有違法行為，是否有合法的行政行為，仍然導致陳訴人權益受損的損失補償，即准徵收或類似徵收的侵害。國家賠償之程序必須先跟臺北市政府協議，協議不成再提起民事訴訟，損失補償則必須向行政法院提起給付訴訟，本案比較有可能是類似徵收的侵害損失補償，由臺北市政府將本案土地變回保護區，然後以加成的價格購回。又本案雙方也可以締結和解之行政契約處理，即雙方退讓，臺北市政府應明確告訴陳訴人可以開發之地點，而陳訴人也應做相對之承諾。換言之，本案因開發要點的修正及環評法規規定，細部計畫未配合做適度的修正而無法開發，已違反行政程序法第5條之明確性原則，臺北市政府應對細部計畫做明確之處理。惟如針對本案做細部計畫變更，即為都市計畫法第27條的個案變更，為一行政處分，陳訴人可以提起行政訴訟。所以，還是以締結和解之行政契約為宜，可由都委會及環評會做討論提出可行方案後，再由市府與陳訴人進行協商。另學者解鴻年教授則認為本案細部計畫一直沒有變更，仍屬住宅區，可不</w:t>
      </w:r>
      <w:proofErr w:type="gramStart"/>
      <w:r w:rsidRPr="00B10AA6">
        <w:rPr>
          <w:rFonts w:asciiTheme="majorEastAsia" w:eastAsiaTheme="majorEastAsia" w:hAnsiTheme="majorEastAsia" w:hint="eastAsia"/>
          <w:color w:val="000000" w:themeColor="text1"/>
          <w:sz w:val="24"/>
          <w:szCs w:val="24"/>
        </w:rPr>
        <w:t>循</w:t>
      </w:r>
      <w:proofErr w:type="gramEnd"/>
      <w:r w:rsidRPr="00B10AA6">
        <w:rPr>
          <w:rFonts w:asciiTheme="majorEastAsia" w:eastAsiaTheme="majorEastAsia" w:hAnsiTheme="majorEastAsia" w:hint="eastAsia"/>
          <w:color w:val="000000" w:themeColor="text1"/>
          <w:sz w:val="24"/>
          <w:szCs w:val="24"/>
        </w:rPr>
        <w:t>訴訟程序，改</w:t>
      </w:r>
      <w:proofErr w:type="gramStart"/>
      <w:r w:rsidRPr="00B10AA6">
        <w:rPr>
          <w:rFonts w:asciiTheme="majorEastAsia" w:eastAsiaTheme="majorEastAsia" w:hAnsiTheme="majorEastAsia" w:hint="eastAsia"/>
          <w:color w:val="000000" w:themeColor="text1"/>
          <w:sz w:val="24"/>
          <w:szCs w:val="24"/>
        </w:rPr>
        <w:t>採</w:t>
      </w:r>
      <w:proofErr w:type="gramEnd"/>
      <w:r w:rsidRPr="00B10AA6">
        <w:rPr>
          <w:rFonts w:asciiTheme="majorEastAsia" w:eastAsiaTheme="majorEastAsia" w:hAnsiTheme="majorEastAsia" w:hint="eastAsia"/>
          <w:color w:val="000000" w:themeColor="text1"/>
          <w:sz w:val="24"/>
          <w:szCs w:val="24"/>
        </w:rPr>
        <w:t>容積移轉方式解決，即透過都市計畫變更該區為公共設施以容積移轉方式開發，或依容積移轉實施辦法規定，政策性需要以特殊指定方式指定該處可以容積移轉方式開發。</w:t>
      </w:r>
    </w:p>
  </w:footnote>
  <w:footnote w:id="5">
    <w:p w:rsidR="00B04B3B" w:rsidRPr="00B10AA6" w:rsidRDefault="00B04B3B" w:rsidP="00B10AA6">
      <w:pPr>
        <w:pStyle w:val="ae"/>
        <w:jc w:val="both"/>
        <w:rPr>
          <w:rFonts w:asciiTheme="majorEastAsia" w:eastAsiaTheme="majorEastAsia" w:hAnsiTheme="majorEastAsia"/>
          <w:color w:val="000000" w:themeColor="text1"/>
          <w:sz w:val="24"/>
          <w:szCs w:val="24"/>
        </w:rPr>
      </w:pPr>
      <w:r w:rsidRPr="00B10AA6">
        <w:rPr>
          <w:rStyle w:val="af2"/>
          <w:rFonts w:asciiTheme="majorEastAsia" w:eastAsiaTheme="majorEastAsia" w:hAnsiTheme="majorEastAsia"/>
          <w:color w:val="000000" w:themeColor="text1"/>
          <w:sz w:val="24"/>
          <w:szCs w:val="24"/>
        </w:rPr>
        <w:footnoteRef/>
      </w:r>
      <w:r w:rsidRPr="00B10AA6">
        <w:rPr>
          <w:rFonts w:asciiTheme="majorEastAsia" w:eastAsiaTheme="majorEastAsia" w:hAnsiTheme="majorEastAsia" w:cs="Arial"/>
          <w:color w:val="000000" w:themeColor="text1"/>
          <w:kern w:val="0"/>
          <w:sz w:val="24"/>
          <w:szCs w:val="24"/>
        </w:rPr>
        <w:t>行政機關於作成行政處分時，對於相同或具有同一性之事件，應受合法「行政</w:t>
      </w:r>
      <w:r>
        <w:rPr>
          <w:rFonts w:asciiTheme="majorEastAsia" w:eastAsiaTheme="majorEastAsia" w:hAnsiTheme="majorEastAsia" w:cs="Arial" w:hint="eastAsia"/>
          <w:color w:val="000000" w:themeColor="text1"/>
          <w:kern w:val="0"/>
          <w:sz w:val="24"/>
          <w:szCs w:val="24"/>
        </w:rPr>
        <w:t xml:space="preserve">  </w:t>
      </w:r>
      <w:r w:rsidRPr="00B10AA6">
        <w:rPr>
          <w:rFonts w:asciiTheme="majorEastAsia" w:eastAsiaTheme="majorEastAsia" w:hAnsiTheme="majorEastAsia" w:cs="Arial"/>
          <w:color w:val="000000" w:themeColor="text1"/>
          <w:kern w:val="0"/>
          <w:sz w:val="24"/>
          <w:szCs w:val="24"/>
        </w:rPr>
        <w:t>慣例」（或稱行政先例）之拘束如無實質之正當理由，即應為相同之處理。</w:t>
      </w:r>
      <w:r w:rsidRPr="00B10AA6">
        <w:rPr>
          <w:rFonts w:asciiTheme="majorEastAsia" w:eastAsiaTheme="majorEastAsia" w:hAnsiTheme="majorEastAsia" w:hint="eastAsia"/>
          <w:color w:val="000000" w:themeColor="text1"/>
          <w:sz w:val="24"/>
          <w:szCs w:val="24"/>
        </w:rPr>
        <w:t>是行政機關作成行政處分時，對於相同或具同一性之事件，為保障人民之正當信賴，並維持法秩序之安定，應受合法行政先例或行政慣例之拘束，如無實質正當理由，即應為相同之處理，此即所謂行政自我拘束原則，故行政機關於法律效果之選擇裁量即應依循此原則，方為適法之行政處分</w:t>
      </w:r>
      <w:r>
        <w:rPr>
          <w:rFonts w:asciiTheme="majorEastAsia" w:eastAsiaTheme="majorEastAsia" w:hAnsiTheme="majorEastAsia" w:hint="eastAsia"/>
          <w:color w:val="000000" w:themeColor="text1"/>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410"/>
    <w:multiLevelType w:val="hybridMultilevel"/>
    <w:tmpl w:val="8924A2BC"/>
    <w:lvl w:ilvl="0" w:tplc="B8089E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3C7E3132"/>
    <w:lvl w:ilvl="0">
      <w:start w:val="1"/>
      <w:numFmt w:val="ideographLegalTraditional"/>
      <w:pStyle w:val="1"/>
      <w:suff w:val="nothing"/>
      <w:lvlText w:val="%1、"/>
      <w:lvlJc w:val="left"/>
      <w:pPr>
        <w:ind w:left="523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C0785D"/>
    <w:multiLevelType w:val="hybridMultilevel"/>
    <w:tmpl w:val="4A147962"/>
    <w:lvl w:ilvl="0" w:tplc="71CABA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4"/>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17DAD"/>
    <w:rsid w:val="00006C2F"/>
    <w:rsid w:val="00014405"/>
    <w:rsid w:val="0001539D"/>
    <w:rsid w:val="0001581C"/>
    <w:rsid w:val="00021526"/>
    <w:rsid w:val="0002389A"/>
    <w:rsid w:val="00025189"/>
    <w:rsid w:val="000253CD"/>
    <w:rsid w:val="000307D7"/>
    <w:rsid w:val="000332DA"/>
    <w:rsid w:val="0004083A"/>
    <w:rsid w:val="0004121A"/>
    <w:rsid w:val="00042EF8"/>
    <w:rsid w:val="00044325"/>
    <w:rsid w:val="00044F50"/>
    <w:rsid w:val="0005692F"/>
    <w:rsid w:val="00062E3B"/>
    <w:rsid w:val="00063F46"/>
    <w:rsid w:val="00064ABE"/>
    <w:rsid w:val="00065188"/>
    <w:rsid w:val="0006532D"/>
    <w:rsid w:val="00067A3A"/>
    <w:rsid w:val="000701DB"/>
    <w:rsid w:val="0007372E"/>
    <w:rsid w:val="00075420"/>
    <w:rsid w:val="0007634C"/>
    <w:rsid w:val="000810EC"/>
    <w:rsid w:val="0008227C"/>
    <w:rsid w:val="00085DD6"/>
    <w:rsid w:val="00090D17"/>
    <w:rsid w:val="000916FF"/>
    <w:rsid w:val="00092301"/>
    <w:rsid w:val="000A08DB"/>
    <w:rsid w:val="000A15FA"/>
    <w:rsid w:val="000A4912"/>
    <w:rsid w:val="000A7C85"/>
    <w:rsid w:val="000B4893"/>
    <w:rsid w:val="000C2BE9"/>
    <w:rsid w:val="000C57B3"/>
    <w:rsid w:val="000C6819"/>
    <w:rsid w:val="000D24E9"/>
    <w:rsid w:val="000D406E"/>
    <w:rsid w:val="000E5F84"/>
    <w:rsid w:val="000F09C8"/>
    <w:rsid w:val="000F31B8"/>
    <w:rsid w:val="000F7189"/>
    <w:rsid w:val="001004AF"/>
    <w:rsid w:val="00101DAD"/>
    <w:rsid w:val="00106D3B"/>
    <w:rsid w:val="0011334A"/>
    <w:rsid w:val="00113879"/>
    <w:rsid w:val="00113F59"/>
    <w:rsid w:val="001177F8"/>
    <w:rsid w:val="00117920"/>
    <w:rsid w:val="0012480B"/>
    <w:rsid w:val="00126660"/>
    <w:rsid w:val="00126D2E"/>
    <w:rsid w:val="001310E5"/>
    <w:rsid w:val="00135402"/>
    <w:rsid w:val="00135B49"/>
    <w:rsid w:val="001361A1"/>
    <w:rsid w:val="0013797D"/>
    <w:rsid w:val="00137D3B"/>
    <w:rsid w:val="001403BF"/>
    <w:rsid w:val="00144CFC"/>
    <w:rsid w:val="001456BB"/>
    <w:rsid w:val="00147FC1"/>
    <w:rsid w:val="00152C74"/>
    <w:rsid w:val="0015502E"/>
    <w:rsid w:val="0015798E"/>
    <w:rsid w:val="001619C4"/>
    <w:rsid w:val="0017153C"/>
    <w:rsid w:val="0017198A"/>
    <w:rsid w:val="00174352"/>
    <w:rsid w:val="00177B29"/>
    <w:rsid w:val="00177FC6"/>
    <w:rsid w:val="00181917"/>
    <w:rsid w:val="00184DF3"/>
    <w:rsid w:val="00193164"/>
    <w:rsid w:val="001951A8"/>
    <w:rsid w:val="001951E4"/>
    <w:rsid w:val="00195E10"/>
    <w:rsid w:val="00197F94"/>
    <w:rsid w:val="001A0782"/>
    <w:rsid w:val="001A67EC"/>
    <w:rsid w:val="001B0B36"/>
    <w:rsid w:val="001B5069"/>
    <w:rsid w:val="001B6F8B"/>
    <w:rsid w:val="001B7C05"/>
    <w:rsid w:val="001C1DA1"/>
    <w:rsid w:val="001C355E"/>
    <w:rsid w:val="001C54E0"/>
    <w:rsid w:val="001D233C"/>
    <w:rsid w:val="001E0FFC"/>
    <w:rsid w:val="001E4356"/>
    <w:rsid w:val="001E52E6"/>
    <w:rsid w:val="001E5B8B"/>
    <w:rsid w:val="001E6300"/>
    <w:rsid w:val="001E7ABF"/>
    <w:rsid w:val="001E7B59"/>
    <w:rsid w:val="001F05B7"/>
    <w:rsid w:val="001F0B6A"/>
    <w:rsid w:val="001F30E8"/>
    <w:rsid w:val="001F6F5D"/>
    <w:rsid w:val="002023AA"/>
    <w:rsid w:val="00203EBA"/>
    <w:rsid w:val="00205D7F"/>
    <w:rsid w:val="00206560"/>
    <w:rsid w:val="002104AA"/>
    <w:rsid w:val="0021145D"/>
    <w:rsid w:val="00212EE7"/>
    <w:rsid w:val="00214B10"/>
    <w:rsid w:val="00215CE7"/>
    <w:rsid w:val="002211F3"/>
    <w:rsid w:val="0022157D"/>
    <w:rsid w:val="00224163"/>
    <w:rsid w:val="00224396"/>
    <w:rsid w:val="0022606F"/>
    <w:rsid w:val="00226FE3"/>
    <w:rsid w:val="00230330"/>
    <w:rsid w:val="002327D3"/>
    <w:rsid w:val="00232B44"/>
    <w:rsid w:val="00232FC7"/>
    <w:rsid w:val="00233F0F"/>
    <w:rsid w:val="002351DC"/>
    <w:rsid w:val="002356CC"/>
    <w:rsid w:val="00236551"/>
    <w:rsid w:val="0023754C"/>
    <w:rsid w:val="002413C3"/>
    <w:rsid w:val="002419D3"/>
    <w:rsid w:val="00242B84"/>
    <w:rsid w:val="002546F5"/>
    <w:rsid w:val="00254889"/>
    <w:rsid w:val="00254CE7"/>
    <w:rsid w:val="00255F23"/>
    <w:rsid w:val="0025605B"/>
    <w:rsid w:val="002613D1"/>
    <w:rsid w:val="0026180A"/>
    <w:rsid w:val="00270EAF"/>
    <w:rsid w:val="00274740"/>
    <w:rsid w:val="00276D01"/>
    <w:rsid w:val="002809B0"/>
    <w:rsid w:val="002845D4"/>
    <w:rsid w:val="00290313"/>
    <w:rsid w:val="002A1B06"/>
    <w:rsid w:val="002A1C2D"/>
    <w:rsid w:val="002A5948"/>
    <w:rsid w:val="002A5A89"/>
    <w:rsid w:val="002A6C58"/>
    <w:rsid w:val="002B394B"/>
    <w:rsid w:val="002B5961"/>
    <w:rsid w:val="002C19E2"/>
    <w:rsid w:val="002C2186"/>
    <w:rsid w:val="002C46CD"/>
    <w:rsid w:val="002C606A"/>
    <w:rsid w:val="002C7AF8"/>
    <w:rsid w:val="002D0AFE"/>
    <w:rsid w:val="002D3F71"/>
    <w:rsid w:val="002D7D6D"/>
    <w:rsid w:val="002F13F2"/>
    <w:rsid w:val="002F1E76"/>
    <w:rsid w:val="002F201B"/>
    <w:rsid w:val="002F2C10"/>
    <w:rsid w:val="002F4182"/>
    <w:rsid w:val="002F6422"/>
    <w:rsid w:val="002F703E"/>
    <w:rsid w:val="00302489"/>
    <w:rsid w:val="00302D8B"/>
    <w:rsid w:val="0030671B"/>
    <w:rsid w:val="00311DA9"/>
    <w:rsid w:val="00315503"/>
    <w:rsid w:val="00315898"/>
    <w:rsid w:val="00317D67"/>
    <w:rsid w:val="00325738"/>
    <w:rsid w:val="003262BF"/>
    <w:rsid w:val="00326C10"/>
    <w:rsid w:val="00326C48"/>
    <w:rsid w:val="00331268"/>
    <w:rsid w:val="00335386"/>
    <w:rsid w:val="00336D54"/>
    <w:rsid w:val="003373E2"/>
    <w:rsid w:val="0034138D"/>
    <w:rsid w:val="0034255B"/>
    <w:rsid w:val="00344AA0"/>
    <w:rsid w:val="003450A2"/>
    <w:rsid w:val="0035315A"/>
    <w:rsid w:val="00354C48"/>
    <w:rsid w:val="003556B5"/>
    <w:rsid w:val="003565E9"/>
    <w:rsid w:val="0036117E"/>
    <w:rsid w:val="0036646A"/>
    <w:rsid w:val="003700E8"/>
    <w:rsid w:val="00372474"/>
    <w:rsid w:val="003742E0"/>
    <w:rsid w:val="00375494"/>
    <w:rsid w:val="00375852"/>
    <w:rsid w:val="00377003"/>
    <w:rsid w:val="0038004E"/>
    <w:rsid w:val="00382468"/>
    <w:rsid w:val="00386F96"/>
    <w:rsid w:val="003872AB"/>
    <w:rsid w:val="003879BF"/>
    <w:rsid w:val="00387C93"/>
    <w:rsid w:val="00387E5C"/>
    <w:rsid w:val="0039025C"/>
    <w:rsid w:val="00391EEF"/>
    <w:rsid w:val="003965D0"/>
    <w:rsid w:val="00396A13"/>
    <w:rsid w:val="0039769F"/>
    <w:rsid w:val="003A00EC"/>
    <w:rsid w:val="003A42AF"/>
    <w:rsid w:val="003A758A"/>
    <w:rsid w:val="003B0FFC"/>
    <w:rsid w:val="003B4A45"/>
    <w:rsid w:val="003B4C11"/>
    <w:rsid w:val="003B5441"/>
    <w:rsid w:val="003B6065"/>
    <w:rsid w:val="003B6E55"/>
    <w:rsid w:val="003C187C"/>
    <w:rsid w:val="003C7D70"/>
    <w:rsid w:val="003D40DF"/>
    <w:rsid w:val="003D5CA4"/>
    <w:rsid w:val="003D64E0"/>
    <w:rsid w:val="003D6CE4"/>
    <w:rsid w:val="003D78AC"/>
    <w:rsid w:val="003D7CA2"/>
    <w:rsid w:val="003E7E38"/>
    <w:rsid w:val="003F37C7"/>
    <w:rsid w:val="003F5103"/>
    <w:rsid w:val="00403612"/>
    <w:rsid w:val="00413A4A"/>
    <w:rsid w:val="00417645"/>
    <w:rsid w:val="00421628"/>
    <w:rsid w:val="00421C5B"/>
    <w:rsid w:val="00422876"/>
    <w:rsid w:val="00423A20"/>
    <w:rsid w:val="004274FB"/>
    <w:rsid w:val="00430130"/>
    <w:rsid w:val="004301C7"/>
    <w:rsid w:val="0043176B"/>
    <w:rsid w:val="00431C3E"/>
    <w:rsid w:val="00432DF2"/>
    <w:rsid w:val="0043449C"/>
    <w:rsid w:val="00434C5A"/>
    <w:rsid w:val="004530C2"/>
    <w:rsid w:val="0045464B"/>
    <w:rsid w:val="00456250"/>
    <w:rsid w:val="00456A67"/>
    <w:rsid w:val="004600D3"/>
    <w:rsid w:val="00470B1D"/>
    <w:rsid w:val="00472A89"/>
    <w:rsid w:val="00474338"/>
    <w:rsid w:val="004770FA"/>
    <w:rsid w:val="00480926"/>
    <w:rsid w:val="0048463D"/>
    <w:rsid w:val="0048541A"/>
    <w:rsid w:val="004855C1"/>
    <w:rsid w:val="004904C9"/>
    <w:rsid w:val="00490A1E"/>
    <w:rsid w:val="00491083"/>
    <w:rsid w:val="004946ED"/>
    <w:rsid w:val="00494718"/>
    <w:rsid w:val="00495608"/>
    <w:rsid w:val="00496B41"/>
    <w:rsid w:val="004A0AF2"/>
    <w:rsid w:val="004A2B29"/>
    <w:rsid w:val="004A33BA"/>
    <w:rsid w:val="004A3E4C"/>
    <w:rsid w:val="004A6742"/>
    <w:rsid w:val="004A6A3E"/>
    <w:rsid w:val="004B05D8"/>
    <w:rsid w:val="004B5275"/>
    <w:rsid w:val="004C0AA9"/>
    <w:rsid w:val="004C36DA"/>
    <w:rsid w:val="004D07C9"/>
    <w:rsid w:val="004D1CB3"/>
    <w:rsid w:val="004D53A1"/>
    <w:rsid w:val="004D6661"/>
    <w:rsid w:val="004D6A71"/>
    <w:rsid w:val="004F4955"/>
    <w:rsid w:val="005041B3"/>
    <w:rsid w:val="0050476A"/>
    <w:rsid w:val="00510960"/>
    <w:rsid w:val="005174E1"/>
    <w:rsid w:val="00517997"/>
    <w:rsid w:val="00520FF2"/>
    <w:rsid w:val="0052199D"/>
    <w:rsid w:val="00523CB0"/>
    <w:rsid w:val="00526CDD"/>
    <w:rsid w:val="00535E28"/>
    <w:rsid w:val="0054418B"/>
    <w:rsid w:val="00547093"/>
    <w:rsid w:val="00547558"/>
    <w:rsid w:val="005475B1"/>
    <w:rsid w:val="00547CA9"/>
    <w:rsid w:val="005529F9"/>
    <w:rsid w:val="0055639A"/>
    <w:rsid w:val="00561E3C"/>
    <w:rsid w:val="005625B0"/>
    <w:rsid w:val="00563743"/>
    <w:rsid w:val="00566D56"/>
    <w:rsid w:val="005728EF"/>
    <w:rsid w:val="00576E0F"/>
    <w:rsid w:val="00577F14"/>
    <w:rsid w:val="0058244C"/>
    <w:rsid w:val="005837BE"/>
    <w:rsid w:val="00584754"/>
    <w:rsid w:val="005919FF"/>
    <w:rsid w:val="00591C73"/>
    <w:rsid w:val="00593744"/>
    <w:rsid w:val="00593CFD"/>
    <w:rsid w:val="00596383"/>
    <w:rsid w:val="005963B7"/>
    <w:rsid w:val="005966F4"/>
    <w:rsid w:val="005A00DF"/>
    <w:rsid w:val="005A2E0D"/>
    <w:rsid w:val="005B5106"/>
    <w:rsid w:val="005B6B26"/>
    <w:rsid w:val="005C1C2D"/>
    <w:rsid w:val="005C3611"/>
    <w:rsid w:val="005C5538"/>
    <w:rsid w:val="005C6FE6"/>
    <w:rsid w:val="005D35B4"/>
    <w:rsid w:val="005D3DF4"/>
    <w:rsid w:val="005E0DB8"/>
    <w:rsid w:val="005F3733"/>
    <w:rsid w:val="005F4928"/>
    <w:rsid w:val="00602341"/>
    <w:rsid w:val="006067A3"/>
    <w:rsid w:val="00607130"/>
    <w:rsid w:val="00610190"/>
    <w:rsid w:val="006106E3"/>
    <w:rsid w:val="0061160F"/>
    <w:rsid w:val="00612303"/>
    <w:rsid w:val="00612716"/>
    <w:rsid w:val="00613FF7"/>
    <w:rsid w:val="00620578"/>
    <w:rsid w:val="006211D1"/>
    <w:rsid w:val="0062758C"/>
    <w:rsid w:val="006311B4"/>
    <w:rsid w:val="00631238"/>
    <w:rsid w:val="00631543"/>
    <w:rsid w:val="00635D8A"/>
    <w:rsid w:val="00641E5E"/>
    <w:rsid w:val="00644FD9"/>
    <w:rsid w:val="00646EE4"/>
    <w:rsid w:val="00647457"/>
    <w:rsid w:val="006540C2"/>
    <w:rsid w:val="006624E8"/>
    <w:rsid w:val="00663F45"/>
    <w:rsid w:val="006640B1"/>
    <w:rsid w:val="0066496E"/>
    <w:rsid w:val="00673E43"/>
    <w:rsid w:val="00675139"/>
    <w:rsid w:val="00677231"/>
    <w:rsid w:val="00677486"/>
    <w:rsid w:val="006877C6"/>
    <w:rsid w:val="00692CC6"/>
    <w:rsid w:val="006A4434"/>
    <w:rsid w:val="006A4ADF"/>
    <w:rsid w:val="006B12DA"/>
    <w:rsid w:val="006B30A6"/>
    <w:rsid w:val="006B3325"/>
    <w:rsid w:val="006B3D0E"/>
    <w:rsid w:val="006B49C1"/>
    <w:rsid w:val="006B4AAB"/>
    <w:rsid w:val="006B6A80"/>
    <w:rsid w:val="006C068B"/>
    <w:rsid w:val="006C0A38"/>
    <w:rsid w:val="006C4540"/>
    <w:rsid w:val="006C4CD4"/>
    <w:rsid w:val="006C58E4"/>
    <w:rsid w:val="006C5F72"/>
    <w:rsid w:val="006D1736"/>
    <w:rsid w:val="006D3378"/>
    <w:rsid w:val="006D5765"/>
    <w:rsid w:val="006E00DF"/>
    <w:rsid w:val="006E5DEE"/>
    <w:rsid w:val="006F07AF"/>
    <w:rsid w:val="006F1320"/>
    <w:rsid w:val="006F1345"/>
    <w:rsid w:val="006F2359"/>
    <w:rsid w:val="006F3209"/>
    <w:rsid w:val="00701FD3"/>
    <w:rsid w:val="00710F6A"/>
    <w:rsid w:val="00711F32"/>
    <w:rsid w:val="007140E8"/>
    <w:rsid w:val="00715397"/>
    <w:rsid w:val="007153D9"/>
    <w:rsid w:val="007161DB"/>
    <w:rsid w:val="00716524"/>
    <w:rsid w:val="00717DAD"/>
    <w:rsid w:val="007332B3"/>
    <w:rsid w:val="007341F7"/>
    <w:rsid w:val="00734E60"/>
    <w:rsid w:val="00736C25"/>
    <w:rsid w:val="00737F28"/>
    <w:rsid w:val="007405EF"/>
    <w:rsid w:val="00740AD4"/>
    <w:rsid w:val="00746217"/>
    <w:rsid w:val="00746AE4"/>
    <w:rsid w:val="007527CE"/>
    <w:rsid w:val="00753372"/>
    <w:rsid w:val="00761581"/>
    <w:rsid w:val="00762C57"/>
    <w:rsid w:val="007669E0"/>
    <w:rsid w:val="007671B9"/>
    <w:rsid w:val="00767AA0"/>
    <w:rsid w:val="0077031B"/>
    <w:rsid w:val="00770B1D"/>
    <w:rsid w:val="00770D41"/>
    <w:rsid w:val="00771CC4"/>
    <w:rsid w:val="0077548D"/>
    <w:rsid w:val="00781200"/>
    <w:rsid w:val="00783845"/>
    <w:rsid w:val="00784F12"/>
    <w:rsid w:val="00793C78"/>
    <w:rsid w:val="00794411"/>
    <w:rsid w:val="007964D7"/>
    <w:rsid w:val="00796982"/>
    <w:rsid w:val="007A1B4B"/>
    <w:rsid w:val="007A2E55"/>
    <w:rsid w:val="007B0DD0"/>
    <w:rsid w:val="007B0ECC"/>
    <w:rsid w:val="007B23DB"/>
    <w:rsid w:val="007B2F7E"/>
    <w:rsid w:val="007B452F"/>
    <w:rsid w:val="007B7183"/>
    <w:rsid w:val="007B779C"/>
    <w:rsid w:val="007B7A57"/>
    <w:rsid w:val="007C1FE2"/>
    <w:rsid w:val="007C2D4E"/>
    <w:rsid w:val="007C67C7"/>
    <w:rsid w:val="007C6ABD"/>
    <w:rsid w:val="007D18D8"/>
    <w:rsid w:val="007D4FD6"/>
    <w:rsid w:val="007E1F6A"/>
    <w:rsid w:val="007E5424"/>
    <w:rsid w:val="007F0A28"/>
    <w:rsid w:val="007F2756"/>
    <w:rsid w:val="007F4789"/>
    <w:rsid w:val="007F60E3"/>
    <w:rsid w:val="007F63C8"/>
    <w:rsid w:val="007F73F7"/>
    <w:rsid w:val="0080157D"/>
    <w:rsid w:val="008046B3"/>
    <w:rsid w:val="0080577E"/>
    <w:rsid w:val="00807922"/>
    <w:rsid w:val="00812436"/>
    <w:rsid w:val="008147E7"/>
    <w:rsid w:val="0081563A"/>
    <w:rsid w:val="00816CC5"/>
    <w:rsid w:val="00816EAF"/>
    <w:rsid w:val="00817A70"/>
    <w:rsid w:val="00817E48"/>
    <w:rsid w:val="00824914"/>
    <w:rsid w:val="00827FD7"/>
    <w:rsid w:val="0083567D"/>
    <w:rsid w:val="0083689B"/>
    <w:rsid w:val="00842AB4"/>
    <w:rsid w:val="008435B5"/>
    <w:rsid w:val="0084430B"/>
    <w:rsid w:val="00850CC8"/>
    <w:rsid w:val="0085172D"/>
    <w:rsid w:val="00851CF6"/>
    <w:rsid w:val="0085215A"/>
    <w:rsid w:val="0085515F"/>
    <w:rsid w:val="00856404"/>
    <w:rsid w:val="00856E24"/>
    <w:rsid w:val="00861EF8"/>
    <w:rsid w:val="00863D19"/>
    <w:rsid w:val="0086734B"/>
    <w:rsid w:val="008679E9"/>
    <w:rsid w:val="00872956"/>
    <w:rsid w:val="00872E78"/>
    <w:rsid w:val="00873BA6"/>
    <w:rsid w:val="008756C9"/>
    <w:rsid w:val="008813FA"/>
    <w:rsid w:val="00885092"/>
    <w:rsid w:val="00891E1F"/>
    <w:rsid w:val="0089215E"/>
    <w:rsid w:val="00892AD6"/>
    <w:rsid w:val="008977EE"/>
    <w:rsid w:val="00897F00"/>
    <w:rsid w:val="008A0BA2"/>
    <w:rsid w:val="008A0EC1"/>
    <w:rsid w:val="008A6B68"/>
    <w:rsid w:val="008B08DC"/>
    <w:rsid w:val="008B124B"/>
    <w:rsid w:val="008B31FB"/>
    <w:rsid w:val="008B3F3A"/>
    <w:rsid w:val="008B6AAE"/>
    <w:rsid w:val="008C0285"/>
    <w:rsid w:val="008C0D4A"/>
    <w:rsid w:val="008C1E9D"/>
    <w:rsid w:val="008C6C04"/>
    <w:rsid w:val="008D27E0"/>
    <w:rsid w:val="008D4518"/>
    <w:rsid w:val="008D53A8"/>
    <w:rsid w:val="008D5C60"/>
    <w:rsid w:val="008E2F0C"/>
    <w:rsid w:val="008E4FF9"/>
    <w:rsid w:val="008E641B"/>
    <w:rsid w:val="008F259B"/>
    <w:rsid w:val="008F2752"/>
    <w:rsid w:val="00900DEE"/>
    <w:rsid w:val="0090143A"/>
    <w:rsid w:val="00903234"/>
    <w:rsid w:val="009065F5"/>
    <w:rsid w:val="009079AE"/>
    <w:rsid w:val="00907B41"/>
    <w:rsid w:val="00912BD1"/>
    <w:rsid w:val="009306BA"/>
    <w:rsid w:val="009314F9"/>
    <w:rsid w:val="00931AB1"/>
    <w:rsid w:val="00932590"/>
    <w:rsid w:val="00940DC5"/>
    <w:rsid w:val="0094464E"/>
    <w:rsid w:val="00944A25"/>
    <w:rsid w:val="00947EBA"/>
    <w:rsid w:val="0095229B"/>
    <w:rsid w:val="009537B9"/>
    <w:rsid w:val="009538AB"/>
    <w:rsid w:val="00954765"/>
    <w:rsid w:val="009573EE"/>
    <w:rsid w:val="00957DD3"/>
    <w:rsid w:val="00960C14"/>
    <w:rsid w:val="00964B3D"/>
    <w:rsid w:val="009703AB"/>
    <w:rsid w:val="00970703"/>
    <w:rsid w:val="009725D0"/>
    <w:rsid w:val="009747F6"/>
    <w:rsid w:val="00977FCD"/>
    <w:rsid w:val="00982460"/>
    <w:rsid w:val="009833F9"/>
    <w:rsid w:val="00987C21"/>
    <w:rsid w:val="00993586"/>
    <w:rsid w:val="009948DF"/>
    <w:rsid w:val="009948E0"/>
    <w:rsid w:val="009A102E"/>
    <w:rsid w:val="009A175B"/>
    <w:rsid w:val="009A4E38"/>
    <w:rsid w:val="009A796C"/>
    <w:rsid w:val="009A7BB3"/>
    <w:rsid w:val="009B22EA"/>
    <w:rsid w:val="009C0354"/>
    <w:rsid w:val="009C0773"/>
    <w:rsid w:val="009C21DB"/>
    <w:rsid w:val="009C2917"/>
    <w:rsid w:val="009C60D1"/>
    <w:rsid w:val="009C6BBF"/>
    <w:rsid w:val="009C70A8"/>
    <w:rsid w:val="009D1AD0"/>
    <w:rsid w:val="009D2172"/>
    <w:rsid w:val="009D36BC"/>
    <w:rsid w:val="009D3FA6"/>
    <w:rsid w:val="009D46EC"/>
    <w:rsid w:val="009D5843"/>
    <w:rsid w:val="009E1F21"/>
    <w:rsid w:val="009E391C"/>
    <w:rsid w:val="009E3E5A"/>
    <w:rsid w:val="009F19C4"/>
    <w:rsid w:val="009F2A68"/>
    <w:rsid w:val="009F3B2F"/>
    <w:rsid w:val="009F4A2B"/>
    <w:rsid w:val="009F4A52"/>
    <w:rsid w:val="009F5404"/>
    <w:rsid w:val="009F745C"/>
    <w:rsid w:val="00A00D09"/>
    <w:rsid w:val="00A0224A"/>
    <w:rsid w:val="00A17915"/>
    <w:rsid w:val="00A20422"/>
    <w:rsid w:val="00A2259D"/>
    <w:rsid w:val="00A22742"/>
    <w:rsid w:val="00A25B90"/>
    <w:rsid w:val="00A261B4"/>
    <w:rsid w:val="00A26553"/>
    <w:rsid w:val="00A27B6D"/>
    <w:rsid w:val="00A36231"/>
    <w:rsid w:val="00A37D54"/>
    <w:rsid w:val="00A44E5A"/>
    <w:rsid w:val="00A44F32"/>
    <w:rsid w:val="00A46773"/>
    <w:rsid w:val="00A46CA5"/>
    <w:rsid w:val="00A47532"/>
    <w:rsid w:val="00A53EF2"/>
    <w:rsid w:val="00A55513"/>
    <w:rsid w:val="00A55820"/>
    <w:rsid w:val="00A57D5A"/>
    <w:rsid w:val="00A61A3C"/>
    <w:rsid w:val="00A6248D"/>
    <w:rsid w:val="00A6607A"/>
    <w:rsid w:val="00A66111"/>
    <w:rsid w:val="00A6764A"/>
    <w:rsid w:val="00A733A0"/>
    <w:rsid w:val="00A75874"/>
    <w:rsid w:val="00A801F5"/>
    <w:rsid w:val="00A8244E"/>
    <w:rsid w:val="00A82EE3"/>
    <w:rsid w:val="00A8339F"/>
    <w:rsid w:val="00A86B47"/>
    <w:rsid w:val="00A87942"/>
    <w:rsid w:val="00A90D72"/>
    <w:rsid w:val="00A938D9"/>
    <w:rsid w:val="00A93E02"/>
    <w:rsid w:val="00A944D1"/>
    <w:rsid w:val="00A95C34"/>
    <w:rsid w:val="00A97A2F"/>
    <w:rsid w:val="00AA1584"/>
    <w:rsid w:val="00AA3338"/>
    <w:rsid w:val="00AA7E00"/>
    <w:rsid w:val="00AB01C7"/>
    <w:rsid w:val="00AB335B"/>
    <w:rsid w:val="00AB47DE"/>
    <w:rsid w:val="00AB4897"/>
    <w:rsid w:val="00AB6FD5"/>
    <w:rsid w:val="00AB7E30"/>
    <w:rsid w:val="00AC03E8"/>
    <w:rsid w:val="00AC1B9C"/>
    <w:rsid w:val="00AC422C"/>
    <w:rsid w:val="00AC6B4E"/>
    <w:rsid w:val="00AC7F25"/>
    <w:rsid w:val="00AD44FA"/>
    <w:rsid w:val="00AD477A"/>
    <w:rsid w:val="00AD5EA2"/>
    <w:rsid w:val="00AE057B"/>
    <w:rsid w:val="00AE682C"/>
    <w:rsid w:val="00AF4327"/>
    <w:rsid w:val="00AF46A1"/>
    <w:rsid w:val="00AF62C2"/>
    <w:rsid w:val="00B041CB"/>
    <w:rsid w:val="00B04B3B"/>
    <w:rsid w:val="00B059DA"/>
    <w:rsid w:val="00B05F09"/>
    <w:rsid w:val="00B10670"/>
    <w:rsid w:val="00B10AA6"/>
    <w:rsid w:val="00B10B23"/>
    <w:rsid w:val="00B167CC"/>
    <w:rsid w:val="00B16A18"/>
    <w:rsid w:val="00B217F5"/>
    <w:rsid w:val="00B22123"/>
    <w:rsid w:val="00B22725"/>
    <w:rsid w:val="00B22D01"/>
    <w:rsid w:val="00B24885"/>
    <w:rsid w:val="00B3212A"/>
    <w:rsid w:val="00B55970"/>
    <w:rsid w:val="00B55C01"/>
    <w:rsid w:val="00B65722"/>
    <w:rsid w:val="00B65AB2"/>
    <w:rsid w:val="00B724FF"/>
    <w:rsid w:val="00B8312E"/>
    <w:rsid w:val="00B87296"/>
    <w:rsid w:val="00B95AD9"/>
    <w:rsid w:val="00B95E07"/>
    <w:rsid w:val="00B95FD2"/>
    <w:rsid w:val="00BA10E7"/>
    <w:rsid w:val="00BA29EA"/>
    <w:rsid w:val="00BA744C"/>
    <w:rsid w:val="00BB1EB2"/>
    <w:rsid w:val="00BB4085"/>
    <w:rsid w:val="00BB416D"/>
    <w:rsid w:val="00BB43D7"/>
    <w:rsid w:val="00BB580B"/>
    <w:rsid w:val="00BC0F1A"/>
    <w:rsid w:val="00BC31E2"/>
    <w:rsid w:val="00BC31E8"/>
    <w:rsid w:val="00BC3987"/>
    <w:rsid w:val="00BC5113"/>
    <w:rsid w:val="00BC69E4"/>
    <w:rsid w:val="00BD6440"/>
    <w:rsid w:val="00BE1C3B"/>
    <w:rsid w:val="00BE4885"/>
    <w:rsid w:val="00BF02A7"/>
    <w:rsid w:val="00BF13FA"/>
    <w:rsid w:val="00BF258A"/>
    <w:rsid w:val="00BF2DC8"/>
    <w:rsid w:val="00BF338B"/>
    <w:rsid w:val="00BF5BDE"/>
    <w:rsid w:val="00BF6F77"/>
    <w:rsid w:val="00BF76B3"/>
    <w:rsid w:val="00C04CE9"/>
    <w:rsid w:val="00C0671B"/>
    <w:rsid w:val="00C07C05"/>
    <w:rsid w:val="00C10CCE"/>
    <w:rsid w:val="00C125A0"/>
    <w:rsid w:val="00C1281D"/>
    <w:rsid w:val="00C15C27"/>
    <w:rsid w:val="00C17B62"/>
    <w:rsid w:val="00C22440"/>
    <w:rsid w:val="00C254CA"/>
    <w:rsid w:val="00C25CD9"/>
    <w:rsid w:val="00C46E33"/>
    <w:rsid w:val="00C51A5E"/>
    <w:rsid w:val="00C60607"/>
    <w:rsid w:val="00C6068C"/>
    <w:rsid w:val="00C60EEC"/>
    <w:rsid w:val="00C63863"/>
    <w:rsid w:val="00C640B5"/>
    <w:rsid w:val="00C655B9"/>
    <w:rsid w:val="00C65BEA"/>
    <w:rsid w:val="00C713B6"/>
    <w:rsid w:val="00C72357"/>
    <w:rsid w:val="00C8175D"/>
    <w:rsid w:val="00C8484A"/>
    <w:rsid w:val="00C84F1F"/>
    <w:rsid w:val="00C905DF"/>
    <w:rsid w:val="00C90B60"/>
    <w:rsid w:val="00C911BB"/>
    <w:rsid w:val="00C9392C"/>
    <w:rsid w:val="00C93A93"/>
    <w:rsid w:val="00C969CA"/>
    <w:rsid w:val="00C97970"/>
    <w:rsid w:val="00CA079F"/>
    <w:rsid w:val="00CA1986"/>
    <w:rsid w:val="00CA29D7"/>
    <w:rsid w:val="00CA2E0C"/>
    <w:rsid w:val="00CA3B46"/>
    <w:rsid w:val="00CB0002"/>
    <w:rsid w:val="00CB2292"/>
    <w:rsid w:val="00CB2A91"/>
    <w:rsid w:val="00CB3341"/>
    <w:rsid w:val="00CB675D"/>
    <w:rsid w:val="00CB6A17"/>
    <w:rsid w:val="00CC0745"/>
    <w:rsid w:val="00CC0930"/>
    <w:rsid w:val="00CC0F7F"/>
    <w:rsid w:val="00CC444E"/>
    <w:rsid w:val="00CC47CF"/>
    <w:rsid w:val="00CE0A25"/>
    <w:rsid w:val="00CE1029"/>
    <w:rsid w:val="00CE7E18"/>
    <w:rsid w:val="00CF31D4"/>
    <w:rsid w:val="00CF3676"/>
    <w:rsid w:val="00CF459A"/>
    <w:rsid w:val="00D00270"/>
    <w:rsid w:val="00D0088A"/>
    <w:rsid w:val="00D03362"/>
    <w:rsid w:val="00D03B2E"/>
    <w:rsid w:val="00D05ADC"/>
    <w:rsid w:val="00D0615F"/>
    <w:rsid w:val="00D06B8A"/>
    <w:rsid w:val="00D127DF"/>
    <w:rsid w:val="00D13CD9"/>
    <w:rsid w:val="00D16C4A"/>
    <w:rsid w:val="00D320FC"/>
    <w:rsid w:val="00D34FC4"/>
    <w:rsid w:val="00D35AD4"/>
    <w:rsid w:val="00D42551"/>
    <w:rsid w:val="00D44290"/>
    <w:rsid w:val="00D46C70"/>
    <w:rsid w:val="00D46E80"/>
    <w:rsid w:val="00D5092A"/>
    <w:rsid w:val="00D5556B"/>
    <w:rsid w:val="00D60245"/>
    <w:rsid w:val="00D6206E"/>
    <w:rsid w:val="00D622DE"/>
    <w:rsid w:val="00D66993"/>
    <w:rsid w:val="00D67EE7"/>
    <w:rsid w:val="00D7024F"/>
    <w:rsid w:val="00D72AEE"/>
    <w:rsid w:val="00D73BE6"/>
    <w:rsid w:val="00D80EC0"/>
    <w:rsid w:val="00D81113"/>
    <w:rsid w:val="00D90138"/>
    <w:rsid w:val="00D9174C"/>
    <w:rsid w:val="00D91A73"/>
    <w:rsid w:val="00D92537"/>
    <w:rsid w:val="00D948BE"/>
    <w:rsid w:val="00DA11D9"/>
    <w:rsid w:val="00DA1D8C"/>
    <w:rsid w:val="00DA2BBA"/>
    <w:rsid w:val="00DA3D22"/>
    <w:rsid w:val="00DA5679"/>
    <w:rsid w:val="00DA60D4"/>
    <w:rsid w:val="00DB162E"/>
    <w:rsid w:val="00DB28D3"/>
    <w:rsid w:val="00DB2EFC"/>
    <w:rsid w:val="00DB7C6C"/>
    <w:rsid w:val="00DC10DC"/>
    <w:rsid w:val="00DC442D"/>
    <w:rsid w:val="00DC5EFB"/>
    <w:rsid w:val="00DD289F"/>
    <w:rsid w:val="00DD7F42"/>
    <w:rsid w:val="00DE15B2"/>
    <w:rsid w:val="00DE2E48"/>
    <w:rsid w:val="00DE65CC"/>
    <w:rsid w:val="00DF32FD"/>
    <w:rsid w:val="00DF42CF"/>
    <w:rsid w:val="00DF4687"/>
    <w:rsid w:val="00DF49F5"/>
    <w:rsid w:val="00DF4D0B"/>
    <w:rsid w:val="00E00F98"/>
    <w:rsid w:val="00E026B8"/>
    <w:rsid w:val="00E04D34"/>
    <w:rsid w:val="00E06911"/>
    <w:rsid w:val="00E06C98"/>
    <w:rsid w:val="00E07C92"/>
    <w:rsid w:val="00E17104"/>
    <w:rsid w:val="00E20148"/>
    <w:rsid w:val="00E240A1"/>
    <w:rsid w:val="00E2624D"/>
    <w:rsid w:val="00E26507"/>
    <w:rsid w:val="00E277D0"/>
    <w:rsid w:val="00E27B60"/>
    <w:rsid w:val="00E320CC"/>
    <w:rsid w:val="00E32CBD"/>
    <w:rsid w:val="00E3561B"/>
    <w:rsid w:val="00E40DF2"/>
    <w:rsid w:val="00E44526"/>
    <w:rsid w:val="00E4590D"/>
    <w:rsid w:val="00E4676C"/>
    <w:rsid w:val="00E46ECE"/>
    <w:rsid w:val="00E50689"/>
    <w:rsid w:val="00E506BA"/>
    <w:rsid w:val="00E51074"/>
    <w:rsid w:val="00E52B63"/>
    <w:rsid w:val="00E55C95"/>
    <w:rsid w:val="00E57108"/>
    <w:rsid w:val="00E60C17"/>
    <w:rsid w:val="00E60E88"/>
    <w:rsid w:val="00E615A2"/>
    <w:rsid w:val="00E63658"/>
    <w:rsid w:val="00E6459A"/>
    <w:rsid w:val="00E64D6A"/>
    <w:rsid w:val="00E65A65"/>
    <w:rsid w:val="00E65E0A"/>
    <w:rsid w:val="00E66478"/>
    <w:rsid w:val="00E718AD"/>
    <w:rsid w:val="00E720FB"/>
    <w:rsid w:val="00E726BA"/>
    <w:rsid w:val="00E73071"/>
    <w:rsid w:val="00E77AF7"/>
    <w:rsid w:val="00E817C4"/>
    <w:rsid w:val="00E87C27"/>
    <w:rsid w:val="00E90F84"/>
    <w:rsid w:val="00E940B4"/>
    <w:rsid w:val="00E948FE"/>
    <w:rsid w:val="00E96257"/>
    <w:rsid w:val="00E96D47"/>
    <w:rsid w:val="00E97ECC"/>
    <w:rsid w:val="00EA1225"/>
    <w:rsid w:val="00EA423E"/>
    <w:rsid w:val="00EA7FEF"/>
    <w:rsid w:val="00EB1121"/>
    <w:rsid w:val="00EB4271"/>
    <w:rsid w:val="00EB4AAA"/>
    <w:rsid w:val="00EB5F08"/>
    <w:rsid w:val="00EB6BE9"/>
    <w:rsid w:val="00EB7D65"/>
    <w:rsid w:val="00EC09A8"/>
    <w:rsid w:val="00EC0B91"/>
    <w:rsid w:val="00EC216B"/>
    <w:rsid w:val="00EC2F21"/>
    <w:rsid w:val="00EC4769"/>
    <w:rsid w:val="00EC7D2C"/>
    <w:rsid w:val="00ED123F"/>
    <w:rsid w:val="00ED4825"/>
    <w:rsid w:val="00ED5416"/>
    <w:rsid w:val="00ED614C"/>
    <w:rsid w:val="00EE038F"/>
    <w:rsid w:val="00EE22D0"/>
    <w:rsid w:val="00EE35FB"/>
    <w:rsid w:val="00EE4302"/>
    <w:rsid w:val="00EF1494"/>
    <w:rsid w:val="00EF3C95"/>
    <w:rsid w:val="00EF464E"/>
    <w:rsid w:val="00EF62E3"/>
    <w:rsid w:val="00F01A28"/>
    <w:rsid w:val="00F02696"/>
    <w:rsid w:val="00F11E11"/>
    <w:rsid w:val="00F177E6"/>
    <w:rsid w:val="00F257ED"/>
    <w:rsid w:val="00F3044B"/>
    <w:rsid w:val="00F33471"/>
    <w:rsid w:val="00F33E64"/>
    <w:rsid w:val="00F34743"/>
    <w:rsid w:val="00F34A2A"/>
    <w:rsid w:val="00F36E81"/>
    <w:rsid w:val="00F4247B"/>
    <w:rsid w:val="00F42A32"/>
    <w:rsid w:val="00F44C1D"/>
    <w:rsid w:val="00F47F9D"/>
    <w:rsid w:val="00F63274"/>
    <w:rsid w:val="00F66A34"/>
    <w:rsid w:val="00F67895"/>
    <w:rsid w:val="00F70106"/>
    <w:rsid w:val="00F7558C"/>
    <w:rsid w:val="00F76B69"/>
    <w:rsid w:val="00F84EF6"/>
    <w:rsid w:val="00F87B9A"/>
    <w:rsid w:val="00F90208"/>
    <w:rsid w:val="00FB35EF"/>
    <w:rsid w:val="00FB3B23"/>
    <w:rsid w:val="00FB3CC6"/>
    <w:rsid w:val="00FB799D"/>
    <w:rsid w:val="00FB79F6"/>
    <w:rsid w:val="00FC07A6"/>
    <w:rsid w:val="00FC338D"/>
    <w:rsid w:val="00FC713C"/>
    <w:rsid w:val="00FC7F80"/>
    <w:rsid w:val="00FD28D7"/>
    <w:rsid w:val="00FD3C5D"/>
    <w:rsid w:val="00FD68E2"/>
    <w:rsid w:val="00FE135C"/>
    <w:rsid w:val="00FE14C8"/>
    <w:rsid w:val="00FE3FD3"/>
    <w:rsid w:val="00FE5755"/>
    <w:rsid w:val="00FE6376"/>
    <w:rsid w:val="00FE7770"/>
    <w:rsid w:val="00FF0EDE"/>
    <w:rsid w:val="00FF22B8"/>
    <w:rsid w:val="00FF43F8"/>
    <w:rsid w:val="00FF47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1C5B"/>
    <w:pPr>
      <w:widowControl w:val="0"/>
    </w:pPr>
    <w:rPr>
      <w:rFonts w:eastAsia="標楷體"/>
      <w:kern w:val="2"/>
      <w:sz w:val="32"/>
    </w:rPr>
  </w:style>
  <w:style w:type="paragraph" w:styleId="1">
    <w:name w:val="heading 1"/>
    <w:basedOn w:val="a1"/>
    <w:qFormat/>
    <w:rsid w:val="00421C5B"/>
    <w:pPr>
      <w:numPr>
        <w:numId w:val="1"/>
      </w:numPr>
      <w:kinsoku w:val="0"/>
      <w:ind w:left="699"/>
      <w:jc w:val="both"/>
      <w:outlineLvl w:val="0"/>
    </w:pPr>
    <w:rPr>
      <w:rFonts w:ascii="標楷體" w:hAnsi="Arial"/>
      <w:bCs/>
      <w:kern w:val="0"/>
      <w:szCs w:val="52"/>
    </w:rPr>
  </w:style>
  <w:style w:type="paragraph" w:styleId="2">
    <w:name w:val="heading 2"/>
    <w:basedOn w:val="a1"/>
    <w:qFormat/>
    <w:rsid w:val="00421C5B"/>
    <w:pPr>
      <w:numPr>
        <w:ilvl w:val="1"/>
        <w:numId w:val="1"/>
      </w:numPr>
      <w:kinsoku w:val="0"/>
      <w:jc w:val="both"/>
      <w:outlineLvl w:val="1"/>
    </w:pPr>
    <w:rPr>
      <w:rFonts w:ascii="標楷體" w:hAnsi="Arial"/>
      <w:bCs/>
      <w:kern w:val="0"/>
      <w:szCs w:val="48"/>
    </w:rPr>
  </w:style>
  <w:style w:type="paragraph" w:styleId="3">
    <w:name w:val="heading 3"/>
    <w:basedOn w:val="a1"/>
    <w:qFormat/>
    <w:rsid w:val="00421C5B"/>
    <w:pPr>
      <w:numPr>
        <w:ilvl w:val="2"/>
        <w:numId w:val="1"/>
      </w:numPr>
      <w:kinsoku w:val="0"/>
      <w:jc w:val="both"/>
      <w:outlineLvl w:val="2"/>
    </w:pPr>
    <w:rPr>
      <w:rFonts w:ascii="標楷體" w:hAnsi="Arial"/>
      <w:bCs/>
      <w:kern w:val="0"/>
      <w:szCs w:val="36"/>
    </w:rPr>
  </w:style>
  <w:style w:type="paragraph" w:styleId="4">
    <w:name w:val="heading 4"/>
    <w:basedOn w:val="a1"/>
    <w:qFormat/>
    <w:rsid w:val="00421C5B"/>
    <w:pPr>
      <w:numPr>
        <w:ilvl w:val="3"/>
        <w:numId w:val="1"/>
      </w:numPr>
      <w:jc w:val="both"/>
      <w:outlineLvl w:val="3"/>
    </w:pPr>
    <w:rPr>
      <w:rFonts w:ascii="標楷體" w:hAnsi="Arial"/>
      <w:szCs w:val="36"/>
    </w:rPr>
  </w:style>
  <w:style w:type="paragraph" w:styleId="5">
    <w:name w:val="heading 5"/>
    <w:basedOn w:val="a1"/>
    <w:qFormat/>
    <w:rsid w:val="00421C5B"/>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421C5B"/>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21C5B"/>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21C5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21C5B"/>
    <w:pPr>
      <w:spacing w:before="720" w:after="720"/>
      <w:ind w:left="7371"/>
    </w:pPr>
    <w:rPr>
      <w:rFonts w:ascii="標楷體"/>
      <w:b/>
      <w:snapToGrid w:val="0"/>
      <w:spacing w:val="10"/>
      <w:sz w:val="36"/>
    </w:rPr>
  </w:style>
  <w:style w:type="paragraph" w:styleId="a6">
    <w:name w:val="endnote text"/>
    <w:basedOn w:val="a1"/>
    <w:semiHidden/>
    <w:rsid w:val="00421C5B"/>
    <w:pPr>
      <w:spacing w:before="240"/>
      <w:ind w:left="1021" w:hanging="1021"/>
      <w:jc w:val="both"/>
    </w:pPr>
    <w:rPr>
      <w:rFonts w:ascii="標楷體"/>
      <w:snapToGrid w:val="0"/>
      <w:spacing w:val="10"/>
    </w:rPr>
  </w:style>
  <w:style w:type="paragraph" w:styleId="50">
    <w:name w:val="toc 5"/>
    <w:basedOn w:val="a1"/>
    <w:next w:val="a1"/>
    <w:autoRedefine/>
    <w:semiHidden/>
    <w:rsid w:val="00421C5B"/>
    <w:pPr>
      <w:ind w:leftChars="400" w:left="600" w:rightChars="200" w:right="200" w:hangingChars="200" w:hanging="200"/>
    </w:pPr>
    <w:rPr>
      <w:rFonts w:ascii="標楷體"/>
    </w:rPr>
  </w:style>
  <w:style w:type="character" w:styleId="a7">
    <w:name w:val="page number"/>
    <w:basedOn w:val="a2"/>
    <w:semiHidden/>
    <w:rsid w:val="00421C5B"/>
    <w:rPr>
      <w:rFonts w:ascii="標楷體" w:eastAsia="標楷體"/>
      <w:sz w:val="20"/>
    </w:rPr>
  </w:style>
  <w:style w:type="paragraph" w:styleId="60">
    <w:name w:val="toc 6"/>
    <w:basedOn w:val="a1"/>
    <w:next w:val="a1"/>
    <w:autoRedefine/>
    <w:semiHidden/>
    <w:rsid w:val="00421C5B"/>
    <w:pPr>
      <w:ind w:leftChars="500" w:left="500"/>
    </w:pPr>
    <w:rPr>
      <w:rFonts w:ascii="標楷體"/>
    </w:rPr>
  </w:style>
  <w:style w:type="paragraph" w:customStyle="1" w:styleId="10">
    <w:name w:val="段落樣式1"/>
    <w:basedOn w:val="a1"/>
    <w:rsid w:val="00421C5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21C5B"/>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21C5B"/>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21C5B"/>
    <w:pPr>
      <w:kinsoku w:val="0"/>
      <w:ind w:leftChars="100" w:left="300" w:rightChars="200" w:right="200" w:hangingChars="200" w:hanging="200"/>
    </w:pPr>
    <w:rPr>
      <w:rFonts w:ascii="標楷體"/>
      <w:noProof/>
    </w:rPr>
  </w:style>
  <w:style w:type="paragraph" w:styleId="30">
    <w:name w:val="toc 3"/>
    <w:basedOn w:val="a1"/>
    <w:next w:val="a1"/>
    <w:autoRedefine/>
    <w:semiHidden/>
    <w:rsid w:val="00421C5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21C5B"/>
    <w:pPr>
      <w:kinsoku w:val="0"/>
      <w:ind w:leftChars="300" w:left="500" w:rightChars="200" w:right="200" w:hangingChars="200" w:hanging="200"/>
      <w:jc w:val="both"/>
    </w:pPr>
    <w:rPr>
      <w:rFonts w:ascii="標楷體"/>
    </w:rPr>
  </w:style>
  <w:style w:type="paragraph" w:styleId="70">
    <w:name w:val="toc 7"/>
    <w:basedOn w:val="a1"/>
    <w:next w:val="a1"/>
    <w:autoRedefine/>
    <w:semiHidden/>
    <w:rsid w:val="00421C5B"/>
    <w:pPr>
      <w:ind w:leftChars="600" w:left="800" w:hangingChars="200" w:hanging="200"/>
    </w:pPr>
    <w:rPr>
      <w:rFonts w:ascii="標楷體"/>
    </w:rPr>
  </w:style>
  <w:style w:type="paragraph" w:styleId="80">
    <w:name w:val="toc 8"/>
    <w:basedOn w:val="a1"/>
    <w:next w:val="a1"/>
    <w:autoRedefine/>
    <w:semiHidden/>
    <w:rsid w:val="00421C5B"/>
    <w:pPr>
      <w:ind w:leftChars="700" w:left="900" w:hangingChars="200" w:hanging="200"/>
    </w:pPr>
    <w:rPr>
      <w:rFonts w:ascii="標楷體"/>
    </w:rPr>
  </w:style>
  <w:style w:type="paragraph" w:styleId="9">
    <w:name w:val="toc 9"/>
    <w:basedOn w:val="a1"/>
    <w:next w:val="a1"/>
    <w:autoRedefine/>
    <w:semiHidden/>
    <w:rsid w:val="00421C5B"/>
    <w:pPr>
      <w:ind w:leftChars="1600" w:left="3840"/>
    </w:pPr>
  </w:style>
  <w:style w:type="paragraph" w:styleId="a8">
    <w:name w:val="header"/>
    <w:basedOn w:val="a1"/>
    <w:semiHidden/>
    <w:rsid w:val="00421C5B"/>
    <w:pPr>
      <w:tabs>
        <w:tab w:val="center" w:pos="4153"/>
        <w:tab w:val="right" w:pos="8306"/>
      </w:tabs>
      <w:snapToGrid w:val="0"/>
    </w:pPr>
    <w:rPr>
      <w:sz w:val="20"/>
    </w:rPr>
  </w:style>
  <w:style w:type="paragraph" w:customStyle="1" w:styleId="31">
    <w:name w:val="段落樣式3"/>
    <w:basedOn w:val="20"/>
    <w:rsid w:val="00421C5B"/>
    <w:pPr>
      <w:ind w:leftChars="400" w:left="400"/>
    </w:pPr>
  </w:style>
  <w:style w:type="character" w:styleId="a9">
    <w:name w:val="Hyperlink"/>
    <w:basedOn w:val="a2"/>
    <w:uiPriority w:val="99"/>
    <w:semiHidden/>
    <w:rsid w:val="00421C5B"/>
    <w:rPr>
      <w:color w:val="0000FF"/>
      <w:u w:val="single"/>
    </w:rPr>
  </w:style>
  <w:style w:type="paragraph" w:customStyle="1" w:styleId="aa">
    <w:name w:val="簽名日期"/>
    <w:basedOn w:val="a1"/>
    <w:rsid w:val="00421C5B"/>
    <w:pPr>
      <w:kinsoku w:val="0"/>
      <w:jc w:val="distribute"/>
    </w:pPr>
    <w:rPr>
      <w:kern w:val="0"/>
    </w:rPr>
  </w:style>
  <w:style w:type="paragraph" w:customStyle="1" w:styleId="0">
    <w:name w:val="段落樣式0"/>
    <w:basedOn w:val="20"/>
    <w:rsid w:val="00421C5B"/>
    <w:pPr>
      <w:ind w:leftChars="200" w:left="200" w:firstLineChars="0" w:firstLine="0"/>
    </w:pPr>
  </w:style>
  <w:style w:type="paragraph" w:customStyle="1" w:styleId="ab">
    <w:name w:val="附件"/>
    <w:basedOn w:val="a6"/>
    <w:rsid w:val="00421C5B"/>
    <w:pPr>
      <w:kinsoku w:val="0"/>
      <w:spacing w:before="0"/>
      <w:ind w:left="1047" w:hangingChars="300" w:hanging="1047"/>
    </w:pPr>
    <w:rPr>
      <w:snapToGrid/>
      <w:spacing w:val="0"/>
      <w:kern w:val="0"/>
    </w:rPr>
  </w:style>
  <w:style w:type="paragraph" w:customStyle="1" w:styleId="41">
    <w:name w:val="段落樣式4"/>
    <w:basedOn w:val="31"/>
    <w:rsid w:val="00421C5B"/>
    <w:pPr>
      <w:ind w:leftChars="500" w:left="500"/>
    </w:pPr>
  </w:style>
  <w:style w:type="paragraph" w:customStyle="1" w:styleId="51">
    <w:name w:val="段落樣式5"/>
    <w:basedOn w:val="41"/>
    <w:rsid w:val="00421C5B"/>
    <w:pPr>
      <w:ind w:leftChars="600" w:left="600"/>
    </w:pPr>
  </w:style>
  <w:style w:type="paragraph" w:customStyle="1" w:styleId="61">
    <w:name w:val="段落樣式6"/>
    <w:basedOn w:val="51"/>
    <w:rsid w:val="00421C5B"/>
    <w:pPr>
      <w:ind w:leftChars="700" w:left="700"/>
    </w:pPr>
  </w:style>
  <w:style w:type="paragraph" w:customStyle="1" w:styleId="71">
    <w:name w:val="段落樣式7"/>
    <w:basedOn w:val="61"/>
    <w:rsid w:val="00421C5B"/>
  </w:style>
  <w:style w:type="paragraph" w:customStyle="1" w:styleId="81">
    <w:name w:val="段落樣式8"/>
    <w:basedOn w:val="71"/>
    <w:rsid w:val="00421C5B"/>
    <w:pPr>
      <w:ind w:leftChars="800" w:left="800"/>
    </w:pPr>
  </w:style>
  <w:style w:type="paragraph" w:customStyle="1" w:styleId="a0">
    <w:name w:val="表樣式"/>
    <w:basedOn w:val="a1"/>
    <w:next w:val="a1"/>
    <w:rsid w:val="00421C5B"/>
    <w:pPr>
      <w:numPr>
        <w:numId w:val="2"/>
      </w:numPr>
      <w:jc w:val="both"/>
    </w:pPr>
    <w:rPr>
      <w:rFonts w:ascii="標楷體"/>
      <w:kern w:val="0"/>
    </w:rPr>
  </w:style>
  <w:style w:type="paragraph" w:styleId="ac">
    <w:name w:val="Body Text Indent"/>
    <w:basedOn w:val="a1"/>
    <w:semiHidden/>
    <w:rsid w:val="00421C5B"/>
    <w:pPr>
      <w:ind w:left="698" w:hangingChars="200" w:hanging="698"/>
    </w:pPr>
  </w:style>
  <w:style w:type="paragraph" w:customStyle="1" w:styleId="ad">
    <w:name w:val="調查報告"/>
    <w:basedOn w:val="a6"/>
    <w:rsid w:val="00421C5B"/>
    <w:pPr>
      <w:kinsoku w:val="0"/>
      <w:spacing w:before="0"/>
      <w:ind w:left="1701" w:firstLine="0"/>
    </w:pPr>
    <w:rPr>
      <w:b/>
      <w:snapToGrid/>
      <w:spacing w:val="200"/>
      <w:kern w:val="0"/>
      <w:sz w:val="36"/>
    </w:rPr>
  </w:style>
  <w:style w:type="paragraph" w:styleId="ae">
    <w:name w:val="footnote text"/>
    <w:basedOn w:val="a1"/>
    <w:link w:val="af"/>
    <w:uiPriority w:val="99"/>
    <w:unhideWhenUsed/>
    <w:rsid w:val="006A4ADF"/>
    <w:pPr>
      <w:snapToGrid w:val="0"/>
    </w:pPr>
    <w:rPr>
      <w:sz w:val="20"/>
    </w:rPr>
  </w:style>
  <w:style w:type="paragraph" w:customStyle="1" w:styleId="a">
    <w:name w:val="圖樣式"/>
    <w:basedOn w:val="a1"/>
    <w:next w:val="a1"/>
    <w:rsid w:val="00421C5B"/>
    <w:pPr>
      <w:numPr>
        <w:numId w:val="3"/>
      </w:numPr>
      <w:tabs>
        <w:tab w:val="clear" w:pos="1440"/>
      </w:tabs>
      <w:ind w:left="400" w:hangingChars="400" w:hanging="400"/>
      <w:jc w:val="both"/>
    </w:pPr>
    <w:rPr>
      <w:rFonts w:ascii="標楷體"/>
    </w:rPr>
  </w:style>
  <w:style w:type="paragraph" w:styleId="af0">
    <w:name w:val="footer"/>
    <w:basedOn w:val="a1"/>
    <w:semiHidden/>
    <w:rsid w:val="00421C5B"/>
    <w:pPr>
      <w:tabs>
        <w:tab w:val="center" w:pos="4153"/>
        <w:tab w:val="right" w:pos="8306"/>
      </w:tabs>
      <w:snapToGrid w:val="0"/>
    </w:pPr>
    <w:rPr>
      <w:sz w:val="20"/>
    </w:rPr>
  </w:style>
  <w:style w:type="paragraph" w:styleId="af1">
    <w:name w:val="table of figures"/>
    <w:basedOn w:val="a1"/>
    <w:next w:val="a1"/>
    <w:semiHidden/>
    <w:rsid w:val="00421C5B"/>
    <w:pPr>
      <w:ind w:left="400" w:hangingChars="400" w:hanging="400"/>
    </w:pPr>
  </w:style>
  <w:style w:type="character" w:customStyle="1" w:styleId="af">
    <w:name w:val="註腳文字 字元"/>
    <w:basedOn w:val="a2"/>
    <w:link w:val="ae"/>
    <w:uiPriority w:val="99"/>
    <w:rsid w:val="006A4ADF"/>
    <w:rPr>
      <w:rFonts w:eastAsia="標楷體"/>
      <w:kern w:val="2"/>
    </w:rPr>
  </w:style>
  <w:style w:type="character" w:styleId="af2">
    <w:name w:val="footnote reference"/>
    <w:basedOn w:val="a2"/>
    <w:uiPriority w:val="99"/>
    <w:semiHidden/>
    <w:unhideWhenUsed/>
    <w:rsid w:val="006A4ADF"/>
    <w:rPr>
      <w:vertAlign w:val="superscript"/>
    </w:rPr>
  </w:style>
  <w:style w:type="character" w:styleId="af3">
    <w:name w:val="FollowedHyperlink"/>
    <w:basedOn w:val="a2"/>
    <w:uiPriority w:val="99"/>
    <w:semiHidden/>
    <w:unhideWhenUsed/>
    <w:rsid w:val="00761581"/>
    <w:rPr>
      <w:color w:val="800080"/>
      <w:u w:val="single"/>
    </w:rPr>
  </w:style>
  <w:style w:type="paragraph" w:customStyle="1" w:styleId="font5">
    <w:name w:val="font5"/>
    <w:basedOn w:val="a1"/>
    <w:rsid w:val="00761581"/>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1"/>
    <w:rsid w:val="00761581"/>
    <w:pPr>
      <w:widowControl/>
      <w:spacing w:before="100" w:beforeAutospacing="1" w:after="100" w:afterAutospacing="1"/>
    </w:pPr>
    <w:rPr>
      <w:rFonts w:ascii="新細明體" w:eastAsia="新細明體" w:hAnsi="新細明體" w:cs="新細明體"/>
      <w:kern w:val="0"/>
      <w:szCs w:val="32"/>
    </w:rPr>
  </w:style>
  <w:style w:type="paragraph" w:customStyle="1" w:styleId="font7">
    <w:name w:val="font7"/>
    <w:basedOn w:val="a1"/>
    <w:rsid w:val="00761581"/>
    <w:pPr>
      <w:widowControl/>
      <w:spacing w:before="100" w:beforeAutospacing="1" w:after="100" w:afterAutospacing="1"/>
    </w:pPr>
    <w:rPr>
      <w:rFonts w:ascii="標楷體" w:hAnsi="標楷體" w:cs="新細明體"/>
      <w:kern w:val="0"/>
      <w:szCs w:val="32"/>
    </w:rPr>
  </w:style>
  <w:style w:type="paragraph" w:customStyle="1" w:styleId="font8">
    <w:name w:val="font8"/>
    <w:basedOn w:val="a1"/>
    <w:rsid w:val="00761581"/>
    <w:pPr>
      <w:widowControl/>
      <w:spacing w:before="100" w:beforeAutospacing="1" w:after="100" w:afterAutospacing="1"/>
    </w:pPr>
    <w:rPr>
      <w:rFonts w:eastAsia="新細明體"/>
      <w:kern w:val="0"/>
      <w:szCs w:val="32"/>
    </w:rPr>
  </w:style>
  <w:style w:type="paragraph" w:customStyle="1" w:styleId="font9">
    <w:name w:val="font9"/>
    <w:basedOn w:val="a1"/>
    <w:rsid w:val="00761581"/>
    <w:pPr>
      <w:widowControl/>
      <w:spacing w:before="100" w:beforeAutospacing="1" w:after="100" w:afterAutospacing="1"/>
    </w:pPr>
    <w:rPr>
      <w:rFonts w:ascii="細明體" w:eastAsia="細明體" w:hAnsi="細明體" w:cs="新細明體"/>
      <w:kern w:val="0"/>
      <w:szCs w:val="32"/>
    </w:rPr>
  </w:style>
  <w:style w:type="paragraph" w:customStyle="1" w:styleId="font10">
    <w:name w:val="font10"/>
    <w:basedOn w:val="a1"/>
    <w:rsid w:val="00761581"/>
    <w:pPr>
      <w:widowControl/>
      <w:spacing w:before="100" w:beforeAutospacing="1" w:after="100" w:afterAutospacing="1"/>
    </w:pPr>
    <w:rPr>
      <w:rFonts w:eastAsia="新細明體"/>
      <w:kern w:val="0"/>
      <w:sz w:val="28"/>
      <w:szCs w:val="28"/>
    </w:rPr>
  </w:style>
  <w:style w:type="paragraph" w:customStyle="1" w:styleId="font11">
    <w:name w:val="font11"/>
    <w:basedOn w:val="a1"/>
    <w:rsid w:val="00761581"/>
    <w:pPr>
      <w:widowControl/>
      <w:spacing w:before="100" w:beforeAutospacing="1" w:after="100" w:afterAutospacing="1"/>
    </w:pPr>
    <w:rPr>
      <w:rFonts w:ascii="細明體" w:eastAsia="細明體" w:hAnsi="細明體" w:cs="新細明體"/>
      <w:kern w:val="0"/>
      <w:sz w:val="28"/>
      <w:szCs w:val="28"/>
    </w:rPr>
  </w:style>
  <w:style w:type="paragraph" w:customStyle="1" w:styleId="xl65">
    <w:name w:val="xl65"/>
    <w:basedOn w:val="a1"/>
    <w:rsid w:val="00761581"/>
    <w:pPr>
      <w:widowControl/>
      <w:spacing w:before="100" w:beforeAutospacing="1" w:after="100" w:afterAutospacing="1"/>
    </w:pPr>
    <w:rPr>
      <w:rFonts w:ascii="新細明體" w:eastAsia="新細明體" w:hAnsi="新細明體" w:cs="新細明體"/>
      <w:kern w:val="0"/>
      <w:szCs w:val="32"/>
    </w:rPr>
  </w:style>
  <w:style w:type="paragraph" w:customStyle="1" w:styleId="xl66">
    <w:name w:val="xl66"/>
    <w:basedOn w:val="a1"/>
    <w:rsid w:val="00761581"/>
    <w:pPr>
      <w:widowControl/>
      <w:spacing w:before="100" w:beforeAutospacing="1" w:after="100" w:afterAutospacing="1"/>
    </w:pPr>
    <w:rPr>
      <w:rFonts w:ascii="標楷體" w:hAnsi="標楷體" w:cs="新細明體"/>
      <w:kern w:val="0"/>
      <w:szCs w:val="32"/>
    </w:rPr>
  </w:style>
  <w:style w:type="paragraph" w:customStyle="1" w:styleId="xl67">
    <w:name w:val="xl67"/>
    <w:basedOn w:val="a1"/>
    <w:rsid w:val="00761581"/>
    <w:pPr>
      <w:widowControl/>
      <w:pBdr>
        <w:top w:val="single" w:sz="8"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68">
    <w:name w:val="xl68"/>
    <w:basedOn w:val="a1"/>
    <w:rsid w:val="00761581"/>
    <w:pPr>
      <w:widowControl/>
      <w:pBdr>
        <w:top w:val="single" w:sz="8" w:space="0" w:color="auto"/>
      </w:pBdr>
      <w:spacing w:before="100" w:beforeAutospacing="1" w:after="100" w:afterAutospacing="1"/>
    </w:pPr>
    <w:rPr>
      <w:rFonts w:ascii="標楷體" w:hAnsi="標楷體" w:cs="新細明體"/>
      <w:kern w:val="0"/>
      <w:szCs w:val="32"/>
    </w:rPr>
  </w:style>
  <w:style w:type="paragraph" w:customStyle="1" w:styleId="xl69">
    <w:name w:val="xl69"/>
    <w:basedOn w:val="a1"/>
    <w:rsid w:val="00761581"/>
    <w:pPr>
      <w:widowControl/>
      <w:pBdr>
        <w:top w:val="single" w:sz="8" w:space="0" w:color="auto"/>
        <w:left w:val="single" w:sz="8" w:space="0" w:color="auto"/>
        <w:right w:val="single" w:sz="4" w:space="0" w:color="auto"/>
      </w:pBdr>
      <w:spacing w:before="100" w:beforeAutospacing="1" w:after="100" w:afterAutospacing="1"/>
    </w:pPr>
    <w:rPr>
      <w:rFonts w:eastAsia="新細明體"/>
      <w:kern w:val="0"/>
      <w:szCs w:val="32"/>
    </w:rPr>
  </w:style>
  <w:style w:type="paragraph" w:customStyle="1" w:styleId="xl70">
    <w:name w:val="xl70"/>
    <w:basedOn w:val="a1"/>
    <w:rsid w:val="00761581"/>
    <w:pPr>
      <w:widowControl/>
      <w:pBdr>
        <w:top w:val="single" w:sz="8" w:space="0" w:color="auto"/>
        <w:left w:val="single" w:sz="4" w:space="0" w:color="auto"/>
      </w:pBdr>
      <w:spacing w:before="100" w:beforeAutospacing="1" w:after="100" w:afterAutospacing="1"/>
    </w:pPr>
    <w:rPr>
      <w:rFonts w:ascii="標楷體" w:hAnsi="標楷體" w:cs="新細明體"/>
      <w:kern w:val="0"/>
      <w:szCs w:val="32"/>
    </w:rPr>
  </w:style>
  <w:style w:type="paragraph" w:customStyle="1" w:styleId="xl71">
    <w:name w:val="xl71"/>
    <w:basedOn w:val="a1"/>
    <w:rsid w:val="00761581"/>
    <w:pPr>
      <w:widowControl/>
      <w:pBdr>
        <w:left w:val="single" w:sz="8" w:space="0" w:color="auto"/>
        <w:right w:val="single" w:sz="4" w:space="0" w:color="auto"/>
      </w:pBdr>
      <w:spacing w:before="100" w:beforeAutospacing="1" w:after="100" w:afterAutospacing="1"/>
    </w:pPr>
    <w:rPr>
      <w:rFonts w:eastAsia="新細明體"/>
      <w:kern w:val="0"/>
      <w:szCs w:val="32"/>
    </w:rPr>
  </w:style>
  <w:style w:type="paragraph" w:customStyle="1" w:styleId="xl72">
    <w:name w:val="xl72"/>
    <w:basedOn w:val="a1"/>
    <w:rsid w:val="00761581"/>
    <w:pPr>
      <w:widowControl/>
      <w:pBdr>
        <w:right w:val="single" w:sz="4" w:space="0" w:color="auto"/>
      </w:pBdr>
      <w:spacing w:before="100" w:beforeAutospacing="1" w:after="100" w:afterAutospacing="1"/>
    </w:pPr>
    <w:rPr>
      <w:rFonts w:ascii="標楷體" w:hAnsi="標楷體" w:cs="新細明體"/>
      <w:kern w:val="0"/>
      <w:szCs w:val="32"/>
    </w:rPr>
  </w:style>
  <w:style w:type="paragraph" w:customStyle="1" w:styleId="xl73">
    <w:name w:val="xl73"/>
    <w:basedOn w:val="a1"/>
    <w:rsid w:val="00761581"/>
    <w:pPr>
      <w:widowControl/>
      <w:pBdr>
        <w:left w:val="single" w:sz="4" w:space="0" w:color="auto"/>
      </w:pBdr>
      <w:spacing w:before="100" w:beforeAutospacing="1" w:after="100" w:afterAutospacing="1"/>
    </w:pPr>
    <w:rPr>
      <w:rFonts w:ascii="標楷體" w:hAnsi="標楷體" w:cs="新細明體"/>
      <w:kern w:val="0"/>
      <w:szCs w:val="32"/>
    </w:rPr>
  </w:style>
  <w:style w:type="paragraph" w:customStyle="1" w:styleId="xl74">
    <w:name w:val="xl74"/>
    <w:basedOn w:val="a1"/>
    <w:rsid w:val="00761581"/>
    <w:pPr>
      <w:widowControl/>
      <w:pBdr>
        <w:right w:val="single" w:sz="8" w:space="0" w:color="auto"/>
      </w:pBdr>
      <w:spacing w:before="100" w:beforeAutospacing="1" w:after="100" w:afterAutospacing="1"/>
    </w:pPr>
    <w:rPr>
      <w:rFonts w:ascii="標楷體" w:hAnsi="標楷體" w:cs="新細明體"/>
      <w:kern w:val="0"/>
      <w:szCs w:val="32"/>
    </w:rPr>
  </w:style>
  <w:style w:type="paragraph" w:customStyle="1" w:styleId="xl75">
    <w:name w:val="xl75"/>
    <w:basedOn w:val="a1"/>
    <w:rsid w:val="00761581"/>
    <w:pPr>
      <w:widowControl/>
      <w:spacing w:before="100" w:beforeAutospacing="1" w:after="100" w:afterAutospacing="1"/>
      <w:jc w:val="center"/>
    </w:pPr>
    <w:rPr>
      <w:rFonts w:ascii="標楷體" w:hAnsi="標楷體" w:cs="新細明體"/>
      <w:kern w:val="0"/>
      <w:szCs w:val="32"/>
    </w:rPr>
  </w:style>
  <w:style w:type="paragraph" w:customStyle="1" w:styleId="xl76">
    <w:name w:val="xl76"/>
    <w:basedOn w:val="a1"/>
    <w:rsid w:val="00761581"/>
    <w:pPr>
      <w:widowControl/>
      <w:pBdr>
        <w:right w:val="single" w:sz="4" w:space="0" w:color="auto"/>
      </w:pBdr>
      <w:spacing w:before="100" w:beforeAutospacing="1" w:after="100" w:afterAutospacing="1"/>
    </w:pPr>
    <w:rPr>
      <w:rFonts w:eastAsia="新細明體"/>
      <w:kern w:val="0"/>
      <w:szCs w:val="32"/>
    </w:rPr>
  </w:style>
  <w:style w:type="paragraph" w:customStyle="1" w:styleId="xl77">
    <w:name w:val="xl77"/>
    <w:basedOn w:val="a1"/>
    <w:rsid w:val="00761581"/>
    <w:pPr>
      <w:widowControl/>
      <w:pBdr>
        <w:top w:val="single" w:sz="4" w:space="0" w:color="auto"/>
        <w:left w:val="single" w:sz="8" w:space="0" w:color="auto"/>
        <w:right w:val="single" w:sz="4" w:space="0" w:color="auto"/>
      </w:pBdr>
      <w:spacing w:before="100" w:beforeAutospacing="1" w:after="100" w:afterAutospacing="1"/>
    </w:pPr>
    <w:rPr>
      <w:rFonts w:eastAsia="新細明體"/>
      <w:kern w:val="0"/>
      <w:szCs w:val="32"/>
    </w:rPr>
  </w:style>
  <w:style w:type="paragraph" w:customStyle="1" w:styleId="xl78">
    <w:name w:val="xl78"/>
    <w:basedOn w:val="a1"/>
    <w:rsid w:val="00761581"/>
    <w:pPr>
      <w:widowControl/>
      <w:pBdr>
        <w:top w:val="single" w:sz="4" w:space="0" w:color="auto"/>
      </w:pBdr>
      <w:spacing w:before="100" w:beforeAutospacing="1" w:after="100" w:afterAutospacing="1"/>
    </w:pPr>
    <w:rPr>
      <w:rFonts w:ascii="標楷體" w:hAnsi="標楷體" w:cs="新細明體"/>
      <w:kern w:val="0"/>
      <w:szCs w:val="32"/>
    </w:rPr>
  </w:style>
  <w:style w:type="paragraph" w:customStyle="1" w:styleId="xl79">
    <w:name w:val="xl79"/>
    <w:basedOn w:val="a1"/>
    <w:rsid w:val="00761581"/>
    <w:pPr>
      <w:widowControl/>
      <w:pBdr>
        <w:top w:val="single" w:sz="4"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80">
    <w:name w:val="xl80"/>
    <w:basedOn w:val="a1"/>
    <w:rsid w:val="00761581"/>
    <w:pPr>
      <w:widowControl/>
      <w:pBdr>
        <w:top w:val="single" w:sz="4" w:space="0" w:color="auto"/>
        <w:left w:val="single" w:sz="4" w:space="0" w:color="auto"/>
      </w:pBdr>
      <w:spacing w:before="100" w:beforeAutospacing="1" w:after="100" w:afterAutospacing="1"/>
    </w:pPr>
    <w:rPr>
      <w:rFonts w:ascii="標楷體" w:hAnsi="標楷體" w:cs="新細明體"/>
      <w:kern w:val="0"/>
      <w:szCs w:val="32"/>
    </w:rPr>
  </w:style>
  <w:style w:type="paragraph" w:customStyle="1" w:styleId="xl81">
    <w:name w:val="xl81"/>
    <w:basedOn w:val="a1"/>
    <w:rsid w:val="00761581"/>
    <w:pPr>
      <w:widowControl/>
      <w:pBdr>
        <w:top w:val="single" w:sz="4"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82">
    <w:name w:val="xl82"/>
    <w:basedOn w:val="a1"/>
    <w:rsid w:val="00761581"/>
    <w:pPr>
      <w:widowControl/>
      <w:pBdr>
        <w:bottom w:val="single" w:sz="4" w:space="0" w:color="auto"/>
        <w:right w:val="single" w:sz="4" w:space="0" w:color="auto"/>
      </w:pBdr>
      <w:spacing w:before="100" w:beforeAutospacing="1" w:after="100" w:afterAutospacing="1"/>
    </w:pPr>
    <w:rPr>
      <w:rFonts w:eastAsia="新細明體"/>
      <w:kern w:val="0"/>
      <w:szCs w:val="32"/>
    </w:rPr>
  </w:style>
  <w:style w:type="paragraph" w:customStyle="1" w:styleId="xl83">
    <w:name w:val="xl83"/>
    <w:basedOn w:val="a1"/>
    <w:rsid w:val="00761581"/>
    <w:pPr>
      <w:widowControl/>
      <w:pBdr>
        <w:bottom w:val="single" w:sz="4" w:space="0" w:color="auto"/>
      </w:pBdr>
      <w:spacing w:before="100" w:beforeAutospacing="1" w:after="100" w:afterAutospacing="1"/>
    </w:pPr>
    <w:rPr>
      <w:rFonts w:ascii="標楷體" w:hAnsi="標楷體" w:cs="新細明體"/>
      <w:kern w:val="0"/>
      <w:szCs w:val="32"/>
    </w:rPr>
  </w:style>
  <w:style w:type="paragraph" w:customStyle="1" w:styleId="xl84">
    <w:name w:val="xl84"/>
    <w:basedOn w:val="a1"/>
    <w:rsid w:val="00761581"/>
    <w:pPr>
      <w:widowControl/>
      <w:pBdr>
        <w:bottom w:val="single" w:sz="4"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85">
    <w:name w:val="xl85"/>
    <w:basedOn w:val="a1"/>
    <w:rsid w:val="00761581"/>
    <w:pPr>
      <w:widowControl/>
      <w:pBdr>
        <w:bottom w:val="single" w:sz="4"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86">
    <w:name w:val="xl86"/>
    <w:basedOn w:val="a1"/>
    <w:rsid w:val="00761581"/>
    <w:pPr>
      <w:widowControl/>
      <w:pBdr>
        <w:left w:val="single" w:sz="8" w:space="0" w:color="auto"/>
        <w:bottom w:val="single" w:sz="4" w:space="0" w:color="auto"/>
        <w:right w:val="single" w:sz="4" w:space="0" w:color="auto"/>
      </w:pBdr>
      <w:spacing w:before="100" w:beforeAutospacing="1" w:after="100" w:afterAutospacing="1"/>
    </w:pPr>
    <w:rPr>
      <w:rFonts w:eastAsia="新細明體"/>
      <w:kern w:val="0"/>
      <w:szCs w:val="32"/>
    </w:rPr>
  </w:style>
  <w:style w:type="paragraph" w:customStyle="1" w:styleId="xl87">
    <w:name w:val="xl87"/>
    <w:basedOn w:val="a1"/>
    <w:rsid w:val="00761581"/>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eastAsia="新細明體"/>
      <w:kern w:val="0"/>
      <w:szCs w:val="32"/>
    </w:rPr>
  </w:style>
  <w:style w:type="paragraph" w:customStyle="1" w:styleId="xl88">
    <w:name w:val="xl88"/>
    <w:basedOn w:val="a1"/>
    <w:rsid w:val="00761581"/>
    <w:pPr>
      <w:widowControl/>
      <w:pBdr>
        <w:top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89">
    <w:name w:val="xl89"/>
    <w:basedOn w:val="a1"/>
    <w:rsid w:val="00761581"/>
    <w:pPr>
      <w:widowControl/>
      <w:pBdr>
        <w:top w:val="single" w:sz="4" w:space="0" w:color="auto"/>
        <w:bottom w:val="single" w:sz="4"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90">
    <w:name w:val="xl90"/>
    <w:basedOn w:val="a1"/>
    <w:rsid w:val="00761581"/>
    <w:pPr>
      <w:widowControl/>
      <w:pBdr>
        <w:top w:val="single" w:sz="4" w:space="0" w:color="auto"/>
        <w:bottom w:val="single" w:sz="4"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91">
    <w:name w:val="xl91"/>
    <w:basedOn w:val="a1"/>
    <w:rsid w:val="00761581"/>
    <w:pPr>
      <w:widowControl/>
      <w:pBdr>
        <w:top w:val="single" w:sz="4" w:space="0" w:color="auto"/>
        <w:bottom w:val="single" w:sz="4" w:space="0" w:color="auto"/>
        <w:right w:val="single" w:sz="4" w:space="0" w:color="auto"/>
      </w:pBdr>
      <w:spacing w:before="100" w:beforeAutospacing="1" w:after="100" w:afterAutospacing="1"/>
    </w:pPr>
    <w:rPr>
      <w:rFonts w:eastAsia="新細明體"/>
      <w:kern w:val="0"/>
      <w:szCs w:val="32"/>
    </w:rPr>
  </w:style>
  <w:style w:type="paragraph" w:customStyle="1" w:styleId="xl92">
    <w:name w:val="xl92"/>
    <w:basedOn w:val="a1"/>
    <w:rsid w:val="00761581"/>
    <w:pPr>
      <w:widowControl/>
      <w:pBdr>
        <w:top w:val="single" w:sz="4" w:space="0" w:color="auto"/>
        <w:left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93">
    <w:name w:val="xl93"/>
    <w:basedOn w:val="a1"/>
    <w:rsid w:val="00761581"/>
    <w:pPr>
      <w:widowControl/>
      <w:pBdr>
        <w:left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94">
    <w:name w:val="xl94"/>
    <w:basedOn w:val="a1"/>
    <w:rsid w:val="00761581"/>
    <w:pPr>
      <w:widowControl/>
      <w:pBdr>
        <w:top w:val="single" w:sz="4" w:space="0" w:color="auto"/>
        <w:right w:val="single" w:sz="4" w:space="0" w:color="auto"/>
      </w:pBdr>
      <w:spacing w:before="100" w:beforeAutospacing="1" w:after="100" w:afterAutospacing="1"/>
    </w:pPr>
    <w:rPr>
      <w:rFonts w:eastAsia="新細明體"/>
      <w:kern w:val="0"/>
      <w:szCs w:val="32"/>
    </w:rPr>
  </w:style>
  <w:style w:type="paragraph" w:customStyle="1" w:styleId="xl95">
    <w:name w:val="xl95"/>
    <w:basedOn w:val="a1"/>
    <w:rsid w:val="00761581"/>
    <w:pPr>
      <w:widowControl/>
      <w:pBdr>
        <w:top w:val="single" w:sz="4" w:space="0" w:color="auto"/>
      </w:pBdr>
      <w:spacing w:before="100" w:beforeAutospacing="1" w:after="100" w:afterAutospacing="1"/>
    </w:pPr>
    <w:rPr>
      <w:rFonts w:ascii="標楷體" w:hAnsi="標楷體" w:cs="新細明體"/>
      <w:color w:val="0000FF"/>
      <w:kern w:val="0"/>
      <w:szCs w:val="32"/>
    </w:rPr>
  </w:style>
  <w:style w:type="paragraph" w:customStyle="1" w:styleId="xl96">
    <w:name w:val="xl96"/>
    <w:basedOn w:val="a1"/>
    <w:rsid w:val="00761581"/>
    <w:pPr>
      <w:widowControl/>
      <w:pBdr>
        <w:top w:val="single" w:sz="4" w:space="0" w:color="auto"/>
        <w:right w:val="single" w:sz="4" w:space="0" w:color="auto"/>
      </w:pBdr>
      <w:spacing w:before="100" w:beforeAutospacing="1" w:after="100" w:afterAutospacing="1"/>
    </w:pPr>
    <w:rPr>
      <w:rFonts w:ascii="標楷體" w:hAnsi="標楷體" w:cs="新細明體"/>
      <w:color w:val="0000FF"/>
      <w:kern w:val="0"/>
      <w:szCs w:val="32"/>
    </w:rPr>
  </w:style>
  <w:style w:type="paragraph" w:customStyle="1" w:styleId="xl97">
    <w:name w:val="xl97"/>
    <w:basedOn w:val="a1"/>
    <w:rsid w:val="00761581"/>
    <w:pPr>
      <w:widowControl/>
      <w:spacing w:before="100" w:beforeAutospacing="1" w:after="100" w:afterAutospacing="1"/>
    </w:pPr>
    <w:rPr>
      <w:rFonts w:ascii="新細明體" w:eastAsia="新細明體" w:hAnsi="新細明體" w:cs="新細明體"/>
      <w:color w:val="0000FF"/>
      <w:kern w:val="0"/>
      <w:szCs w:val="32"/>
    </w:rPr>
  </w:style>
  <w:style w:type="paragraph" w:customStyle="1" w:styleId="xl98">
    <w:name w:val="xl98"/>
    <w:basedOn w:val="a1"/>
    <w:rsid w:val="00761581"/>
    <w:pPr>
      <w:widowControl/>
      <w:spacing w:before="100" w:beforeAutospacing="1" w:after="100" w:afterAutospacing="1"/>
    </w:pPr>
    <w:rPr>
      <w:rFonts w:ascii="新細明體" w:eastAsia="新細明體" w:hAnsi="新細明體" w:cs="新細明體"/>
      <w:color w:val="FF0000"/>
      <w:kern w:val="0"/>
      <w:szCs w:val="32"/>
    </w:rPr>
  </w:style>
  <w:style w:type="paragraph" w:customStyle="1" w:styleId="xl99">
    <w:name w:val="xl99"/>
    <w:basedOn w:val="a1"/>
    <w:rsid w:val="00761581"/>
    <w:pPr>
      <w:widowControl/>
      <w:spacing w:before="100" w:beforeAutospacing="1" w:after="100" w:afterAutospacing="1"/>
    </w:pPr>
    <w:rPr>
      <w:rFonts w:ascii="標楷體" w:hAnsi="標楷體" w:cs="新細明體"/>
      <w:color w:val="0000FF"/>
      <w:kern w:val="0"/>
      <w:szCs w:val="32"/>
    </w:rPr>
  </w:style>
  <w:style w:type="paragraph" w:customStyle="1" w:styleId="xl100">
    <w:name w:val="xl100"/>
    <w:basedOn w:val="a1"/>
    <w:rsid w:val="00761581"/>
    <w:pPr>
      <w:widowControl/>
      <w:pBdr>
        <w:right w:val="single" w:sz="4" w:space="0" w:color="auto"/>
      </w:pBdr>
      <w:spacing w:before="100" w:beforeAutospacing="1" w:after="100" w:afterAutospacing="1"/>
    </w:pPr>
    <w:rPr>
      <w:rFonts w:ascii="標楷體" w:hAnsi="標楷體" w:cs="新細明體"/>
      <w:color w:val="0000FF"/>
      <w:kern w:val="0"/>
      <w:szCs w:val="32"/>
    </w:rPr>
  </w:style>
  <w:style w:type="paragraph" w:customStyle="1" w:styleId="xl101">
    <w:name w:val="xl101"/>
    <w:basedOn w:val="a1"/>
    <w:rsid w:val="00761581"/>
    <w:pPr>
      <w:widowControl/>
      <w:pBdr>
        <w:top w:val="single" w:sz="4" w:space="0" w:color="auto"/>
        <w:bottom w:val="single" w:sz="8" w:space="0" w:color="auto"/>
      </w:pBdr>
      <w:spacing w:before="100" w:beforeAutospacing="1" w:after="100" w:afterAutospacing="1"/>
    </w:pPr>
    <w:rPr>
      <w:rFonts w:ascii="標楷體" w:hAnsi="標楷體" w:cs="新細明體"/>
      <w:kern w:val="0"/>
      <w:szCs w:val="32"/>
    </w:rPr>
  </w:style>
  <w:style w:type="paragraph" w:customStyle="1" w:styleId="xl102">
    <w:name w:val="xl102"/>
    <w:basedOn w:val="a1"/>
    <w:rsid w:val="00761581"/>
    <w:pPr>
      <w:widowControl/>
      <w:pBdr>
        <w:top w:val="single" w:sz="4" w:space="0" w:color="auto"/>
        <w:bottom w:val="single" w:sz="8"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103">
    <w:name w:val="xl103"/>
    <w:basedOn w:val="a1"/>
    <w:rsid w:val="00761581"/>
    <w:pPr>
      <w:widowControl/>
      <w:pBdr>
        <w:top w:val="single" w:sz="4" w:space="0" w:color="auto"/>
        <w:bottom w:val="single" w:sz="8"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104">
    <w:name w:val="xl104"/>
    <w:basedOn w:val="a1"/>
    <w:rsid w:val="00761581"/>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eastAsia="新細明體"/>
      <w:kern w:val="0"/>
      <w:szCs w:val="32"/>
    </w:rPr>
  </w:style>
  <w:style w:type="paragraph" w:customStyle="1" w:styleId="xl105">
    <w:name w:val="xl105"/>
    <w:basedOn w:val="a1"/>
    <w:rsid w:val="00761581"/>
    <w:pPr>
      <w:widowControl/>
      <w:pBdr>
        <w:top w:val="single" w:sz="4" w:space="0" w:color="auto"/>
        <w:left w:val="single" w:sz="4" w:space="0" w:color="auto"/>
        <w:bottom w:val="single" w:sz="8" w:space="0" w:color="auto"/>
      </w:pBdr>
      <w:spacing w:before="100" w:beforeAutospacing="1" w:after="100" w:afterAutospacing="1"/>
    </w:pPr>
    <w:rPr>
      <w:rFonts w:ascii="標楷體" w:hAnsi="標楷體" w:cs="新細明體"/>
      <w:kern w:val="0"/>
      <w:szCs w:val="32"/>
    </w:rPr>
  </w:style>
  <w:style w:type="paragraph" w:customStyle="1" w:styleId="xl106">
    <w:name w:val="xl106"/>
    <w:basedOn w:val="a1"/>
    <w:rsid w:val="00761581"/>
    <w:pPr>
      <w:widowControl/>
      <w:pBdr>
        <w:left w:val="single" w:sz="4" w:space="0" w:color="auto"/>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07">
    <w:name w:val="xl107"/>
    <w:basedOn w:val="a1"/>
    <w:rsid w:val="00761581"/>
    <w:pPr>
      <w:widowControl/>
      <w:pBdr>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08">
    <w:name w:val="xl108"/>
    <w:basedOn w:val="a1"/>
    <w:rsid w:val="00761581"/>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09">
    <w:name w:val="xl109"/>
    <w:basedOn w:val="a1"/>
    <w:rsid w:val="00761581"/>
    <w:pPr>
      <w:widowControl/>
      <w:pBdr>
        <w:left w:val="single" w:sz="4" w:space="0" w:color="auto"/>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10">
    <w:name w:val="xl110"/>
    <w:basedOn w:val="a1"/>
    <w:rsid w:val="00761581"/>
    <w:pPr>
      <w:widowControl/>
      <w:pBdr>
        <w:bottom w:val="single" w:sz="4" w:space="0" w:color="auto"/>
        <w:right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11">
    <w:name w:val="xl111"/>
    <w:basedOn w:val="a1"/>
    <w:rsid w:val="00761581"/>
    <w:pPr>
      <w:widowControl/>
      <w:pBdr>
        <w:top w:val="single" w:sz="4" w:space="0" w:color="auto"/>
        <w:left w:val="single" w:sz="8" w:space="0" w:color="auto"/>
        <w:right w:val="single" w:sz="4" w:space="0" w:color="auto"/>
      </w:pBdr>
      <w:spacing w:before="100" w:beforeAutospacing="1" w:after="100" w:afterAutospacing="1"/>
    </w:pPr>
    <w:rPr>
      <w:rFonts w:eastAsia="新細明體"/>
      <w:color w:val="FF0000"/>
      <w:kern w:val="0"/>
      <w:szCs w:val="32"/>
    </w:rPr>
  </w:style>
  <w:style w:type="paragraph" w:customStyle="1" w:styleId="xl112">
    <w:name w:val="xl112"/>
    <w:basedOn w:val="a1"/>
    <w:rsid w:val="00761581"/>
    <w:pPr>
      <w:widowControl/>
      <w:pBdr>
        <w:top w:val="single" w:sz="4" w:space="0" w:color="auto"/>
        <w:bottom w:val="single" w:sz="4" w:space="0" w:color="auto"/>
        <w:right w:val="single" w:sz="4" w:space="0" w:color="auto"/>
      </w:pBdr>
      <w:spacing w:before="100" w:beforeAutospacing="1" w:after="100" w:afterAutospacing="1"/>
    </w:pPr>
    <w:rPr>
      <w:rFonts w:eastAsia="新細明體"/>
      <w:kern w:val="0"/>
      <w:sz w:val="28"/>
      <w:szCs w:val="28"/>
    </w:rPr>
  </w:style>
  <w:style w:type="paragraph" w:customStyle="1" w:styleId="xl113">
    <w:name w:val="xl113"/>
    <w:basedOn w:val="a1"/>
    <w:rsid w:val="00761581"/>
    <w:pPr>
      <w:widowControl/>
      <w:pBdr>
        <w:top w:val="single" w:sz="8" w:space="0" w:color="auto"/>
        <w:left w:val="single" w:sz="8" w:space="0" w:color="auto"/>
        <w:right w:val="single" w:sz="8" w:space="0" w:color="auto"/>
      </w:pBdr>
      <w:spacing w:before="100" w:beforeAutospacing="1" w:after="100" w:afterAutospacing="1"/>
      <w:jc w:val="center"/>
    </w:pPr>
    <w:rPr>
      <w:rFonts w:ascii="標楷體" w:hAnsi="標楷體" w:cs="新細明體"/>
      <w:kern w:val="0"/>
      <w:szCs w:val="32"/>
    </w:rPr>
  </w:style>
  <w:style w:type="paragraph" w:customStyle="1" w:styleId="xl114">
    <w:name w:val="xl114"/>
    <w:basedOn w:val="a1"/>
    <w:rsid w:val="00761581"/>
    <w:pPr>
      <w:widowControl/>
      <w:pBdr>
        <w:left w:val="single" w:sz="8" w:space="0" w:color="auto"/>
        <w:bottom w:val="single" w:sz="8" w:space="0" w:color="auto"/>
        <w:right w:val="single" w:sz="8" w:space="0" w:color="auto"/>
      </w:pBdr>
      <w:spacing w:before="100" w:beforeAutospacing="1" w:after="100" w:afterAutospacing="1"/>
      <w:jc w:val="center"/>
    </w:pPr>
    <w:rPr>
      <w:rFonts w:ascii="標楷體" w:hAnsi="標楷體" w:cs="新細明體"/>
      <w:kern w:val="0"/>
      <w:szCs w:val="32"/>
    </w:rPr>
  </w:style>
  <w:style w:type="paragraph" w:customStyle="1" w:styleId="xl115">
    <w:name w:val="xl115"/>
    <w:basedOn w:val="a1"/>
    <w:rsid w:val="00761581"/>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eastAsia="新細明體"/>
      <w:kern w:val="0"/>
      <w:szCs w:val="32"/>
    </w:rPr>
  </w:style>
  <w:style w:type="paragraph" w:customStyle="1" w:styleId="xl116">
    <w:name w:val="xl116"/>
    <w:basedOn w:val="a1"/>
    <w:rsid w:val="00761581"/>
    <w:pPr>
      <w:widowControl/>
      <w:pBdr>
        <w:top w:val="single" w:sz="8" w:space="0" w:color="auto"/>
        <w:left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117">
    <w:name w:val="xl117"/>
    <w:basedOn w:val="a1"/>
    <w:rsid w:val="00761581"/>
    <w:pPr>
      <w:widowControl/>
      <w:pBdr>
        <w:top w:val="single" w:sz="8"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118">
    <w:name w:val="xl118"/>
    <w:basedOn w:val="a1"/>
    <w:rsid w:val="00761581"/>
    <w:pPr>
      <w:widowControl/>
      <w:pBdr>
        <w:top w:val="single" w:sz="8" w:space="0" w:color="auto"/>
        <w:bottom w:val="single" w:sz="4"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119">
    <w:name w:val="xl119"/>
    <w:basedOn w:val="a1"/>
    <w:rsid w:val="00761581"/>
    <w:pPr>
      <w:widowControl/>
      <w:pBdr>
        <w:top w:val="single" w:sz="8" w:space="0" w:color="auto"/>
        <w:bottom w:val="single" w:sz="4"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120">
    <w:name w:val="xl120"/>
    <w:basedOn w:val="a1"/>
    <w:rsid w:val="00761581"/>
    <w:pPr>
      <w:widowControl/>
      <w:pBdr>
        <w:left w:val="single" w:sz="8" w:space="0" w:color="auto"/>
        <w:bottom w:val="single" w:sz="8" w:space="0" w:color="auto"/>
        <w:right w:val="single" w:sz="4" w:space="0" w:color="auto"/>
      </w:pBdr>
      <w:spacing w:before="100" w:beforeAutospacing="1" w:after="100" w:afterAutospacing="1"/>
    </w:pPr>
    <w:rPr>
      <w:rFonts w:eastAsia="新細明體"/>
      <w:kern w:val="0"/>
      <w:szCs w:val="32"/>
    </w:rPr>
  </w:style>
  <w:style w:type="paragraph" w:customStyle="1" w:styleId="xl121">
    <w:name w:val="xl121"/>
    <w:basedOn w:val="a1"/>
    <w:rsid w:val="00761581"/>
    <w:pPr>
      <w:widowControl/>
      <w:pBdr>
        <w:bottom w:val="single" w:sz="8" w:space="0" w:color="auto"/>
      </w:pBdr>
      <w:spacing w:before="100" w:beforeAutospacing="1" w:after="100" w:afterAutospacing="1"/>
    </w:pPr>
    <w:rPr>
      <w:rFonts w:ascii="標楷體" w:hAnsi="標楷體" w:cs="新細明體"/>
      <w:kern w:val="0"/>
      <w:szCs w:val="32"/>
    </w:rPr>
  </w:style>
  <w:style w:type="paragraph" w:customStyle="1" w:styleId="xl122">
    <w:name w:val="xl122"/>
    <w:basedOn w:val="a1"/>
    <w:rsid w:val="00761581"/>
    <w:pPr>
      <w:widowControl/>
      <w:pBdr>
        <w:bottom w:val="single" w:sz="8" w:space="0" w:color="auto"/>
        <w:right w:val="single" w:sz="4" w:space="0" w:color="auto"/>
      </w:pBdr>
      <w:spacing w:before="100" w:beforeAutospacing="1" w:after="100" w:afterAutospacing="1"/>
    </w:pPr>
    <w:rPr>
      <w:rFonts w:ascii="標楷體" w:hAnsi="標楷體" w:cs="新細明體"/>
      <w:kern w:val="0"/>
      <w:szCs w:val="32"/>
    </w:rPr>
  </w:style>
  <w:style w:type="paragraph" w:customStyle="1" w:styleId="xl123">
    <w:name w:val="xl123"/>
    <w:basedOn w:val="a1"/>
    <w:rsid w:val="00761581"/>
    <w:pPr>
      <w:widowControl/>
      <w:pBdr>
        <w:left w:val="single" w:sz="4" w:space="0" w:color="auto"/>
        <w:bottom w:val="single" w:sz="8" w:space="0" w:color="auto"/>
      </w:pBdr>
      <w:spacing w:before="100" w:beforeAutospacing="1" w:after="100" w:afterAutospacing="1"/>
    </w:pPr>
    <w:rPr>
      <w:rFonts w:ascii="標楷體" w:hAnsi="標楷體" w:cs="新細明體"/>
      <w:kern w:val="0"/>
      <w:szCs w:val="32"/>
    </w:rPr>
  </w:style>
  <w:style w:type="paragraph" w:customStyle="1" w:styleId="xl124">
    <w:name w:val="xl124"/>
    <w:basedOn w:val="a1"/>
    <w:rsid w:val="00761581"/>
    <w:pPr>
      <w:widowControl/>
      <w:pBdr>
        <w:bottom w:val="single" w:sz="8" w:space="0" w:color="auto"/>
        <w:right w:val="single" w:sz="8" w:space="0" w:color="auto"/>
      </w:pBdr>
      <w:spacing w:before="100" w:beforeAutospacing="1" w:after="100" w:afterAutospacing="1"/>
    </w:pPr>
    <w:rPr>
      <w:rFonts w:ascii="標楷體" w:hAnsi="標楷體" w:cs="新細明體"/>
      <w:kern w:val="0"/>
      <w:szCs w:val="32"/>
    </w:rPr>
  </w:style>
  <w:style w:type="paragraph" w:customStyle="1" w:styleId="xl125">
    <w:name w:val="xl125"/>
    <w:basedOn w:val="a1"/>
    <w:rsid w:val="00761581"/>
    <w:pPr>
      <w:widowControl/>
      <w:pBdr>
        <w:top w:val="single" w:sz="8" w:space="0" w:color="auto"/>
        <w:left w:val="single" w:sz="4" w:space="0" w:color="auto"/>
      </w:pBdr>
      <w:spacing w:before="100" w:beforeAutospacing="1" w:after="100" w:afterAutospacing="1"/>
      <w:jc w:val="center"/>
    </w:pPr>
    <w:rPr>
      <w:rFonts w:ascii="標楷體" w:hAnsi="標楷體" w:cs="新細明體"/>
      <w:kern w:val="0"/>
      <w:szCs w:val="32"/>
    </w:rPr>
  </w:style>
  <w:style w:type="paragraph" w:customStyle="1" w:styleId="xl126">
    <w:name w:val="xl126"/>
    <w:basedOn w:val="a1"/>
    <w:rsid w:val="00761581"/>
    <w:pPr>
      <w:widowControl/>
      <w:pBdr>
        <w:top w:val="single" w:sz="8"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27">
    <w:name w:val="xl127"/>
    <w:basedOn w:val="a1"/>
    <w:rsid w:val="00761581"/>
    <w:pPr>
      <w:widowControl/>
      <w:pBdr>
        <w:left w:val="single" w:sz="4"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28">
    <w:name w:val="xl128"/>
    <w:basedOn w:val="a1"/>
    <w:rsid w:val="00761581"/>
    <w:pPr>
      <w:widowControl/>
      <w:pBdr>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29">
    <w:name w:val="xl129"/>
    <w:basedOn w:val="a1"/>
    <w:rsid w:val="00761581"/>
    <w:pPr>
      <w:widowControl/>
      <w:pBdr>
        <w:top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30">
    <w:name w:val="xl130"/>
    <w:basedOn w:val="a1"/>
    <w:rsid w:val="00761581"/>
    <w:pPr>
      <w:widowControl/>
      <w:pBdr>
        <w:top w:val="single" w:sz="8"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31">
    <w:name w:val="xl131"/>
    <w:basedOn w:val="a1"/>
    <w:rsid w:val="00761581"/>
    <w:pPr>
      <w:widowControl/>
      <w:pBdr>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32">
    <w:name w:val="xl132"/>
    <w:basedOn w:val="a1"/>
    <w:rsid w:val="00761581"/>
    <w:pPr>
      <w:widowControl/>
      <w:pBdr>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33">
    <w:name w:val="xl133"/>
    <w:basedOn w:val="a1"/>
    <w:rsid w:val="00761581"/>
    <w:pPr>
      <w:widowControl/>
      <w:pBdr>
        <w:top w:val="single" w:sz="8" w:space="0" w:color="auto"/>
        <w:left w:val="single" w:sz="8" w:space="0" w:color="auto"/>
      </w:pBdr>
      <w:spacing w:before="100" w:beforeAutospacing="1" w:after="100" w:afterAutospacing="1"/>
    </w:pPr>
    <w:rPr>
      <w:rFonts w:ascii="標楷體" w:hAnsi="標楷體" w:cs="新細明體"/>
      <w:kern w:val="0"/>
      <w:szCs w:val="32"/>
    </w:rPr>
  </w:style>
  <w:style w:type="paragraph" w:customStyle="1" w:styleId="xl134">
    <w:name w:val="xl134"/>
    <w:basedOn w:val="a1"/>
    <w:rsid w:val="00761581"/>
    <w:pPr>
      <w:widowControl/>
      <w:pBdr>
        <w:top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35">
    <w:name w:val="xl135"/>
    <w:basedOn w:val="a1"/>
    <w:rsid w:val="00761581"/>
    <w:pPr>
      <w:widowControl/>
      <w:pBdr>
        <w:top w:val="single" w:sz="8"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36">
    <w:name w:val="xl136"/>
    <w:basedOn w:val="a1"/>
    <w:rsid w:val="00761581"/>
    <w:pPr>
      <w:widowControl/>
      <w:pBdr>
        <w:left w:val="single" w:sz="8" w:space="0" w:color="auto"/>
        <w:bottom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37">
    <w:name w:val="xl137"/>
    <w:basedOn w:val="a1"/>
    <w:rsid w:val="00761581"/>
    <w:pPr>
      <w:widowControl/>
      <w:pBdr>
        <w:bottom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38">
    <w:name w:val="xl138"/>
    <w:basedOn w:val="a1"/>
    <w:rsid w:val="00761581"/>
    <w:pPr>
      <w:widowControl/>
      <w:pBdr>
        <w:bottom w:val="single" w:sz="8"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39">
    <w:name w:val="xl139"/>
    <w:basedOn w:val="a1"/>
    <w:rsid w:val="00761581"/>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0">
    <w:name w:val="xl140"/>
    <w:basedOn w:val="a1"/>
    <w:rsid w:val="00761581"/>
    <w:pPr>
      <w:widowControl/>
      <w:pBdr>
        <w:top w:val="single" w:sz="4" w:space="0" w:color="auto"/>
        <w:left w:val="single" w:sz="4" w:space="0" w:color="auto"/>
      </w:pBdr>
      <w:spacing w:before="100" w:beforeAutospacing="1" w:after="100" w:afterAutospacing="1"/>
    </w:pPr>
    <w:rPr>
      <w:rFonts w:ascii="標楷體" w:hAnsi="標楷體" w:cs="新細明體"/>
      <w:kern w:val="0"/>
      <w:szCs w:val="32"/>
    </w:rPr>
  </w:style>
  <w:style w:type="paragraph" w:customStyle="1" w:styleId="xl141">
    <w:name w:val="xl141"/>
    <w:basedOn w:val="a1"/>
    <w:rsid w:val="00761581"/>
    <w:pPr>
      <w:widowControl/>
      <w:pBdr>
        <w:top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2">
    <w:name w:val="xl142"/>
    <w:basedOn w:val="a1"/>
    <w:rsid w:val="00761581"/>
    <w:pPr>
      <w:widowControl/>
      <w:pBdr>
        <w:top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3">
    <w:name w:val="xl143"/>
    <w:basedOn w:val="a1"/>
    <w:rsid w:val="00761581"/>
    <w:pPr>
      <w:widowControl/>
      <w:pBdr>
        <w:top w:val="single" w:sz="4" w:space="0" w:color="auto"/>
        <w:right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4">
    <w:name w:val="xl144"/>
    <w:basedOn w:val="a1"/>
    <w:rsid w:val="00761581"/>
    <w:pPr>
      <w:widowControl/>
      <w:pBdr>
        <w:top w:val="single" w:sz="4" w:space="0" w:color="auto"/>
        <w:left w:val="single" w:sz="8" w:space="0" w:color="auto"/>
        <w:right w:val="single" w:sz="4" w:space="0" w:color="auto"/>
      </w:pBdr>
      <w:spacing w:before="100" w:beforeAutospacing="1" w:after="100" w:afterAutospacing="1"/>
    </w:pPr>
    <w:rPr>
      <w:rFonts w:eastAsia="新細明體"/>
      <w:color w:val="0000FF"/>
      <w:kern w:val="0"/>
      <w:szCs w:val="32"/>
    </w:rPr>
  </w:style>
  <w:style w:type="paragraph" w:customStyle="1" w:styleId="xl145">
    <w:name w:val="xl145"/>
    <w:basedOn w:val="a1"/>
    <w:rsid w:val="00761581"/>
    <w:pPr>
      <w:widowControl/>
      <w:pBdr>
        <w:top w:val="single" w:sz="4" w:space="0" w:color="auto"/>
        <w:left w:val="single" w:sz="4" w:space="0" w:color="auto"/>
        <w:bottom w:val="single" w:sz="4" w:space="0" w:color="auto"/>
      </w:pBdr>
      <w:spacing w:before="100" w:beforeAutospacing="1" w:after="100" w:afterAutospacing="1"/>
    </w:pPr>
    <w:rPr>
      <w:rFonts w:ascii="標楷體" w:hAnsi="標楷體" w:cs="新細明體"/>
      <w:color w:val="FF0000"/>
      <w:kern w:val="0"/>
      <w:szCs w:val="32"/>
    </w:rPr>
  </w:style>
  <w:style w:type="paragraph" w:customStyle="1" w:styleId="xl146">
    <w:name w:val="xl146"/>
    <w:basedOn w:val="a1"/>
    <w:rsid w:val="00761581"/>
    <w:pPr>
      <w:widowControl/>
      <w:pBdr>
        <w:top w:val="single" w:sz="4" w:space="0" w:color="auto"/>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7">
    <w:name w:val="xl147"/>
    <w:basedOn w:val="a1"/>
    <w:rsid w:val="00761581"/>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48">
    <w:name w:val="xl148"/>
    <w:basedOn w:val="a1"/>
    <w:rsid w:val="00761581"/>
    <w:pPr>
      <w:widowControl/>
      <w:pBdr>
        <w:top w:val="single" w:sz="4" w:space="0" w:color="auto"/>
        <w:left w:val="single" w:sz="4" w:space="0" w:color="auto"/>
      </w:pBdr>
      <w:spacing w:before="100" w:beforeAutospacing="1" w:after="100" w:afterAutospacing="1"/>
    </w:pPr>
    <w:rPr>
      <w:rFonts w:ascii="標楷體" w:hAnsi="標楷體" w:cs="新細明體"/>
      <w:color w:val="FF0000"/>
      <w:kern w:val="0"/>
      <w:szCs w:val="32"/>
    </w:rPr>
  </w:style>
  <w:style w:type="paragraph" w:customStyle="1" w:styleId="xl149">
    <w:name w:val="xl149"/>
    <w:basedOn w:val="a1"/>
    <w:rsid w:val="00761581"/>
    <w:pPr>
      <w:widowControl/>
      <w:pBdr>
        <w:top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0">
    <w:name w:val="xl150"/>
    <w:basedOn w:val="a1"/>
    <w:rsid w:val="00761581"/>
    <w:pPr>
      <w:widowControl/>
      <w:pBdr>
        <w:top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1">
    <w:name w:val="xl151"/>
    <w:basedOn w:val="a1"/>
    <w:rsid w:val="00761581"/>
    <w:pPr>
      <w:widowControl/>
      <w:pBdr>
        <w:top w:val="single" w:sz="4" w:space="0" w:color="auto"/>
        <w:bottom w:val="single" w:sz="4" w:space="0" w:color="auto"/>
        <w:right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2">
    <w:name w:val="xl152"/>
    <w:basedOn w:val="a1"/>
    <w:rsid w:val="00761581"/>
    <w:pPr>
      <w:widowControl/>
      <w:pBdr>
        <w:top w:val="single" w:sz="4" w:space="0" w:color="auto"/>
        <w:left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153">
    <w:name w:val="xl153"/>
    <w:basedOn w:val="a1"/>
    <w:rsid w:val="00761581"/>
    <w:pPr>
      <w:widowControl/>
      <w:pBdr>
        <w:top w:val="single" w:sz="8" w:space="0" w:color="auto"/>
        <w:left w:val="single" w:sz="4" w:space="0" w:color="auto"/>
        <w:bottom w:val="single" w:sz="4" w:space="0" w:color="auto"/>
      </w:pBdr>
      <w:spacing w:before="100" w:beforeAutospacing="1" w:after="100" w:afterAutospacing="1"/>
    </w:pPr>
    <w:rPr>
      <w:rFonts w:ascii="標楷體" w:hAnsi="標楷體" w:cs="新細明體"/>
      <w:kern w:val="0"/>
      <w:szCs w:val="32"/>
    </w:rPr>
  </w:style>
  <w:style w:type="paragraph" w:customStyle="1" w:styleId="xl154">
    <w:name w:val="xl154"/>
    <w:basedOn w:val="a1"/>
    <w:rsid w:val="00761581"/>
    <w:pPr>
      <w:widowControl/>
      <w:pBdr>
        <w:top w:val="single" w:sz="8" w:space="0" w:color="auto"/>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5">
    <w:name w:val="xl155"/>
    <w:basedOn w:val="a1"/>
    <w:rsid w:val="00761581"/>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6">
    <w:name w:val="xl156"/>
    <w:basedOn w:val="a1"/>
    <w:rsid w:val="00761581"/>
    <w:pPr>
      <w:widowControl/>
      <w:pBdr>
        <w:top w:val="single" w:sz="4" w:space="0" w:color="auto"/>
        <w:left w:val="single" w:sz="4" w:space="0" w:color="auto"/>
      </w:pBdr>
      <w:spacing w:before="100" w:beforeAutospacing="1" w:after="100" w:afterAutospacing="1"/>
    </w:pPr>
    <w:rPr>
      <w:rFonts w:ascii="標楷體" w:hAnsi="標楷體" w:cs="新細明體"/>
      <w:color w:val="0000FF"/>
      <w:kern w:val="0"/>
      <w:szCs w:val="32"/>
    </w:rPr>
  </w:style>
  <w:style w:type="paragraph" w:customStyle="1" w:styleId="xl157">
    <w:name w:val="xl157"/>
    <w:basedOn w:val="a1"/>
    <w:rsid w:val="00761581"/>
    <w:pPr>
      <w:widowControl/>
      <w:pBdr>
        <w:bottom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8">
    <w:name w:val="xl158"/>
    <w:basedOn w:val="a1"/>
    <w:rsid w:val="00761581"/>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59">
    <w:name w:val="xl159"/>
    <w:basedOn w:val="a1"/>
    <w:rsid w:val="00761581"/>
    <w:pPr>
      <w:widowControl/>
      <w:pBdr>
        <w:top w:val="single" w:sz="4" w:space="0" w:color="auto"/>
        <w:left w:val="single" w:sz="4" w:space="0" w:color="auto"/>
      </w:pBdr>
      <w:spacing w:before="100" w:beforeAutospacing="1" w:after="100" w:afterAutospacing="1"/>
    </w:pPr>
    <w:rPr>
      <w:rFonts w:ascii="標楷體" w:hAnsi="標楷體" w:cs="新細明體"/>
      <w:color w:val="0000FF"/>
      <w:kern w:val="0"/>
      <w:szCs w:val="32"/>
    </w:rPr>
  </w:style>
  <w:style w:type="paragraph" w:customStyle="1" w:styleId="xl160">
    <w:name w:val="xl160"/>
    <w:basedOn w:val="a1"/>
    <w:rsid w:val="00761581"/>
    <w:pPr>
      <w:widowControl/>
      <w:pBdr>
        <w:top w:val="single" w:sz="8" w:space="0" w:color="auto"/>
        <w:left w:val="single" w:sz="4" w:space="0" w:color="auto"/>
      </w:pBdr>
      <w:spacing w:before="100" w:beforeAutospacing="1" w:after="100" w:afterAutospacing="1"/>
    </w:pPr>
    <w:rPr>
      <w:rFonts w:ascii="標楷體" w:hAnsi="標楷體" w:cs="新細明體"/>
      <w:kern w:val="0"/>
      <w:szCs w:val="32"/>
    </w:rPr>
  </w:style>
  <w:style w:type="paragraph" w:customStyle="1" w:styleId="xl161">
    <w:name w:val="xl161"/>
    <w:basedOn w:val="a1"/>
    <w:rsid w:val="00761581"/>
    <w:pPr>
      <w:widowControl/>
      <w:pBdr>
        <w:top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2">
    <w:name w:val="xl162"/>
    <w:basedOn w:val="a1"/>
    <w:rsid w:val="00761581"/>
    <w:pPr>
      <w:widowControl/>
      <w:pBdr>
        <w:top w:val="single" w:sz="8"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3">
    <w:name w:val="xl163"/>
    <w:basedOn w:val="a1"/>
    <w:rsid w:val="00761581"/>
    <w:pPr>
      <w:widowControl/>
      <w:pBdr>
        <w:lef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4">
    <w:name w:val="xl164"/>
    <w:basedOn w:val="a1"/>
    <w:rsid w:val="00761581"/>
    <w:pPr>
      <w:widowControl/>
      <w:pBdr>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5">
    <w:name w:val="xl165"/>
    <w:basedOn w:val="a1"/>
    <w:rsid w:val="00761581"/>
    <w:pPr>
      <w:widowControl/>
      <w:pBdr>
        <w:top w:val="single" w:sz="4" w:space="0" w:color="auto"/>
        <w:bottom w:val="single" w:sz="4" w:space="0" w:color="auto"/>
        <w:right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6">
    <w:name w:val="xl166"/>
    <w:basedOn w:val="a1"/>
    <w:rsid w:val="00761581"/>
    <w:pPr>
      <w:widowControl/>
      <w:pBdr>
        <w:left w:val="single" w:sz="4" w:space="0" w:color="auto"/>
        <w:bottom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7">
    <w:name w:val="xl167"/>
    <w:basedOn w:val="a1"/>
    <w:rsid w:val="00761581"/>
    <w:pPr>
      <w:widowControl/>
      <w:pBdr>
        <w:bottom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8">
    <w:name w:val="xl168"/>
    <w:basedOn w:val="a1"/>
    <w:rsid w:val="00761581"/>
    <w:pPr>
      <w:widowControl/>
      <w:pBdr>
        <w:bottom w:val="single" w:sz="8"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69">
    <w:name w:val="xl169"/>
    <w:basedOn w:val="a1"/>
    <w:rsid w:val="00761581"/>
    <w:pPr>
      <w:widowControl/>
      <w:pBdr>
        <w:top w:val="single" w:sz="8" w:space="0" w:color="auto"/>
        <w:right w:val="single" w:sz="8"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170">
    <w:name w:val="xl170"/>
    <w:basedOn w:val="a1"/>
    <w:rsid w:val="00761581"/>
    <w:pPr>
      <w:widowControl/>
      <w:pBdr>
        <w:right w:val="single" w:sz="8" w:space="0" w:color="auto"/>
      </w:pBdr>
      <w:spacing w:before="100" w:beforeAutospacing="1" w:after="100" w:afterAutospacing="1"/>
    </w:pPr>
    <w:rPr>
      <w:rFonts w:ascii="新細明體" w:eastAsia="新細明體" w:hAnsi="新細明體" w:cs="新細明體"/>
      <w:kern w:val="0"/>
      <w:sz w:val="24"/>
      <w:szCs w:val="24"/>
    </w:rPr>
  </w:style>
  <w:style w:type="table" w:styleId="af4">
    <w:name w:val="Table Grid"/>
    <w:basedOn w:val="a3"/>
    <w:rsid w:val="00195E1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unhideWhenUsed/>
    <w:rsid w:val="00842A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842AB4"/>
    <w:rPr>
      <w:rFonts w:ascii="細明體" w:eastAsia="細明體" w:hAnsi="細明體" w:cs="細明體"/>
      <w:sz w:val="24"/>
      <w:szCs w:val="24"/>
    </w:rPr>
  </w:style>
  <w:style w:type="paragraph" w:customStyle="1" w:styleId="Default">
    <w:name w:val="Default"/>
    <w:rsid w:val="00B10AA6"/>
    <w:pPr>
      <w:widowControl w:val="0"/>
      <w:autoSpaceDE w:val="0"/>
      <w:autoSpaceDN w:val="0"/>
      <w:adjustRightInd w:val="0"/>
    </w:pPr>
    <w:rPr>
      <w:rFonts w:ascii="細明體a...." w:eastAsia="細明體a...." w:cs="細明體a...."/>
      <w:color w:val="000000"/>
      <w:sz w:val="24"/>
      <w:szCs w:val="24"/>
    </w:rPr>
  </w:style>
</w:styles>
</file>

<file path=word/webSettings.xml><?xml version="1.0" encoding="utf-8"?>
<w:webSettings xmlns:r="http://schemas.openxmlformats.org/officeDocument/2006/relationships" xmlns:w="http://schemas.openxmlformats.org/wordprocessingml/2006/main">
  <w:divs>
    <w:div w:id="40373760">
      <w:bodyDiv w:val="1"/>
      <w:marLeft w:val="0"/>
      <w:marRight w:val="0"/>
      <w:marTop w:val="0"/>
      <w:marBottom w:val="0"/>
      <w:divBdr>
        <w:top w:val="none" w:sz="0" w:space="0" w:color="auto"/>
        <w:left w:val="none" w:sz="0" w:space="0" w:color="auto"/>
        <w:bottom w:val="none" w:sz="0" w:space="0" w:color="auto"/>
        <w:right w:val="none" w:sz="0" w:space="0" w:color="auto"/>
      </w:divBdr>
    </w:div>
    <w:div w:id="1140077636">
      <w:bodyDiv w:val="1"/>
      <w:marLeft w:val="0"/>
      <w:marRight w:val="0"/>
      <w:marTop w:val="0"/>
      <w:marBottom w:val="0"/>
      <w:divBdr>
        <w:top w:val="none" w:sz="0" w:space="0" w:color="auto"/>
        <w:left w:val="none" w:sz="0" w:space="0" w:color="auto"/>
        <w:bottom w:val="none" w:sz="0" w:space="0" w:color="auto"/>
        <w:right w:val="none" w:sz="0" w:space="0" w:color="auto"/>
      </w:divBdr>
    </w:div>
    <w:div w:id="1666476854">
      <w:bodyDiv w:val="1"/>
      <w:marLeft w:val="0"/>
      <w:marRight w:val="0"/>
      <w:marTop w:val="0"/>
      <w:marBottom w:val="0"/>
      <w:divBdr>
        <w:top w:val="none" w:sz="0" w:space="0" w:color="auto"/>
        <w:left w:val="none" w:sz="0" w:space="0" w:color="auto"/>
        <w:bottom w:val="none" w:sz="0" w:space="0" w:color="auto"/>
        <w:right w:val="none" w:sz="0" w:space="0" w:color="auto"/>
      </w:divBdr>
    </w:div>
    <w:div w:id="1834181999">
      <w:bodyDiv w:val="1"/>
      <w:marLeft w:val="0"/>
      <w:marRight w:val="0"/>
      <w:marTop w:val="0"/>
      <w:marBottom w:val="240"/>
      <w:divBdr>
        <w:top w:val="none" w:sz="0" w:space="0" w:color="auto"/>
        <w:left w:val="none" w:sz="0" w:space="0" w:color="auto"/>
        <w:bottom w:val="none" w:sz="0" w:space="0" w:color="auto"/>
        <w:right w:val="none" w:sz="0" w:space="0" w:color="auto"/>
      </w:divBdr>
      <w:divsChild>
        <w:div w:id="1480027850">
          <w:marLeft w:val="0"/>
          <w:marRight w:val="0"/>
          <w:marTop w:val="0"/>
          <w:marBottom w:val="0"/>
          <w:divBdr>
            <w:top w:val="none" w:sz="0" w:space="0" w:color="auto"/>
            <w:left w:val="none" w:sz="0" w:space="0" w:color="auto"/>
            <w:bottom w:val="none" w:sz="0" w:space="0" w:color="auto"/>
            <w:right w:val="none" w:sz="0" w:space="0" w:color="auto"/>
          </w:divBdr>
          <w:divsChild>
            <w:div w:id="631248192">
              <w:marLeft w:val="0"/>
              <w:marRight w:val="-2400"/>
              <w:marTop w:val="0"/>
              <w:marBottom w:val="0"/>
              <w:divBdr>
                <w:top w:val="none" w:sz="0" w:space="0" w:color="auto"/>
                <w:left w:val="none" w:sz="0" w:space="0" w:color="auto"/>
                <w:bottom w:val="none" w:sz="0" w:space="0" w:color="auto"/>
                <w:right w:val="none" w:sz="0" w:space="0" w:color="auto"/>
              </w:divBdr>
              <w:divsChild>
                <w:div w:id="1233153746">
                  <w:marLeft w:val="0"/>
                  <w:marRight w:val="2400"/>
                  <w:marTop w:val="0"/>
                  <w:marBottom w:val="0"/>
                  <w:divBdr>
                    <w:top w:val="none" w:sz="0" w:space="0" w:color="auto"/>
                    <w:left w:val="none" w:sz="0" w:space="0" w:color="auto"/>
                    <w:bottom w:val="none" w:sz="0" w:space="0" w:color="auto"/>
                    <w:right w:val="none" w:sz="0" w:space="0" w:color="auto"/>
                  </w:divBdr>
                  <w:divsChild>
                    <w:div w:id="1378894167">
                      <w:marLeft w:val="0"/>
                      <w:marRight w:val="0"/>
                      <w:marTop w:val="0"/>
                      <w:marBottom w:val="0"/>
                      <w:divBdr>
                        <w:top w:val="none" w:sz="0" w:space="0" w:color="auto"/>
                        <w:left w:val="none" w:sz="0" w:space="0" w:color="auto"/>
                        <w:bottom w:val="none" w:sz="0" w:space="0" w:color="auto"/>
                        <w:right w:val="none" w:sz="0" w:space="0" w:color="auto"/>
                      </w:divBdr>
                      <w:divsChild>
                        <w:div w:id="714163644">
                          <w:marLeft w:val="0"/>
                          <w:marRight w:val="0"/>
                          <w:marTop w:val="0"/>
                          <w:marBottom w:val="0"/>
                          <w:divBdr>
                            <w:top w:val="none" w:sz="0" w:space="0" w:color="auto"/>
                            <w:left w:val="none" w:sz="0" w:space="0" w:color="auto"/>
                            <w:bottom w:val="none" w:sz="0" w:space="0" w:color="auto"/>
                            <w:right w:val="none" w:sz="0" w:space="0" w:color="auto"/>
                          </w:divBdr>
                          <w:divsChild>
                            <w:div w:id="187569071">
                              <w:marLeft w:val="0"/>
                              <w:marRight w:val="0"/>
                              <w:marTop w:val="0"/>
                              <w:marBottom w:val="150"/>
                              <w:divBdr>
                                <w:top w:val="none" w:sz="0" w:space="0" w:color="auto"/>
                                <w:left w:val="none" w:sz="0" w:space="0" w:color="auto"/>
                                <w:bottom w:val="none" w:sz="0" w:space="0" w:color="auto"/>
                                <w:right w:val="none" w:sz="0" w:space="0" w:color="auto"/>
                              </w:divBdr>
                              <w:divsChild>
                                <w:div w:id="1284732122">
                                  <w:marLeft w:val="0"/>
                                  <w:marRight w:val="0"/>
                                  <w:marTop w:val="0"/>
                                  <w:marBottom w:val="0"/>
                                  <w:divBdr>
                                    <w:top w:val="none" w:sz="0" w:space="0" w:color="auto"/>
                                    <w:left w:val="none" w:sz="0" w:space="0" w:color="auto"/>
                                    <w:bottom w:val="none" w:sz="0" w:space="0" w:color="auto"/>
                                    <w:right w:val="none" w:sz="0" w:space="0" w:color="auto"/>
                                  </w:divBdr>
                                  <w:divsChild>
                                    <w:div w:id="587080989">
                                      <w:marLeft w:val="0"/>
                                      <w:marRight w:val="0"/>
                                      <w:marTop w:val="0"/>
                                      <w:marBottom w:val="0"/>
                                      <w:divBdr>
                                        <w:top w:val="none" w:sz="0" w:space="0" w:color="auto"/>
                                        <w:left w:val="none" w:sz="0" w:space="0" w:color="auto"/>
                                        <w:bottom w:val="none" w:sz="0" w:space="0" w:color="auto"/>
                                        <w:right w:val="none" w:sz="0" w:space="0" w:color="auto"/>
                                      </w:divBdr>
                                      <w:divsChild>
                                        <w:div w:id="221058974">
                                          <w:marLeft w:val="0"/>
                                          <w:marRight w:val="0"/>
                                          <w:marTop w:val="0"/>
                                          <w:marBottom w:val="0"/>
                                          <w:divBdr>
                                            <w:top w:val="none" w:sz="0" w:space="0" w:color="auto"/>
                                            <w:left w:val="none" w:sz="0" w:space="0" w:color="auto"/>
                                            <w:bottom w:val="none" w:sz="0" w:space="0" w:color="auto"/>
                                            <w:right w:val="none" w:sz="0" w:space="0" w:color="auto"/>
                                          </w:divBdr>
                                          <w:divsChild>
                                            <w:div w:id="999115812">
                                              <w:marLeft w:val="0"/>
                                              <w:marRight w:val="0"/>
                                              <w:marTop w:val="0"/>
                                              <w:marBottom w:val="0"/>
                                              <w:divBdr>
                                                <w:top w:val="none" w:sz="0" w:space="0" w:color="auto"/>
                                                <w:left w:val="none" w:sz="0" w:space="0" w:color="auto"/>
                                                <w:bottom w:val="none" w:sz="0" w:space="0" w:color="auto"/>
                                                <w:right w:val="none" w:sz="0" w:space="0" w:color="auto"/>
                                              </w:divBdr>
                                              <w:divsChild>
                                                <w:div w:id="1182469816">
                                                  <w:marLeft w:val="0"/>
                                                  <w:marRight w:val="0"/>
                                                  <w:marTop w:val="0"/>
                                                  <w:marBottom w:val="0"/>
                                                  <w:divBdr>
                                                    <w:top w:val="none" w:sz="0" w:space="0" w:color="auto"/>
                                                    <w:left w:val="none" w:sz="0" w:space="0" w:color="auto"/>
                                                    <w:bottom w:val="none" w:sz="0" w:space="0" w:color="auto"/>
                                                    <w:right w:val="none" w:sz="0" w:space="0" w:color="auto"/>
                                                  </w:divBdr>
                                                  <w:divsChild>
                                                    <w:div w:id="15962102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6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93F7A-7731-453D-A526-EB5C8857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14</Pages>
  <Words>1144</Words>
  <Characters>6526</Characters>
  <Application>Microsoft Office Word</Application>
  <DocSecurity>0</DocSecurity>
  <Lines>54</Lines>
  <Paragraphs>15</Paragraphs>
  <ScaleCrop>false</ScaleCrop>
  <Company>cy</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7</cp:revision>
  <cp:lastPrinted>2011-11-28T08:44:00Z</cp:lastPrinted>
  <dcterms:created xsi:type="dcterms:W3CDTF">2011-12-08T09:17:00Z</dcterms:created>
  <dcterms:modified xsi:type="dcterms:W3CDTF">2011-12-13T07:14:00Z</dcterms:modified>
</cp:coreProperties>
</file>