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01" w:rsidRPr="007319CD" w:rsidRDefault="00026D01" w:rsidP="00026D01">
      <w:pPr>
        <w:pStyle w:val="af6"/>
        <w:rPr>
          <w:rFonts w:hAnsi="標楷體"/>
          <w:sz w:val="36"/>
        </w:rPr>
      </w:pPr>
      <w:bookmarkStart w:id="0" w:name="_Toc421794883"/>
      <w:bookmarkStart w:id="1" w:name="_Toc421794885"/>
      <w:bookmarkEnd w:id="0"/>
      <w:bookmarkEnd w:id="1"/>
      <w:r w:rsidRPr="007319CD">
        <w:rPr>
          <w:rFonts w:hAnsi="標楷體"/>
          <w:spacing w:val="20"/>
          <w:sz w:val="36"/>
          <w:szCs w:val="40"/>
        </w:rPr>
        <w:t>聲請解釋憲法理由書</w:t>
      </w:r>
    </w:p>
    <w:p w:rsidR="00707A26" w:rsidRPr="007319CD" w:rsidRDefault="00707A26" w:rsidP="00844A05">
      <w:pPr>
        <w:ind w:left="993" w:hangingChars="292" w:hanging="993"/>
        <w:rPr>
          <w:rFonts w:hAnsi="標楷體"/>
        </w:rPr>
      </w:pPr>
      <w:bookmarkStart w:id="2" w:name="_Toc474400031"/>
      <w:r w:rsidRPr="007319CD">
        <w:rPr>
          <w:rFonts w:hAnsi="標楷體"/>
        </w:rPr>
        <w:t>主旨：</w:t>
      </w:r>
      <w:bookmarkEnd w:id="2"/>
      <w:r w:rsidR="00D01418" w:rsidRPr="007319CD">
        <w:rPr>
          <w:rFonts w:hAnsi="標楷體"/>
        </w:rPr>
        <w:t>本院</w:t>
      </w:r>
      <w:r w:rsidRPr="007319CD">
        <w:rPr>
          <w:rFonts w:hAnsi="標楷體"/>
        </w:rPr>
        <w:t>為調查「</w:t>
      </w:r>
      <w:proofErr w:type="gramStart"/>
      <w:r w:rsidRPr="007319CD">
        <w:rPr>
          <w:rFonts w:hAnsi="標楷體"/>
        </w:rPr>
        <w:t>據訴</w:t>
      </w:r>
      <w:proofErr w:type="gramEnd"/>
      <w:r w:rsidRPr="007319CD">
        <w:rPr>
          <w:rFonts w:hAnsi="標楷體"/>
        </w:rPr>
        <w:t>，公教人員年金修法相關法案是否有違</w:t>
      </w:r>
      <w:r w:rsidR="00650E14" w:rsidRPr="007319CD">
        <w:rPr>
          <w:rFonts w:hAnsi="標楷體"/>
        </w:rPr>
        <w:t>法律</w:t>
      </w:r>
      <w:proofErr w:type="gramStart"/>
      <w:r w:rsidR="00650E14" w:rsidRPr="007319CD">
        <w:rPr>
          <w:rFonts w:hAnsi="標楷體"/>
        </w:rPr>
        <w:t>不</w:t>
      </w:r>
      <w:proofErr w:type="gramEnd"/>
      <w:r w:rsidRPr="007319CD">
        <w:rPr>
          <w:rFonts w:hAnsi="標楷體"/>
        </w:rPr>
        <w:t>溯及既往、信賴保護等相關原則？是否有違憲之疑義？相關公教人員之權益有無被公平合理之對待等，</w:t>
      </w:r>
      <w:proofErr w:type="gramStart"/>
      <w:r w:rsidRPr="007319CD">
        <w:rPr>
          <w:rFonts w:hAnsi="標楷體"/>
        </w:rPr>
        <w:t>均有詳加釐</w:t>
      </w:r>
      <w:proofErr w:type="gramEnd"/>
      <w:r w:rsidRPr="007319CD">
        <w:rPr>
          <w:rFonts w:hAnsi="標楷體"/>
        </w:rPr>
        <w:t>清並深入調查」乙案，</w:t>
      </w:r>
      <w:r w:rsidR="00D01418" w:rsidRPr="007319CD">
        <w:rPr>
          <w:rFonts w:hAnsi="標楷體"/>
        </w:rPr>
        <w:t>行使監察職權而</w:t>
      </w:r>
      <w:r w:rsidRPr="007319CD">
        <w:rPr>
          <w:rFonts w:hAnsi="標楷體"/>
        </w:rPr>
        <w:t>適用公務人員退休資遣撫</w:t>
      </w:r>
      <w:proofErr w:type="gramStart"/>
      <w:r w:rsidRPr="007319CD">
        <w:rPr>
          <w:rFonts w:hAnsi="標楷體"/>
        </w:rPr>
        <w:t>卹</w:t>
      </w:r>
      <w:proofErr w:type="gramEnd"/>
      <w:r w:rsidRPr="007319CD">
        <w:rPr>
          <w:rFonts w:hAnsi="標楷體"/>
        </w:rPr>
        <w:t>法</w:t>
      </w:r>
      <w:r w:rsidR="00431500" w:rsidRPr="007319CD">
        <w:rPr>
          <w:rFonts w:hAnsi="標楷體"/>
        </w:rPr>
        <w:t>及公立學校教職員退休資遣撫</w:t>
      </w:r>
      <w:proofErr w:type="gramStart"/>
      <w:r w:rsidR="00431500" w:rsidRPr="007319CD">
        <w:rPr>
          <w:rFonts w:hAnsi="標楷體"/>
        </w:rPr>
        <w:t>卹</w:t>
      </w:r>
      <w:proofErr w:type="gramEnd"/>
      <w:r w:rsidR="00431500" w:rsidRPr="007319CD">
        <w:rPr>
          <w:rFonts w:hAnsi="標楷體"/>
        </w:rPr>
        <w:t>條例</w:t>
      </w:r>
      <w:r w:rsidRPr="007319CD">
        <w:rPr>
          <w:rFonts w:hAnsi="標楷體"/>
        </w:rPr>
        <w:t>發生有牴觸憲法第1條、第7條、第15條、第16條、第22條與第23條規定之情形，與憲法所揭</w:t>
      </w:r>
      <w:proofErr w:type="gramStart"/>
      <w:r w:rsidRPr="007319CD">
        <w:rPr>
          <w:rFonts w:hAnsi="標楷體"/>
        </w:rPr>
        <w:t>櫫</w:t>
      </w:r>
      <w:proofErr w:type="gramEnd"/>
      <w:r w:rsidR="00650E14" w:rsidRPr="007319CD">
        <w:rPr>
          <w:rFonts w:hAnsi="標楷體"/>
        </w:rPr>
        <w:t>之法治國原則下之法律</w:t>
      </w:r>
      <w:proofErr w:type="gramStart"/>
      <w:r w:rsidR="00650E14" w:rsidRPr="007319CD">
        <w:rPr>
          <w:rFonts w:hAnsi="標楷體"/>
        </w:rPr>
        <w:t>不</w:t>
      </w:r>
      <w:proofErr w:type="gramEnd"/>
      <w:r w:rsidRPr="007319CD">
        <w:rPr>
          <w:rFonts w:hAnsi="標楷體"/>
        </w:rPr>
        <w:t>溯</w:t>
      </w:r>
      <w:r w:rsidR="00650E14" w:rsidRPr="007319CD">
        <w:rPr>
          <w:rFonts w:hAnsi="標楷體"/>
        </w:rPr>
        <w:t>及</w:t>
      </w:r>
      <w:r w:rsidRPr="007319CD">
        <w:rPr>
          <w:rFonts w:hAnsi="標楷體"/>
        </w:rPr>
        <w:t>既往原則、信賴保護原則、比例原則</w:t>
      </w:r>
      <w:r w:rsidR="00D01418" w:rsidRPr="007319CD">
        <w:rPr>
          <w:rFonts w:hAnsi="標楷體"/>
        </w:rPr>
        <w:t>、誠信原則、平等原則</w:t>
      </w:r>
      <w:r w:rsidRPr="007319CD">
        <w:rPr>
          <w:rFonts w:hAnsi="標楷體"/>
        </w:rPr>
        <w:t>及正當法律程序有所</w:t>
      </w:r>
      <w:proofErr w:type="gramStart"/>
      <w:r w:rsidRPr="007319CD">
        <w:rPr>
          <w:rFonts w:hAnsi="標楷體"/>
        </w:rPr>
        <w:t>扞</w:t>
      </w:r>
      <w:proofErr w:type="gramEnd"/>
      <w:r w:rsidRPr="007319CD">
        <w:rPr>
          <w:rFonts w:hAnsi="標楷體"/>
        </w:rPr>
        <w:t>格並架空憲法對於公務員制度性保障等疑義，</w:t>
      </w:r>
      <w:proofErr w:type="gramStart"/>
      <w:r w:rsidRPr="007319CD">
        <w:rPr>
          <w:rFonts w:hAnsi="標楷體"/>
        </w:rPr>
        <w:t>爰</w:t>
      </w:r>
      <w:proofErr w:type="gramEnd"/>
      <w:r w:rsidRPr="007319CD">
        <w:rPr>
          <w:rFonts w:hAnsi="標楷體"/>
        </w:rPr>
        <w:t>依司法院大法官審理案件法第5條第1項第1款規定聲請解釋。</w:t>
      </w:r>
    </w:p>
    <w:p w:rsidR="00707A26" w:rsidRPr="007319CD" w:rsidRDefault="00844A05" w:rsidP="00707A26">
      <w:pPr>
        <w:rPr>
          <w:rFonts w:hAnsi="標楷體"/>
        </w:rPr>
      </w:pPr>
      <w:r w:rsidRPr="007319CD">
        <w:rPr>
          <w:rFonts w:hAnsi="標楷體"/>
        </w:rPr>
        <w:t>說明：</w:t>
      </w:r>
    </w:p>
    <w:p w:rsidR="00707A26" w:rsidRPr="007319CD" w:rsidRDefault="00707A26" w:rsidP="00707A26">
      <w:pPr>
        <w:pStyle w:val="1"/>
        <w:rPr>
          <w:rFonts w:hAnsi="標楷體"/>
          <w:b/>
        </w:rPr>
      </w:pPr>
      <w:bookmarkStart w:id="3" w:name="_Toc524892367"/>
      <w:bookmarkStart w:id="4" w:name="_Toc524895637"/>
      <w:bookmarkStart w:id="5" w:name="_Toc524896183"/>
      <w:bookmarkStart w:id="6" w:name="_Toc524896213"/>
      <w:bookmarkStart w:id="7" w:name="_Toc524902719"/>
      <w:bookmarkStart w:id="8" w:name="_Toc525066138"/>
      <w:bookmarkStart w:id="9" w:name="_Toc525070828"/>
      <w:bookmarkStart w:id="10" w:name="_Toc525938368"/>
      <w:bookmarkStart w:id="11" w:name="_Toc525939216"/>
      <w:bookmarkStart w:id="12" w:name="_Toc525939721"/>
      <w:bookmarkStart w:id="13" w:name="_Toc529218255"/>
      <w:bookmarkStart w:id="14" w:name="_Toc529222678"/>
      <w:bookmarkStart w:id="15" w:name="_Toc529223100"/>
      <w:bookmarkStart w:id="16" w:name="_Toc529223851"/>
      <w:bookmarkStart w:id="17" w:name="_Toc529228247"/>
      <w:bookmarkStart w:id="18" w:name="_Toc2400383"/>
      <w:bookmarkStart w:id="19" w:name="_Toc4316178"/>
      <w:bookmarkStart w:id="20" w:name="_Toc4473319"/>
      <w:bookmarkStart w:id="21" w:name="_Toc69556886"/>
      <w:bookmarkStart w:id="22" w:name="_Toc69556935"/>
      <w:bookmarkStart w:id="23" w:name="_Toc69609809"/>
      <w:bookmarkStart w:id="24" w:name="_Toc70241805"/>
      <w:bookmarkStart w:id="25" w:name="_Toc70242194"/>
      <w:bookmarkStart w:id="26" w:name="_Toc421794864"/>
      <w:bookmarkStart w:id="27" w:name="_Toc422834149"/>
      <w:r w:rsidRPr="007319CD">
        <w:rPr>
          <w:rFonts w:hAnsi="標楷體"/>
          <w:b/>
        </w:rPr>
        <w:t>聲請解釋憲法之目的</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07A26" w:rsidRPr="007319CD" w:rsidRDefault="00707A26" w:rsidP="00136515">
      <w:pPr>
        <w:pStyle w:val="11"/>
        <w:ind w:left="680" w:firstLine="680"/>
        <w:rPr>
          <w:rFonts w:hAnsi="標楷體"/>
        </w:rPr>
      </w:pPr>
      <w:r w:rsidRPr="007319CD">
        <w:rPr>
          <w:rFonts w:hAnsi="標楷體"/>
        </w:rPr>
        <w:t>為民國（下同）106年8月9日總統</w:t>
      </w:r>
      <w:proofErr w:type="gramStart"/>
      <w:r w:rsidRPr="007319CD">
        <w:rPr>
          <w:rFonts w:hAnsi="標楷體"/>
        </w:rPr>
        <w:t>華總一義字第10600095491</w:t>
      </w:r>
      <w:proofErr w:type="gramEnd"/>
      <w:r w:rsidRPr="007319CD">
        <w:rPr>
          <w:rFonts w:hAnsi="標楷體"/>
        </w:rPr>
        <w:t>號令制定公務人員退休資遣撫</w:t>
      </w:r>
      <w:proofErr w:type="gramStart"/>
      <w:r w:rsidRPr="007319CD">
        <w:rPr>
          <w:rFonts w:hAnsi="標楷體"/>
        </w:rPr>
        <w:t>卹</w:t>
      </w:r>
      <w:proofErr w:type="gramEnd"/>
      <w:r w:rsidRPr="007319CD">
        <w:rPr>
          <w:rFonts w:hAnsi="標楷體"/>
        </w:rPr>
        <w:t>法（</w:t>
      </w:r>
      <w:r w:rsidR="00DC42D9" w:rsidRPr="007319CD">
        <w:rPr>
          <w:rFonts w:hAnsi="標楷體"/>
        </w:rPr>
        <w:t>下</w:t>
      </w:r>
      <w:r w:rsidRPr="007319CD">
        <w:rPr>
          <w:rFonts w:hAnsi="標楷體"/>
        </w:rPr>
        <w:t>稱</w:t>
      </w:r>
      <w:r w:rsidR="00DC42D9" w:rsidRPr="007319CD">
        <w:rPr>
          <w:rFonts w:hAnsi="標楷體"/>
        </w:rPr>
        <w:t>公務人員退撫法</w:t>
      </w:r>
      <w:r w:rsidRPr="007319CD">
        <w:rPr>
          <w:rFonts w:hAnsi="標楷體"/>
        </w:rPr>
        <w:t>）並公布全文95條</w:t>
      </w:r>
      <w:r w:rsidR="00DC42D9" w:rsidRPr="007319CD">
        <w:rPr>
          <w:rFonts w:hAnsi="標楷體"/>
        </w:rPr>
        <w:t>，</w:t>
      </w:r>
      <w:r w:rsidRPr="007319CD">
        <w:rPr>
          <w:rFonts w:hAnsi="標楷體"/>
        </w:rPr>
        <w:t>除第7條第4項及第69條自公布日施行外，其餘條文自107年7月1日施行</w:t>
      </w:r>
      <w:r w:rsidR="00DC42D9" w:rsidRPr="007319CD">
        <w:rPr>
          <w:rFonts w:hAnsi="標楷體"/>
        </w:rPr>
        <w:t>；</w:t>
      </w:r>
      <w:r w:rsidR="00431500" w:rsidRPr="007319CD">
        <w:rPr>
          <w:rFonts w:hAnsi="標楷體"/>
        </w:rPr>
        <w:t>另</w:t>
      </w:r>
      <w:r w:rsidR="00DC42D9" w:rsidRPr="007319CD">
        <w:rPr>
          <w:rFonts w:hAnsi="標楷體"/>
        </w:rPr>
        <w:t>同年8月9日總統</w:t>
      </w:r>
      <w:proofErr w:type="gramStart"/>
      <w:r w:rsidR="00DC42D9" w:rsidRPr="007319CD">
        <w:rPr>
          <w:rFonts w:hAnsi="標楷體"/>
        </w:rPr>
        <w:t>華總一義字第10600095501</w:t>
      </w:r>
      <w:proofErr w:type="gramEnd"/>
      <w:r w:rsidR="00DC42D9" w:rsidRPr="007319CD">
        <w:rPr>
          <w:rFonts w:hAnsi="標楷體"/>
        </w:rPr>
        <w:t>號令制定公立學校教職員退休資遣撫</w:t>
      </w:r>
      <w:proofErr w:type="gramStart"/>
      <w:r w:rsidR="00DC42D9" w:rsidRPr="007319CD">
        <w:rPr>
          <w:rFonts w:hAnsi="標楷體"/>
        </w:rPr>
        <w:t>卹</w:t>
      </w:r>
      <w:proofErr w:type="gramEnd"/>
      <w:r w:rsidR="00DC42D9" w:rsidRPr="007319CD">
        <w:rPr>
          <w:rFonts w:hAnsi="標楷體"/>
        </w:rPr>
        <w:t>條例（下稱</w:t>
      </w:r>
      <w:r w:rsidR="00914E2B" w:rsidRPr="007319CD">
        <w:rPr>
          <w:rFonts w:hAnsi="標楷體"/>
        </w:rPr>
        <w:t>公立學校教職員退撫條例</w:t>
      </w:r>
      <w:r w:rsidR="00DC42D9" w:rsidRPr="007319CD">
        <w:rPr>
          <w:rFonts w:hAnsi="標楷體"/>
        </w:rPr>
        <w:t>）公布全文100條，除第8條第4項及第69條自公布日施行外，其餘條文自107年7月1日施行。</w:t>
      </w:r>
      <w:r w:rsidRPr="007319CD">
        <w:rPr>
          <w:rFonts w:hAnsi="標楷體"/>
        </w:rPr>
        <w:t>查該法規範內容涉有違憲疑義</w:t>
      </w:r>
      <w:r w:rsidR="00B1388F" w:rsidRPr="007319CD">
        <w:rPr>
          <w:rFonts w:hAnsi="標楷體"/>
        </w:rPr>
        <w:t>。</w:t>
      </w:r>
    </w:p>
    <w:p w:rsidR="00707A26" w:rsidRPr="007319CD" w:rsidRDefault="00707A26" w:rsidP="00136515">
      <w:pPr>
        <w:pStyle w:val="11"/>
        <w:ind w:left="680" w:firstLine="680"/>
        <w:rPr>
          <w:rFonts w:hAnsi="標楷體"/>
        </w:rPr>
      </w:pPr>
      <w:r w:rsidRPr="007319CD">
        <w:rPr>
          <w:rFonts w:hAnsi="標楷體"/>
        </w:rPr>
        <w:t>是認前開所述新法條文不符憲法第1條之民主國原則、</w:t>
      </w:r>
      <w:r w:rsidR="00844A05" w:rsidRPr="007319CD">
        <w:rPr>
          <w:rFonts w:hAnsi="標楷體"/>
        </w:rPr>
        <w:t>第7條平等原則、</w:t>
      </w:r>
      <w:r w:rsidRPr="007319CD">
        <w:rPr>
          <w:rFonts w:hAnsi="標楷體"/>
        </w:rPr>
        <w:t>第15條</w:t>
      </w:r>
      <w:r w:rsidR="00844A05" w:rsidRPr="007319CD">
        <w:rPr>
          <w:rFonts w:hAnsi="標楷體"/>
        </w:rPr>
        <w:t>生存權、工作權及財產權保障</w:t>
      </w:r>
      <w:r w:rsidRPr="007319CD">
        <w:rPr>
          <w:rFonts w:hAnsi="標楷體"/>
        </w:rPr>
        <w:t>、</w:t>
      </w:r>
      <w:r w:rsidR="00844A05" w:rsidRPr="007319CD">
        <w:rPr>
          <w:rFonts w:hAnsi="標楷體"/>
        </w:rPr>
        <w:t>第18條與第83條公務員制度性保障、第23條比例原則</w:t>
      </w:r>
      <w:r w:rsidRPr="007319CD">
        <w:rPr>
          <w:rFonts w:hAnsi="標楷體"/>
        </w:rPr>
        <w:t>及憲法所揭</w:t>
      </w:r>
      <w:proofErr w:type="gramStart"/>
      <w:r w:rsidRPr="007319CD">
        <w:rPr>
          <w:rFonts w:hAnsi="標楷體"/>
        </w:rPr>
        <w:t>櫫</w:t>
      </w:r>
      <w:proofErr w:type="gramEnd"/>
      <w:r w:rsidRPr="007319CD">
        <w:rPr>
          <w:rFonts w:hAnsi="標楷體"/>
        </w:rPr>
        <w:t>之法治國原則下之法安定性原則</w:t>
      </w:r>
      <w:r w:rsidR="00844A05" w:rsidRPr="007319CD">
        <w:rPr>
          <w:rFonts w:hAnsi="標楷體"/>
        </w:rPr>
        <w:t>、信賴保護原則與</w:t>
      </w:r>
      <w:r w:rsidRPr="007319CD">
        <w:rPr>
          <w:rFonts w:hAnsi="標楷體"/>
        </w:rPr>
        <w:t>權力分立及制衡原則，請宣告系爭條文違憲</w:t>
      </w:r>
      <w:r w:rsidRPr="007319CD">
        <w:rPr>
          <w:rFonts w:hAnsi="標楷體"/>
        </w:rPr>
        <w:lastRenderedPageBreak/>
        <w:t>無效，以維憲政秩序。</w:t>
      </w:r>
    </w:p>
    <w:p w:rsidR="00707A26" w:rsidRPr="007319CD" w:rsidRDefault="00707A26" w:rsidP="00707A26">
      <w:pPr>
        <w:pStyle w:val="1"/>
        <w:rPr>
          <w:rFonts w:hAnsi="標楷體"/>
          <w:b/>
        </w:rPr>
      </w:pPr>
      <w:r w:rsidRPr="007319CD">
        <w:rPr>
          <w:rFonts w:hAnsi="標楷體"/>
          <w:b/>
        </w:rPr>
        <w:t>疑義或爭議之性質與經過，及涉及之憲法與法令條文</w:t>
      </w:r>
    </w:p>
    <w:p w:rsidR="00707A26" w:rsidRPr="007319CD" w:rsidRDefault="00707A26" w:rsidP="00707A26">
      <w:pPr>
        <w:pStyle w:val="2"/>
        <w:rPr>
          <w:rFonts w:hAnsi="標楷體"/>
          <w:b/>
        </w:rPr>
      </w:pPr>
      <w:r w:rsidRPr="007319CD">
        <w:rPr>
          <w:rFonts w:hAnsi="標楷體"/>
          <w:b/>
        </w:rPr>
        <w:t>疑義或爭議之性質與經過</w:t>
      </w:r>
    </w:p>
    <w:p w:rsidR="00707A26" w:rsidRPr="007319CD" w:rsidRDefault="00707A26" w:rsidP="008F09C9">
      <w:pPr>
        <w:pStyle w:val="11"/>
        <w:ind w:leftChars="292" w:left="993" w:firstLineChars="207" w:firstLine="704"/>
        <w:rPr>
          <w:rFonts w:hAnsi="標楷體"/>
        </w:rPr>
      </w:pPr>
      <w:r w:rsidRPr="007319CD">
        <w:rPr>
          <w:rFonts w:hAnsi="標楷體"/>
        </w:rPr>
        <w:t>據中華民國全國公務人員協會、全國退休教師聯盟、全國教育產業總工會、彰化縣軍公教聯盟</w:t>
      </w:r>
      <w:r w:rsidR="00B96071" w:rsidRPr="007319CD">
        <w:rPr>
          <w:rFonts w:hAnsi="標楷體"/>
        </w:rPr>
        <w:t>等</w:t>
      </w:r>
      <w:r w:rsidRPr="007319CD">
        <w:rPr>
          <w:rFonts w:hAnsi="標楷體"/>
        </w:rPr>
        <w:t>陳訴（</w:t>
      </w:r>
      <w:r w:rsidR="009315F3" w:rsidRPr="007319CD">
        <w:rPr>
          <w:rFonts w:hAnsi="標楷體"/>
        </w:rPr>
        <w:t>關係文</w:t>
      </w:r>
      <w:r w:rsidRPr="007319CD">
        <w:rPr>
          <w:rFonts w:hAnsi="標楷體"/>
        </w:rPr>
        <w:t>件一），公務人員退撫法</w:t>
      </w:r>
      <w:r w:rsidR="00E92DC0" w:rsidRPr="007319CD">
        <w:rPr>
          <w:rFonts w:hAnsi="標楷體"/>
        </w:rPr>
        <w:t>、</w:t>
      </w:r>
      <w:r w:rsidR="00914E2B" w:rsidRPr="007319CD">
        <w:rPr>
          <w:rFonts w:hAnsi="標楷體"/>
        </w:rPr>
        <w:t>公立學校教職員退撫條例</w:t>
      </w:r>
      <w:r w:rsidRPr="007319CD">
        <w:rPr>
          <w:rFonts w:hAnsi="標楷體"/>
        </w:rPr>
        <w:t>，涉有違憲疑義，本院於106年7月25日以院</w:t>
      </w:r>
      <w:proofErr w:type="gramStart"/>
      <w:r w:rsidRPr="007319CD">
        <w:rPr>
          <w:rFonts w:hAnsi="標楷體"/>
        </w:rPr>
        <w:t>台調壹字第1060800141號函派</w:t>
      </w:r>
      <w:proofErr w:type="gramEnd"/>
      <w:r w:rsidRPr="007319CD">
        <w:rPr>
          <w:rFonts w:hAnsi="標楷體"/>
        </w:rPr>
        <w:t>查（</w:t>
      </w:r>
      <w:r w:rsidR="009315F3" w:rsidRPr="007319CD">
        <w:rPr>
          <w:rFonts w:hAnsi="標楷體"/>
        </w:rPr>
        <w:t>關係文件二）。</w:t>
      </w:r>
      <w:r w:rsidR="00C75EF3" w:rsidRPr="007319CD">
        <w:rPr>
          <w:rFonts w:hAnsi="標楷體" w:hint="eastAsia"/>
        </w:rPr>
        <w:t>基於憲法第95條規定</w:t>
      </w:r>
      <w:r w:rsidR="00486E77" w:rsidRPr="007319CD">
        <w:rPr>
          <w:rFonts w:hAnsi="標楷體" w:hint="eastAsia"/>
        </w:rPr>
        <w:t>與監察法第26條規定，</w:t>
      </w:r>
      <w:r w:rsidR="00C75EF3" w:rsidRPr="007319CD">
        <w:rPr>
          <w:rFonts w:hAnsi="標楷體" w:hint="eastAsia"/>
        </w:rPr>
        <w:t>監察院為行使監察權，</w:t>
      </w:r>
      <w:proofErr w:type="gramStart"/>
      <w:r w:rsidR="00C75EF3" w:rsidRPr="007319CD">
        <w:rPr>
          <w:rFonts w:hAnsi="標楷體" w:hint="eastAsia"/>
        </w:rPr>
        <w:t>得</w:t>
      </w:r>
      <w:r w:rsidR="00486E77" w:rsidRPr="007319CD">
        <w:rPr>
          <w:rFonts w:hAnsi="標楷體" w:hint="eastAsia"/>
        </w:rPr>
        <w:t>調閱</w:t>
      </w:r>
      <w:proofErr w:type="gramEnd"/>
      <w:r w:rsidR="00486E77" w:rsidRPr="007319CD">
        <w:rPr>
          <w:rFonts w:hAnsi="標楷體" w:hint="eastAsia"/>
        </w:rPr>
        <w:t>相關法律與命令，於行使調查權</w:t>
      </w:r>
      <w:r w:rsidRPr="007319CD">
        <w:rPr>
          <w:rFonts w:hAnsi="標楷體"/>
        </w:rPr>
        <w:t>適用相關法</w:t>
      </w:r>
      <w:r w:rsidR="00486E77" w:rsidRPr="007319CD">
        <w:rPr>
          <w:rFonts w:hAnsi="標楷體" w:hint="eastAsia"/>
        </w:rPr>
        <w:t>令</w:t>
      </w:r>
      <w:r w:rsidRPr="007319CD">
        <w:rPr>
          <w:rFonts w:hAnsi="標楷體"/>
        </w:rPr>
        <w:t>發生牴觸憲法疑義時，得依</w:t>
      </w:r>
      <w:r w:rsidR="002428F9" w:rsidRPr="007319CD">
        <w:rPr>
          <w:rFonts w:hAnsi="標楷體" w:hint="eastAsia"/>
        </w:rPr>
        <w:t>司法院大法官審理案件法第5條第1項第1款</w:t>
      </w:r>
      <w:r w:rsidR="00486E77" w:rsidRPr="007319CD">
        <w:rPr>
          <w:rFonts w:hAnsi="標楷體" w:hint="eastAsia"/>
        </w:rPr>
        <w:t>所定「中央或地方機關於其行使職權適用憲法發生疑義」之</w:t>
      </w:r>
      <w:r w:rsidRPr="007319CD">
        <w:rPr>
          <w:rFonts w:hAnsi="標楷體"/>
        </w:rPr>
        <w:t>違憲審查</w:t>
      </w:r>
      <w:proofErr w:type="gramStart"/>
      <w:r w:rsidRPr="007319CD">
        <w:rPr>
          <w:rFonts w:hAnsi="標楷體"/>
        </w:rPr>
        <w:t>程序向貴院</w:t>
      </w:r>
      <w:proofErr w:type="gramEnd"/>
      <w:r w:rsidRPr="007319CD">
        <w:rPr>
          <w:rFonts w:hAnsi="標楷體"/>
        </w:rPr>
        <w:t>大法官聲請解釋</w:t>
      </w:r>
      <w:r w:rsidR="00436352" w:rsidRPr="007319CD">
        <w:rPr>
          <w:rFonts w:hAnsi="標楷體" w:hint="eastAsia"/>
        </w:rPr>
        <w:t>，</w:t>
      </w:r>
      <w:r w:rsidR="00486E77" w:rsidRPr="007319CD">
        <w:rPr>
          <w:rFonts w:hAnsi="標楷體" w:hint="eastAsia"/>
        </w:rPr>
        <w:t>舉例而言，本院</w:t>
      </w:r>
      <w:r w:rsidR="00C75EF3" w:rsidRPr="007319CD">
        <w:rPr>
          <w:rFonts w:hAnsi="標楷體" w:hint="eastAsia"/>
        </w:rPr>
        <w:t>93年9月14日本院第3屆第68次會議</w:t>
      </w:r>
      <w:r w:rsidR="00603C04" w:rsidRPr="007319CD">
        <w:rPr>
          <w:rFonts w:hAnsi="標楷體" w:hint="eastAsia"/>
        </w:rPr>
        <w:t>就政務人員退職案件，適用新公布施行之「政務人員退職撫</w:t>
      </w:r>
      <w:proofErr w:type="gramStart"/>
      <w:r w:rsidR="00603C04" w:rsidRPr="007319CD">
        <w:rPr>
          <w:rFonts w:hAnsi="標楷體" w:hint="eastAsia"/>
        </w:rPr>
        <w:t>卹</w:t>
      </w:r>
      <w:proofErr w:type="gramEnd"/>
      <w:r w:rsidR="00603C04" w:rsidRPr="007319CD">
        <w:rPr>
          <w:rFonts w:hAnsi="標楷體" w:hint="eastAsia"/>
        </w:rPr>
        <w:t>條例」</w:t>
      </w:r>
      <w:r w:rsidR="00C75EF3" w:rsidRPr="007319CD">
        <w:rPr>
          <w:rFonts w:hAnsi="標楷體" w:hint="eastAsia"/>
        </w:rPr>
        <w:t>（法律主管機關考試院）認為違憲，司法院釋字第589號解釋在案；又例如就「最高司法機關就審理事項得否發布規則？就司法行政監督得否發布命令？其界限為何？」（法律主管機關司法院）聲請解釋憲法，有</w:t>
      </w:r>
      <w:r w:rsidR="00486E77" w:rsidRPr="007319CD">
        <w:rPr>
          <w:rFonts w:hAnsi="標楷體" w:hint="eastAsia"/>
        </w:rPr>
        <w:t>司法院</w:t>
      </w:r>
      <w:r w:rsidR="00C75EF3" w:rsidRPr="007319CD">
        <w:rPr>
          <w:rFonts w:hAnsi="標楷體" w:hint="eastAsia"/>
        </w:rPr>
        <w:t>90年10月5日釋字第530號在案；甚或</w:t>
      </w:r>
      <w:r w:rsidR="00486E77" w:rsidRPr="007319CD">
        <w:rPr>
          <w:rFonts w:hAnsi="標楷體" w:hint="eastAsia"/>
        </w:rPr>
        <w:t>概括就</w:t>
      </w:r>
      <w:r w:rsidR="00C75EF3" w:rsidRPr="007319CD">
        <w:rPr>
          <w:rFonts w:hAnsi="標楷體" w:hint="eastAsia"/>
        </w:rPr>
        <w:t>言論自由之</w:t>
      </w:r>
      <w:proofErr w:type="gramStart"/>
      <w:r w:rsidR="00C75EF3" w:rsidRPr="007319CD">
        <w:rPr>
          <w:rFonts w:hAnsi="標楷體" w:hint="eastAsia"/>
        </w:rPr>
        <w:t>界線</w:t>
      </w:r>
      <w:r w:rsidR="007E5A72" w:rsidRPr="007319CD">
        <w:rPr>
          <w:rFonts w:hAnsi="標楷體" w:hint="eastAsia"/>
        </w:rPr>
        <w:t>亦</w:t>
      </w:r>
      <w:r w:rsidR="00C75EF3" w:rsidRPr="007319CD">
        <w:rPr>
          <w:rFonts w:hAnsi="標楷體" w:hint="eastAsia"/>
        </w:rPr>
        <w:t>聲請</w:t>
      </w:r>
      <w:proofErr w:type="gramEnd"/>
      <w:r w:rsidR="00C75EF3" w:rsidRPr="007319CD">
        <w:rPr>
          <w:rFonts w:hAnsi="標楷體" w:hint="eastAsia"/>
        </w:rPr>
        <w:t>釋憲，司法院均予以</w:t>
      </w:r>
      <w:r w:rsidR="00C75EF3" w:rsidRPr="007319CD">
        <w:rPr>
          <w:rFonts w:hAnsi="標楷體"/>
        </w:rPr>
        <w:t>受理</w:t>
      </w:r>
      <w:r w:rsidR="00C75EF3" w:rsidRPr="007319CD">
        <w:rPr>
          <w:rFonts w:hAnsi="標楷體" w:hint="eastAsia"/>
        </w:rPr>
        <w:t>，</w:t>
      </w:r>
      <w:proofErr w:type="gramStart"/>
      <w:r w:rsidR="00C75EF3" w:rsidRPr="007319CD">
        <w:rPr>
          <w:rFonts w:hAnsi="標楷體"/>
        </w:rPr>
        <w:t>迭有前例</w:t>
      </w:r>
      <w:proofErr w:type="gramEnd"/>
      <w:r w:rsidR="00C75EF3" w:rsidRPr="007319CD">
        <w:rPr>
          <w:rFonts w:hAnsi="標楷體"/>
          <w:vertAlign w:val="superscript"/>
        </w:rPr>
        <w:footnoteReference w:id="1"/>
      </w:r>
      <w:r w:rsidRPr="007319CD">
        <w:rPr>
          <w:rFonts w:hAnsi="標楷體"/>
        </w:rPr>
        <w:t>。</w:t>
      </w:r>
      <w:r w:rsidR="006606DA" w:rsidRPr="007319CD">
        <w:rPr>
          <w:rFonts w:hAnsi="標楷體" w:hint="eastAsia"/>
        </w:rPr>
        <w:t>經查，公務人員退撫法</w:t>
      </w:r>
      <w:r w:rsidR="006606DA" w:rsidRPr="007319CD">
        <w:rPr>
          <w:rFonts w:hAnsi="標楷體" w:hint="eastAsia"/>
        </w:rPr>
        <w:lastRenderedPageBreak/>
        <w:t>（新法）第31條規定改變請領資格，延後月</w:t>
      </w:r>
      <w:proofErr w:type="gramStart"/>
      <w:r w:rsidR="006606DA" w:rsidRPr="007319CD">
        <w:rPr>
          <w:rFonts w:hAnsi="標楷體" w:hint="eastAsia"/>
        </w:rPr>
        <w:t>退休金起支年齡</w:t>
      </w:r>
      <w:proofErr w:type="gramEnd"/>
      <w:r w:rsidR="006606DA" w:rsidRPr="007319CD">
        <w:rPr>
          <w:rFonts w:hAnsi="標楷體" w:hint="eastAsia"/>
        </w:rPr>
        <w:t>、第27條調整退休金計算基準、第4條第4款及第37條至第39條規定調降退休所得、第34條取消年資補償金、第45條規定調整月撫慰金制度、第92條規定</w:t>
      </w:r>
      <w:r w:rsidR="00DA4D6C" w:rsidRPr="007319CD">
        <w:rPr>
          <w:rFonts w:hAnsi="標楷體" w:hint="eastAsia"/>
        </w:rPr>
        <w:t>年金制度定期檢討機制</w:t>
      </w:r>
      <w:r w:rsidR="006606DA" w:rsidRPr="007319CD">
        <w:rPr>
          <w:rFonts w:hAnsi="標楷體" w:hint="eastAsia"/>
        </w:rPr>
        <w:t>，使退休給付債權永成不確定狀態等；另</w:t>
      </w:r>
      <w:r w:rsidR="00914E2B" w:rsidRPr="007319CD">
        <w:rPr>
          <w:rFonts w:hAnsi="標楷體" w:hint="eastAsia"/>
        </w:rPr>
        <w:t>公立學校教職員退撫條例</w:t>
      </w:r>
      <w:r w:rsidR="006606DA" w:rsidRPr="007319CD">
        <w:rPr>
          <w:rFonts w:hAnsi="標楷體" w:hint="eastAsia"/>
        </w:rPr>
        <w:t>（新法）第32條規定改變請領資格，延後月</w:t>
      </w:r>
      <w:proofErr w:type="gramStart"/>
      <w:r w:rsidR="006606DA" w:rsidRPr="007319CD">
        <w:rPr>
          <w:rFonts w:hAnsi="標楷體" w:hint="eastAsia"/>
        </w:rPr>
        <w:t>退休金起支年齡</w:t>
      </w:r>
      <w:proofErr w:type="gramEnd"/>
      <w:r w:rsidR="006606DA" w:rsidRPr="007319CD">
        <w:rPr>
          <w:rFonts w:hAnsi="標楷體" w:hint="eastAsia"/>
        </w:rPr>
        <w:t>、第28條調整退休金計算基準、第4條第4款及第37條至第39條規定調降退休所得、第34條取消年資補償金、第45條規定調整月撫慰金制度、第97條規定</w:t>
      </w:r>
      <w:r w:rsidR="00DA4D6C" w:rsidRPr="007319CD">
        <w:rPr>
          <w:rFonts w:hAnsi="標楷體" w:hint="eastAsia"/>
        </w:rPr>
        <w:t>年金制度定期檢討機制</w:t>
      </w:r>
      <w:r w:rsidR="006606DA" w:rsidRPr="007319CD">
        <w:rPr>
          <w:rFonts w:hAnsi="標楷體" w:hint="eastAsia"/>
        </w:rPr>
        <w:t>將使退休給付債權永成不確定狀態等，上開新法其適用對象與範圍涵蓋已退休與未退休之所有公教人員，</w:t>
      </w:r>
      <w:proofErr w:type="gramStart"/>
      <w:r w:rsidR="007E5A72" w:rsidRPr="007319CD">
        <w:rPr>
          <w:rFonts w:hAnsi="標楷體" w:hint="eastAsia"/>
        </w:rPr>
        <w:t>均</w:t>
      </w:r>
      <w:r w:rsidR="006606DA" w:rsidRPr="007319CD">
        <w:rPr>
          <w:rFonts w:hAnsi="標楷體" w:hint="eastAsia"/>
        </w:rPr>
        <w:t>涉有</w:t>
      </w:r>
      <w:proofErr w:type="gramEnd"/>
      <w:r w:rsidR="006606DA" w:rsidRPr="007319CD">
        <w:rPr>
          <w:rFonts w:hAnsi="標楷體" w:hint="eastAsia"/>
        </w:rPr>
        <w:t>違反法律溯及既往原則，破壞公務員制度性保障，</w:t>
      </w:r>
      <w:proofErr w:type="gramStart"/>
      <w:r w:rsidR="006606DA" w:rsidRPr="007319CD">
        <w:rPr>
          <w:rFonts w:hAnsi="標楷體" w:hint="eastAsia"/>
        </w:rPr>
        <w:t>悖離</w:t>
      </w:r>
      <w:proofErr w:type="gramEnd"/>
      <w:r w:rsidR="006606DA" w:rsidRPr="007319CD">
        <w:rPr>
          <w:rFonts w:hAnsi="標楷體" w:hint="eastAsia"/>
        </w:rPr>
        <w:t>信賴保護原則與比例原則，侵害公務員之財產權與生存權之虞，就</w:t>
      </w:r>
      <w:r w:rsidR="007E5A72" w:rsidRPr="007319CD">
        <w:rPr>
          <w:rFonts w:hAnsi="標楷體" w:hint="eastAsia"/>
        </w:rPr>
        <w:t>新法</w:t>
      </w:r>
      <w:r w:rsidR="00A10F9D" w:rsidRPr="007319CD">
        <w:rPr>
          <w:rFonts w:hAnsi="標楷體"/>
        </w:rPr>
        <w:t>是</w:t>
      </w:r>
      <w:r w:rsidRPr="007319CD">
        <w:rPr>
          <w:rFonts w:hAnsi="標楷體"/>
        </w:rPr>
        <w:t>否牴觸我國憲法所依據之民主憲政精神，實具有憲法上之原則重要性，有予以違憲審查之必要，</w:t>
      </w:r>
      <w:proofErr w:type="gramStart"/>
      <w:r w:rsidRPr="007319CD">
        <w:rPr>
          <w:rFonts w:hAnsi="標楷體"/>
        </w:rPr>
        <w:t>爰</w:t>
      </w:r>
      <w:proofErr w:type="gramEnd"/>
      <w:r w:rsidRPr="007319CD">
        <w:rPr>
          <w:rFonts w:hAnsi="標楷體"/>
        </w:rPr>
        <w:t>依司法院大法官審理</w:t>
      </w:r>
      <w:r w:rsidRPr="007319CD">
        <w:rPr>
          <w:rFonts w:hAnsi="標楷體"/>
        </w:rPr>
        <w:lastRenderedPageBreak/>
        <w:t>案件法第5條第1項第1款規定，聲請解釋。</w:t>
      </w:r>
    </w:p>
    <w:p w:rsidR="00707A26" w:rsidRPr="007319CD" w:rsidRDefault="00707A26" w:rsidP="008F09C9">
      <w:pPr>
        <w:pStyle w:val="2"/>
        <w:rPr>
          <w:rFonts w:hAnsi="標楷體"/>
          <w:b/>
          <w:bCs w:val="0"/>
        </w:rPr>
      </w:pPr>
      <w:r w:rsidRPr="007319CD">
        <w:rPr>
          <w:rFonts w:hAnsi="標楷體"/>
          <w:b/>
        </w:rPr>
        <w:t>涉及之憲法條文</w:t>
      </w:r>
    </w:p>
    <w:p w:rsidR="00707A26" w:rsidRPr="007319CD" w:rsidRDefault="00707A26" w:rsidP="00707A26">
      <w:pPr>
        <w:pStyle w:val="3"/>
        <w:rPr>
          <w:rFonts w:hAnsi="標楷體"/>
        </w:rPr>
      </w:pPr>
      <w:r w:rsidRPr="007319CD">
        <w:rPr>
          <w:rFonts w:hAnsi="標楷體"/>
        </w:rPr>
        <w:t>憲法第1條規定：「中華民國基於三民主義，為民有民治民享之民主共和國。」</w:t>
      </w:r>
    </w:p>
    <w:p w:rsidR="00707A26" w:rsidRPr="007319CD" w:rsidRDefault="00707A26" w:rsidP="00707A26">
      <w:pPr>
        <w:pStyle w:val="3"/>
        <w:rPr>
          <w:rFonts w:hAnsi="標楷體"/>
        </w:rPr>
      </w:pPr>
      <w:r w:rsidRPr="007319CD">
        <w:rPr>
          <w:rFonts w:hAnsi="標楷體"/>
        </w:rPr>
        <w:t>憲法第7條規定：「中華民國人民，無分男女、宗教、種族、階級、黨派，在法律上一律平等。」</w:t>
      </w:r>
    </w:p>
    <w:p w:rsidR="00707A26" w:rsidRPr="007319CD" w:rsidRDefault="00707A26" w:rsidP="00707A26">
      <w:pPr>
        <w:pStyle w:val="3"/>
        <w:rPr>
          <w:rFonts w:hAnsi="標楷體"/>
        </w:rPr>
      </w:pPr>
      <w:r w:rsidRPr="007319CD">
        <w:rPr>
          <w:rFonts w:hAnsi="標楷體"/>
        </w:rPr>
        <w:t>憲法第15條規定：「人民之生存權、工作權及財產權，應予保障。」</w:t>
      </w:r>
    </w:p>
    <w:p w:rsidR="00707A26" w:rsidRPr="007319CD" w:rsidRDefault="00707A26" w:rsidP="00707A26">
      <w:pPr>
        <w:pStyle w:val="3"/>
        <w:rPr>
          <w:rFonts w:hAnsi="標楷體"/>
        </w:rPr>
      </w:pPr>
      <w:r w:rsidRPr="007319CD">
        <w:rPr>
          <w:rFonts w:hAnsi="標楷體"/>
        </w:rPr>
        <w:t>憲法第18條規定：「人民有應考試服公職之權。」</w:t>
      </w:r>
    </w:p>
    <w:p w:rsidR="00707A26" w:rsidRPr="007319CD" w:rsidRDefault="00707A26" w:rsidP="00707A26">
      <w:pPr>
        <w:pStyle w:val="3"/>
        <w:rPr>
          <w:rFonts w:hAnsi="標楷體"/>
        </w:rPr>
      </w:pPr>
      <w:r w:rsidRPr="007319CD">
        <w:rPr>
          <w:rFonts w:hAnsi="標楷體"/>
        </w:rPr>
        <w:t>憲法第22條規定：「凡人民之其他自由及權利，不妨害社會秩序公共利益者，</w:t>
      </w:r>
      <w:proofErr w:type="gramStart"/>
      <w:r w:rsidRPr="007319CD">
        <w:rPr>
          <w:rFonts w:hAnsi="標楷體"/>
        </w:rPr>
        <w:t>均受憲法</w:t>
      </w:r>
      <w:proofErr w:type="gramEnd"/>
      <w:r w:rsidRPr="007319CD">
        <w:rPr>
          <w:rFonts w:hAnsi="標楷體"/>
        </w:rPr>
        <w:t>之保障。」</w:t>
      </w:r>
    </w:p>
    <w:p w:rsidR="00707A26" w:rsidRPr="007319CD" w:rsidRDefault="00707A26" w:rsidP="00707A26">
      <w:pPr>
        <w:pStyle w:val="3"/>
        <w:rPr>
          <w:rFonts w:hAnsi="標楷體"/>
        </w:rPr>
      </w:pPr>
      <w:r w:rsidRPr="007319CD">
        <w:rPr>
          <w:rFonts w:hAnsi="標楷體"/>
        </w:rPr>
        <w:t>憲法第23條規定：「以上各條列舉之自由權利，除為防止妨礙他人自由、避免緊急危難、維持社會秩序，或增進公共利益所必要者外，不得以法律限制之。」</w:t>
      </w:r>
    </w:p>
    <w:p w:rsidR="00707A26" w:rsidRPr="007319CD" w:rsidRDefault="00707A26" w:rsidP="00707A26">
      <w:pPr>
        <w:pStyle w:val="3"/>
        <w:rPr>
          <w:rFonts w:hAnsi="標楷體"/>
        </w:rPr>
      </w:pPr>
      <w:r w:rsidRPr="007319CD">
        <w:rPr>
          <w:rFonts w:hAnsi="標楷體"/>
        </w:rPr>
        <w:t>憲法第83條規定：「考試院為國家最高考試機關，掌理考試、任用、銓敘、考績、級</w:t>
      </w:r>
      <w:proofErr w:type="gramStart"/>
      <w:r w:rsidRPr="007319CD">
        <w:rPr>
          <w:rFonts w:hAnsi="標楷體"/>
        </w:rPr>
        <w:t>俸</w:t>
      </w:r>
      <w:proofErr w:type="gramEnd"/>
      <w:r w:rsidRPr="007319CD">
        <w:rPr>
          <w:rFonts w:hAnsi="標楷體"/>
        </w:rPr>
        <w:t>、</w:t>
      </w:r>
      <w:proofErr w:type="gramStart"/>
      <w:r w:rsidRPr="007319CD">
        <w:rPr>
          <w:rFonts w:hAnsi="標楷體"/>
        </w:rPr>
        <w:t>陞</w:t>
      </w:r>
      <w:proofErr w:type="gramEnd"/>
      <w:r w:rsidRPr="007319CD">
        <w:rPr>
          <w:rFonts w:hAnsi="標楷體"/>
        </w:rPr>
        <w:t>遷、保障、褒獎、撫</w:t>
      </w:r>
      <w:proofErr w:type="gramStart"/>
      <w:r w:rsidRPr="007319CD">
        <w:rPr>
          <w:rFonts w:hAnsi="標楷體"/>
        </w:rPr>
        <w:t>卹</w:t>
      </w:r>
      <w:proofErr w:type="gramEnd"/>
      <w:r w:rsidRPr="007319CD">
        <w:rPr>
          <w:rFonts w:hAnsi="標楷體"/>
        </w:rPr>
        <w:t>、退休、養老等事項。」</w:t>
      </w:r>
    </w:p>
    <w:p w:rsidR="00707A26" w:rsidRPr="007319CD" w:rsidRDefault="00707A26" w:rsidP="00707A26">
      <w:pPr>
        <w:pStyle w:val="3"/>
        <w:rPr>
          <w:rFonts w:hAnsi="標楷體"/>
        </w:rPr>
      </w:pPr>
      <w:r w:rsidRPr="007319CD">
        <w:rPr>
          <w:rFonts w:hAnsi="標楷體"/>
        </w:rPr>
        <w:t>憲法及憲法增修條文所揭示之民主國原則、法治國原則、權力分立與制衡原則。</w:t>
      </w:r>
    </w:p>
    <w:p w:rsidR="00707A26" w:rsidRPr="007319CD" w:rsidRDefault="00707A26" w:rsidP="00E700F3">
      <w:pPr>
        <w:pStyle w:val="1"/>
        <w:rPr>
          <w:rFonts w:hAnsi="標楷體"/>
          <w:b/>
        </w:rPr>
      </w:pPr>
      <w:r w:rsidRPr="007319CD">
        <w:rPr>
          <w:rFonts w:hAnsi="標楷體"/>
          <w:b/>
        </w:rPr>
        <w:t>聲請解釋法令牴觸憲法之理由及所持之立場與見解</w:t>
      </w:r>
    </w:p>
    <w:p w:rsidR="006B72CB" w:rsidRPr="007319CD" w:rsidRDefault="009315F3" w:rsidP="006B72CB">
      <w:pPr>
        <w:pStyle w:val="2"/>
        <w:rPr>
          <w:rFonts w:hAnsi="標楷體"/>
          <w:b/>
        </w:rPr>
      </w:pPr>
      <w:r w:rsidRPr="007319CD">
        <w:rPr>
          <w:rFonts w:hAnsi="標楷體"/>
          <w:b/>
        </w:rPr>
        <w:t>公務人員退撫法（新法）</w:t>
      </w:r>
      <w:r w:rsidR="006B72CB" w:rsidRPr="007319CD">
        <w:rPr>
          <w:rFonts w:hAnsi="標楷體"/>
          <w:b/>
        </w:rPr>
        <w:t>第31條規定改變請領資格，延後月</w:t>
      </w:r>
      <w:proofErr w:type="gramStart"/>
      <w:r w:rsidR="006B72CB" w:rsidRPr="007319CD">
        <w:rPr>
          <w:rFonts w:hAnsi="標楷體"/>
          <w:b/>
        </w:rPr>
        <w:t>退休金起支年齡</w:t>
      </w:r>
      <w:proofErr w:type="gramEnd"/>
      <w:r w:rsidR="006B72CB" w:rsidRPr="007319CD">
        <w:rPr>
          <w:rFonts w:hAnsi="標楷體"/>
          <w:b/>
        </w:rPr>
        <w:t>、第27條調整退休金計算基準、第4條第4款及第37條至第39條規定調降退休所得、第34條取消年資補償金、第45條規定調整月撫慰金制度、第92條規定</w:t>
      </w:r>
      <w:r w:rsidR="00DA4D6C" w:rsidRPr="007319CD">
        <w:rPr>
          <w:rFonts w:hAnsi="標楷體"/>
          <w:b/>
        </w:rPr>
        <w:t>年金制度定期檢討機制</w:t>
      </w:r>
      <w:r w:rsidR="006B72CB" w:rsidRPr="007319CD">
        <w:rPr>
          <w:rFonts w:hAnsi="標楷體"/>
          <w:b/>
        </w:rPr>
        <w:t>，使退休給付債權永成不確定狀態等；另</w:t>
      </w:r>
      <w:r w:rsidR="00914E2B" w:rsidRPr="007319CD">
        <w:rPr>
          <w:rFonts w:hAnsi="標楷體"/>
          <w:b/>
        </w:rPr>
        <w:t>公立學校教職員退撫條例</w:t>
      </w:r>
      <w:r w:rsidR="00C74E5E" w:rsidRPr="007319CD">
        <w:rPr>
          <w:rFonts w:hAnsi="標楷體"/>
          <w:b/>
        </w:rPr>
        <w:t>（新法）</w:t>
      </w:r>
      <w:r w:rsidR="006B72CB" w:rsidRPr="007319CD">
        <w:rPr>
          <w:rFonts w:hAnsi="標楷體"/>
          <w:b/>
        </w:rPr>
        <w:t>第32條規定改變請領資格，延後月</w:t>
      </w:r>
      <w:proofErr w:type="gramStart"/>
      <w:r w:rsidR="006B72CB" w:rsidRPr="007319CD">
        <w:rPr>
          <w:rFonts w:hAnsi="標楷體"/>
          <w:b/>
        </w:rPr>
        <w:t>退休金起支年齡</w:t>
      </w:r>
      <w:proofErr w:type="gramEnd"/>
      <w:r w:rsidR="006B72CB" w:rsidRPr="007319CD">
        <w:rPr>
          <w:rFonts w:hAnsi="標楷體"/>
          <w:b/>
        </w:rPr>
        <w:t>、第28條調整退休金計算基準、第4條第4款及第37條至第39條規定調降退休所得、第34條取消</w:t>
      </w:r>
      <w:r w:rsidR="006B72CB" w:rsidRPr="007319CD">
        <w:rPr>
          <w:rFonts w:hAnsi="標楷體"/>
          <w:b/>
        </w:rPr>
        <w:lastRenderedPageBreak/>
        <w:t>年資補償金、第45條規定調整月撫慰金制度、第97條規定</w:t>
      </w:r>
      <w:r w:rsidR="00DA4D6C" w:rsidRPr="007319CD">
        <w:rPr>
          <w:rFonts w:hAnsi="標楷體"/>
          <w:b/>
        </w:rPr>
        <w:t>年金制度定期檢討機制</w:t>
      </w:r>
      <w:r w:rsidR="006B72CB" w:rsidRPr="007319CD">
        <w:rPr>
          <w:rFonts w:hAnsi="標楷體"/>
          <w:b/>
        </w:rPr>
        <w:t>，使退休給付債權永成不確定狀態等，其適用對象與範圍涵蓋已退休與未退休之所有公教人員，違反法律</w:t>
      </w:r>
      <w:proofErr w:type="gramStart"/>
      <w:r w:rsidR="0088548F">
        <w:rPr>
          <w:rFonts w:hAnsi="標楷體" w:hint="eastAsia"/>
          <w:b/>
        </w:rPr>
        <w:t>不</w:t>
      </w:r>
      <w:proofErr w:type="gramEnd"/>
      <w:r w:rsidR="006B72CB" w:rsidRPr="007319CD">
        <w:rPr>
          <w:rFonts w:hAnsi="標楷體"/>
          <w:b/>
        </w:rPr>
        <w:t>溯及既往原則，侵害公務員之財產權。</w:t>
      </w:r>
    </w:p>
    <w:p w:rsidR="00707A26" w:rsidRPr="007319CD" w:rsidRDefault="00EC4C40" w:rsidP="00EC4C40">
      <w:pPr>
        <w:pStyle w:val="3"/>
        <w:rPr>
          <w:rFonts w:hAnsi="標楷體"/>
          <w:b/>
        </w:rPr>
      </w:pPr>
      <w:r w:rsidRPr="007319CD">
        <w:rPr>
          <w:rFonts w:hAnsi="標楷體"/>
          <w:b/>
        </w:rPr>
        <w:t>公務員個人法律地位受到國家特別法律關係之限制</w:t>
      </w:r>
      <w:r w:rsidR="005A55C8" w:rsidRPr="007319CD">
        <w:rPr>
          <w:rFonts w:hAnsi="標楷體" w:hint="eastAsia"/>
          <w:b/>
        </w:rPr>
        <w:t>，</w:t>
      </w:r>
      <w:r w:rsidR="00707A26" w:rsidRPr="007319CD">
        <w:rPr>
          <w:rFonts w:hAnsi="標楷體"/>
          <w:b/>
        </w:rPr>
        <w:t>從</w:t>
      </w:r>
      <w:r w:rsidR="005B463A" w:rsidRPr="007319CD">
        <w:rPr>
          <w:rFonts w:hAnsi="標楷體"/>
          <w:b/>
        </w:rPr>
        <w:t>「</w:t>
      </w:r>
      <w:r w:rsidR="00707A26" w:rsidRPr="007319CD">
        <w:rPr>
          <w:rFonts w:hAnsi="標楷體"/>
          <w:b/>
        </w:rPr>
        <w:t>任用</w:t>
      </w:r>
      <w:r w:rsidR="005B463A" w:rsidRPr="007319CD">
        <w:rPr>
          <w:rFonts w:hAnsi="標楷體"/>
          <w:b/>
        </w:rPr>
        <w:t>」</w:t>
      </w:r>
      <w:r w:rsidR="00707A26" w:rsidRPr="007319CD">
        <w:rPr>
          <w:rFonts w:hAnsi="標楷體"/>
          <w:b/>
        </w:rPr>
        <w:t>時起</w:t>
      </w:r>
      <w:r w:rsidRPr="007319CD">
        <w:rPr>
          <w:rFonts w:hAnsi="標楷體"/>
          <w:b/>
        </w:rPr>
        <w:t>，</w:t>
      </w:r>
      <w:r w:rsidR="00707A26" w:rsidRPr="007319CD">
        <w:rPr>
          <w:rFonts w:hAnsi="標楷體"/>
          <w:b/>
        </w:rPr>
        <w:t>即與國家產生公法上勤務關係，</w:t>
      </w:r>
      <w:proofErr w:type="gramStart"/>
      <w:r w:rsidR="005A55C8" w:rsidRPr="007319CD">
        <w:rPr>
          <w:rFonts w:hAnsi="標楷體" w:hint="eastAsia"/>
          <w:b/>
        </w:rPr>
        <w:t>揆</w:t>
      </w:r>
      <w:proofErr w:type="gramEnd"/>
      <w:r w:rsidR="005A55C8" w:rsidRPr="007319CD">
        <w:rPr>
          <w:rFonts w:hAnsi="標楷體" w:hint="eastAsia"/>
          <w:b/>
        </w:rPr>
        <w:t>其</w:t>
      </w:r>
      <w:r w:rsidR="005B463A" w:rsidRPr="007319CD">
        <w:rPr>
          <w:rFonts w:hAnsi="標楷體"/>
          <w:b/>
        </w:rPr>
        <w:t>本質</w:t>
      </w:r>
      <w:r w:rsidRPr="007319CD">
        <w:rPr>
          <w:rFonts w:hAnsi="標楷體"/>
          <w:b/>
        </w:rPr>
        <w:t>與一般</w:t>
      </w:r>
      <w:r w:rsidR="000453BA" w:rsidRPr="007319CD">
        <w:rPr>
          <w:rFonts w:hAnsi="標楷體"/>
          <w:b/>
        </w:rPr>
        <w:t>受</w:t>
      </w:r>
      <w:proofErr w:type="gramStart"/>
      <w:r w:rsidR="000453BA" w:rsidRPr="007319CD">
        <w:rPr>
          <w:rFonts w:hAnsi="標楷體"/>
          <w:b/>
        </w:rPr>
        <w:t>僱</w:t>
      </w:r>
      <w:proofErr w:type="gramEnd"/>
      <w:r w:rsidRPr="007319CD">
        <w:rPr>
          <w:rFonts w:hAnsi="標楷體"/>
          <w:b/>
        </w:rPr>
        <w:t>者</w:t>
      </w:r>
      <w:r w:rsidR="005A55C8" w:rsidRPr="007319CD">
        <w:rPr>
          <w:rFonts w:hAnsi="標楷體"/>
          <w:b/>
        </w:rPr>
        <w:t>相</w:t>
      </w:r>
      <w:r w:rsidR="005A55C8" w:rsidRPr="007319CD">
        <w:rPr>
          <w:rFonts w:hAnsi="標楷體" w:hint="eastAsia"/>
          <w:b/>
        </w:rPr>
        <w:t>同，</w:t>
      </w:r>
      <w:proofErr w:type="gramStart"/>
      <w:r w:rsidRPr="007319CD">
        <w:rPr>
          <w:rFonts w:hAnsi="標楷體"/>
          <w:b/>
        </w:rPr>
        <w:t>均</w:t>
      </w:r>
      <w:r w:rsidR="00EA2D1E" w:rsidRPr="007319CD">
        <w:rPr>
          <w:rFonts w:hAnsi="標楷體"/>
          <w:b/>
        </w:rPr>
        <w:t>屬</w:t>
      </w:r>
      <w:proofErr w:type="gramEnd"/>
      <w:r w:rsidR="005B463A" w:rsidRPr="007319CD">
        <w:rPr>
          <w:rFonts w:hAnsi="標楷體"/>
          <w:b/>
        </w:rPr>
        <w:t>「勞動」，是</w:t>
      </w:r>
      <w:r w:rsidR="007A014B" w:rsidRPr="007319CD">
        <w:rPr>
          <w:rFonts w:hAnsi="標楷體"/>
          <w:b/>
        </w:rPr>
        <w:t>公務員</w:t>
      </w:r>
      <w:r w:rsidR="005A55C8" w:rsidRPr="007319CD">
        <w:rPr>
          <w:rFonts w:hAnsi="標楷體"/>
          <w:b/>
        </w:rPr>
        <w:t>提供勞務</w:t>
      </w:r>
      <w:r w:rsidR="005A55C8" w:rsidRPr="007319CD">
        <w:rPr>
          <w:rFonts w:hAnsi="標楷體" w:hint="eastAsia"/>
          <w:b/>
        </w:rPr>
        <w:t>向</w:t>
      </w:r>
      <w:r w:rsidR="005B463A" w:rsidRPr="007319CD">
        <w:rPr>
          <w:rFonts w:hAnsi="標楷體"/>
          <w:b/>
        </w:rPr>
        <w:t>國家換取報酬</w:t>
      </w:r>
      <w:r w:rsidR="003E3DB5" w:rsidRPr="007319CD">
        <w:rPr>
          <w:rFonts w:hAnsi="標楷體"/>
          <w:b/>
        </w:rPr>
        <w:t>，</w:t>
      </w:r>
      <w:r w:rsidR="00C32354" w:rsidRPr="007319CD">
        <w:rPr>
          <w:rFonts w:hAnsi="標楷體"/>
          <w:b/>
        </w:rPr>
        <w:t>國家作為雇主，</w:t>
      </w:r>
      <w:r w:rsidRPr="007319CD">
        <w:rPr>
          <w:rFonts w:hAnsi="標楷體"/>
          <w:b/>
        </w:rPr>
        <w:t>依據憲法第18條規定</w:t>
      </w:r>
      <w:r w:rsidR="00C32354" w:rsidRPr="007319CD">
        <w:rPr>
          <w:rFonts w:hAnsi="標楷體"/>
          <w:b/>
        </w:rPr>
        <w:t>應建構良好公務員制度，善盡</w:t>
      </w:r>
      <w:r w:rsidRPr="007319CD">
        <w:rPr>
          <w:rFonts w:hAnsi="標楷體"/>
          <w:b/>
        </w:rPr>
        <w:t>國家</w:t>
      </w:r>
      <w:r w:rsidR="00C32354" w:rsidRPr="007319CD">
        <w:rPr>
          <w:rFonts w:hAnsi="標楷體"/>
          <w:b/>
        </w:rPr>
        <w:t>「照顧義務」，</w:t>
      </w:r>
      <w:r w:rsidRPr="007319CD">
        <w:rPr>
          <w:rFonts w:hAnsi="標楷體"/>
          <w:b/>
        </w:rPr>
        <w:t>並以</w:t>
      </w:r>
      <w:r w:rsidR="00F32805" w:rsidRPr="007319CD">
        <w:rPr>
          <w:rFonts w:hAnsi="標楷體"/>
          <w:b/>
        </w:rPr>
        <w:t>憲法所定之「公務員</w:t>
      </w:r>
      <w:r w:rsidRPr="007319CD">
        <w:rPr>
          <w:rFonts w:hAnsi="標楷體"/>
          <w:b/>
        </w:rPr>
        <w:t>制度</w:t>
      </w:r>
      <w:r w:rsidR="00F32805" w:rsidRPr="007319CD">
        <w:rPr>
          <w:rFonts w:hAnsi="標楷體"/>
          <w:b/>
        </w:rPr>
        <w:t>保障」</w:t>
      </w:r>
      <w:r w:rsidR="00CB14C4" w:rsidRPr="007319CD">
        <w:rPr>
          <w:rFonts w:hAnsi="標楷體"/>
          <w:b/>
        </w:rPr>
        <w:t>提供底層人民</w:t>
      </w:r>
      <w:r w:rsidRPr="007319CD">
        <w:rPr>
          <w:rFonts w:hAnsi="標楷體"/>
          <w:b/>
        </w:rPr>
        <w:t>平等</w:t>
      </w:r>
      <w:r w:rsidR="00CB14C4" w:rsidRPr="007319CD">
        <w:rPr>
          <w:rFonts w:hAnsi="標楷體"/>
          <w:b/>
        </w:rPr>
        <w:t>向上流動機會</w:t>
      </w:r>
      <w:r w:rsidR="00131B7A" w:rsidRPr="007319CD">
        <w:rPr>
          <w:rFonts w:hAnsi="標楷體" w:hint="eastAsia"/>
          <w:b/>
        </w:rPr>
        <w:t>。</w:t>
      </w:r>
    </w:p>
    <w:p w:rsidR="00707A26" w:rsidRPr="007319CD" w:rsidRDefault="00707A26" w:rsidP="00D01418">
      <w:pPr>
        <w:pStyle w:val="4"/>
        <w:rPr>
          <w:rFonts w:hAnsi="標楷體"/>
        </w:rPr>
      </w:pPr>
      <w:bookmarkStart w:id="28" w:name="_Toc473204343"/>
      <w:bookmarkStart w:id="29" w:name="_Toc474154128"/>
      <w:bookmarkStart w:id="30" w:name="_Toc474400040"/>
      <w:r w:rsidRPr="007319CD">
        <w:rPr>
          <w:rFonts w:hAnsi="標楷體"/>
        </w:rPr>
        <w:t>按公務</w:t>
      </w:r>
      <w:r w:rsidR="00C74E5E" w:rsidRPr="007319CD">
        <w:rPr>
          <w:rFonts w:hAnsi="標楷體"/>
        </w:rPr>
        <w:t>人</w:t>
      </w:r>
      <w:r w:rsidRPr="007319CD">
        <w:rPr>
          <w:rFonts w:hAnsi="標楷體"/>
        </w:rPr>
        <w:t>員任用法第1條規定：「公務人員之任用，依</w:t>
      </w:r>
      <w:proofErr w:type="gramStart"/>
      <w:r w:rsidRPr="007319CD">
        <w:rPr>
          <w:rFonts w:hAnsi="標楷體"/>
        </w:rPr>
        <w:t>本法行之</w:t>
      </w:r>
      <w:proofErr w:type="gramEnd"/>
      <w:r w:rsidRPr="007319CD">
        <w:rPr>
          <w:rFonts w:hAnsi="標楷體"/>
        </w:rPr>
        <w:t>。」同法第5條規定：「公務人員依官等及職等任用之。」公務員任用</w:t>
      </w:r>
      <w:r w:rsidR="005A55C8" w:rsidRPr="007319CD">
        <w:rPr>
          <w:rFonts w:hAnsi="標楷體" w:hint="eastAsia"/>
        </w:rPr>
        <w:t>之本質，</w:t>
      </w:r>
      <w:r w:rsidRPr="007319CD">
        <w:rPr>
          <w:rFonts w:hAnsi="標楷體"/>
        </w:rPr>
        <w:t>依據現行行政</w:t>
      </w:r>
      <w:r w:rsidR="00650E14" w:rsidRPr="007319CD">
        <w:rPr>
          <w:rFonts w:hAnsi="標楷體"/>
        </w:rPr>
        <w:t>法</w:t>
      </w:r>
      <w:r w:rsidRPr="007319CD">
        <w:rPr>
          <w:rFonts w:hAnsi="標楷體"/>
        </w:rPr>
        <w:t>學學說分別有：1.私法契約說：與一般勞動</w:t>
      </w:r>
      <w:proofErr w:type="gramStart"/>
      <w:r w:rsidRPr="007319CD">
        <w:rPr>
          <w:rFonts w:hAnsi="標楷體"/>
        </w:rPr>
        <w:t>僱傭</w:t>
      </w:r>
      <w:proofErr w:type="gramEnd"/>
      <w:r w:rsidRPr="007319CD">
        <w:rPr>
          <w:rFonts w:hAnsi="標楷體"/>
        </w:rPr>
        <w:t>契約相同。2.公法契約說：國家與人民在法律上地位平等。國家欲使人民成為公務員，須獲得人民同意。故公務員的任用，乃基於國家與人民意思</w:t>
      </w:r>
      <w:proofErr w:type="gramStart"/>
      <w:r w:rsidRPr="007319CD">
        <w:rPr>
          <w:rFonts w:hAnsi="標楷體"/>
        </w:rPr>
        <w:t>表示合致</w:t>
      </w:r>
      <w:proofErr w:type="gramEnd"/>
      <w:r w:rsidRPr="007319CD">
        <w:rPr>
          <w:rFonts w:hAnsi="標楷體"/>
        </w:rPr>
        <w:t>，形成公法上的契約關係。3.須相對人同意的行政處分：公務員的任用，乃出於國家單方面的意思表示決定。但國家此種任用行為，必須以該受任人的同意為有效要件。依據我國學說通說，從特別法律關係之角</w:t>
      </w:r>
      <w:r w:rsidR="00C74E5E" w:rsidRPr="007319CD">
        <w:rPr>
          <w:rFonts w:hAnsi="標楷體"/>
        </w:rPr>
        <w:t>度認為公務員任用是</w:t>
      </w:r>
      <w:r w:rsidRPr="007319CD">
        <w:rPr>
          <w:rFonts w:hAnsi="標楷體"/>
        </w:rPr>
        <w:t>須相對人同意的行政處分。</w:t>
      </w:r>
      <w:r w:rsidRPr="007319CD">
        <w:rPr>
          <w:rFonts w:hAnsi="標楷體"/>
          <w:vertAlign w:val="superscript"/>
        </w:rPr>
        <w:footnoteReference w:id="2"/>
      </w:r>
    </w:p>
    <w:bookmarkEnd w:id="28"/>
    <w:bookmarkEnd w:id="29"/>
    <w:bookmarkEnd w:id="30"/>
    <w:p w:rsidR="00707A26" w:rsidRPr="007319CD" w:rsidRDefault="00707A26" w:rsidP="005A55C8">
      <w:pPr>
        <w:pStyle w:val="4"/>
        <w:rPr>
          <w:rFonts w:hAnsi="標楷體"/>
        </w:rPr>
      </w:pPr>
      <w:r w:rsidRPr="007319CD">
        <w:rPr>
          <w:rFonts w:hAnsi="標楷體"/>
        </w:rPr>
        <w:t>然公務員與國家關係究竟為何，依據憲法第18條規定：「人民有應考試</w:t>
      </w:r>
      <w:r w:rsidR="000453BA" w:rsidRPr="007319CD">
        <w:rPr>
          <w:rFonts w:hAnsi="標楷體"/>
        </w:rPr>
        <w:t>、</w:t>
      </w:r>
      <w:r w:rsidRPr="007319CD">
        <w:rPr>
          <w:rFonts w:hAnsi="標楷體"/>
        </w:rPr>
        <w:t>服公職之權。」亦即在民主法治國家，基於國民主權原則，無分男女、</w:t>
      </w:r>
      <w:r w:rsidRPr="007319CD">
        <w:rPr>
          <w:rFonts w:hAnsi="標楷體"/>
        </w:rPr>
        <w:lastRenderedPageBreak/>
        <w:t>宗教、種族、階級、黨派，給予人民平等擔任國家官吏之權利，不同於封建時期官位</w:t>
      </w:r>
      <w:r w:rsidR="000453BA" w:rsidRPr="007319CD">
        <w:rPr>
          <w:rFonts w:hAnsi="標楷體"/>
        </w:rPr>
        <w:t>繼承制度或九品中正制度</w:t>
      </w:r>
      <w:r w:rsidR="005A55C8" w:rsidRPr="007319CD">
        <w:rPr>
          <w:rFonts w:hAnsi="標楷體" w:hint="eastAsia"/>
        </w:rPr>
        <w:t>。</w:t>
      </w:r>
      <w:r w:rsidR="000453BA" w:rsidRPr="007319CD">
        <w:rPr>
          <w:rFonts w:hAnsi="標楷體"/>
        </w:rPr>
        <w:t>人民僅需經過公開競爭考試、錄用，即得擔任</w:t>
      </w:r>
      <w:r w:rsidRPr="007319CD">
        <w:rPr>
          <w:rFonts w:hAnsi="標楷體"/>
        </w:rPr>
        <w:t>受功績管轄之職業文官，不</w:t>
      </w:r>
      <w:r w:rsidR="005A55C8" w:rsidRPr="007319CD">
        <w:rPr>
          <w:rFonts w:hAnsi="標楷體" w:hint="eastAsia"/>
        </w:rPr>
        <w:t>應</w:t>
      </w:r>
      <w:r w:rsidRPr="007319CD">
        <w:rPr>
          <w:rFonts w:hAnsi="標楷體"/>
        </w:rPr>
        <w:t>受政府更迭影響，而減損整體文官制度之保障，</w:t>
      </w:r>
      <w:proofErr w:type="gramStart"/>
      <w:r w:rsidRPr="007319CD">
        <w:rPr>
          <w:rFonts w:hAnsi="標楷體"/>
        </w:rPr>
        <w:t>從而，</w:t>
      </w:r>
      <w:proofErr w:type="gramEnd"/>
      <w:r w:rsidRPr="007319CD">
        <w:rPr>
          <w:rFonts w:hAnsi="標楷體"/>
        </w:rPr>
        <w:t>公務員終身</w:t>
      </w:r>
      <w:r w:rsidR="000453BA" w:rsidRPr="007319CD">
        <w:rPr>
          <w:rFonts w:hAnsi="標楷體"/>
        </w:rPr>
        <w:t>僱用</w:t>
      </w:r>
      <w:r w:rsidRPr="007319CD">
        <w:rPr>
          <w:rFonts w:hAnsi="標楷體"/>
        </w:rPr>
        <w:t>（終身職）保障之目的，亦係期待公務員執行公務，在政治保持中立，基於全體國民意志，確保其依法行政，</w:t>
      </w:r>
      <w:r w:rsidR="005A55C8" w:rsidRPr="007319CD">
        <w:rPr>
          <w:rFonts w:hAnsi="標楷體" w:hint="eastAsia"/>
        </w:rPr>
        <w:t>並</w:t>
      </w:r>
      <w:r w:rsidRPr="007319CD">
        <w:rPr>
          <w:rFonts w:hAnsi="標楷體"/>
        </w:rPr>
        <w:t>非屈從於政</w:t>
      </w:r>
      <w:r w:rsidR="004443E6" w:rsidRPr="007319CD">
        <w:rPr>
          <w:rFonts w:hAnsi="標楷體"/>
        </w:rPr>
        <w:t>黨或長官違法命令，</w:t>
      </w:r>
      <w:r w:rsidR="005A55C8" w:rsidRPr="007319CD">
        <w:rPr>
          <w:rFonts w:hAnsi="標楷體" w:hint="eastAsia"/>
        </w:rPr>
        <w:t>而與政務官產生權力制衡關係，因此即與</w:t>
      </w:r>
      <w:r w:rsidR="004443E6" w:rsidRPr="007319CD">
        <w:rPr>
          <w:rFonts w:hAnsi="標楷體"/>
        </w:rPr>
        <w:t>一般</w:t>
      </w:r>
      <w:proofErr w:type="gramStart"/>
      <w:r w:rsidR="00C74E5E" w:rsidRPr="007319CD">
        <w:rPr>
          <w:rFonts w:hAnsi="標楷體"/>
        </w:rPr>
        <w:t>僱</w:t>
      </w:r>
      <w:r w:rsidR="004443E6" w:rsidRPr="007319CD">
        <w:rPr>
          <w:rFonts w:hAnsi="標楷體"/>
        </w:rPr>
        <w:t>傭</w:t>
      </w:r>
      <w:proofErr w:type="gramEnd"/>
      <w:r w:rsidR="004443E6" w:rsidRPr="007319CD">
        <w:rPr>
          <w:rFonts w:hAnsi="標楷體"/>
        </w:rPr>
        <w:t>關係服務於資本家</w:t>
      </w:r>
      <w:r w:rsidR="005A55C8" w:rsidRPr="007319CD">
        <w:rPr>
          <w:rFonts w:hAnsi="標楷體" w:hint="eastAsia"/>
        </w:rPr>
        <w:t>並不相同</w:t>
      </w:r>
      <w:r w:rsidRPr="007319CD">
        <w:rPr>
          <w:rFonts w:hAnsi="標楷體"/>
        </w:rPr>
        <w:t>；</w:t>
      </w:r>
      <w:r w:rsidR="005A55C8" w:rsidRPr="007319CD">
        <w:rPr>
          <w:rFonts w:hAnsi="標楷體" w:hint="eastAsia"/>
        </w:rPr>
        <w:t>另就</w:t>
      </w:r>
      <w:r w:rsidRPr="007319CD">
        <w:rPr>
          <w:rFonts w:hAnsi="標楷體"/>
        </w:rPr>
        <w:t>全體國民（使用者）而論，公務員提供勞動力服務國家藉以獲取俸給、退休金以滿足一身生存之所需，對國家自亦負有極度忠誠義務，此即「權利之所在</w:t>
      </w:r>
      <w:r w:rsidR="000453BA" w:rsidRPr="007319CD">
        <w:rPr>
          <w:rFonts w:hAnsi="標楷體"/>
        </w:rPr>
        <w:t>，</w:t>
      </w:r>
      <w:r w:rsidRPr="007319CD">
        <w:rPr>
          <w:rFonts w:hAnsi="標楷體"/>
        </w:rPr>
        <w:t>義務之所在」之法理，從而公務員勤務關係，早期見解</w:t>
      </w:r>
      <w:r w:rsidR="005A55C8" w:rsidRPr="007319CD">
        <w:rPr>
          <w:rFonts w:hAnsi="標楷體" w:hint="eastAsia"/>
        </w:rPr>
        <w:t>雖</w:t>
      </w:r>
      <w:proofErr w:type="gramStart"/>
      <w:r w:rsidRPr="007319CD">
        <w:rPr>
          <w:rFonts w:hAnsi="標楷體"/>
        </w:rPr>
        <w:t>採</w:t>
      </w:r>
      <w:proofErr w:type="gramEnd"/>
      <w:r w:rsidR="005A55C8" w:rsidRPr="007319CD">
        <w:rPr>
          <w:rFonts w:hAnsi="標楷體" w:hint="eastAsia"/>
        </w:rPr>
        <w:t>「</w:t>
      </w:r>
      <w:r w:rsidRPr="007319CD">
        <w:rPr>
          <w:rFonts w:hAnsi="標楷體"/>
        </w:rPr>
        <w:t>特別權力關係</w:t>
      </w:r>
      <w:r w:rsidR="005A55C8" w:rsidRPr="007319CD">
        <w:rPr>
          <w:rFonts w:hAnsi="標楷體" w:hint="eastAsia"/>
        </w:rPr>
        <w:t>」</w:t>
      </w:r>
      <w:r w:rsidRPr="007319CD">
        <w:rPr>
          <w:rFonts w:hAnsi="標楷體"/>
        </w:rPr>
        <w:t>係行政主體與特定人民基於特別之法律上原因（無論係法律之強制規定，或係經相對人民之任意同意等），為達成公法上之特定任務，而於必要</w:t>
      </w:r>
      <w:proofErr w:type="gramStart"/>
      <w:r w:rsidRPr="007319CD">
        <w:rPr>
          <w:rFonts w:hAnsi="標楷體"/>
        </w:rPr>
        <w:t>規</w:t>
      </w:r>
      <w:proofErr w:type="gramEnd"/>
      <w:r w:rsidRPr="007319CD">
        <w:rPr>
          <w:rFonts w:hAnsi="標楷體"/>
        </w:rPr>
        <w:t>制之範圍內，由行政主體取得支配相對人民之權能，並令相對人民負有服從之法律關係</w:t>
      </w:r>
      <w:r w:rsidR="005A55C8" w:rsidRPr="007319CD">
        <w:rPr>
          <w:rFonts w:hAnsi="標楷體" w:hint="eastAsia"/>
        </w:rPr>
        <w:t>，惟此見解早已改變為「特別法律關係」，如</w:t>
      </w:r>
      <w:r w:rsidRPr="007319CD">
        <w:rPr>
          <w:rFonts w:hAnsi="標楷體"/>
        </w:rPr>
        <w:t>翁岳生於「行政法與現代法治國家」一書中指出，凡行政主體對「公務員個人法律地位」之行為，如任命、轉任、升等、免職等處置，係以直接發生公務員與行政主體間之法律關係為其目的，已屬於二者之間之「法律行為」，並具有「行政處分」性質，本質上既係「外部行為」，自應視為與一般權力關係（一般法律關係、一般統治關係）所為相同之行為，仍宜</w:t>
      </w:r>
      <w:r w:rsidR="004443E6" w:rsidRPr="007319CD">
        <w:rPr>
          <w:rFonts w:hAnsi="標楷體"/>
        </w:rPr>
        <w:t>有一般公法上原理原則之適用，如得提起訴願、行政訴訟以資救濟。是則，</w:t>
      </w:r>
      <w:r w:rsidRPr="007319CD">
        <w:rPr>
          <w:rFonts w:hAnsi="標楷體"/>
        </w:rPr>
        <w:lastRenderedPageBreak/>
        <w:t>公務員</w:t>
      </w:r>
      <w:r w:rsidR="004443E6" w:rsidRPr="007319CD">
        <w:rPr>
          <w:rFonts w:hAnsi="標楷體"/>
        </w:rPr>
        <w:t>上開</w:t>
      </w:r>
      <w:r w:rsidRPr="007319CD">
        <w:rPr>
          <w:rFonts w:hAnsi="標楷體"/>
        </w:rPr>
        <w:t>個人法律地位</w:t>
      </w:r>
      <w:r w:rsidR="004443E6" w:rsidRPr="007319CD">
        <w:rPr>
          <w:rFonts w:hAnsi="標楷體"/>
        </w:rPr>
        <w:t>受到國家特別法律關係之限制</w:t>
      </w:r>
      <w:r w:rsidR="000453BA" w:rsidRPr="007319CD">
        <w:rPr>
          <w:rFonts w:hAnsi="標楷體"/>
        </w:rPr>
        <w:t>，</w:t>
      </w:r>
      <w:r w:rsidR="004443E6" w:rsidRPr="007319CD">
        <w:rPr>
          <w:rFonts w:hAnsi="標楷體"/>
        </w:rPr>
        <w:t>當</w:t>
      </w:r>
      <w:r w:rsidRPr="007319CD">
        <w:rPr>
          <w:rFonts w:hAnsi="標楷體"/>
        </w:rPr>
        <w:t>係從任用關係開始。</w:t>
      </w:r>
    </w:p>
    <w:p w:rsidR="00936FED" w:rsidRPr="007319CD" w:rsidRDefault="00707A26" w:rsidP="00DB1C16">
      <w:pPr>
        <w:pStyle w:val="4"/>
        <w:rPr>
          <w:rFonts w:hAnsi="標楷體"/>
        </w:rPr>
      </w:pPr>
      <w:r w:rsidRPr="007319CD">
        <w:rPr>
          <w:rFonts w:hAnsi="標楷體"/>
        </w:rPr>
        <w:t>公務員與國家之關係，在公法上固有</w:t>
      </w:r>
      <w:r w:rsidR="00C74E5E" w:rsidRPr="007319CD">
        <w:rPr>
          <w:rFonts w:hAnsi="標楷體"/>
        </w:rPr>
        <w:t>（</w:t>
      </w:r>
      <w:r w:rsidRPr="007319CD">
        <w:rPr>
          <w:rFonts w:hAnsi="標楷體"/>
        </w:rPr>
        <w:t>1</w:t>
      </w:r>
      <w:r w:rsidR="00C74E5E" w:rsidRPr="007319CD">
        <w:rPr>
          <w:rFonts w:hAnsi="標楷體"/>
        </w:rPr>
        <w:t>）</w:t>
      </w:r>
      <w:r w:rsidRPr="007319CD">
        <w:rPr>
          <w:rFonts w:hAnsi="標楷體"/>
        </w:rPr>
        <w:t>特別權力關係</w:t>
      </w:r>
      <w:r w:rsidRPr="007319CD">
        <w:rPr>
          <w:rFonts w:hAnsi="標楷體"/>
          <w:vertAlign w:val="superscript"/>
        </w:rPr>
        <w:footnoteReference w:id="3"/>
      </w:r>
      <w:r w:rsidR="00C74E5E" w:rsidRPr="007319CD">
        <w:rPr>
          <w:rFonts w:hAnsi="標楷體"/>
        </w:rPr>
        <w:t>、（</w:t>
      </w:r>
      <w:r w:rsidRPr="007319CD">
        <w:rPr>
          <w:rFonts w:hAnsi="標楷體"/>
        </w:rPr>
        <w:t>2</w:t>
      </w:r>
      <w:r w:rsidR="00C74E5E" w:rsidRPr="007319CD">
        <w:rPr>
          <w:rFonts w:hAnsi="標楷體"/>
        </w:rPr>
        <w:t>）</w:t>
      </w:r>
      <w:r w:rsidRPr="007319CD">
        <w:rPr>
          <w:rFonts w:hAnsi="標楷體"/>
        </w:rPr>
        <w:t>公法勤務關係</w:t>
      </w:r>
      <w:r w:rsidRPr="007319CD">
        <w:rPr>
          <w:rFonts w:hAnsi="標楷體"/>
          <w:vertAlign w:val="superscript"/>
        </w:rPr>
        <w:footnoteReference w:id="4"/>
      </w:r>
      <w:r w:rsidRPr="007319CD">
        <w:rPr>
          <w:rFonts w:hAnsi="標楷體"/>
        </w:rPr>
        <w:t>與</w:t>
      </w:r>
      <w:r w:rsidR="00C74E5E" w:rsidRPr="007319CD">
        <w:rPr>
          <w:rFonts w:hAnsi="標楷體"/>
        </w:rPr>
        <w:t>（3）</w:t>
      </w:r>
      <w:r w:rsidRPr="007319CD">
        <w:rPr>
          <w:rFonts w:hAnsi="標楷體"/>
        </w:rPr>
        <w:t>勞動關係</w:t>
      </w:r>
      <w:r w:rsidRPr="007319CD">
        <w:rPr>
          <w:rFonts w:hAnsi="標楷體"/>
          <w:vertAlign w:val="superscript"/>
        </w:rPr>
        <w:footnoteReference w:id="5"/>
      </w:r>
      <w:proofErr w:type="gramStart"/>
      <w:r w:rsidRPr="007319CD">
        <w:rPr>
          <w:rFonts w:hAnsi="標楷體"/>
        </w:rPr>
        <w:t>說等學說</w:t>
      </w:r>
      <w:proofErr w:type="gramEnd"/>
      <w:r w:rsidRPr="007319CD">
        <w:rPr>
          <w:rFonts w:hAnsi="標楷體"/>
        </w:rPr>
        <w:t>區別</w:t>
      </w:r>
      <w:r w:rsidR="005A55C8" w:rsidRPr="007319CD">
        <w:rPr>
          <w:rFonts w:hAnsi="標楷體" w:hint="eastAsia"/>
        </w:rPr>
        <w:t>；</w:t>
      </w:r>
      <w:r w:rsidRPr="007319CD">
        <w:rPr>
          <w:rFonts w:hAnsi="標楷體"/>
        </w:rPr>
        <w:t>然公務員服務國家，其目的作為公眾服務者，與一般勞動者</w:t>
      </w:r>
      <w:r w:rsidR="005A55C8" w:rsidRPr="007319CD">
        <w:rPr>
          <w:rFonts w:hAnsi="標楷體" w:hint="eastAsia"/>
        </w:rPr>
        <w:t>僅</w:t>
      </w:r>
      <w:r w:rsidRPr="007319CD">
        <w:rPr>
          <w:rFonts w:hAnsi="標楷體"/>
        </w:rPr>
        <w:t>差異在於服務對象之不同，其事物本質仍屬於「勞動」</w:t>
      </w:r>
      <w:r w:rsidR="005A55C8" w:rsidRPr="007319CD">
        <w:rPr>
          <w:rFonts w:hAnsi="標楷體" w:hint="eastAsia"/>
        </w:rPr>
        <w:t>。</w:t>
      </w:r>
      <w:r w:rsidRPr="007319CD">
        <w:rPr>
          <w:rFonts w:hAnsi="標楷體"/>
        </w:rPr>
        <w:t>而勞動是人類社會最重要經濟活動</w:t>
      </w:r>
      <w:proofErr w:type="gramStart"/>
      <w:r w:rsidRPr="007319CD">
        <w:rPr>
          <w:rFonts w:hAnsi="標楷體"/>
        </w:rPr>
        <w:t>—</w:t>
      </w:r>
      <w:proofErr w:type="gramEnd"/>
      <w:r w:rsidRPr="007319CD">
        <w:rPr>
          <w:rFonts w:hAnsi="標楷體"/>
        </w:rPr>
        <w:t>人與自然之間的交換過程，係以人之主體活動作為中介，調整及控制人與自然之間的過程，在控制人與自然間物質相</w:t>
      </w:r>
      <w:r w:rsidR="007A014B" w:rsidRPr="007319CD">
        <w:rPr>
          <w:rFonts w:hAnsi="標楷體"/>
        </w:rPr>
        <w:t>互轉換過程中，人自身作為一種自然力與自然物質相互對立，其目的在</w:t>
      </w:r>
      <w:r w:rsidRPr="007319CD">
        <w:rPr>
          <w:rFonts w:hAnsi="標楷體"/>
        </w:rPr>
        <w:t>自身生活有用的形式上，而占有自然物質，自己也發揮主體自然力-腦力與體力，透過這種運動作用於他身外的自然並改變自然之同時，也改變己身之自然（老化），使蘊藏己身自然潛力發揮（自我實現），並使這種自然力的活動受到本體之控制，在資本主義社會中</w:t>
      </w:r>
      <w:r w:rsidR="000453BA" w:rsidRPr="007319CD">
        <w:rPr>
          <w:rFonts w:hAnsi="標楷體"/>
        </w:rPr>
        <w:t>，</w:t>
      </w:r>
      <w:r w:rsidRPr="007319CD">
        <w:rPr>
          <w:rFonts w:hAnsi="標楷體"/>
        </w:rPr>
        <w:t>一般勞動者是將自己</w:t>
      </w:r>
      <w:r w:rsidR="00C74E5E" w:rsidRPr="007319CD">
        <w:rPr>
          <w:rFonts w:hAnsi="標楷體"/>
        </w:rPr>
        <w:t>的勞動力</w:t>
      </w:r>
      <w:r w:rsidR="00CA543E" w:rsidRPr="007319CD">
        <w:rPr>
          <w:rFonts w:hAnsi="標楷體"/>
        </w:rPr>
        <w:t>提供</w:t>
      </w:r>
      <w:r w:rsidRPr="007319CD">
        <w:rPr>
          <w:rFonts w:hAnsi="標楷體"/>
        </w:rPr>
        <w:t>於商品市場，而公務員則將</w:t>
      </w:r>
      <w:r w:rsidR="00CA543E" w:rsidRPr="007319CD">
        <w:rPr>
          <w:rFonts w:hAnsi="標楷體"/>
        </w:rPr>
        <w:t>提供</w:t>
      </w:r>
      <w:r w:rsidRPr="007319CD">
        <w:rPr>
          <w:rFonts w:hAnsi="標楷體"/>
        </w:rPr>
        <w:t>給國家，</w:t>
      </w:r>
      <w:r w:rsidR="003E3DB5" w:rsidRPr="007319CD">
        <w:rPr>
          <w:rFonts w:hAnsi="標楷體"/>
        </w:rPr>
        <w:t>就此而言</w:t>
      </w:r>
      <w:r w:rsidR="00C74E5E" w:rsidRPr="007319CD">
        <w:rPr>
          <w:rFonts w:hAnsi="標楷體"/>
        </w:rPr>
        <w:t>，</w:t>
      </w:r>
      <w:r w:rsidR="003E3DB5" w:rsidRPr="007319CD">
        <w:rPr>
          <w:rFonts w:hAnsi="標楷體"/>
        </w:rPr>
        <w:t>國家與資本家並無二致</w:t>
      </w:r>
      <w:r w:rsidR="005A55C8" w:rsidRPr="007319CD">
        <w:rPr>
          <w:rFonts w:hAnsi="標楷體" w:hint="eastAsia"/>
        </w:rPr>
        <w:t>。因此</w:t>
      </w:r>
      <w:r w:rsidR="00EA2D1E" w:rsidRPr="007319CD">
        <w:rPr>
          <w:rFonts w:hAnsi="標楷體"/>
        </w:rPr>
        <w:t>，</w:t>
      </w:r>
      <w:r w:rsidR="00936FED" w:rsidRPr="007319CD">
        <w:rPr>
          <w:rFonts w:hAnsi="標楷體"/>
        </w:rPr>
        <w:t>聯合國國際勞工組織（International Labour Organization）於1978年通過第150</w:t>
      </w:r>
      <w:r w:rsidR="004D4363" w:rsidRPr="007319CD">
        <w:rPr>
          <w:rFonts w:hAnsi="標楷體"/>
        </w:rPr>
        <w:t>號</w:t>
      </w:r>
      <w:r w:rsidR="00936FED" w:rsidRPr="007319CD">
        <w:rPr>
          <w:rFonts w:hAnsi="標楷體"/>
        </w:rPr>
        <w:t>公約（勞動行政管理）與第</w:t>
      </w:r>
      <w:r w:rsidR="00936FED" w:rsidRPr="007319CD">
        <w:rPr>
          <w:rFonts w:hAnsi="標楷體"/>
        </w:rPr>
        <w:lastRenderedPageBreak/>
        <w:t>151號公約（勞動關係</w:t>
      </w:r>
      <w:proofErr w:type="gramStart"/>
      <w:r w:rsidR="00D46BEF" w:rsidRPr="007319CD">
        <w:rPr>
          <w:rFonts w:hAnsi="標楷體"/>
        </w:rPr>
        <w:t>﹝</w:t>
      </w:r>
      <w:proofErr w:type="gramEnd"/>
      <w:r w:rsidR="00936FED" w:rsidRPr="007319CD">
        <w:rPr>
          <w:rFonts w:hAnsi="標楷體"/>
        </w:rPr>
        <w:t>公共服務</w:t>
      </w:r>
      <w:proofErr w:type="gramStart"/>
      <w:r w:rsidR="00D46BEF" w:rsidRPr="007319CD">
        <w:rPr>
          <w:rFonts w:hAnsi="標楷體"/>
        </w:rPr>
        <w:t>﹞</w:t>
      </w:r>
      <w:proofErr w:type="gramEnd"/>
      <w:r w:rsidR="00D46BEF" w:rsidRPr="007319CD">
        <w:rPr>
          <w:rFonts w:hAnsi="標楷體"/>
        </w:rPr>
        <w:t>）</w:t>
      </w:r>
      <w:r w:rsidR="00936FED" w:rsidRPr="007319CD">
        <w:rPr>
          <w:rFonts w:hAnsi="標楷體"/>
        </w:rPr>
        <w:t>將公務員納入國際勞工公約的保障</w:t>
      </w:r>
      <w:r w:rsidR="00936FED" w:rsidRPr="007319CD">
        <w:rPr>
          <w:rStyle w:val="aff1"/>
          <w:rFonts w:hAnsi="標楷體"/>
        </w:rPr>
        <w:footnoteReference w:id="6"/>
      </w:r>
      <w:r w:rsidR="00936FED" w:rsidRPr="007319CD">
        <w:rPr>
          <w:rFonts w:hAnsi="標楷體"/>
        </w:rPr>
        <w:t>，</w:t>
      </w:r>
      <w:r w:rsidR="00EA2D1E" w:rsidRPr="007319CD">
        <w:rPr>
          <w:rFonts w:hAnsi="標楷體"/>
        </w:rPr>
        <w:t>適用1948年自由結社與保障組織權公約與1949年組織權與團體協約公約，由此可見，公務員雖受特別法律關係限制，仍屬</w:t>
      </w:r>
      <w:r w:rsidR="000453BA" w:rsidRPr="007319CD">
        <w:rPr>
          <w:rFonts w:hAnsi="標楷體"/>
        </w:rPr>
        <w:t>受</w:t>
      </w:r>
      <w:proofErr w:type="gramStart"/>
      <w:r w:rsidR="000453BA" w:rsidRPr="007319CD">
        <w:rPr>
          <w:rFonts w:hAnsi="標楷體"/>
        </w:rPr>
        <w:t>僱</w:t>
      </w:r>
      <w:proofErr w:type="gramEnd"/>
      <w:r w:rsidR="00EA2D1E" w:rsidRPr="007319CD">
        <w:rPr>
          <w:rFonts w:hAnsi="標楷體"/>
        </w:rPr>
        <w:t>者就其報酬請求權之</w:t>
      </w:r>
      <w:r w:rsidR="004D4363" w:rsidRPr="007319CD">
        <w:rPr>
          <w:rFonts w:hAnsi="標楷體"/>
        </w:rPr>
        <w:t>調整，仍有團體協商之適用，否則仍有違反法律</w:t>
      </w:r>
      <w:proofErr w:type="gramStart"/>
      <w:r w:rsidR="004D4363" w:rsidRPr="007319CD">
        <w:rPr>
          <w:rFonts w:hAnsi="標楷體"/>
        </w:rPr>
        <w:t>不</w:t>
      </w:r>
      <w:proofErr w:type="gramEnd"/>
      <w:r w:rsidR="004D4363" w:rsidRPr="007319CD">
        <w:rPr>
          <w:rFonts w:hAnsi="標楷體"/>
        </w:rPr>
        <w:t>溯既往之疑慮（詳如後述），黑格爾曾說，國家是道德理念的現實</w:t>
      </w:r>
      <w:proofErr w:type="gramStart"/>
      <w:r w:rsidR="004D4363" w:rsidRPr="007319CD">
        <w:rPr>
          <w:rFonts w:hAnsi="標楷體"/>
        </w:rPr>
        <w:t>─</w:t>
      </w:r>
      <w:proofErr w:type="gramEnd"/>
      <w:r w:rsidR="004D4363" w:rsidRPr="007319CD">
        <w:rPr>
          <w:rFonts w:hAnsi="標楷體"/>
        </w:rPr>
        <w:t>即作為顯現可見與明白的實體性意志之道德精神，這道德精神思索自身並知道自身</w:t>
      </w:r>
      <w:r w:rsidR="004D4363" w:rsidRPr="007319CD">
        <w:rPr>
          <w:rFonts w:hAnsi="標楷體"/>
          <w:vertAlign w:val="superscript"/>
        </w:rPr>
        <w:footnoteReference w:id="7"/>
      </w:r>
      <w:r w:rsidR="004D4363" w:rsidRPr="007319CD">
        <w:rPr>
          <w:rFonts w:hAnsi="標楷體"/>
        </w:rPr>
        <w:t>，做為國家的構成員自有義務，探索此「道德精神」。在現代資本主義社會中，文官制度之所以可貴，在於國家作為雇主，不同於資本家剝削勞動者之剩餘價值，而係提供</w:t>
      </w:r>
      <w:r w:rsidR="000453BA" w:rsidRPr="007319CD">
        <w:rPr>
          <w:rFonts w:hAnsi="標楷體"/>
        </w:rPr>
        <w:t>受</w:t>
      </w:r>
      <w:proofErr w:type="gramStart"/>
      <w:r w:rsidR="000453BA" w:rsidRPr="007319CD">
        <w:rPr>
          <w:rFonts w:hAnsi="標楷體"/>
        </w:rPr>
        <w:t>僱</w:t>
      </w:r>
      <w:proofErr w:type="gramEnd"/>
      <w:r w:rsidR="004D4363" w:rsidRPr="007319CD">
        <w:rPr>
          <w:rFonts w:hAnsi="標楷體"/>
        </w:rPr>
        <w:t>者符合中產階級</w:t>
      </w:r>
      <w:r w:rsidR="00076433" w:rsidRPr="007319CD">
        <w:rPr>
          <w:rFonts w:hAnsi="標楷體"/>
        </w:rPr>
        <w:t>身分</w:t>
      </w:r>
      <w:r w:rsidR="004D4363" w:rsidRPr="007319CD">
        <w:rPr>
          <w:rFonts w:hAnsi="標楷體"/>
        </w:rPr>
        <w:t>之報酬，使其無後顧之憂，貢獻心力於國家社會，所以現代民主憲政制度(constitutionalism)與功績制(merit system)獨立的文官制度(civil service)，均根源於公務員制度性保障，從廣大人民選拔適當人才從事公共服務，</w:t>
      </w:r>
      <w:r w:rsidR="00DB1C16" w:rsidRPr="007319CD">
        <w:rPr>
          <w:rFonts w:hAnsi="標楷體"/>
        </w:rPr>
        <w:t>確保依法行政與行政中立，從而</w:t>
      </w:r>
      <w:r w:rsidR="004D4363" w:rsidRPr="007319CD">
        <w:rPr>
          <w:rFonts w:hAnsi="標楷體"/>
        </w:rPr>
        <w:t>憲法第18條規定：「人民有應考試</w:t>
      </w:r>
      <w:r w:rsidR="000453BA" w:rsidRPr="007319CD">
        <w:rPr>
          <w:rFonts w:hAnsi="標楷體"/>
        </w:rPr>
        <w:t>、</w:t>
      </w:r>
      <w:r w:rsidR="004D4363" w:rsidRPr="007319CD">
        <w:rPr>
          <w:rFonts w:hAnsi="標楷體"/>
        </w:rPr>
        <w:t>服公職之權。」亦即不分貧富貴賤，人民參與考試獲得錄取，</w:t>
      </w:r>
      <w:proofErr w:type="gramStart"/>
      <w:r w:rsidR="004D4363" w:rsidRPr="007319CD">
        <w:rPr>
          <w:rFonts w:hAnsi="標楷體"/>
        </w:rPr>
        <w:t>均</w:t>
      </w:r>
      <w:r w:rsidR="004D4363" w:rsidRPr="007319CD">
        <w:rPr>
          <w:rFonts w:hAnsi="標楷體"/>
        </w:rPr>
        <w:lastRenderedPageBreak/>
        <w:t>有平等</w:t>
      </w:r>
      <w:proofErr w:type="gramEnd"/>
      <w:r w:rsidR="004D4363" w:rsidRPr="007319CD">
        <w:rPr>
          <w:rFonts w:hAnsi="標楷體"/>
        </w:rPr>
        <w:t>擔任公務員之權利，</w:t>
      </w:r>
      <w:r w:rsidR="00DB1C16" w:rsidRPr="007319CD">
        <w:rPr>
          <w:rFonts w:hAnsi="標楷體"/>
        </w:rPr>
        <w:t>是故，</w:t>
      </w:r>
      <w:r w:rsidR="004D4363" w:rsidRPr="007319CD">
        <w:rPr>
          <w:rFonts w:hAnsi="標楷體"/>
        </w:rPr>
        <w:t>國家依據</w:t>
      </w:r>
      <w:r w:rsidR="00DB1C16" w:rsidRPr="007319CD">
        <w:rPr>
          <w:rFonts w:hAnsi="標楷體"/>
        </w:rPr>
        <w:t>憲法</w:t>
      </w:r>
      <w:r w:rsidR="004D4363" w:rsidRPr="007319CD">
        <w:rPr>
          <w:rFonts w:hAnsi="標楷體"/>
        </w:rPr>
        <w:t>公務員制度</w:t>
      </w:r>
      <w:r w:rsidR="00DB1C16" w:rsidRPr="007319CD">
        <w:rPr>
          <w:rFonts w:hAnsi="標楷體"/>
        </w:rPr>
        <w:t>性</w:t>
      </w:r>
      <w:r w:rsidR="004D4363" w:rsidRPr="007319CD">
        <w:rPr>
          <w:rFonts w:hAnsi="標楷體"/>
        </w:rPr>
        <w:t>保障</w:t>
      </w:r>
      <w:r w:rsidR="00DB1C16" w:rsidRPr="007319CD">
        <w:rPr>
          <w:rFonts w:hAnsi="標楷體"/>
        </w:rPr>
        <w:t>，必須</w:t>
      </w:r>
      <w:r w:rsidR="004D4363" w:rsidRPr="007319CD">
        <w:rPr>
          <w:rFonts w:hAnsi="標楷體"/>
        </w:rPr>
        <w:t>善盡「照顧義務」（</w:t>
      </w:r>
      <w:r w:rsidR="00DB1C16" w:rsidRPr="007319CD">
        <w:rPr>
          <w:rFonts w:hAnsi="標楷體"/>
        </w:rPr>
        <w:t>此亦為</w:t>
      </w:r>
      <w:r w:rsidR="004D4363" w:rsidRPr="007319CD">
        <w:rPr>
          <w:rFonts w:hAnsi="標楷體"/>
        </w:rPr>
        <w:t>司法院釋字第658號解釋</w:t>
      </w:r>
      <w:r w:rsidR="004D4363" w:rsidRPr="007319CD">
        <w:rPr>
          <w:rStyle w:val="aff1"/>
          <w:rFonts w:hAnsi="標楷體"/>
        </w:rPr>
        <w:footnoteReference w:id="8"/>
      </w:r>
      <w:r w:rsidR="00DB1C16" w:rsidRPr="007319CD">
        <w:rPr>
          <w:rFonts w:hAnsi="標楷體"/>
        </w:rPr>
        <w:t>所肯認</w:t>
      </w:r>
      <w:r w:rsidR="004D4363" w:rsidRPr="007319CD">
        <w:rPr>
          <w:rFonts w:hAnsi="標楷體"/>
        </w:rPr>
        <w:t>），事實上，也是同時在不分貧富貴賤照顧非屬公務員之人民，</w:t>
      </w:r>
      <w:r w:rsidR="00DB1C16" w:rsidRPr="007319CD">
        <w:rPr>
          <w:rFonts w:hAnsi="標楷體"/>
        </w:rPr>
        <w:t>換言之，</w:t>
      </w:r>
      <w:r w:rsidR="004D4363" w:rsidRPr="007319CD">
        <w:rPr>
          <w:rFonts w:hAnsi="標楷體"/>
        </w:rPr>
        <w:t>公務員制度性保障</w:t>
      </w:r>
      <w:r w:rsidR="00DB1C16" w:rsidRPr="007319CD">
        <w:rPr>
          <w:rFonts w:hAnsi="標楷體"/>
        </w:rPr>
        <w:t>在資本主義的社會結構下兼具</w:t>
      </w:r>
      <w:r w:rsidR="004D4363" w:rsidRPr="007319CD">
        <w:rPr>
          <w:rFonts w:hAnsi="標楷體"/>
        </w:rPr>
        <w:t>提供底層人民</w:t>
      </w:r>
      <w:r w:rsidR="00DB1C16" w:rsidRPr="007319CD">
        <w:rPr>
          <w:rFonts w:hAnsi="標楷體"/>
        </w:rPr>
        <w:t>透過考試方式獲取公務員身分機會，使其能向上流動，經濟獨立取得中產階級之身分</w:t>
      </w:r>
      <w:r w:rsidR="004D4363" w:rsidRPr="007319CD">
        <w:rPr>
          <w:rFonts w:hAnsi="標楷體"/>
        </w:rPr>
        <w:t>機會，藉以調和資本制度之殘酷性，以避免資本主義的現代社會</w:t>
      </w:r>
      <w:r w:rsidR="004D4363" w:rsidRPr="007319CD">
        <w:rPr>
          <w:rFonts w:hAnsi="標楷體"/>
          <w:vertAlign w:val="superscript"/>
        </w:rPr>
        <w:footnoteReference w:id="9"/>
      </w:r>
      <w:r w:rsidR="004D4363" w:rsidRPr="007319CD">
        <w:rPr>
          <w:rFonts w:hAnsi="標楷體"/>
        </w:rPr>
        <w:t>崩解。</w:t>
      </w:r>
    </w:p>
    <w:p w:rsidR="00075158" w:rsidRPr="007319CD" w:rsidRDefault="009315F3" w:rsidP="00DA4FB3">
      <w:pPr>
        <w:pStyle w:val="3"/>
        <w:rPr>
          <w:rFonts w:hAnsi="標楷體"/>
        </w:rPr>
      </w:pPr>
      <w:r w:rsidRPr="007319CD">
        <w:rPr>
          <w:rFonts w:hAnsi="標楷體"/>
          <w:b/>
        </w:rPr>
        <w:t>公務人員退撫法（新法）</w:t>
      </w:r>
      <w:r w:rsidR="00075158" w:rsidRPr="007319CD">
        <w:rPr>
          <w:rFonts w:hAnsi="標楷體"/>
          <w:b/>
        </w:rPr>
        <w:t>第31條規定改變請領資格，延後月</w:t>
      </w:r>
      <w:proofErr w:type="gramStart"/>
      <w:r w:rsidR="00075158" w:rsidRPr="007319CD">
        <w:rPr>
          <w:rFonts w:hAnsi="標楷體"/>
          <w:b/>
        </w:rPr>
        <w:t>退休金起支年齡</w:t>
      </w:r>
      <w:proofErr w:type="gramEnd"/>
      <w:r w:rsidR="00075158" w:rsidRPr="007319CD">
        <w:rPr>
          <w:rFonts w:hAnsi="標楷體"/>
          <w:b/>
        </w:rPr>
        <w:t>、第27條調整退休金計算基準、第4條第4款及第37條至第39條規定調降退休所得、第34條取消年資補償金、第45條規定調整月撫慰金制度、第92條規定</w:t>
      </w:r>
      <w:r w:rsidR="00DA4D6C" w:rsidRPr="007319CD">
        <w:rPr>
          <w:rFonts w:hAnsi="標楷體"/>
          <w:b/>
        </w:rPr>
        <w:t>年金制度定期檢討機制</w:t>
      </w:r>
      <w:r w:rsidR="00075158" w:rsidRPr="007319CD">
        <w:rPr>
          <w:rFonts w:hAnsi="標楷體"/>
          <w:b/>
        </w:rPr>
        <w:t>，使退休給付債權永成不確定狀態；另</w:t>
      </w:r>
      <w:r w:rsidR="00914E2B" w:rsidRPr="007319CD">
        <w:rPr>
          <w:rFonts w:hAnsi="標楷體"/>
          <w:b/>
        </w:rPr>
        <w:t>公立學校教職員退撫條例</w:t>
      </w:r>
      <w:r w:rsidR="00C74E5E" w:rsidRPr="007319CD">
        <w:rPr>
          <w:rFonts w:hAnsi="標楷體"/>
          <w:b/>
        </w:rPr>
        <w:t>（新法）</w:t>
      </w:r>
      <w:r w:rsidR="00075158" w:rsidRPr="007319CD">
        <w:rPr>
          <w:rFonts w:hAnsi="標楷體"/>
          <w:b/>
        </w:rPr>
        <w:t>第32條規定改變請領資格，延後月</w:t>
      </w:r>
      <w:proofErr w:type="gramStart"/>
      <w:r w:rsidR="00075158" w:rsidRPr="007319CD">
        <w:rPr>
          <w:rFonts w:hAnsi="標楷體"/>
          <w:b/>
        </w:rPr>
        <w:t>退休金起支年齡</w:t>
      </w:r>
      <w:proofErr w:type="gramEnd"/>
      <w:r w:rsidR="00075158" w:rsidRPr="007319CD">
        <w:rPr>
          <w:rFonts w:hAnsi="標楷體"/>
          <w:b/>
        </w:rPr>
        <w:t>、第28條調整退休金計算基準、第4條第4款及第37條至第39條規定調降退休所得、第34條取消年資補償金、第45條規定調整月撫慰金制度、第97條規定</w:t>
      </w:r>
      <w:r w:rsidR="00DA4D6C" w:rsidRPr="007319CD">
        <w:rPr>
          <w:rFonts w:hAnsi="標楷體"/>
          <w:b/>
        </w:rPr>
        <w:t>年金制度定期檢討機制</w:t>
      </w:r>
      <w:r w:rsidR="00075158" w:rsidRPr="007319CD">
        <w:rPr>
          <w:rFonts w:hAnsi="標楷體"/>
          <w:b/>
        </w:rPr>
        <w:t>，使退休給付債權永成不確定狀態。</w:t>
      </w:r>
    </w:p>
    <w:p w:rsidR="00707A26" w:rsidRPr="007319CD" w:rsidRDefault="009315F3" w:rsidP="004D2741">
      <w:pPr>
        <w:pStyle w:val="4"/>
        <w:rPr>
          <w:rFonts w:hAnsi="標楷體"/>
          <w:szCs w:val="20"/>
        </w:rPr>
      </w:pPr>
      <w:r w:rsidRPr="007319CD">
        <w:rPr>
          <w:rFonts w:hAnsi="標楷體"/>
          <w:b/>
        </w:rPr>
        <w:t>公務人員退撫法（新法）</w:t>
      </w:r>
      <w:r w:rsidR="00707A26" w:rsidRPr="007319CD">
        <w:rPr>
          <w:rFonts w:hAnsi="標楷體"/>
          <w:b/>
        </w:rPr>
        <w:t>第31條</w:t>
      </w:r>
      <w:r w:rsidR="00075158" w:rsidRPr="007319CD">
        <w:rPr>
          <w:rFonts w:hAnsi="標楷體"/>
          <w:b/>
        </w:rPr>
        <w:t>、</w:t>
      </w:r>
      <w:r w:rsidR="00914E2B" w:rsidRPr="007319CD">
        <w:rPr>
          <w:rFonts w:hAnsi="標楷體"/>
          <w:b/>
        </w:rPr>
        <w:t>公立學校教職</w:t>
      </w:r>
      <w:r w:rsidR="00914E2B" w:rsidRPr="007319CD">
        <w:rPr>
          <w:rFonts w:hAnsi="標楷體"/>
          <w:b/>
        </w:rPr>
        <w:lastRenderedPageBreak/>
        <w:t>員退撫條例</w:t>
      </w:r>
      <w:r w:rsidR="00C74E5E" w:rsidRPr="007319CD">
        <w:rPr>
          <w:rFonts w:hAnsi="標楷體"/>
          <w:b/>
        </w:rPr>
        <w:t>（新法）</w:t>
      </w:r>
      <w:r w:rsidR="00075158" w:rsidRPr="007319CD">
        <w:rPr>
          <w:rFonts w:hAnsi="標楷體"/>
          <w:b/>
        </w:rPr>
        <w:t>第32條</w:t>
      </w:r>
      <w:r w:rsidR="00707A26" w:rsidRPr="007319CD">
        <w:rPr>
          <w:rFonts w:hAnsi="標楷體"/>
          <w:b/>
        </w:rPr>
        <w:t>規定改變請領資格，延後月</w:t>
      </w:r>
      <w:proofErr w:type="gramStart"/>
      <w:r w:rsidR="00707A26" w:rsidRPr="007319CD">
        <w:rPr>
          <w:rFonts w:hAnsi="標楷體"/>
          <w:b/>
        </w:rPr>
        <w:t>退休金起支年齡</w:t>
      </w:r>
      <w:proofErr w:type="gramEnd"/>
    </w:p>
    <w:p w:rsidR="00707A26" w:rsidRPr="007319CD" w:rsidRDefault="00075158" w:rsidP="004D2741">
      <w:pPr>
        <w:pStyle w:val="42"/>
        <w:ind w:left="1701" w:firstLine="680"/>
        <w:rPr>
          <w:rFonts w:hAnsi="標楷體"/>
        </w:rPr>
      </w:pPr>
      <w:r w:rsidRPr="007319CD">
        <w:rPr>
          <w:rFonts w:hAnsi="標楷體"/>
        </w:rPr>
        <w:t>公務人員退休法（舊法）</w:t>
      </w:r>
      <w:r w:rsidR="00707A26" w:rsidRPr="007319CD">
        <w:rPr>
          <w:rFonts w:hAnsi="標楷體"/>
        </w:rPr>
        <w:t>第11條第1項</w:t>
      </w:r>
      <w:r w:rsidR="00707A26" w:rsidRPr="007319CD">
        <w:rPr>
          <w:rFonts w:hAnsi="標楷體"/>
          <w:vertAlign w:val="superscript"/>
        </w:rPr>
        <w:footnoteReference w:id="10"/>
      </w:r>
      <w:r w:rsidR="00707A26" w:rsidRPr="007319CD">
        <w:rPr>
          <w:rFonts w:hAnsi="標楷體"/>
        </w:rPr>
        <w:t>規定，任職年資滿</w:t>
      </w:r>
      <w:r w:rsidR="00233211" w:rsidRPr="007319CD">
        <w:rPr>
          <w:rFonts w:hAnsi="標楷體"/>
        </w:rPr>
        <w:t>30</w:t>
      </w:r>
      <w:r w:rsidR="00707A26" w:rsidRPr="007319CD">
        <w:rPr>
          <w:rFonts w:hAnsi="標楷體"/>
        </w:rPr>
        <w:t>年以上且年滿</w:t>
      </w:r>
      <w:r w:rsidR="00233211" w:rsidRPr="007319CD">
        <w:rPr>
          <w:rFonts w:hAnsi="標楷體"/>
        </w:rPr>
        <w:t>55</w:t>
      </w:r>
      <w:r w:rsidR="00707A26" w:rsidRPr="007319CD">
        <w:rPr>
          <w:rFonts w:hAnsi="標楷體"/>
        </w:rPr>
        <w:t>歲，即可請領月退休金，而</w:t>
      </w:r>
      <w:r w:rsidR="00ED6DB4" w:rsidRPr="007319CD">
        <w:rPr>
          <w:rFonts w:hAnsi="標楷體"/>
        </w:rPr>
        <w:t>公務人員退撫法（新法）</w:t>
      </w:r>
      <w:r w:rsidR="00707A26" w:rsidRPr="007319CD">
        <w:rPr>
          <w:rFonts w:hAnsi="標楷體"/>
        </w:rPr>
        <w:t>第31條第1項</w:t>
      </w:r>
      <w:r w:rsidR="00707A26" w:rsidRPr="007319CD">
        <w:rPr>
          <w:rFonts w:hAnsi="標楷體"/>
          <w:vertAlign w:val="superscript"/>
        </w:rPr>
        <w:footnoteReference w:id="11"/>
      </w:r>
      <w:r w:rsidR="00707A26" w:rsidRPr="007319CD">
        <w:rPr>
          <w:rFonts w:hAnsi="標楷體"/>
        </w:rPr>
        <w:t>規定，則為110年退休者，</w:t>
      </w:r>
      <w:proofErr w:type="gramStart"/>
      <w:r w:rsidR="00707A26" w:rsidRPr="007319CD">
        <w:rPr>
          <w:rFonts w:hAnsi="標楷體"/>
        </w:rPr>
        <w:t>應年滿</w:t>
      </w:r>
      <w:proofErr w:type="gramEnd"/>
      <w:r w:rsidR="00707A26" w:rsidRPr="007319CD">
        <w:rPr>
          <w:rFonts w:hAnsi="標楷體"/>
        </w:rPr>
        <w:t>60歲</w:t>
      </w:r>
      <w:r w:rsidR="00670302" w:rsidRPr="007319CD">
        <w:rPr>
          <w:rFonts w:hAnsi="標楷體"/>
        </w:rPr>
        <w:t>，</w:t>
      </w:r>
      <w:r w:rsidR="00707A26" w:rsidRPr="007319CD">
        <w:rPr>
          <w:rFonts w:hAnsi="標楷體"/>
        </w:rPr>
        <w:t>至115年以後一律為65歲</w:t>
      </w:r>
      <w:r w:rsidR="0015359A" w:rsidRPr="007319CD">
        <w:rPr>
          <w:rFonts w:hAnsi="標楷體" w:hint="eastAsia"/>
        </w:rPr>
        <w:t>，</w:t>
      </w:r>
      <w:r w:rsidR="0015359A" w:rsidRPr="007319CD">
        <w:rPr>
          <w:rFonts w:hAnsi="標楷體"/>
        </w:rPr>
        <w:t>中間設所謂過渡期</w:t>
      </w:r>
      <w:r w:rsidR="0015359A" w:rsidRPr="007319CD">
        <w:rPr>
          <w:rFonts w:hAnsi="標楷體"/>
          <w:vertAlign w:val="superscript"/>
        </w:rPr>
        <w:footnoteReference w:id="12"/>
      </w:r>
      <w:r w:rsidR="00707A26" w:rsidRPr="007319CD">
        <w:rPr>
          <w:rFonts w:hAnsi="標楷體"/>
        </w:rPr>
        <w:t>。</w:t>
      </w:r>
    </w:p>
    <w:p w:rsidR="00075158" w:rsidRPr="007319CD" w:rsidRDefault="00075158" w:rsidP="004D2741">
      <w:pPr>
        <w:pStyle w:val="42"/>
        <w:ind w:left="1701" w:firstLine="680"/>
        <w:rPr>
          <w:rFonts w:hAnsi="標楷體"/>
        </w:rPr>
      </w:pPr>
      <w:r w:rsidRPr="007319CD">
        <w:rPr>
          <w:rFonts w:hAnsi="標楷體"/>
        </w:rPr>
        <w:t>學校教職員退休條例（舊法）第</w:t>
      </w:r>
      <w:r w:rsidR="000D2A45" w:rsidRPr="007319CD">
        <w:rPr>
          <w:rFonts w:hAnsi="標楷體"/>
        </w:rPr>
        <w:t>3</w:t>
      </w:r>
      <w:r w:rsidRPr="007319CD">
        <w:rPr>
          <w:rFonts w:hAnsi="標楷體"/>
        </w:rPr>
        <w:t>條</w:t>
      </w:r>
      <w:r w:rsidR="000D2A45" w:rsidRPr="007319CD">
        <w:rPr>
          <w:rFonts w:hAnsi="標楷體"/>
        </w:rPr>
        <w:t>、</w:t>
      </w:r>
      <w:r w:rsidRPr="007319CD">
        <w:rPr>
          <w:rFonts w:hAnsi="標楷體"/>
        </w:rPr>
        <w:t>第</w:t>
      </w:r>
      <w:r w:rsidR="000D2A45" w:rsidRPr="007319CD">
        <w:rPr>
          <w:rFonts w:hAnsi="標楷體"/>
        </w:rPr>
        <w:t>5條</w:t>
      </w:r>
      <w:r w:rsidRPr="007319CD">
        <w:rPr>
          <w:rFonts w:hAnsi="標楷體"/>
        </w:rPr>
        <w:t>規定</w:t>
      </w:r>
      <w:r w:rsidR="000D2A45" w:rsidRPr="007319CD">
        <w:rPr>
          <w:rFonts w:hAnsi="標楷體"/>
        </w:rPr>
        <w:t>，任職滿15年以上且年滿60歲，任職滿25年且年滿50歲</w:t>
      </w:r>
      <w:r w:rsidR="00ED6DB4" w:rsidRPr="007319CD">
        <w:rPr>
          <w:rFonts w:hAnsi="標楷體"/>
        </w:rPr>
        <w:t>，</w:t>
      </w:r>
      <w:r w:rsidR="00914E2B" w:rsidRPr="007319CD">
        <w:rPr>
          <w:rFonts w:hAnsi="標楷體"/>
        </w:rPr>
        <w:t>公立學校教職員退撫條例</w:t>
      </w:r>
      <w:r w:rsidR="00ED6DB4" w:rsidRPr="007319CD">
        <w:rPr>
          <w:rFonts w:hAnsi="標楷體"/>
        </w:rPr>
        <w:t>（新法）第32條</w:t>
      </w:r>
      <w:r w:rsidR="00645E52" w:rsidRPr="007319CD">
        <w:rPr>
          <w:rFonts w:hAnsi="標楷體"/>
        </w:rPr>
        <w:t>第1項</w:t>
      </w:r>
      <w:r w:rsidR="000D2A45" w:rsidRPr="007319CD">
        <w:rPr>
          <w:rStyle w:val="aff1"/>
          <w:rFonts w:hAnsi="標楷體"/>
        </w:rPr>
        <w:footnoteReference w:id="13"/>
      </w:r>
      <w:r w:rsidR="000D2A45" w:rsidRPr="007319CD">
        <w:rPr>
          <w:rFonts w:hAnsi="標楷體"/>
        </w:rPr>
        <w:t>規定</w:t>
      </w:r>
      <w:r w:rsidR="00645E52" w:rsidRPr="007319CD">
        <w:rPr>
          <w:rFonts w:hAnsi="標楷體"/>
        </w:rPr>
        <w:t>，高級中等以下學校校長及教師月</w:t>
      </w:r>
      <w:proofErr w:type="gramStart"/>
      <w:r w:rsidR="00645E52" w:rsidRPr="007319CD">
        <w:rPr>
          <w:rFonts w:hAnsi="標楷體"/>
        </w:rPr>
        <w:t>退休金起支年齡</w:t>
      </w:r>
      <w:proofErr w:type="gramEnd"/>
      <w:r w:rsidR="00645E52" w:rsidRPr="007319CD">
        <w:rPr>
          <w:rFonts w:hAnsi="標楷體"/>
        </w:rPr>
        <w:t>為58歲</w:t>
      </w:r>
      <w:r w:rsidR="0015359A" w:rsidRPr="007319CD">
        <w:rPr>
          <w:rFonts w:hAnsi="標楷體" w:hint="eastAsia"/>
        </w:rPr>
        <w:t>，</w:t>
      </w:r>
      <w:r w:rsidR="00645E52" w:rsidRPr="007319CD">
        <w:rPr>
          <w:rFonts w:hAnsi="標楷體"/>
        </w:rPr>
        <w:t>其餘教職員自115年起，每年提高1歲至65歲。</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第27條</w:t>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第28條</w:t>
      </w:r>
      <w:r w:rsidR="00707A26" w:rsidRPr="007319CD">
        <w:rPr>
          <w:rFonts w:hAnsi="標楷體"/>
          <w:b/>
        </w:rPr>
        <w:t>規定</w:t>
      </w:r>
      <w:r w:rsidR="00707A26" w:rsidRPr="007319CD">
        <w:rPr>
          <w:rFonts w:hAnsi="標楷體"/>
          <w:b/>
        </w:rPr>
        <w:tab/>
        <w:t>調整退休金計算基準</w:t>
      </w:r>
    </w:p>
    <w:p w:rsidR="00707A26" w:rsidRPr="007319CD" w:rsidRDefault="00233211" w:rsidP="004D2741">
      <w:pPr>
        <w:pStyle w:val="42"/>
        <w:ind w:left="1701" w:firstLine="680"/>
        <w:rPr>
          <w:rFonts w:hAnsi="標楷體"/>
        </w:rPr>
      </w:pPr>
      <w:r w:rsidRPr="007319CD">
        <w:rPr>
          <w:rFonts w:hAnsi="標楷體"/>
        </w:rPr>
        <w:lastRenderedPageBreak/>
        <w:t>公務人員退休法（舊法）</w:t>
      </w:r>
      <w:r w:rsidR="00707A26" w:rsidRPr="007319CD">
        <w:rPr>
          <w:rFonts w:hAnsi="標楷體"/>
        </w:rPr>
        <w:t>第31條第4項第1、2款規定</w:t>
      </w:r>
      <w:r w:rsidR="00707A26" w:rsidRPr="007319CD">
        <w:rPr>
          <w:rFonts w:hAnsi="標楷體"/>
          <w:vertAlign w:val="superscript"/>
        </w:rPr>
        <w:footnoteReference w:id="14"/>
      </w:r>
      <w:r w:rsidR="00707A26" w:rsidRPr="007319CD">
        <w:rPr>
          <w:rFonts w:hAnsi="標楷體"/>
        </w:rPr>
        <w:t>以「退休生效日在職同等級人員本（年功）</w:t>
      </w:r>
      <w:proofErr w:type="gramStart"/>
      <w:r w:rsidR="00707A26" w:rsidRPr="007319CD">
        <w:rPr>
          <w:rFonts w:hAnsi="標楷體"/>
        </w:rPr>
        <w:t>俸</w:t>
      </w:r>
      <w:proofErr w:type="gramEnd"/>
      <w:r w:rsidR="00707A26" w:rsidRPr="007319CD">
        <w:rPr>
          <w:rFonts w:hAnsi="標楷體"/>
        </w:rPr>
        <w:t>額」</w:t>
      </w:r>
      <w:r w:rsidR="003F6739" w:rsidRPr="007319CD">
        <w:rPr>
          <w:rFonts w:hAnsi="標楷體"/>
        </w:rPr>
        <w:t>，</w:t>
      </w:r>
      <w:r w:rsidR="009315F3" w:rsidRPr="007319CD">
        <w:rPr>
          <w:rFonts w:hAnsi="標楷體"/>
        </w:rPr>
        <w:t>公務人員退撫法（新法）</w:t>
      </w:r>
      <w:r w:rsidR="00707A26" w:rsidRPr="007319CD">
        <w:rPr>
          <w:rFonts w:hAnsi="標楷體"/>
        </w:rPr>
        <w:t>第27條</w:t>
      </w:r>
      <w:r w:rsidR="00707A26" w:rsidRPr="007319CD">
        <w:rPr>
          <w:rFonts w:hAnsi="標楷體"/>
          <w:vertAlign w:val="superscript"/>
        </w:rPr>
        <w:footnoteReference w:id="15"/>
      </w:r>
      <w:r w:rsidR="00707A26" w:rsidRPr="007319CD">
        <w:rPr>
          <w:rFonts w:hAnsi="標楷體"/>
        </w:rPr>
        <w:t>規定，</w:t>
      </w:r>
      <w:proofErr w:type="gramStart"/>
      <w:r w:rsidR="00707A26" w:rsidRPr="007319CD">
        <w:rPr>
          <w:rFonts w:hAnsi="標楷體"/>
        </w:rPr>
        <w:t>採</w:t>
      </w:r>
      <w:proofErr w:type="gramEnd"/>
      <w:r w:rsidR="00707A26" w:rsidRPr="007319CD">
        <w:rPr>
          <w:rFonts w:hAnsi="標楷體"/>
        </w:rPr>
        <w:t>「平均</w:t>
      </w:r>
      <w:proofErr w:type="gramStart"/>
      <w:r w:rsidR="00707A26" w:rsidRPr="007319CD">
        <w:rPr>
          <w:rFonts w:hAnsi="標楷體"/>
        </w:rPr>
        <w:t>俸</w:t>
      </w:r>
      <w:proofErr w:type="gramEnd"/>
      <w:r w:rsidR="00707A26" w:rsidRPr="007319CD">
        <w:rPr>
          <w:rFonts w:hAnsi="標楷體"/>
        </w:rPr>
        <w:t>（薪）額」</w:t>
      </w:r>
      <w:r w:rsidR="00FA60E8" w:rsidRPr="007319CD">
        <w:rPr>
          <w:rFonts w:hAnsi="標楷體"/>
        </w:rPr>
        <w:t>，</w:t>
      </w:r>
      <w:r w:rsidR="00707A26" w:rsidRPr="007319CD">
        <w:rPr>
          <w:rFonts w:hAnsi="標楷體"/>
        </w:rPr>
        <w:t>亦即</w:t>
      </w:r>
      <w:r w:rsidR="00707A26" w:rsidRPr="007319CD">
        <w:rPr>
          <w:rFonts w:hAnsi="標楷體"/>
        </w:rPr>
        <w:tab/>
      </w:r>
      <w:r w:rsidR="00FA60E8" w:rsidRPr="007319CD">
        <w:rPr>
          <w:rFonts w:hAnsi="標楷體"/>
        </w:rPr>
        <w:t>，</w:t>
      </w:r>
      <w:r w:rsidR="00707A26" w:rsidRPr="007319CD">
        <w:rPr>
          <w:rFonts w:hAnsi="標楷體"/>
        </w:rPr>
        <w:t>逐步調整為最後在職前15年平均</w:t>
      </w:r>
      <w:proofErr w:type="gramStart"/>
      <w:r w:rsidR="00707A26" w:rsidRPr="007319CD">
        <w:rPr>
          <w:rFonts w:hAnsi="標楷體"/>
        </w:rPr>
        <w:t>俸</w:t>
      </w:r>
      <w:proofErr w:type="gramEnd"/>
      <w:r w:rsidR="00707A26" w:rsidRPr="007319CD">
        <w:rPr>
          <w:rFonts w:hAnsi="標楷體"/>
        </w:rPr>
        <w:t>（薪）額：107年7月1日至108年12月31日訂為「最後在職往前5年平均</w:t>
      </w:r>
      <w:proofErr w:type="gramStart"/>
      <w:r w:rsidR="00707A26" w:rsidRPr="007319CD">
        <w:rPr>
          <w:rFonts w:hAnsi="標楷體"/>
        </w:rPr>
        <w:t>俸</w:t>
      </w:r>
      <w:proofErr w:type="gramEnd"/>
      <w:r w:rsidR="00707A26" w:rsidRPr="007319CD">
        <w:rPr>
          <w:rFonts w:hAnsi="標楷體"/>
        </w:rPr>
        <w:t>（薪）額」，之後逐年拉長1年，調整至118年後為「最後在職往前15年平均</w:t>
      </w:r>
      <w:proofErr w:type="gramStart"/>
      <w:r w:rsidR="00707A26" w:rsidRPr="007319CD">
        <w:rPr>
          <w:rFonts w:hAnsi="標楷體"/>
        </w:rPr>
        <w:t>俸</w:t>
      </w:r>
      <w:proofErr w:type="gramEnd"/>
      <w:r w:rsidR="00707A26" w:rsidRPr="007319CD">
        <w:rPr>
          <w:rFonts w:hAnsi="標楷體"/>
        </w:rPr>
        <w:t>（薪）額」。</w:t>
      </w:r>
    </w:p>
    <w:p w:rsidR="00342E0D" w:rsidRPr="007319CD" w:rsidRDefault="00342E0D" w:rsidP="003F6739">
      <w:pPr>
        <w:pStyle w:val="42"/>
        <w:ind w:left="1701" w:firstLine="680"/>
        <w:rPr>
          <w:rFonts w:hAnsi="標楷體"/>
        </w:rPr>
      </w:pPr>
      <w:r w:rsidRPr="007319CD">
        <w:rPr>
          <w:rFonts w:hAnsi="標楷體"/>
        </w:rPr>
        <w:t>學校教職員退休條例（舊法）第5條第2項、第3項規定，</w:t>
      </w:r>
      <w:r w:rsidR="003F6739" w:rsidRPr="007319CD">
        <w:rPr>
          <w:rFonts w:hAnsi="標楷體"/>
        </w:rPr>
        <w:t>退休金計算基準為退休生效日在職同薪級人員。</w:t>
      </w:r>
      <w:r w:rsidR="00914E2B" w:rsidRPr="007319CD">
        <w:rPr>
          <w:rFonts w:hAnsi="標楷體"/>
        </w:rPr>
        <w:t>公立學校教職員退撫條例</w:t>
      </w:r>
      <w:r w:rsidRPr="007319CD">
        <w:rPr>
          <w:rFonts w:hAnsi="標楷體"/>
        </w:rPr>
        <w:t>（新法）第28條規定</w:t>
      </w:r>
      <w:r w:rsidR="003F6739" w:rsidRPr="007319CD">
        <w:rPr>
          <w:rFonts w:hAnsi="標楷體"/>
        </w:rPr>
        <w:t>，退休金計算基準為</w:t>
      </w:r>
      <w:proofErr w:type="gramStart"/>
      <w:r w:rsidRPr="007319CD">
        <w:rPr>
          <w:rFonts w:hAnsi="標楷體"/>
        </w:rPr>
        <w:t>﹕</w:t>
      </w:r>
      <w:proofErr w:type="gramEnd"/>
      <w:r w:rsidR="009E53F4" w:rsidRPr="007319CD">
        <w:rPr>
          <w:rFonts w:hAnsi="標楷體"/>
        </w:rPr>
        <w:t>新法</w:t>
      </w:r>
      <w:r w:rsidR="003F6739" w:rsidRPr="007319CD">
        <w:rPr>
          <w:rFonts w:hAnsi="標楷體"/>
        </w:rPr>
        <w:t>施行前已退休者</w:t>
      </w:r>
      <w:r w:rsidR="00FA60E8" w:rsidRPr="007319CD">
        <w:rPr>
          <w:rFonts w:hAnsi="標楷體"/>
        </w:rPr>
        <w:t>，依</w:t>
      </w:r>
      <w:r w:rsidR="003F6739" w:rsidRPr="007319CD">
        <w:rPr>
          <w:rFonts w:hAnsi="標楷體"/>
        </w:rPr>
        <w:t>最後</w:t>
      </w:r>
      <w:proofErr w:type="gramStart"/>
      <w:r w:rsidR="003F6739" w:rsidRPr="007319CD">
        <w:rPr>
          <w:rFonts w:hAnsi="標楷體"/>
        </w:rPr>
        <w:t>在職經敘定</w:t>
      </w:r>
      <w:proofErr w:type="gramEnd"/>
      <w:r w:rsidR="003F6739" w:rsidRPr="007319CD">
        <w:rPr>
          <w:rFonts w:hAnsi="標楷體"/>
        </w:rPr>
        <w:t>之本（年功）薪</w:t>
      </w:r>
      <w:r w:rsidR="00FA60E8" w:rsidRPr="007319CD">
        <w:rPr>
          <w:rFonts w:hAnsi="標楷體"/>
        </w:rPr>
        <w:t>；</w:t>
      </w:r>
      <w:r w:rsidR="009E53F4" w:rsidRPr="007319CD">
        <w:rPr>
          <w:rFonts w:hAnsi="標楷體"/>
        </w:rPr>
        <w:t>新法</w:t>
      </w:r>
      <w:r w:rsidR="003F6739" w:rsidRPr="007319CD">
        <w:rPr>
          <w:rFonts w:hAnsi="標楷體"/>
        </w:rPr>
        <w:t>施行後退休者：（1）逐步調整為最後在職前15年平均薪額，</w:t>
      </w:r>
      <w:r w:rsidR="00E734D3" w:rsidRPr="007319CD">
        <w:rPr>
          <w:rFonts w:hAnsi="標楷體"/>
        </w:rPr>
        <w:t>107年7月1日至108年12月31日</w:t>
      </w:r>
      <w:r w:rsidR="003F6739" w:rsidRPr="007319CD">
        <w:rPr>
          <w:rFonts w:hAnsi="標楷體"/>
        </w:rPr>
        <w:t>訂為「最後在職往前5年平均薪額」，之後逐年拉長1年，調整至118年以後為「最後在職往前15年平</w:t>
      </w:r>
      <w:r w:rsidR="003F6739" w:rsidRPr="007319CD">
        <w:rPr>
          <w:rFonts w:hAnsi="標楷體"/>
        </w:rPr>
        <w:lastRenderedPageBreak/>
        <w:t>均薪額」。（2）</w:t>
      </w:r>
      <w:r w:rsidR="009E53F4" w:rsidRPr="007319CD">
        <w:rPr>
          <w:rFonts w:hAnsi="標楷體"/>
        </w:rPr>
        <w:t>新法</w:t>
      </w:r>
      <w:r w:rsidR="003F6739" w:rsidRPr="007319CD">
        <w:rPr>
          <w:rFonts w:hAnsi="標楷體"/>
        </w:rPr>
        <w:t>施行前已達月</w:t>
      </w:r>
      <w:proofErr w:type="gramStart"/>
      <w:r w:rsidR="003F6739" w:rsidRPr="007319CD">
        <w:rPr>
          <w:rFonts w:hAnsi="標楷體"/>
        </w:rPr>
        <w:t>退休金起支條件</w:t>
      </w:r>
      <w:proofErr w:type="gramEnd"/>
      <w:r w:rsidR="003F6739" w:rsidRPr="007319CD">
        <w:rPr>
          <w:rFonts w:hAnsi="標楷體"/>
        </w:rPr>
        <w:t>者，於新法施行後退休生效者，仍得以最後在職之本（年功）薪額計算，不</w:t>
      </w:r>
      <w:proofErr w:type="gramStart"/>
      <w:r w:rsidR="003F6739" w:rsidRPr="007319CD">
        <w:rPr>
          <w:rFonts w:hAnsi="標楷體"/>
        </w:rPr>
        <w:t>受均薪影響</w:t>
      </w:r>
      <w:proofErr w:type="gramEnd"/>
      <w:r w:rsidR="003F6739" w:rsidRPr="007319CD">
        <w:rPr>
          <w:rFonts w:hAnsi="標楷體"/>
        </w:rPr>
        <w:t>。</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第4條第4款</w:t>
      </w:r>
      <w:r w:rsidR="00707A26" w:rsidRPr="007319CD">
        <w:rPr>
          <w:rFonts w:hAnsi="標楷體"/>
          <w:b/>
          <w:vertAlign w:val="superscript"/>
        </w:rPr>
        <w:footnoteReference w:id="16"/>
      </w:r>
      <w:r w:rsidR="00707A26" w:rsidRPr="007319CD">
        <w:rPr>
          <w:rFonts w:hAnsi="標楷體"/>
          <w:b/>
        </w:rPr>
        <w:t>及第37條至第39條</w:t>
      </w:r>
      <w:r w:rsidR="00707A26" w:rsidRPr="007319CD">
        <w:rPr>
          <w:rFonts w:hAnsi="標楷體"/>
          <w:b/>
          <w:vertAlign w:val="superscript"/>
        </w:rPr>
        <w:footnoteReference w:id="17"/>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第4條第4款及第37條至第39條規定，</w:t>
      </w:r>
      <w:r w:rsidR="009E53F4" w:rsidRPr="007319CD">
        <w:rPr>
          <w:rFonts w:hAnsi="標楷體"/>
          <w:b/>
        </w:rPr>
        <w:t>調降退休所得</w:t>
      </w:r>
    </w:p>
    <w:p w:rsidR="00FE14EF" w:rsidRPr="007319CD" w:rsidRDefault="00233211" w:rsidP="00FE14EF">
      <w:pPr>
        <w:pStyle w:val="5"/>
        <w:rPr>
          <w:rFonts w:hAnsi="標楷體"/>
        </w:rPr>
      </w:pPr>
      <w:r w:rsidRPr="007319CD">
        <w:rPr>
          <w:rFonts w:hAnsi="標楷體"/>
        </w:rPr>
        <w:t>公務人員退休法（舊法）</w:t>
      </w:r>
      <w:r w:rsidR="00707A26" w:rsidRPr="007319CD">
        <w:rPr>
          <w:rFonts w:hAnsi="標楷體"/>
        </w:rPr>
        <w:t>第32條規定，退休所得不得超過最後在職同等級人員「本(年功)</w:t>
      </w:r>
      <w:proofErr w:type="gramStart"/>
      <w:r w:rsidR="00707A26" w:rsidRPr="007319CD">
        <w:rPr>
          <w:rFonts w:hAnsi="標楷體"/>
        </w:rPr>
        <w:t>俸</w:t>
      </w:r>
      <w:proofErr w:type="gramEnd"/>
      <w:r w:rsidR="00707A26" w:rsidRPr="007319CD">
        <w:rPr>
          <w:rFonts w:hAnsi="標楷體"/>
        </w:rPr>
        <w:t>加</w:t>
      </w:r>
      <w:r w:rsidR="002F6078" w:rsidRPr="007319CD">
        <w:rPr>
          <w:rFonts w:hAnsi="標楷體"/>
        </w:rPr>
        <w:t>1</w:t>
      </w:r>
      <w:r w:rsidR="00707A26" w:rsidRPr="007319CD">
        <w:rPr>
          <w:rFonts w:hAnsi="標楷體"/>
        </w:rPr>
        <w:t>倍」之75%(年資25年)至95%(年資35年)，亦不得超過「同等級現職人員待遇」之70%(年資15年)至90%(年資35年)；超過者，調降其公保養老給付辦理優惠存款之金額</w:t>
      </w:r>
      <w:r w:rsidR="00707A26" w:rsidRPr="007319CD">
        <w:rPr>
          <w:rFonts w:hAnsi="標楷體"/>
          <w:vertAlign w:val="superscript"/>
        </w:rPr>
        <w:footnoteReference w:id="18"/>
      </w:r>
      <w:r w:rsidR="00E734D3" w:rsidRPr="007319CD">
        <w:rPr>
          <w:rFonts w:hAnsi="標楷體"/>
        </w:rPr>
        <w:t>。</w:t>
      </w:r>
      <w:r w:rsidR="009315F3" w:rsidRPr="007319CD">
        <w:rPr>
          <w:rFonts w:hAnsi="標楷體"/>
        </w:rPr>
        <w:t>公務人員退</w:t>
      </w:r>
      <w:r w:rsidR="009315F3" w:rsidRPr="007319CD">
        <w:rPr>
          <w:rFonts w:hAnsi="標楷體"/>
        </w:rPr>
        <w:lastRenderedPageBreak/>
        <w:t>撫法（新法）</w:t>
      </w:r>
      <w:r w:rsidR="00FE14EF" w:rsidRPr="007319CD">
        <w:rPr>
          <w:rFonts w:hAnsi="標楷體"/>
        </w:rPr>
        <w:t>則修改</w:t>
      </w:r>
      <w:r w:rsidR="00707A26" w:rsidRPr="007319CD">
        <w:rPr>
          <w:rFonts w:hAnsi="標楷體"/>
        </w:rPr>
        <w:tab/>
        <w:t>所得替代率上限</w:t>
      </w:r>
      <w:r w:rsidR="00FE14EF" w:rsidRPr="007319CD">
        <w:rPr>
          <w:rFonts w:hAnsi="標楷體"/>
        </w:rPr>
        <w:t>，並</w:t>
      </w:r>
      <w:r w:rsidR="00707A26" w:rsidRPr="007319CD">
        <w:rPr>
          <w:rFonts w:hAnsi="標楷體"/>
        </w:rPr>
        <w:t>以10年時間（107年7月1日</w:t>
      </w:r>
      <w:r w:rsidR="00A664A2" w:rsidRPr="007319CD">
        <w:rPr>
          <w:rFonts w:hAnsi="標楷體"/>
        </w:rPr>
        <w:t>至</w:t>
      </w:r>
      <w:r w:rsidR="00707A26" w:rsidRPr="007319CD">
        <w:rPr>
          <w:rFonts w:hAnsi="標楷體"/>
        </w:rPr>
        <w:t>118年1月1日）逐年調降如下：</w:t>
      </w:r>
      <w:r w:rsidR="005050B3" w:rsidRPr="007319CD">
        <w:rPr>
          <w:rFonts w:hAnsi="標楷體"/>
        </w:rPr>
        <w:t>（所列舉金額，均係以107年1月調薪前之</w:t>
      </w:r>
      <w:proofErr w:type="gramStart"/>
      <w:r w:rsidR="005050B3" w:rsidRPr="007319CD">
        <w:rPr>
          <w:rFonts w:hAnsi="標楷體"/>
        </w:rPr>
        <w:t>俸</w:t>
      </w:r>
      <w:proofErr w:type="gramEnd"/>
      <w:r w:rsidR="005050B3" w:rsidRPr="007319CD">
        <w:rPr>
          <w:rFonts w:hAnsi="標楷體"/>
        </w:rPr>
        <w:t>額計算</w:t>
      </w:r>
      <w:r w:rsidR="00A664A2" w:rsidRPr="007319CD">
        <w:rPr>
          <w:rFonts w:hAnsi="標楷體"/>
        </w:rPr>
        <w:t>，下同</w:t>
      </w:r>
      <w:r w:rsidR="005050B3" w:rsidRPr="007319CD">
        <w:rPr>
          <w:rFonts w:hAnsi="標楷體"/>
        </w:rPr>
        <w:t>）</w:t>
      </w:r>
    </w:p>
    <w:p w:rsidR="00A87B89" w:rsidRPr="007319CD" w:rsidRDefault="00A664A2" w:rsidP="00FE14EF">
      <w:pPr>
        <w:pStyle w:val="6"/>
        <w:rPr>
          <w:rFonts w:hAnsi="標楷體"/>
        </w:rPr>
      </w:pPr>
      <w:r w:rsidRPr="007319CD">
        <w:rPr>
          <w:rFonts w:hAnsi="標楷體"/>
        </w:rPr>
        <w:t>已退人員</w:t>
      </w:r>
    </w:p>
    <w:p w:rsidR="00A87B89" w:rsidRPr="007319CD" w:rsidRDefault="00707A26" w:rsidP="00A87B89">
      <w:pPr>
        <w:pStyle w:val="7"/>
        <w:rPr>
          <w:rFonts w:hAnsi="標楷體"/>
        </w:rPr>
      </w:pPr>
      <w:r w:rsidRPr="007319CD">
        <w:rPr>
          <w:rFonts w:hAnsi="標楷體"/>
        </w:rPr>
        <w:t>年資35年</w:t>
      </w:r>
      <w:r w:rsidR="00A87B89" w:rsidRPr="007319CD">
        <w:rPr>
          <w:rFonts w:hAnsi="標楷體"/>
        </w:rPr>
        <w:t>：</w:t>
      </w:r>
      <w:r w:rsidRPr="007319CD">
        <w:rPr>
          <w:rFonts w:hAnsi="標楷體"/>
        </w:rPr>
        <w:t>從75%降至60%。</w:t>
      </w:r>
    </w:p>
    <w:p w:rsidR="00A87B89" w:rsidRPr="007319CD" w:rsidRDefault="00707A26" w:rsidP="00A87B89">
      <w:pPr>
        <w:pStyle w:val="7"/>
        <w:rPr>
          <w:rFonts w:hAnsi="標楷體"/>
        </w:rPr>
      </w:pPr>
      <w:r w:rsidRPr="007319CD">
        <w:rPr>
          <w:rFonts w:hAnsi="標楷體"/>
        </w:rPr>
        <w:t>年資30年</w:t>
      </w:r>
      <w:r w:rsidR="00A87B89" w:rsidRPr="007319CD">
        <w:rPr>
          <w:rFonts w:hAnsi="標楷體"/>
        </w:rPr>
        <w:t>：</w:t>
      </w:r>
      <w:r w:rsidRPr="007319CD">
        <w:rPr>
          <w:rFonts w:hAnsi="標楷體"/>
        </w:rPr>
        <w:t>從67.5%降至52.5%。年資25年從60%降至45%。</w:t>
      </w:r>
    </w:p>
    <w:p w:rsidR="00FE14EF" w:rsidRPr="007319CD" w:rsidRDefault="00707A26" w:rsidP="00A87B89">
      <w:pPr>
        <w:pStyle w:val="7"/>
        <w:rPr>
          <w:rFonts w:hAnsi="標楷體"/>
        </w:rPr>
      </w:pPr>
      <w:r w:rsidRPr="007319CD">
        <w:rPr>
          <w:rFonts w:hAnsi="標楷體"/>
        </w:rPr>
        <w:t>年資15年</w:t>
      </w:r>
      <w:r w:rsidR="00A87B89" w:rsidRPr="007319CD">
        <w:rPr>
          <w:rFonts w:hAnsi="標楷體"/>
        </w:rPr>
        <w:t>：</w:t>
      </w:r>
      <w:r w:rsidRPr="007319CD">
        <w:rPr>
          <w:rFonts w:hAnsi="標楷體"/>
        </w:rPr>
        <w:t>從45%降至30%。</w:t>
      </w:r>
    </w:p>
    <w:p w:rsidR="00FE14EF" w:rsidRPr="007319CD" w:rsidRDefault="00707A26" w:rsidP="00FE14EF">
      <w:pPr>
        <w:pStyle w:val="6"/>
        <w:rPr>
          <w:rFonts w:hAnsi="標楷體"/>
        </w:rPr>
      </w:pPr>
      <w:r w:rsidRPr="007319CD">
        <w:rPr>
          <w:rFonts w:hAnsi="標楷體"/>
        </w:rPr>
        <w:t>現職人員：可</w:t>
      </w:r>
      <w:proofErr w:type="gramStart"/>
      <w:r w:rsidRPr="007319CD">
        <w:rPr>
          <w:rFonts w:hAnsi="標楷體"/>
        </w:rPr>
        <w:t>採</w:t>
      </w:r>
      <w:proofErr w:type="gramEnd"/>
      <w:r w:rsidRPr="007319CD">
        <w:rPr>
          <w:rFonts w:hAnsi="標楷體"/>
        </w:rPr>
        <w:t>計40年年資，上限為77.5%降至62.5%；替代率同已退人員。</w:t>
      </w:r>
    </w:p>
    <w:p w:rsidR="00707A26" w:rsidRPr="007319CD" w:rsidRDefault="00707A26" w:rsidP="00FE14EF">
      <w:pPr>
        <w:pStyle w:val="6"/>
        <w:rPr>
          <w:rFonts w:hAnsi="標楷體"/>
        </w:rPr>
      </w:pPr>
      <w:r w:rsidRPr="007319CD">
        <w:rPr>
          <w:rFonts w:hAnsi="標楷體"/>
        </w:rPr>
        <w:t>新進人員：與現職人員同退休所得調降至最低保障金額（32,160元）時，維持領取最低保障金額；如調降前之月退休總所得已低於最低保障金額，則不予調降。</w:t>
      </w:r>
    </w:p>
    <w:p w:rsidR="00FE14EF" w:rsidRPr="007319CD" w:rsidRDefault="0078147C" w:rsidP="00FE14EF">
      <w:pPr>
        <w:pStyle w:val="5"/>
        <w:rPr>
          <w:rFonts w:hAnsi="標楷體"/>
        </w:rPr>
      </w:pPr>
      <w:r w:rsidRPr="007319CD">
        <w:rPr>
          <w:rFonts w:hAnsi="標楷體"/>
        </w:rPr>
        <w:t>學校教職員退休條例（舊法）</w:t>
      </w:r>
      <w:r w:rsidR="007D399B" w:rsidRPr="007319CD">
        <w:rPr>
          <w:rFonts w:hAnsi="標楷體"/>
        </w:rPr>
        <w:t>依公立學校退休教職員一次退休金及養老給付優惠存款辦法</w:t>
      </w:r>
      <w:proofErr w:type="gramStart"/>
      <w:r w:rsidRPr="007319CD">
        <w:rPr>
          <w:rFonts w:hAnsi="標楷體"/>
        </w:rPr>
        <w:t>﹕</w:t>
      </w:r>
      <w:proofErr w:type="gramEnd"/>
      <w:r w:rsidR="007D399B" w:rsidRPr="007319CD">
        <w:rPr>
          <w:rFonts w:hAnsi="標楷體"/>
        </w:rPr>
        <w:t>退休所得不得超過最後在職級人員「本（年功）薪加</w:t>
      </w:r>
      <w:r w:rsidR="00A664A2" w:rsidRPr="007319CD">
        <w:rPr>
          <w:rFonts w:hAnsi="標楷體"/>
        </w:rPr>
        <w:t>1</w:t>
      </w:r>
      <w:r w:rsidR="007D399B" w:rsidRPr="007319CD">
        <w:rPr>
          <w:rFonts w:hAnsi="標楷體"/>
        </w:rPr>
        <w:t>倍」之75%（年資25年）至95%</w:t>
      </w:r>
      <w:proofErr w:type="gramStart"/>
      <w:r w:rsidR="007D399B" w:rsidRPr="007319CD">
        <w:rPr>
          <w:rFonts w:hAnsi="標楷體"/>
        </w:rPr>
        <w:t>（</w:t>
      </w:r>
      <w:proofErr w:type="gramEnd"/>
      <w:r w:rsidR="007D399B" w:rsidRPr="007319CD">
        <w:rPr>
          <w:rFonts w:hAnsi="標楷體"/>
        </w:rPr>
        <w:t>年資35年；</w:t>
      </w:r>
      <w:proofErr w:type="gramStart"/>
      <w:r w:rsidR="007D399B" w:rsidRPr="007319CD">
        <w:rPr>
          <w:rFonts w:hAnsi="標楷體"/>
        </w:rPr>
        <w:t>符合增核給與</w:t>
      </w:r>
      <w:proofErr w:type="gramEnd"/>
      <w:r w:rsidR="007D399B" w:rsidRPr="007319CD">
        <w:rPr>
          <w:rFonts w:hAnsi="標楷體"/>
        </w:rPr>
        <w:t>者，得至97.5%</w:t>
      </w:r>
      <w:proofErr w:type="gramStart"/>
      <w:r w:rsidR="007D399B" w:rsidRPr="007319CD">
        <w:rPr>
          <w:rFonts w:hAnsi="標楷體"/>
        </w:rPr>
        <w:t>）</w:t>
      </w:r>
      <w:proofErr w:type="gramEnd"/>
      <w:r w:rsidR="007D399B" w:rsidRPr="007319CD">
        <w:rPr>
          <w:rFonts w:hAnsi="標楷體"/>
        </w:rPr>
        <w:t>，亦不得超過「同等級現職人員待遇」之70%（年資15年）至90%</w:t>
      </w:r>
      <w:proofErr w:type="gramStart"/>
      <w:r w:rsidR="007D399B" w:rsidRPr="007319CD">
        <w:rPr>
          <w:rFonts w:hAnsi="標楷體"/>
        </w:rPr>
        <w:t>（</w:t>
      </w:r>
      <w:proofErr w:type="gramEnd"/>
      <w:r w:rsidR="007D399B" w:rsidRPr="007319CD">
        <w:rPr>
          <w:rFonts w:hAnsi="標楷體"/>
        </w:rPr>
        <w:t>年資35年；</w:t>
      </w:r>
      <w:proofErr w:type="gramStart"/>
      <w:r w:rsidR="007D399B" w:rsidRPr="007319CD">
        <w:rPr>
          <w:rFonts w:hAnsi="標楷體"/>
        </w:rPr>
        <w:t>符合增核給與</w:t>
      </w:r>
      <w:proofErr w:type="gramEnd"/>
      <w:r w:rsidR="007D399B" w:rsidRPr="007319CD">
        <w:rPr>
          <w:rFonts w:hAnsi="標楷體"/>
        </w:rPr>
        <w:t>者，得至91.25%</w:t>
      </w:r>
      <w:proofErr w:type="gramStart"/>
      <w:r w:rsidR="007D399B" w:rsidRPr="007319CD">
        <w:rPr>
          <w:rFonts w:hAnsi="標楷體"/>
        </w:rPr>
        <w:t>）</w:t>
      </w:r>
      <w:proofErr w:type="gramEnd"/>
      <w:r w:rsidR="007D399B" w:rsidRPr="007319CD">
        <w:rPr>
          <w:rFonts w:hAnsi="標楷體"/>
        </w:rPr>
        <w:t>；超過者，調降其公保養老給付辦理優惠存款之金額。</w:t>
      </w:r>
      <w:r w:rsidR="00914E2B" w:rsidRPr="007319CD">
        <w:rPr>
          <w:rFonts w:hAnsi="標楷體"/>
        </w:rPr>
        <w:t>公立學校教職員退撫條例</w:t>
      </w:r>
      <w:r w:rsidRPr="007319CD">
        <w:rPr>
          <w:rFonts w:hAnsi="標楷體"/>
        </w:rPr>
        <w:t>（新法）第</w:t>
      </w:r>
      <w:r w:rsidR="007D399B" w:rsidRPr="007319CD">
        <w:rPr>
          <w:rFonts w:hAnsi="標楷體"/>
        </w:rPr>
        <w:t>4條第4款及第37條至第39條規定</w:t>
      </w:r>
      <w:r w:rsidR="00FE14EF" w:rsidRPr="007319CD">
        <w:rPr>
          <w:rFonts w:hAnsi="標楷體"/>
        </w:rPr>
        <w:t>如下</w:t>
      </w:r>
      <w:proofErr w:type="gramStart"/>
      <w:r w:rsidRPr="007319CD">
        <w:rPr>
          <w:rFonts w:hAnsi="標楷體"/>
        </w:rPr>
        <w:t>﹕</w:t>
      </w:r>
      <w:proofErr w:type="gramEnd"/>
    </w:p>
    <w:p w:rsidR="00FE14EF" w:rsidRPr="007319CD" w:rsidRDefault="00191A5A" w:rsidP="00FE14EF">
      <w:pPr>
        <w:pStyle w:val="6"/>
        <w:rPr>
          <w:rFonts w:hAnsi="標楷體"/>
        </w:rPr>
      </w:pPr>
      <w:r w:rsidRPr="007319CD">
        <w:rPr>
          <w:rFonts w:hAnsi="標楷體"/>
        </w:rPr>
        <w:t>分子：月退休金（含月補償金）+公保養老</w:t>
      </w:r>
      <w:r w:rsidRPr="007319CD">
        <w:rPr>
          <w:rFonts w:hAnsi="標楷體"/>
        </w:rPr>
        <w:lastRenderedPageBreak/>
        <w:t>給付優惠存款每月利息（或社會保險年金）。</w:t>
      </w:r>
    </w:p>
    <w:p w:rsidR="00FE14EF" w:rsidRPr="007319CD" w:rsidRDefault="00191A5A" w:rsidP="00FE14EF">
      <w:pPr>
        <w:pStyle w:val="6"/>
        <w:rPr>
          <w:rFonts w:hAnsi="標楷體"/>
        </w:rPr>
      </w:pPr>
      <w:r w:rsidRPr="007319CD">
        <w:rPr>
          <w:rFonts w:hAnsi="標楷體"/>
        </w:rPr>
        <w:t>分母：最後在職本（年功）薪2倍。</w:t>
      </w:r>
    </w:p>
    <w:p w:rsidR="00FE14EF" w:rsidRPr="007319CD" w:rsidRDefault="00A664A2" w:rsidP="00FE14EF">
      <w:pPr>
        <w:pStyle w:val="6"/>
        <w:rPr>
          <w:rFonts w:hAnsi="標楷體"/>
        </w:rPr>
      </w:pPr>
      <w:r w:rsidRPr="007319CD">
        <w:rPr>
          <w:rFonts w:hAnsi="標楷體"/>
        </w:rPr>
        <w:t>退休所得替代率上限</w:t>
      </w:r>
    </w:p>
    <w:p w:rsidR="00875470" w:rsidRPr="007319CD" w:rsidRDefault="00191A5A" w:rsidP="00FE14EF">
      <w:pPr>
        <w:pStyle w:val="7"/>
        <w:rPr>
          <w:rFonts w:hAnsi="標楷體"/>
        </w:rPr>
      </w:pPr>
      <w:r w:rsidRPr="007319CD">
        <w:rPr>
          <w:rFonts w:hAnsi="標楷體"/>
        </w:rPr>
        <w:t>已退人員分10年調降</w:t>
      </w:r>
    </w:p>
    <w:p w:rsidR="00A87B89" w:rsidRPr="007319CD" w:rsidRDefault="00A87B89" w:rsidP="00A87B89">
      <w:pPr>
        <w:pStyle w:val="8"/>
        <w:rPr>
          <w:rFonts w:hAnsi="標楷體"/>
        </w:rPr>
      </w:pPr>
      <w:r w:rsidRPr="007319CD">
        <w:rPr>
          <w:rFonts w:hAnsi="標楷體"/>
        </w:rPr>
        <w:t>40年：77.5%降至62.5%</w:t>
      </w:r>
    </w:p>
    <w:p w:rsidR="00875470" w:rsidRPr="007319CD" w:rsidRDefault="00191A5A" w:rsidP="00875470">
      <w:pPr>
        <w:pStyle w:val="8"/>
        <w:rPr>
          <w:rFonts w:hAnsi="標楷體"/>
        </w:rPr>
      </w:pPr>
      <w:r w:rsidRPr="007319CD">
        <w:rPr>
          <w:rFonts w:hAnsi="標楷體"/>
        </w:rPr>
        <w:t>35年：75%</w:t>
      </w:r>
      <w:r w:rsidR="00A34FAB" w:rsidRPr="007319CD">
        <w:rPr>
          <w:rFonts w:hAnsi="標楷體"/>
        </w:rPr>
        <w:t>降</w:t>
      </w:r>
      <w:r w:rsidRPr="007319CD">
        <w:rPr>
          <w:rFonts w:hAnsi="標楷體"/>
        </w:rPr>
        <w:t>至60%。</w:t>
      </w:r>
    </w:p>
    <w:p w:rsidR="00875470" w:rsidRPr="007319CD" w:rsidRDefault="00191A5A" w:rsidP="00875470">
      <w:pPr>
        <w:pStyle w:val="8"/>
        <w:rPr>
          <w:rFonts w:hAnsi="標楷體"/>
        </w:rPr>
      </w:pPr>
      <w:r w:rsidRPr="007319CD">
        <w:rPr>
          <w:rFonts w:hAnsi="標楷體"/>
        </w:rPr>
        <w:t>30年：67.5%</w:t>
      </w:r>
      <w:r w:rsidR="00A34FAB" w:rsidRPr="007319CD">
        <w:rPr>
          <w:rFonts w:hAnsi="標楷體"/>
        </w:rPr>
        <w:t>降</w:t>
      </w:r>
      <w:r w:rsidRPr="007319CD">
        <w:rPr>
          <w:rFonts w:hAnsi="標楷體"/>
        </w:rPr>
        <w:t>至52.5%。</w:t>
      </w:r>
    </w:p>
    <w:p w:rsidR="00875470" w:rsidRPr="007319CD" w:rsidRDefault="00191A5A" w:rsidP="00875470">
      <w:pPr>
        <w:pStyle w:val="8"/>
        <w:rPr>
          <w:rFonts w:hAnsi="標楷體"/>
        </w:rPr>
      </w:pPr>
      <w:r w:rsidRPr="007319CD">
        <w:rPr>
          <w:rFonts w:hAnsi="標楷體"/>
        </w:rPr>
        <w:t>25年：60%</w:t>
      </w:r>
      <w:r w:rsidR="00A34FAB" w:rsidRPr="007319CD">
        <w:rPr>
          <w:rFonts w:hAnsi="標楷體"/>
        </w:rPr>
        <w:t>降</w:t>
      </w:r>
      <w:r w:rsidRPr="007319CD">
        <w:rPr>
          <w:rFonts w:hAnsi="標楷體"/>
        </w:rPr>
        <w:t>至45%。</w:t>
      </w:r>
    </w:p>
    <w:p w:rsidR="00875470" w:rsidRPr="007319CD" w:rsidRDefault="00191A5A" w:rsidP="00875470">
      <w:pPr>
        <w:pStyle w:val="8"/>
        <w:rPr>
          <w:rFonts w:hAnsi="標楷體"/>
        </w:rPr>
      </w:pPr>
      <w:r w:rsidRPr="007319CD">
        <w:rPr>
          <w:rFonts w:hAnsi="標楷體"/>
        </w:rPr>
        <w:t>20年：52.5%</w:t>
      </w:r>
      <w:r w:rsidR="00A34FAB" w:rsidRPr="007319CD">
        <w:rPr>
          <w:rFonts w:hAnsi="標楷體"/>
        </w:rPr>
        <w:t>降</w:t>
      </w:r>
      <w:r w:rsidRPr="007319CD">
        <w:rPr>
          <w:rFonts w:hAnsi="標楷體"/>
        </w:rPr>
        <w:t>至37.5%。</w:t>
      </w:r>
    </w:p>
    <w:p w:rsidR="00FE14EF" w:rsidRPr="007319CD" w:rsidRDefault="00191A5A" w:rsidP="00875470">
      <w:pPr>
        <w:pStyle w:val="8"/>
        <w:rPr>
          <w:rFonts w:hAnsi="標楷體"/>
        </w:rPr>
      </w:pPr>
      <w:r w:rsidRPr="007319CD">
        <w:rPr>
          <w:rFonts w:hAnsi="標楷體"/>
        </w:rPr>
        <w:t>15年：45%</w:t>
      </w:r>
      <w:r w:rsidR="00A34FAB" w:rsidRPr="007319CD">
        <w:rPr>
          <w:rFonts w:hAnsi="標楷體"/>
        </w:rPr>
        <w:t>降</w:t>
      </w:r>
      <w:r w:rsidRPr="007319CD">
        <w:rPr>
          <w:rFonts w:hAnsi="標楷體"/>
        </w:rPr>
        <w:t>至30%</w:t>
      </w:r>
      <w:r w:rsidR="00FE14EF" w:rsidRPr="007319CD">
        <w:rPr>
          <w:rFonts w:hAnsi="標楷體"/>
        </w:rPr>
        <w:t>。</w:t>
      </w:r>
    </w:p>
    <w:p w:rsidR="00A34FAB" w:rsidRPr="007319CD" w:rsidRDefault="00191A5A" w:rsidP="00A87B89">
      <w:pPr>
        <w:pStyle w:val="7"/>
        <w:rPr>
          <w:rFonts w:hAnsi="標楷體"/>
        </w:rPr>
      </w:pPr>
      <w:r w:rsidRPr="007319CD">
        <w:rPr>
          <w:rFonts w:hAnsi="標楷體"/>
        </w:rPr>
        <w:t>現職人員可</w:t>
      </w:r>
      <w:proofErr w:type="gramStart"/>
      <w:r w:rsidRPr="007319CD">
        <w:rPr>
          <w:rFonts w:hAnsi="標楷體"/>
        </w:rPr>
        <w:t>採</w:t>
      </w:r>
      <w:proofErr w:type="gramEnd"/>
      <w:r w:rsidRPr="007319CD">
        <w:rPr>
          <w:rFonts w:hAnsi="標楷體"/>
        </w:rPr>
        <w:t>計40年</w:t>
      </w:r>
      <w:r w:rsidR="00A34FAB" w:rsidRPr="007319CD">
        <w:rPr>
          <w:rFonts w:hAnsi="標楷體"/>
        </w:rPr>
        <w:t>年資</w:t>
      </w:r>
      <w:r w:rsidR="00A87B89" w:rsidRPr="007319CD">
        <w:rPr>
          <w:rFonts w:hAnsi="標楷體"/>
        </w:rPr>
        <w:t>，替代率同已退人員。</w:t>
      </w:r>
    </w:p>
    <w:p w:rsidR="0078147C" w:rsidRPr="007319CD" w:rsidRDefault="00A87B89" w:rsidP="00FE14EF">
      <w:pPr>
        <w:pStyle w:val="6"/>
        <w:rPr>
          <w:rFonts w:hAnsi="標楷體"/>
        </w:rPr>
      </w:pPr>
      <w:r w:rsidRPr="007319CD">
        <w:rPr>
          <w:rFonts w:hAnsi="標楷體"/>
        </w:rPr>
        <w:t>下限：</w:t>
      </w:r>
      <w:r w:rsidR="00191A5A" w:rsidRPr="007319CD">
        <w:rPr>
          <w:rFonts w:hAnsi="標楷體"/>
        </w:rPr>
        <w:t>最低保障金額</w:t>
      </w:r>
      <w:r w:rsidRPr="007319CD">
        <w:rPr>
          <w:rFonts w:hAnsi="標楷體"/>
        </w:rPr>
        <w:t>為</w:t>
      </w:r>
      <w:r w:rsidR="00191A5A" w:rsidRPr="007319CD">
        <w:rPr>
          <w:rFonts w:hAnsi="標楷體"/>
        </w:rPr>
        <w:t>公務人員委任第</w:t>
      </w:r>
      <w:r w:rsidR="00A664A2" w:rsidRPr="007319CD">
        <w:rPr>
          <w:rFonts w:hAnsi="標楷體"/>
        </w:rPr>
        <w:t>1</w:t>
      </w:r>
      <w:r w:rsidR="00191A5A" w:rsidRPr="007319CD">
        <w:rPr>
          <w:rFonts w:hAnsi="標楷體"/>
        </w:rPr>
        <w:t>職等本</w:t>
      </w:r>
      <w:proofErr w:type="gramStart"/>
      <w:r w:rsidR="00191A5A" w:rsidRPr="007319CD">
        <w:rPr>
          <w:rFonts w:hAnsi="標楷體"/>
        </w:rPr>
        <w:t>俸</w:t>
      </w:r>
      <w:proofErr w:type="gramEnd"/>
      <w:r w:rsidR="00191A5A" w:rsidRPr="007319CD">
        <w:rPr>
          <w:rFonts w:hAnsi="標楷體"/>
        </w:rPr>
        <w:t>最高級之本</w:t>
      </w:r>
      <w:proofErr w:type="gramStart"/>
      <w:r w:rsidR="00191A5A" w:rsidRPr="007319CD">
        <w:rPr>
          <w:rFonts w:hAnsi="標楷體"/>
        </w:rPr>
        <w:t>俸</w:t>
      </w:r>
      <w:proofErr w:type="gramEnd"/>
      <w:r w:rsidR="00191A5A" w:rsidRPr="007319CD">
        <w:rPr>
          <w:rFonts w:hAnsi="標楷體"/>
        </w:rPr>
        <w:t>額與該職等一般公務人員專業加給合計數額。</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第34條</w:t>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第34條規定</w:t>
      </w:r>
      <w:r w:rsidR="00707A26" w:rsidRPr="007319CD">
        <w:rPr>
          <w:rFonts w:hAnsi="標楷體"/>
          <w:b/>
        </w:rPr>
        <w:t>取消年資補償金</w:t>
      </w:r>
    </w:p>
    <w:p w:rsidR="00707A26" w:rsidRPr="007319CD" w:rsidRDefault="00A87B89" w:rsidP="004D2741">
      <w:pPr>
        <w:pStyle w:val="42"/>
        <w:ind w:left="1701" w:firstLine="680"/>
        <w:rPr>
          <w:rFonts w:hAnsi="標楷體"/>
        </w:rPr>
      </w:pPr>
      <w:r w:rsidRPr="007319CD">
        <w:rPr>
          <w:rFonts w:hAnsi="標楷體"/>
        </w:rPr>
        <w:t>依</w:t>
      </w:r>
      <w:r w:rsidR="00233211" w:rsidRPr="007319CD">
        <w:rPr>
          <w:rFonts w:hAnsi="標楷體"/>
        </w:rPr>
        <w:t>公務人員退休法（舊法）</w:t>
      </w:r>
      <w:r w:rsidR="00707A26" w:rsidRPr="007319CD">
        <w:rPr>
          <w:rFonts w:hAnsi="標楷體"/>
        </w:rPr>
        <w:t>第30條規定</w:t>
      </w:r>
      <w:r w:rsidR="00707A26" w:rsidRPr="007319CD">
        <w:rPr>
          <w:rFonts w:hAnsi="標楷體"/>
          <w:vertAlign w:val="superscript"/>
        </w:rPr>
        <w:footnoteReference w:id="19"/>
      </w:r>
      <w:r w:rsidR="00707A26" w:rsidRPr="007319CD">
        <w:rPr>
          <w:rFonts w:hAnsi="標楷體"/>
        </w:rPr>
        <w:t>：</w:t>
      </w:r>
      <w:r w:rsidRPr="007319CD">
        <w:rPr>
          <w:rFonts w:hAnsi="標楷體"/>
        </w:rPr>
        <w:t>（1）</w:t>
      </w:r>
      <w:r w:rsidR="00707A26" w:rsidRPr="007319CD">
        <w:rPr>
          <w:rFonts w:hAnsi="標楷體"/>
        </w:rPr>
        <w:tab/>
      </w:r>
      <w:r w:rsidR="005C715E" w:rsidRPr="007319CD">
        <w:rPr>
          <w:rFonts w:hAnsi="標楷體"/>
        </w:rPr>
        <w:t>儲金制（下稱退撫新制）</w:t>
      </w:r>
      <w:r w:rsidR="00707A26" w:rsidRPr="007319CD">
        <w:rPr>
          <w:rFonts w:hAnsi="標楷體"/>
        </w:rPr>
        <w:t>實施前已有任職年資未滿15年，於退撫新制實施後退休，其前、後任職年資合計滿15年以上，擇領月退休金者，另按退撫新制實施前未滿15年之年資為</w:t>
      </w:r>
      <w:proofErr w:type="gramStart"/>
      <w:r w:rsidR="00707A26" w:rsidRPr="007319CD">
        <w:rPr>
          <w:rFonts w:hAnsi="標楷體"/>
        </w:rPr>
        <w:t>準</w:t>
      </w:r>
      <w:proofErr w:type="gramEnd"/>
      <w:r w:rsidR="00707A26" w:rsidRPr="007319CD">
        <w:rPr>
          <w:rFonts w:hAnsi="標楷體"/>
        </w:rPr>
        <w:t>，</w:t>
      </w:r>
      <w:r w:rsidR="00707A26" w:rsidRPr="007319CD">
        <w:rPr>
          <w:rFonts w:hAnsi="標楷體"/>
          <w:b/>
        </w:rPr>
        <w:t>依規定擇支領一次補償金或月補償金（每減1年增給1/2個基數之一次補償金，或增給基數1/200之月補償</w:t>
      </w:r>
      <w:r w:rsidR="00707A26" w:rsidRPr="007319CD">
        <w:rPr>
          <w:rFonts w:hAnsi="標楷體"/>
          <w:b/>
        </w:rPr>
        <w:lastRenderedPageBreak/>
        <w:t>金）。</w:t>
      </w:r>
      <w:r w:rsidRPr="007319CD">
        <w:rPr>
          <w:rFonts w:hAnsi="標楷體"/>
        </w:rPr>
        <w:t>（2）</w:t>
      </w:r>
      <w:r w:rsidR="00707A26" w:rsidRPr="007319CD">
        <w:rPr>
          <w:rFonts w:hAnsi="標楷體"/>
        </w:rPr>
        <w:t>退撫新制實施前已有任職年資未滿20年，於退撫新制實施後退休，其前後任職年資合計滿15年擇領</w:t>
      </w:r>
      <w:r w:rsidR="00670302" w:rsidRPr="007319CD">
        <w:rPr>
          <w:rFonts w:hAnsi="標楷體"/>
        </w:rPr>
        <w:t>月退休金者，依其在退撫新制實施後年資按</w:t>
      </w:r>
      <w:proofErr w:type="gramStart"/>
      <w:r w:rsidR="00670302" w:rsidRPr="007319CD">
        <w:rPr>
          <w:rFonts w:hAnsi="標楷體"/>
        </w:rPr>
        <w:t>規定計給</w:t>
      </w:r>
      <w:r w:rsidR="00707A26" w:rsidRPr="007319CD">
        <w:rPr>
          <w:rFonts w:hAnsi="標楷體"/>
        </w:rPr>
        <w:t>補償</w:t>
      </w:r>
      <w:proofErr w:type="gramEnd"/>
      <w:r w:rsidR="00707A26" w:rsidRPr="007319CD">
        <w:rPr>
          <w:rFonts w:hAnsi="標楷體"/>
        </w:rPr>
        <w:t>金。</w:t>
      </w:r>
      <w:r w:rsidR="009315F3" w:rsidRPr="007319CD">
        <w:rPr>
          <w:rFonts w:hAnsi="標楷體"/>
        </w:rPr>
        <w:t>公務人員退撫法（新法）</w:t>
      </w:r>
      <w:r w:rsidR="00707A26" w:rsidRPr="007319CD">
        <w:rPr>
          <w:rFonts w:hAnsi="標楷體"/>
        </w:rPr>
        <w:t>第3</w:t>
      </w:r>
      <w:r w:rsidR="0078147C" w:rsidRPr="007319CD">
        <w:rPr>
          <w:rFonts w:hAnsi="標楷體"/>
        </w:rPr>
        <w:t>4</w:t>
      </w:r>
      <w:r w:rsidR="00707A26" w:rsidRPr="007319CD">
        <w:rPr>
          <w:rFonts w:hAnsi="標楷體"/>
        </w:rPr>
        <w:t>條</w:t>
      </w:r>
      <w:r w:rsidR="003F6739" w:rsidRPr="007319CD">
        <w:rPr>
          <w:rFonts w:hAnsi="標楷體"/>
        </w:rPr>
        <w:t>規定</w:t>
      </w:r>
      <w:r w:rsidR="00707A26" w:rsidRPr="007319CD">
        <w:rPr>
          <w:rFonts w:hAnsi="標楷體"/>
        </w:rPr>
        <w:t>則取消發給年資補償金</w:t>
      </w:r>
      <w:r w:rsidR="0078147C" w:rsidRPr="007319CD">
        <w:rPr>
          <w:rFonts w:hAnsi="標楷體"/>
        </w:rPr>
        <w:t>。</w:t>
      </w:r>
    </w:p>
    <w:p w:rsidR="00191A5A" w:rsidRPr="007319CD" w:rsidRDefault="00191A5A" w:rsidP="00191A5A">
      <w:pPr>
        <w:pStyle w:val="42"/>
        <w:ind w:left="1701" w:firstLine="680"/>
        <w:rPr>
          <w:rFonts w:hAnsi="標楷體"/>
        </w:rPr>
      </w:pPr>
      <w:r w:rsidRPr="007319CD">
        <w:rPr>
          <w:rFonts w:hAnsi="標楷體"/>
        </w:rPr>
        <w:t>學校教職員退休條例（舊法）第21條之1第5項、第6項規定</w:t>
      </w:r>
      <w:proofErr w:type="gramStart"/>
      <w:r w:rsidRPr="007319CD">
        <w:rPr>
          <w:rFonts w:hAnsi="標楷體"/>
        </w:rPr>
        <w:t>﹕</w:t>
      </w:r>
      <w:proofErr w:type="gramEnd"/>
      <w:r w:rsidRPr="007319CD">
        <w:rPr>
          <w:rFonts w:hAnsi="標楷體"/>
        </w:rPr>
        <w:t>1、本條例修正施行前在職人員已有任職年資未滿15年，於本條例修正施行後退休，擇領月退休金者，另按未滿15年之年資為</w:t>
      </w:r>
      <w:proofErr w:type="gramStart"/>
      <w:r w:rsidRPr="007319CD">
        <w:rPr>
          <w:rFonts w:hAnsi="標楷體"/>
        </w:rPr>
        <w:t>準</w:t>
      </w:r>
      <w:proofErr w:type="gramEnd"/>
      <w:r w:rsidRPr="007319CD">
        <w:rPr>
          <w:rFonts w:hAnsi="標楷體"/>
        </w:rPr>
        <w:t>，依左列規定擇一支給補償金：（1）</w:t>
      </w:r>
      <w:proofErr w:type="gramStart"/>
      <w:r w:rsidRPr="007319CD">
        <w:rPr>
          <w:rFonts w:hAnsi="標楷體"/>
        </w:rPr>
        <w:t>每減1年</w:t>
      </w:r>
      <w:proofErr w:type="gramEnd"/>
      <w:r w:rsidRPr="007319CD">
        <w:rPr>
          <w:rFonts w:hAnsi="標楷體"/>
        </w:rPr>
        <w:t>，增給</w:t>
      </w:r>
      <w:r w:rsidR="0091040E" w:rsidRPr="007319CD">
        <w:rPr>
          <w:rFonts w:hAnsi="標楷體"/>
        </w:rPr>
        <w:t>0.5</w:t>
      </w:r>
      <w:r w:rsidRPr="007319CD">
        <w:rPr>
          <w:rFonts w:hAnsi="標楷體"/>
        </w:rPr>
        <w:t>個基數之一次補償金。（2）</w:t>
      </w:r>
      <w:proofErr w:type="gramStart"/>
      <w:r w:rsidRPr="007319CD">
        <w:rPr>
          <w:rFonts w:hAnsi="標楷體"/>
        </w:rPr>
        <w:t>每減1年</w:t>
      </w:r>
      <w:proofErr w:type="gramEnd"/>
      <w:r w:rsidRPr="007319CD">
        <w:rPr>
          <w:rFonts w:hAnsi="標楷體"/>
        </w:rPr>
        <w:t>，增給基數0.5%之月補償金。2、本條例修正施行前任職未滿20年，於本條例修正施行後退休，其前後任職年資合計滿15年支領月退休金者，依其在本條例修正施行後年資，每滿</w:t>
      </w:r>
      <w:r w:rsidR="00A664A2" w:rsidRPr="007319CD">
        <w:rPr>
          <w:rFonts w:hAnsi="標楷體"/>
        </w:rPr>
        <w:t>0.5</w:t>
      </w:r>
      <w:r w:rsidRPr="007319CD">
        <w:rPr>
          <w:rFonts w:hAnsi="標楷體"/>
        </w:rPr>
        <w:t>年</w:t>
      </w:r>
      <w:r w:rsidR="00A664A2" w:rsidRPr="007319CD">
        <w:rPr>
          <w:rFonts w:hAnsi="標楷體"/>
        </w:rPr>
        <w:t>1</w:t>
      </w:r>
      <w:r w:rsidRPr="007319CD">
        <w:rPr>
          <w:rFonts w:hAnsi="標楷體"/>
        </w:rPr>
        <w:t>次增發</w:t>
      </w:r>
      <w:r w:rsidR="00A664A2" w:rsidRPr="007319CD">
        <w:rPr>
          <w:rFonts w:hAnsi="標楷體"/>
        </w:rPr>
        <w:t>0.5</w:t>
      </w:r>
      <w:r w:rsidRPr="007319CD">
        <w:rPr>
          <w:rFonts w:hAnsi="標楷體"/>
        </w:rPr>
        <w:t>個基數之補償金，最高</w:t>
      </w:r>
      <w:r w:rsidR="00A664A2" w:rsidRPr="007319CD">
        <w:rPr>
          <w:rFonts w:hAnsi="標楷體"/>
        </w:rPr>
        <w:t>1</w:t>
      </w:r>
      <w:r w:rsidRPr="007319CD">
        <w:rPr>
          <w:rFonts w:hAnsi="標楷體"/>
        </w:rPr>
        <w:t>次增發3個基數，至20年止。其前後任職年資超過20年者，每滿</w:t>
      </w:r>
      <w:proofErr w:type="gramStart"/>
      <w:r w:rsidRPr="007319CD">
        <w:rPr>
          <w:rFonts w:hAnsi="標楷體"/>
        </w:rPr>
        <w:t>1年減發</w:t>
      </w:r>
      <w:r w:rsidR="00A664A2" w:rsidRPr="007319CD">
        <w:rPr>
          <w:rFonts w:hAnsi="標楷體"/>
        </w:rPr>
        <w:t>0.5</w:t>
      </w:r>
      <w:r w:rsidRPr="007319CD">
        <w:rPr>
          <w:rFonts w:hAnsi="標楷體"/>
        </w:rPr>
        <w:t>個</w:t>
      </w:r>
      <w:proofErr w:type="gramEnd"/>
      <w:r w:rsidRPr="007319CD">
        <w:rPr>
          <w:rFonts w:hAnsi="標楷體"/>
        </w:rPr>
        <w:t>基數，至滿26年者不再增減。</w:t>
      </w:r>
      <w:r w:rsidR="00914E2B" w:rsidRPr="007319CD">
        <w:rPr>
          <w:rFonts w:hAnsi="標楷體"/>
        </w:rPr>
        <w:t>公立學校教職員退撫條例</w:t>
      </w:r>
      <w:r w:rsidR="00C74E5E" w:rsidRPr="007319CD">
        <w:rPr>
          <w:rFonts w:hAnsi="標楷體"/>
        </w:rPr>
        <w:t>（新法）</w:t>
      </w:r>
      <w:r w:rsidRPr="007319CD">
        <w:rPr>
          <w:rFonts w:hAnsi="標楷體"/>
        </w:rPr>
        <w:t>第34條規定則取消發給年資補償金。</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第45條</w:t>
      </w:r>
      <w:r w:rsidR="00707A26" w:rsidRPr="007319CD">
        <w:rPr>
          <w:rFonts w:hAnsi="標楷體"/>
          <w:b/>
          <w:vertAlign w:val="superscript"/>
        </w:rPr>
        <w:footnoteReference w:id="20"/>
      </w:r>
      <w:r w:rsidR="00373F5D" w:rsidRPr="007319CD">
        <w:rPr>
          <w:rFonts w:hAnsi="標楷體"/>
          <w:b/>
        </w:rPr>
        <w:t>、</w:t>
      </w:r>
      <w:r w:rsidR="00914E2B" w:rsidRPr="007319CD">
        <w:rPr>
          <w:rFonts w:hAnsi="標楷體"/>
          <w:b/>
        </w:rPr>
        <w:t>公立學校教</w:t>
      </w:r>
      <w:r w:rsidR="00914E2B" w:rsidRPr="007319CD">
        <w:rPr>
          <w:rFonts w:hAnsi="標楷體"/>
          <w:b/>
        </w:rPr>
        <w:lastRenderedPageBreak/>
        <w:t>職員退撫條例</w:t>
      </w:r>
      <w:r w:rsidR="00C74E5E" w:rsidRPr="007319CD">
        <w:rPr>
          <w:rFonts w:hAnsi="標楷體"/>
          <w:b/>
        </w:rPr>
        <w:t>（新法）</w:t>
      </w:r>
      <w:r w:rsidR="00373F5D" w:rsidRPr="007319CD">
        <w:rPr>
          <w:rFonts w:hAnsi="標楷體"/>
          <w:b/>
        </w:rPr>
        <w:t>第45條規定</w:t>
      </w:r>
      <w:r w:rsidR="00707A26" w:rsidRPr="007319CD">
        <w:rPr>
          <w:rFonts w:hAnsi="標楷體"/>
          <w:b/>
        </w:rPr>
        <w:t>調整月撫慰金制度</w:t>
      </w:r>
    </w:p>
    <w:p w:rsidR="00707A26" w:rsidRPr="007319CD" w:rsidRDefault="00707A26" w:rsidP="004D2741">
      <w:pPr>
        <w:pStyle w:val="42"/>
        <w:ind w:left="1701" w:firstLine="680"/>
        <w:rPr>
          <w:rFonts w:hAnsi="標楷體"/>
        </w:rPr>
      </w:pPr>
      <w:r w:rsidRPr="007319CD">
        <w:rPr>
          <w:rFonts w:hAnsi="標楷體"/>
        </w:rPr>
        <w:tab/>
      </w:r>
      <w:r w:rsidR="009315F3" w:rsidRPr="007319CD">
        <w:rPr>
          <w:rFonts w:hAnsi="標楷體"/>
        </w:rPr>
        <w:t>公務人員退撫法（新法）</w:t>
      </w:r>
      <w:r w:rsidR="00655D1B" w:rsidRPr="007319CD">
        <w:rPr>
          <w:rFonts w:hAnsi="標楷體"/>
        </w:rPr>
        <w:t>第45條規定，</w:t>
      </w:r>
      <w:r w:rsidRPr="007319CD">
        <w:rPr>
          <w:rFonts w:hAnsi="標楷體"/>
        </w:rPr>
        <w:t>原支（兼）領月退休金之1/2發給「遺屬年金」；至於遺族擇領遺屬年金的條件如下：(1)</w:t>
      </w:r>
      <w:r w:rsidRPr="007319CD">
        <w:rPr>
          <w:rFonts w:hAnsi="標楷體"/>
        </w:rPr>
        <w:tab/>
        <w:t>配偶支領「遺屬年金」</w:t>
      </w:r>
      <w:proofErr w:type="gramStart"/>
      <w:r w:rsidRPr="007319CD">
        <w:rPr>
          <w:rFonts w:hAnsi="標楷體"/>
        </w:rPr>
        <w:t>起支年齡</w:t>
      </w:r>
      <w:proofErr w:type="gramEnd"/>
      <w:r w:rsidRPr="007319CD">
        <w:rPr>
          <w:rFonts w:hAnsi="標楷體"/>
        </w:rPr>
        <w:t>維持為55歲；婚姻關係改為於退休人員亡故時累積存續10年以上。(2)</w:t>
      </w:r>
      <w:r w:rsidRPr="007319CD">
        <w:rPr>
          <w:rFonts w:hAnsi="標楷體"/>
        </w:rPr>
        <w:tab/>
        <w:t>維持身心障礙之成年子女擇領終身月撫慰金規定。(3)遺族已依</w:t>
      </w:r>
      <w:r w:rsidR="00670302" w:rsidRPr="007319CD">
        <w:rPr>
          <w:rFonts w:hAnsi="標楷體"/>
        </w:rPr>
        <w:t>公務人員</w:t>
      </w:r>
      <w:r w:rsidRPr="007319CD">
        <w:rPr>
          <w:rFonts w:hAnsi="標楷體"/>
        </w:rPr>
        <w:t>退撫法或其他法令規定領有退休金、撫卹金、優惠存款利息，或其他由政府預算、公營事業機構支給之定期性給與者，不得擇領遺屬年金。但選擇放棄本人應領之定期給與並經原發給定期給與之權責機關同意者，仍可以支領遺屬年金。</w:t>
      </w:r>
    </w:p>
    <w:p w:rsidR="0078147C" w:rsidRPr="007319CD" w:rsidRDefault="00914E2B" w:rsidP="00655D1B">
      <w:pPr>
        <w:pStyle w:val="42"/>
        <w:ind w:left="1701" w:firstLine="680"/>
        <w:rPr>
          <w:rFonts w:hAnsi="標楷體"/>
        </w:rPr>
      </w:pPr>
      <w:r w:rsidRPr="007319CD">
        <w:rPr>
          <w:rFonts w:hAnsi="標楷體"/>
        </w:rPr>
        <w:t>公立學校教職員退撫條例</w:t>
      </w:r>
      <w:r w:rsidR="00C74E5E" w:rsidRPr="007319CD">
        <w:rPr>
          <w:rFonts w:hAnsi="標楷體"/>
        </w:rPr>
        <w:t>（新法）</w:t>
      </w:r>
      <w:r w:rsidR="0078147C" w:rsidRPr="007319CD">
        <w:rPr>
          <w:rFonts w:hAnsi="標楷體"/>
        </w:rPr>
        <w:t>第</w:t>
      </w:r>
      <w:r w:rsidR="00655D1B" w:rsidRPr="007319CD">
        <w:rPr>
          <w:rFonts w:hAnsi="標楷體"/>
        </w:rPr>
        <w:t>45</w:t>
      </w:r>
      <w:r w:rsidR="0078147C" w:rsidRPr="007319CD">
        <w:rPr>
          <w:rFonts w:hAnsi="標楷體"/>
        </w:rPr>
        <w:t>條</w:t>
      </w:r>
      <w:r w:rsidR="00655D1B" w:rsidRPr="007319CD">
        <w:rPr>
          <w:rFonts w:hAnsi="標楷體"/>
        </w:rPr>
        <w:t>第1項</w:t>
      </w:r>
      <w:r w:rsidR="0078147C" w:rsidRPr="007319CD">
        <w:rPr>
          <w:rFonts w:hAnsi="標楷體"/>
        </w:rPr>
        <w:t>規定</w:t>
      </w:r>
      <w:proofErr w:type="gramStart"/>
      <w:r w:rsidR="0078147C" w:rsidRPr="007319CD">
        <w:rPr>
          <w:rFonts w:hAnsi="標楷體"/>
        </w:rPr>
        <w:t>﹕</w:t>
      </w:r>
      <w:proofErr w:type="gramEnd"/>
      <w:r w:rsidR="00655D1B" w:rsidRPr="007319CD">
        <w:rPr>
          <w:rFonts w:hAnsi="標楷體"/>
        </w:rPr>
        <w:t>第43條第1項所定遺族為配偶、未成年子女、身心障礙且無工作能力之已成年子女或父母而</w:t>
      </w:r>
      <w:proofErr w:type="gramStart"/>
      <w:r w:rsidR="00655D1B" w:rsidRPr="007319CD">
        <w:rPr>
          <w:rFonts w:hAnsi="標楷體"/>
        </w:rPr>
        <w:t>不</w:t>
      </w:r>
      <w:proofErr w:type="gramEnd"/>
      <w:r w:rsidR="00655D1B" w:rsidRPr="007319CD">
        <w:rPr>
          <w:rFonts w:hAnsi="標楷體"/>
        </w:rPr>
        <w:t>支領遺屬一次金者，得依下列規定，按退休教職員亡故時所領月退休金之</w:t>
      </w:r>
      <w:r w:rsidR="0091040E" w:rsidRPr="007319CD">
        <w:rPr>
          <w:rFonts w:hAnsi="標楷體"/>
        </w:rPr>
        <w:t>1/2</w:t>
      </w:r>
      <w:r w:rsidR="00655D1B" w:rsidRPr="007319CD">
        <w:rPr>
          <w:rFonts w:hAnsi="標楷體"/>
        </w:rPr>
        <w:t>或兼領月退休金之</w:t>
      </w:r>
      <w:r w:rsidR="0091040E" w:rsidRPr="007319CD">
        <w:rPr>
          <w:rFonts w:hAnsi="標楷體"/>
        </w:rPr>
        <w:t>1/2</w:t>
      </w:r>
      <w:r w:rsidR="00655D1B" w:rsidRPr="007319CD">
        <w:rPr>
          <w:rFonts w:hAnsi="標楷體"/>
        </w:rPr>
        <w:t>，</w:t>
      </w:r>
      <w:proofErr w:type="gramStart"/>
      <w:r w:rsidR="00655D1B" w:rsidRPr="007319CD">
        <w:rPr>
          <w:rFonts w:hAnsi="標楷體"/>
        </w:rPr>
        <w:t>改領遺</w:t>
      </w:r>
      <w:proofErr w:type="gramEnd"/>
      <w:r w:rsidR="00655D1B" w:rsidRPr="007319CD">
        <w:rPr>
          <w:rFonts w:hAnsi="標楷體"/>
        </w:rPr>
        <w:t>屬年金：一、具備以下條件之</w:t>
      </w:r>
      <w:proofErr w:type="gramStart"/>
      <w:r w:rsidR="00655D1B" w:rsidRPr="007319CD">
        <w:rPr>
          <w:rFonts w:hAnsi="標楷體"/>
        </w:rPr>
        <w:t>一</w:t>
      </w:r>
      <w:proofErr w:type="gramEnd"/>
      <w:r w:rsidR="00655D1B" w:rsidRPr="007319CD">
        <w:rPr>
          <w:rFonts w:hAnsi="標楷體"/>
        </w:rPr>
        <w:t>且未再婚配偶，給與終身。但以其法定婚姻關係於退休教職員亡故時，已累積存續</w:t>
      </w:r>
      <w:r w:rsidR="00670302" w:rsidRPr="007319CD">
        <w:rPr>
          <w:rFonts w:hAnsi="標楷體"/>
        </w:rPr>
        <w:t>10</w:t>
      </w:r>
      <w:r w:rsidR="00655D1B" w:rsidRPr="007319CD">
        <w:rPr>
          <w:rFonts w:hAnsi="標楷體"/>
        </w:rPr>
        <w:t>年以上為限：（一）年滿55歲。（二）身心障礙且無工作能力。二、未成年子女給與至成年為止。但身心障礙且無工作能力之已成年子女，給與終身。三、父母給與終身。</w:t>
      </w:r>
    </w:p>
    <w:p w:rsidR="00707A26" w:rsidRPr="007319CD" w:rsidRDefault="009315F3" w:rsidP="009066B0">
      <w:pPr>
        <w:pStyle w:val="4"/>
        <w:rPr>
          <w:rFonts w:hAnsi="標楷體"/>
          <w:b/>
        </w:rPr>
      </w:pPr>
      <w:r w:rsidRPr="007319CD">
        <w:rPr>
          <w:rFonts w:hAnsi="標楷體"/>
          <w:b/>
        </w:rPr>
        <w:t>公務人員退撫法（新法）</w:t>
      </w:r>
      <w:r w:rsidR="00707A26" w:rsidRPr="007319CD">
        <w:rPr>
          <w:rFonts w:hAnsi="標楷體"/>
          <w:b/>
        </w:rPr>
        <w:t>第92條</w:t>
      </w:r>
      <w:r w:rsidR="00373F5D" w:rsidRPr="007319CD">
        <w:rPr>
          <w:rFonts w:hAnsi="標楷體"/>
          <w:b/>
        </w:rPr>
        <w:t>、</w:t>
      </w:r>
      <w:r w:rsidR="00914E2B" w:rsidRPr="007319CD">
        <w:rPr>
          <w:rFonts w:hAnsi="標楷體"/>
          <w:b/>
        </w:rPr>
        <w:t>公立學校教職</w:t>
      </w:r>
      <w:r w:rsidR="00914E2B" w:rsidRPr="007319CD">
        <w:rPr>
          <w:rFonts w:hAnsi="標楷體"/>
          <w:b/>
        </w:rPr>
        <w:lastRenderedPageBreak/>
        <w:t>員退撫條例</w:t>
      </w:r>
      <w:r w:rsidR="00C74E5E" w:rsidRPr="007319CD">
        <w:rPr>
          <w:rFonts w:hAnsi="標楷體"/>
          <w:b/>
        </w:rPr>
        <w:t>（新法）</w:t>
      </w:r>
      <w:r w:rsidR="00373F5D" w:rsidRPr="007319CD">
        <w:rPr>
          <w:rFonts w:hAnsi="標楷體"/>
          <w:b/>
        </w:rPr>
        <w:t>第97條</w:t>
      </w:r>
      <w:r w:rsidR="00707A26" w:rsidRPr="007319CD">
        <w:rPr>
          <w:rFonts w:hAnsi="標楷體"/>
          <w:b/>
        </w:rPr>
        <w:t>規定，</w:t>
      </w:r>
      <w:r w:rsidR="00DA4D6C" w:rsidRPr="007319CD">
        <w:rPr>
          <w:rFonts w:hAnsi="標楷體"/>
          <w:b/>
        </w:rPr>
        <w:t>年金制度定期檢討機制</w:t>
      </w:r>
      <w:r w:rsidR="00707A26" w:rsidRPr="007319CD">
        <w:rPr>
          <w:rFonts w:hAnsi="標楷體"/>
          <w:b/>
        </w:rPr>
        <w:t>，</w:t>
      </w:r>
      <w:r w:rsidR="009066B0" w:rsidRPr="007319CD">
        <w:rPr>
          <w:rFonts w:hAnsi="標楷體"/>
          <w:b/>
        </w:rPr>
        <w:t>隨時得修改公務員退撫制度，將使公務員退休給付債權永成不確定狀態</w:t>
      </w:r>
      <w:r w:rsidR="002824D1" w:rsidRPr="007319CD">
        <w:rPr>
          <w:rFonts w:hAnsi="標楷體" w:hint="eastAsia"/>
          <w:b/>
        </w:rPr>
        <w:t>。</w:t>
      </w:r>
    </w:p>
    <w:p w:rsidR="00707A26" w:rsidRPr="007319CD" w:rsidRDefault="009315F3" w:rsidP="0091040E">
      <w:pPr>
        <w:pStyle w:val="42"/>
        <w:topLinePunct/>
        <w:autoSpaceDE/>
        <w:autoSpaceDN/>
        <w:ind w:left="1701" w:firstLine="680"/>
        <w:rPr>
          <w:rFonts w:hAnsi="標楷體"/>
        </w:rPr>
      </w:pPr>
      <w:r w:rsidRPr="007319CD">
        <w:rPr>
          <w:rFonts w:hAnsi="標楷體"/>
        </w:rPr>
        <w:t>公務人員退撫法（新法）</w:t>
      </w:r>
      <w:r w:rsidR="00707A26" w:rsidRPr="007319CD">
        <w:rPr>
          <w:rFonts w:hAnsi="標楷體"/>
        </w:rPr>
        <w:t>第92條規定：「本法公布施行後，考試院應會同行政院建立年金制度監控機制，</w:t>
      </w:r>
      <w:r w:rsidR="00A664A2" w:rsidRPr="007319CD">
        <w:rPr>
          <w:rFonts w:hAnsi="標楷體"/>
        </w:rPr>
        <w:t>5</w:t>
      </w:r>
      <w:r w:rsidR="00707A26" w:rsidRPr="007319CD">
        <w:rPr>
          <w:rFonts w:hAnsi="標楷體"/>
        </w:rPr>
        <w:t>年內檢討制度設計與財務永續發展，之後定期檢討。」</w:t>
      </w:r>
      <w:r w:rsidR="00914E2B" w:rsidRPr="007319CD">
        <w:rPr>
          <w:rFonts w:hAnsi="標楷體"/>
        </w:rPr>
        <w:t>公立學校教職員退撫條例</w:t>
      </w:r>
      <w:r w:rsidR="00C74E5E" w:rsidRPr="007319CD">
        <w:rPr>
          <w:rFonts w:hAnsi="標楷體"/>
        </w:rPr>
        <w:t>（新法）</w:t>
      </w:r>
      <w:r w:rsidR="0078147C" w:rsidRPr="007319CD">
        <w:rPr>
          <w:rFonts w:hAnsi="標楷體"/>
        </w:rPr>
        <w:t>第97條規定</w:t>
      </w:r>
      <w:proofErr w:type="gramStart"/>
      <w:r w:rsidR="0078147C" w:rsidRPr="007319CD">
        <w:rPr>
          <w:rFonts w:hAnsi="標楷體"/>
        </w:rPr>
        <w:t>﹕</w:t>
      </w:r>
      <w:proofErr w:type="gramEnd"/>
      <w:r w:rsidR="002B59C9" w:rsidRPr="007319CD">
        <w:rPr>
          <w:rFonts w:hAnsi="標楷體"/>
        </w:rPr>
        <w:t>「本條例施行後，行政院應會同考試院建立年金制度監控機制，</w:t>
      </w:r>
      <w:r w:rsidR="00670302" w:rsidRPr="007319CD">
        <w:rPr>
          <w:rFonts w:hAnsi="標楷體"/>
        </w:rPr>
        <w:t>5</w:t>
      </w:r>
      <w:r w:rsidR="002B59C9" w:rsidRPr="007319CD">
        <w:rPr>
          <w:rFonts w:hAnsi="標楷體"/>
        </w:rPr>
        <w:t>年內檢討制度設計與財務永續發展，之後定期檢討。」</w:t>
      </w:r>
      <w:r w:rsidR="00707A26" w:rsidRPr="007319CD">
        <w:rPr>
          <w:rFonts w:hAnsi="標楷體"/>
        </w:rPr>
        <w:t>其理由略</w:t>
      </w:r>
      <w:proofErr w:type="gramStart"/>
      <w:r w:rsidR="00707A26" w:rsidRPr="007319CD">
        <w:rPr>
          <w:rFonts w:hAnsi="標楷體"/>
        </w:rPr>
        <w:t>以</w:t>
      </w:r>
      <w:proofErr w:type="gramEnd"/>
      <w:r w:rsidR="00707A26" w:rsidRPr="007319CD">
        <w:rPr>
          <w:rFonts w:hAnsi="標楷體"/>
        </w:rPr>
        <w:t>：「立基於現階段年金修法成果，</w:t>
      </w:r>
      <w:proofErr w:type="gramStart"/>
      <w:r w:rsidR="00707A26" w:rsidRPr="007319CD">
        <w:rPr>
          <w:rFonts w:hAnsi="標楷體"/>
        </w:rPr>
        <w:t>俟</w:t>
      </w:r>
      <w:proofErr w:type="gramEnd"/>
      <w:r w:rsidR="00707A26" w:rsidRPr="007319CD">
        <w:rPr>
          <w:rFonts w:hAnsi="標楷體"/>
        </w:rPr>
        <w:t>制度上軌道，穩定實施後，</w:t>
      </w:r>
      <w:proofErr w:type="gramStart"/>
      <w:r w:rsidR="00707A26" w:rsidRPr="007319CD">
        <w:rPr>
          <w:rFonts w:hAnsi="標楷體"/>
        </w:rPr>
        <w:t>研</w:t>
      </w:r>
      <w:proofErr w:type="gramEnd"/>
      <w:r w:rsidR="00707A26" w:rsidRPr="007319CD">
        <w:rPr>
          <w:rFonts w:hAnsi="標楷體"/>
        </w:rPr>
        <w:t>議各年金制度整合的可行性及其方向，以確保年金制度作為保障老年經濟安全與社會團結的制度功能發揮。同步建立監控機制，每5年或10年定期檢討制度運作所面對的挑戰與回應未來社會人口變遷的趨勢。</w:t>
      </w:r>
      <w:r w:rsidR="00707A26" w:rsidRPr="007319CD">
        <w:rPr>
          <w:rFonts w:hAnsi="標楷體"/>
        </w:rPr>
        <w:tab/>
      </w:r>
      <w:r w:rsidR="00A664A2" w:rsidRPr="007319CD">
        <w:rPr>
          <w:rFonts w:hAnsi="標楷體"/>
        </w:rPr>
        <w:t>退撫法</w:t>
      </w:r>
      <w:r w:rsidR="00707A26" w:rsidRPr="007319CD">
        <w:rPr>
          <w:rFonts w:hAnsi="標楷體"/>
        </w:rPr>
        <w:t>107年7月1日施行後，考試院應會同行政院建立年金制度監控機制，5年內檢討制度設計與財務永續發展，之後定期檢討」云云</w:t>
      </w:r>
      <w:r w:rsidR="00EC3DED" w:rsidRPr="007319CD">
        <w:rPr>
          <w:rFonts w:hAnsi="標楷體"/>
        </w:rPr>
        <w:t>，</w:t>
      </w:r>
      <w:r w:rsidR="00C521E2" w:rsidRPr="007319CD">
        <w:rPr>
          <w:rFonts w:hAnsi="標楷體"/>
        </w:rPr>
        <w:t>亦即隨時可以修改公務員退撫制度，將使公務員退休給付債權永成不確定狀態。</w:t>
      </w:r>
    </w:p>
    <w:p w:rsidR="00D90D91" w:rsidRPr="007319CD" w:rsidRDefault="00D90D91" w:rsidP="00D90D91">
      <w:pPr>
        <w:pStyle w:val="4"/>
        <w:rPr>
          <w:rFonts w:hAnsi="標楷體"/>
          <w:b/>
        </w:rPr>
      </w:pPr>
      <w:r w:rsidRPr="007319CD">
        <w:rPr>
          <w:rFonts w:hAnsi="標楷體"/>
          <w:b/>
        </w:rPr>
        <w:t>公務人員退休法令年金改革前後規定重要差異彙</w:t>
      </w:r>
      <w:proofErr w:type="gramStart"/>
      <w:r w:rsidRPr="007319CD">
        <w:rPr>
          <w:rFonts w:hAnsi="標楷體"/>
          <w:b/>
        </w:rPr>
        <w:t>整表</w:t>
      </w:r>
      <w:r w:rsidR="00E47F4F" w:rsidRPr="007319CD">
        <w:rPr>
          <w:rFonts w:hAnsi="標楷體"/>
          <w:b/>
        </w:rPr>
        <w:t>如</w:t>
      </w:r>
      <w:proofErr w:type="gramEnd"/>
      <w:r w:rsidR="00E47F4F" w:rsidRPr="007319CD">
        <w:rPr>
          <w:rFonts w:hAnsi="標楷體"/>
          <w:b/>
        </w:rPr>
        <w:t>附表</w:t>
      </w:r>
      <w:proofErr w:type="gramStart"/>
      <w:r w:rsidR="00E47F4F" w:rsidRPr="007319CD">
        <w:rPr>
          <w:rFonts w:hAnsi="標楷體"/>
          <w:b/>
        </w:rPr>
        <w:t>一</w:t>
      </w:r>
      <w:proofErr w:type="gramEnd"/>
      <w:r w:rsidR="00E47F4F" w:rsidRPr="007319CD">
        <w:rPr>
          <w:rFonts w:hAnsi="標楷體"/>
          <w:b/>
        </w:rPr>
        <w:t>。</w:t>
      </w:r>
      <w:r w:rsidRPr="007319CD">
        <w:rPr>
          <w:rFonts w:hAnsi="標楷體"/>
          <w:b/>
        </w:rPr>
        <w:tab/>
        <w:t>教育人員退休法令年金改革前後規定重要差異彙</w:t>
      </w:r>
      <w:proofErr w:type="gramStart"/>
      <w:r w:rsidRPr="007319CD">
        <w:rPr>
          <w:rFonts w:hAnsi="標楷體"/>
          <w:b/>
        </w:rPr>
        <w:t>整表</w:t>
      </w:r>
      <w:r w:rsidR="00E47F4F" w:rsidRPr="007319CD">
        <w:rPr>
          <w:rFonts w:hAnsi="標楷體"/>
          <w:b/>
        </w:rPr>
        <w:t>如</w:t>
      </w:r>
      <w:proofErr w:type="gramEnd"/>
      <w:r w:rsidR="00E47F4F" w:rsidRPr="007319CD">
        <w:rPr>
          <w:rFonts w:hAnsi="標楷體"/>
          <w:b/>
        </w:rPr>
        <w:t>附表二。</w:t>
      </w:r>
    </w:p>
    <w:p w:rsidR="00707A26" w:rsidRPr="007319CD" w:rsidRDefault="00707A26" w:rsidP="00D1020B">
      <w:pPr>
        <w:pStyle w:val="3"/>
        <w:rPr>
          <w:rFonts w:hAnsi="標楷體"/>
          <w:b/>
        </w:rPr>
      </w:pPr>
      <w:r w:rsidRPr="007319CD">
        <w:rPr>
          <w:rFonts w:hAnsi="標楷體"/>
          <w:b/>
        </w:rPr>
        <w:t>法律</w:t>
      </w:r>
      <w:proofErr w:type="gramStart"/>
      <w:r w:rsidRPr="007319CD">
        <w:rPr>
          <w:rFonts w:hAnsi="標楷體"/>
          <w:b/>
        </w:rPr>
        <w:t>不</w:t>
      </w:r>
      <w:proofErr w:type="gramEnd"/>
      <w:r w:rsidRPr="007319CD">
        <w:rPr>
          <w:rFonts w:hAnsi="標楷體"/>
          <w:b/>
        </w:rPr>
        <w:t>溯既往原則</w:t>
      </w:r>
      <w:r w:rsidR="00677BB7" w:rsidRPr="007319CD">
        <w:rPr>
          <w:rFonts w:hAnsi="標楷體"/>
          <w:b/>
        </w:rPr>
        <w:t>，</w:t>
      </w:r>
      <w:r w:rsidR="0091040E" w:rsidRPr="007319CD">
        <w:rPr>
          <w:rFonts w:hAnsi="標楷體"/>
          <w:b/>
        </w:rPr>
        <w:t>現行司法實務之概念與爭議</w:t>
      </w:r>
    </w:p>
    <w:p w:rsidR="00707A26" w:rsidRPr="007319CD" w:rsidRDefault="00677BB7" w:rsidP="00D1020B">
      <w:pPr>
        <w:pStyle w:val="4"/>
        <w:rPr>
          <w:rFonts w:hAnsi="標楷體"/>
          <w:b/>
        </w:rPr>
      </w:pPr>
      <w:r w:rsidRPr="007319CD">
        <w:rPr>
          <w:rFonts w:hAnsi="標楷體"/>
          <w:b/>
        </w:rPr>
        <w:t>法律</w:t>
      </w:r>
      <w:proofErr w:type="gramStart"/>
      <w:r w:rsidRPr="007319CD">
        <w:rPr>
          <w:rFonts w:hAnsi="標楷體"/>
          <w:b/>
        </w:rPr>
        <w:t>不</w:t>
      </w:r>
      <w:proofErr w:type="gramEnd"/>
      <w:r w:rsidRPr="007319CD">
        <w:rPr>
          <w:rFonts w:hAnsi="標楷體"/>
          <w:b/>
        </w:rPr>
        <w:t>溯既往原則之憲政意義</w:t>
      </w:r>
    </w:p>
    <w:p w:rsidR="00707A26" w:rsidRPr="007319CD" w:rsidRDefault="00677BB7" w:rsidP="00D1020B">
      <w:pPr>
        <w:pStyle w:val="42"/>
        <w:ind w:left="1701" w:firstLine="680"/>
        <w:rPr>
          <w:rFonts w:hAnsi="標楷體"/>
        </w:rPr>
      </w:pPr>
      <w:r w:rsidRPr="007319CD">
        <w:rPr>
          <w:rFonts w:hAnsi="標楷體"/>
        </w:rPr>
        <w:t>法律</w:t>
      </w:r>
      <w:proofErr w:type="gramStart"/>
      <w:r w:rsidRPr="007319CD">
        <w:rPr>
          <w:rFonts w:hAnsi="標楷體"/>
        </w:rPr>
        <w:t>不</w:t>
      </w:r>
      <w:proofErr w:type="gramEnd"/>
      <w:r w:rsidRPr="007319CD">
        <w:rPr>
          <w:rFonts w:hAnsi="標楷體"/>
        </w:rPr>
        <w:t>溯及既往原則作為法治國原則之重要基石，係為</w:t>
      </w:r>
      <w:r w:rsidR="00707A26" w:rsidRPr="007319CD">
        <w:rPr>
          <w:rFonts w:hAnsi="標楷體"/>
        </w:rPr>
        <w:t>維護法秩序安定並保護人民信賴與預見可能性，故人民因信賴法律秩序，而安排其生涯規劃或處置其財產者，不能因法規制定或修</w:t>
      </w:r>
      <w:r w:rsidR="00707A26" w:rsidRPr="007319CD">
        <w:rPr>
          <w:rFonts w:hAnsi="標楷體"/>
        </w:rPr>
        <w:lastRenderedPageBreak/>
        <w:t>正，而使其遭受不可預見之損害，因此禁</w:t>
      </w:r>
      <w:r w:rsidR="00670302" w:rsidRPr="007319CD">
        <w:rPr>
          <w:rFonts w:hAnsi="標楷體"/>
        </w:rPr>
        <w:t>止法律</w:t>
      </w:r>
      <w:r w:rsidR="00707A26" w:rsidRPr="007319CD">
        <w:rPr>
          <w:rFonts w:hAnsi="標楷體"/>
        </w:rPr>
        <w:t>溯及既往，</w:t>
      </w:r>
      <w:proofErr w:type="gramStart"/>
      <w:r w:rsidR="00707A26" w:rsidRPr="007319CD">
        <w:rPr>
          <w:rFonts w:hAnsi="標楷體"/>
        </w:rPr>
        <w:t>俾</w:t>
      </w:r>
      <w:proofErr w:type="gramEnd"/>
      <w:r w:rsidR="00707A26" w:rsidRPr="007319CD">
        <w:rPr>
          <w:rFonts w:hAnsi="標楷體"/>
        </w:rPr>
        <w:t>維持法律生活之安定，保障人民之既得權益，並維護法律尊嚴。然而法安定性為保障國家決定「穩定性Beständigkeit」，但正如韓非所說「法與時轉則治，治與</w:t>
      </w:r>
      <w:proofErr w:type="gramStart"/>
      <w:r w:rsidR="00707A26" w:rsidRPr="007319CD">
        <w:rPr>
          <w:rFonts w:hAnsi="標楷體"/>
        </w:rPr>
        <w:t>世</w:t>
      </w:r>
      <w:proofErr w:type="gramEnd"/>
      <w:r w:rsidR="00707A26" w:rsidRPr="007319CD">
        <w:rPr>
          <w:rFonts w:hAnsi="標楷體"/>
        </w:rPr>
        <w:t>宜則有功。</w:t>
      </w:r>
      <w:proofErr w:type="gramStart"/>
      <w:r w:rsidR="00707A26" w:rsidRPr="007319CD">
        <w:rPr>
          <w:rFonts w:hAnsi="標楷體"/>
        </w:rPr>
        <w:t>故民樸而</w:t>
      </w:r>
      <w:proofErr w:type="gramEnd"/>
      <w:r w:rsidR="00707A26" w:rsidRPr="007319CD">
        <w:rPr>
          <w:rFonts w:hAnsi="標楷體"/>
        </w:rPr>
        <w:t>禁之以名</w:t>
      </w:r>
      <w:proofErr w:type="gramStart"/>
      <w:r w:rsidR="00707A26" w:rsidRPr="007319CD">
        <w:rPr>
          <w:rFonts w:hAnsi="標楷體"/>
        </w:rPr>
        <w:t>則治，世知維</w:t>
      </w:r>
      <w:proofErr w:type="gramEnd"/>
      <w:r w:rsidR="00707A26" w:rsidRPr="007319CD">
        <w:rPr>
          <w:rFonts w:hAnsi="標楷體"/>
        </w:rPr>
        <w:t>之以刑則從。時移而治不易者亂，</w:t>
      </w:r>
      <w:proofErr w:type="gramStart"/>
      <w:r w:rsidR="00707A26" w:rsidRPr="007319CD">
        <w:rPr>
          <w:rFonts w:hAnsi="標楷體"/>
        </w:rPr>
        <w:t>能</w:t>
      </w:r>
      <w:r w:rsidR="00670302" w:rsidRPr="007319CD">
        <w:rPr>
          <w:rFonts w:hAnsi="標楷體"/>
        </w:rPr>
        <w:t>治</w:t>
      </w:r>
      <w:r w:rsidR="00707A26" w:rsidRPr="007319CD">
        <w:rPr>
          <w:rFonts w:hAnsi="標楷體"/>
        </w:rPr>
        <w:t>眾而</w:t>
      </w:r>
      <w:proofErr w:type="gramEnd"/>
      <w:r w:rsidR="00707A26" w:rsidRPr="007319CD">
        <w:rPr>
          <w:rFonts w:hAnsi="標楷體"/>
        </w:rPr>
        <w:t>禁</w:t>
      </w:r>
      <w:proofErr w:type="gramStart"/>
      <w:r w:rsidR="00707A26" w:rsidRPr="007319CD">
        <w:rPr>
          <w:rFonts w:hAnsi="標楷體"/>
        </w:rPr>
        <w:t>不變者削</w:t>
      </w:r>
      <w:proofErr w:type="gramEnd"/>
      <w:r w:rsidR="00707A26" w:rsidRPr="007319CD">
        <w:rPr>
          <w:rFonts w:hAnsi="標楷體"/>
        </w:rPr>
        <w:t>。故聖人之治民也，法與時移而禁與能變。」並無永恆不易之萬世法則。因此究竟國家行為得改變之程度為何？在法規變動時，因人民對法秩序信賴，有無信賴利益值得保護，憲法固無絕對之法律</w:t>
      </w:r>
      <w:proofErr w:type="gramStart"/>
      <w:r w:rsidR="00707A26" w:rsidRPr="007319CD">
        <w:rPr>
          <w:rFonts w:hAnsi="標楷體"/>
        </w:rPr>
        <w:t>不</w:t>
      </w:r>
      <w:proofErr w:type="gramEnd"/>
      <w:r w:rsidR="00707A26" w:rsidRPr="007319CD">
        <w:rPr>
          <w:rFonts w:hAnsi="標楷體"/>
        </w:rPr>
        <w:t>溯既往原則，然立法者亦非得於任何情形，</w:t>
      </w:r>
      <w:r w:rsidR="00310777" w:rsidRPr="007319CD">
        <w:rPr>
          <w:rFonts w:hAnsi="標楷體" w:hint="eastAsia"/>
        </w:rPr>
        <w:t>恣意</w:t>
      </w:r>
      <w:r w:rsidR="00707A26" w:rsidRPr="007319CD">
        <w:rPr>
          <w:rFonts w:hAnsi="標楷體"/>
        </w:rPr>
        <w:t>制定</w:t>
      </w:r>
      <w:r w:rsidR="00670302" w:rsidRPr="007319CD">
        <w:rPr>
          <w:rFonts w:hAnsi="標楷體"/>
        </w:rPr>
        <w:t>具有溯及效果之法律。若法律溯及既往</w:t>
      </w:r>
      <w:r w:rsidR="00707A26" w:rsidRPr="007319CD">
        <w:rPr>
          <w:rFonts w:hAnsi="標楷體"/>
        </w:rPr>
        <w:t>侵害人民之既得權利或合法期待之利益，甚或屬於對人民課以義務</w:t>
      </w:r>
      <w:r w:rsidRPr="007319CD">
        <w:rPr>
          <w:rFonts w:hAnsi="標楷體"/>
        </w:rPr>
        <w:t>或負擔，且可能破壞人民對法律規定之信賴，</w:t>
      </w:r>
      <w:r w:rsidR="00E3525E" w:rsidRPr="007319CD">
        <w:rPr>
          <w:rFonts w:hAnsi="標楷體"/>
        </w:rPr>
        <w:t>則</w:t>
      </w:r>
      <w:r w:rsidR="00707A26" w:rsidRPr="007319CD">
        <w:rPr>
          <w:rFonts w:hAnsi="標楷體"/>
        </w:rPr>
        <w:t>不符合憲法第23條所規定之必要要件</w:t>
      </w:r>
      <w:r w:rsidRPr="007319CD">
        <w:rPr>
          <w:rFonts w:hAnsi="標楷體"/>
        </w:rPr>
        <w:t>，</w:t>
      </w:r>
      <w:r w:rsidR="00707A26" w:rsidRPr="007319CD">
        <w:rPr>
          <w:rFonts w:hAnsi="標楷體"/>
        </w:rPr>
        <w:t>當屬違憲之法律。</w:t>
      </w:r>
    </w:p>
    <w:p w:rsidR="00707A26" w:rsidRPr="007319CD" w:rsidRDefault="0056540B" w:rsidP="00D1020B">
      <w:pPr>
        <w:pStyle w:val="4"/>
        <w:rPr>
          <w:rFonts w:hAnsi="標楷體"/>
          <w:b/>
        </w:rPr>
      </w:pPr>
      <w:r w:rsidRPr="007319CD">
        <w:rPr>
          <w:rFonts w:hAnsi="標楷體"/>
          <w:b/>
        </w:rPr>
        <w:t>司法</w:t>
      </w:r>
      <w:r w:rsidR="00707A26" w:rsidRPr="007319CD">
        <w:rPr>
          <w:rFonts w:hAnsi="標楷體"/>
          <w:b/>
        </w:rPr>
        <w:t>實務</w:t>
      </w:r>
      <w:r w:rsidRPr="007319CD">
        <w:rPr>
          <w:rFonts w:hAnsi="標楷體"/>
          <w:b/>
        </w:rPr>
        <w:t>見解與司法院</w:t>
      </w:r>
      <w:r w:rsidR="00707A26" w:rsidRPr="007319CD">
        <w:rPr>
          <w:rFonts w:hAnsi="標楷體"/>
          <w:b/>
        </w:rPr>
        <w:t>釋字第</w:t>
      </w:r>
      <w:r w:rsidR="00685248" w:rsidRPr="007319CD">
        <w:rPr>
          <w:rFonts w:hAnsi="標楷體"/>
          <w:b/>
        </w:rPr>
        <w:t>717號解釋</w:t>
      </w:r>
      <w:r w:rsidR="00707A26" w:rsidRPr="007319CD">
        <w:rPr>
          <w:rFonts w:hAnsi="標楷體"/>
          <w:b/>
        </w:rPr>
        <w:t>就</w:t>
      </w:r>
      <w:r w:rsidRPr="007319CD">
        <w:rPr>
          <w:rFonts w:hAnsi="標楷體"/>
          <w:b/>
        </w:rPr>
        <w:t>法律</w:t>
      </w:r>
      <w:proofErr w:type="gramStart"/>
      <w:r w:rsidR="00707A26" w:rsidRPr="007319CD">
        <w:rPr>
          <w:rFonts w:hAnsi="標楷體"/>
          <w:b/>
        </w:rPr>
        <w:t>不</w:t>
      </w:r>
      <w:proofErr w:type="gramEnd"/>
      <w:r w:rsidR="00707A26" w:rsidRPr="007319CD">
        <w:rPr>
          <w:rFonts w:hAnsi="標楷體"/>
          <w:b/>
        </w:rPr>
        <w:t>溯既往原則所設框架</w:t>
      </w:r>
    </w:p>
    <w:p w:rsidR="00707A26" w:rsidRPr="007319CD" w:rsidRDefault="00707A26" w:rsidP="00FB7E14">
      <w:pPr>
        <w:pStyle w:val="5"/>
        <w:rPr>
          <w:rFonts w:hAnsi="標楷體"/>
          <w:b/>
        </w:rPr>
      </w:pPr>
      <w:r w:rsidRPr="007319CD">
        <w:rPr>
          <w:rFonts w:hAnsi="標楷體"/>
          <w:b/>
        </w:rPr>
        <w:t>主要實務見解</w:t>
      </w:r>
    </w:p>
    <w:p w:rsidR="00707A26" w:rsidRPr="007319CD" w:rsidRDefault="00A747C6" w:rsidP="00FB7E14">
      <w:pPr>
        <w:pStyle w:val="52"/>
        <w:ind w:left="2041" w:firstLine="680"/>
        <w:rPr>
          <w:rFonts w:hAnsi="標楷體"/>
        </w:rPr>
      </w:pPr>
      <w:r w:rsidRPr="007319CD">
        <w:rPr>
          <w:rFonts w:hAnsi="標楷體"/>
        </w:rPr>
        <w:t>司法院</w:t>
      </w:r>
      <w:r w:rsidR="00707A26" w:rsidRPr="007319CD">
        <w:rPr>
          <w:rFonts w:hAnsi="標楷體"/>
        </w:rPr>
        <w:t>釋字第717</w:t>
      </w:r>
      <w:r w:rsidR="00F571B6" w:rsidRPr="007319CD">
        <w:rPr>
          <w:rFonts w:hAnsi="標楷體"/>
        </w:rPr>
        <w:t>號解釋</w:t>
      </w:r>
      <w:r w:rsidRPr="007319CD">
        <w:rPr>
          <w:rFonts w:hAnsi="標楷體"/>
        </w:rPr>
        <w:t>稱</w:t>
      </w:r>
      <w:r w:rsidR="005408BB" w:rsidRPr="007319CD">
        <w:rPr>
          <w:rFonts w:hAnsi="標楷體"/>
        </w:rPr>
        <w:t>：</w:t>
      </w:r>
      <w:r w:rsidR="00F571B6" w:rsidRPr="007319CD">
        <w:rPr>
          <w:rFonts w:hAnsi="標楷體"/>
        </w:rPr>
        <w:t>「</w:t>
      </w:r>
      <w:r w:rsidR="00707A26" w:rsidRPr="007319CD">
        <w:rPr>
          <w:rFonts w:hAnsi="標楷體"/>
        </w:rPr>
        <w:t>按新訂之法規，原則上不得適用於該法規生效前</w:t>
      </w:r>
      <w:r w:rsidR="00E3525E" w:rsidRPr="007319CD">
        <w:rPr>
          <w:rFonts w:hAnsi="標楷體"/>
        </w:rPr>
        <w:t>『</w:t>
      </w:r>
      <w:r w:rsidR="00707A26" w:rsidRPr="007319CD">
        <w:rPr>
          <w:rFonts w:hAnsi="標楷體"/>
        </w:rPr>
        <w:t>業已終結之事實或法律關係</w:t>
      </w:r>
      <w:r w:rsidR="00E3525E" w:rsidRPr="007319CD">
        <w:rPr>
          <w:rFonts w:hAnsi="標楷體"/>
        </w:rPr>
        <w:t>』</w:t>
      </w:r>
      <w:r w:rsidR="00707A26" w:rsidRPr="007319CD">
        <w:rPr>
          <w:rFonts w:hAnsi="標楷體"/>
        </w:rPr>
        <w:t>，是</w:t>
      </w:r>
      <w:r w:rsidR="00707A26" w:rsidRPr="007319CD">
        <w:rPr>
          <w:rFonts w:hAnsi="標楷體"/>
          <w:b/>
        </w:rPr>
        <w:t>謂禁止法律溯及既往原則。倘新法規所規範之法律關係，跨越新、舊法規施行時期，而構成要件事實於新法規生效施行後始完全實現者，除法規別有規定外，應適用新法規（</w:t>
      </w:r>
      <w:r w:rsidR="00E3525E" w:rsidRPr="007319CD">
        <w:rPr>
          <w:rFonts w:hAnsi="標楷體"/>
          <w:b/>
        </w:rPr>
        <w:t>司法院</w:t>
      </w:r>
      <w:r w:rsidR="00707A26" w:rsidRPr="007319CD">
        <w:rPr>
          <w:rFonts w:hAnsi="標楷體"/>
          <w:b/>
        </w:rPr>
        <w:t>釋字第</w:t>
      </w:r>
      <w:r w:rsidR="00670302" w:rsidRPr="007319CD">
        <w:rPr>
          <w:rFonts w:hAnsi="標楷體"/>
          <w:b/>
        </w:rPr>
        <w:t>620</w:t>
      </w:r>
      <w:r w:rsidR="00707A26" w:rsidRPr="007319CD">
        <w:rPr>
          <w:rFonts w:hAnsi="標楷體"/>
          <w:b/>
        </w:rPr>
        <w:t>號解釋參照）。此種情形，係將新法規適用於舊法規施行時期內已發生，且於</w:t>
      </w:r>
      <w:r w:rsidR="00417CEE" w:rsidRPr="007319CD">
        <w:rPr>
          <w:rFonts w:hAnsi="標楷體"/>
          <w:b/>
        </w:rPr>
        <w:t>『</w:t>
      </w:r>
      <w:r w:rsidR="00707A26" w:rsidRPr="007319CD">
        <w:rPr>
          <w:rFonts w:hAnsi="標楷體"/>
          <w:b/>
        </w:rPr>
        <w:t>新法規施行後繼續存在之事實或法律關係</w:t>
      </w:r>
      <w:r w:rsidR="00417CEE" w:rsidRPr="007319CD">
        <w:rPr>
          <w:rFonts w:hAnsi="標楷體"/>
          <w:b/>
        </w:rPr>
        <w:t>』</w:t>
      </w:r>
      <w:r w:rsidR="00707A26" w:rsidRPr="007319CD">
        <w:rPr>
          <w:rFonts w:hAnsi="標楷體"/>
          <w:b/>
        </w:rPr>
        <w:t>，並非新</w:t>
      </w:r>
      <w:proofErr w:type="gramStart"/>
      <w:r w:rsidR="00707A26" w:rsidRPr="007319CD">
        <w:rPr>
          <w:rFonts w:hAnsi="標楷體"/>
          <w:b/>
        </w:rPr>
        <w:t>法規之溯及</w:t>
      </w:r>
      <w:proofErr w:type="gramEnd"/>
      <w:r w:rsidR="00707A26" w:rsidRPr="007319CD">
        <w:rPr>
          <w:rFonts w:hAnsi="標楷體"/>
          <w:b/>
        </w:rPr>
        <w:lastRenderedPageBreak/>
        <w:t>適用，</w:t>
      </w:r>
      <w:proofErr w:type="gramStart"/>
      <w:r w:rsidR="00707A26" w:rsidRPr="007319CD">
        <w:rPr>
          <w:rFonts w:hAnsi="標楷體"/>
          <w:b/>
        </w:rPr>
        <w:t>故縱有</w:t>
      </w:r>
      <w:proofErr w:type="gramEnd"/>
      <w:r w:rsidR="00707A26" w:rsidRPr="007319CD">
        <w:rPr>
          <w:rFonts w:hAnsi="標楷體"/>
          <w:b/>
        </w:rPr>
        <w:t>減損規範對象既存之有利法律地位或可得預期之利益，無涉禁止法律溯及既往原則</w:t>
      </w:r>
      <w:r w:rsidR="00707A26" w:rsidRPr="007319CD">
        <w:rPr>
          <w:rFonts w:hAnsi="標楷體"/>
        </w:rPr>
        <w:t>。</w:t>
      </w:r>
      <w:r w:rsidR="00F571B6" w:rsidRPr="007319CD">
        <w:rPr>
          <w:rFonts w:hAnsi="標楷體"/>
        </w:rPr>
        <w:t>」</w:t>
      </w:r>
    </w:p>
    <w:p w:rsidR="00707A26" w:rsidRPr="007319CD" w:rsidRDefault="00AA50AC" w:rsidP="00DF77F2">
      <w:pPr>
        <w:pStyle w:val="5"/>
        <w:rPr>
          <w:rFonts w:hAnsi="標楷體"/>
          <w:b/>
        </w:rPr>
      </w:pPr>
      <w:r w:rsidRPr="007319CD">
        <w:rPr>
          <w:rFonts w:hAnsi="標楷體"/>
          <w:b/>
        </w:rPr>
        <w:t>大法官</w:t>
      </w:r>
      <w:r w:rsidRPr="007319CD">
        <w:rPr>
          <w:rFonts w:hAnsi="標楷體" w:hint="eastAsia"/>
          <w:b/>
        </w:rPr>
        <w:t>該號</w:t>
      </w:r>
      <w:r w:rsidR="005408BB" w:rsidRPr="007319CD">
        <w:rPr>
          <w:rFonts w:hAnsi="標楷體"/>
          <w:b/>
        </w:rPr>
        <w:t>不同</w:t>
      </w:r>
      <w:r w:rsidRPr="007319CD">
        <w:rPr>
          <w:rFonts w:hAnsi="標楷體" w:hint="eastAsia"/>
          <w:b/>
        </w:rPr>
        <w:t>意見</w:t>
      </w:r>
      <w:r w:rsidR="00685248" w:rsidRPr="007319CD">
        <w:rPr>
          <w:rFonts w:hAnsi="標楷體"/>
          <w:b/>
        </w:rPr>
        <w:t>（以下摘錄大</w:t>
      </w:r>
      <w:r w:rsidR="001073ED" w:rsidRPr="007319CD">
        <w:rPr>
          <w:rFonts w:hAnsi="標楷體"/>
          <w:b/>
        </w:rPr>
        <w:t>法</w:t>
      </w:r>
      <w:r w:rsidR="00685248" w:rsidRPr="007319CD">
        <w:rPr>
          <w:rFonts w:hAnsi="標楷體"/>
          <w:b/>
        </w:rPr>
        <w:t>官意見原文）</w:t>
      </w:r>
      <w:r w:rsidRPr="007319CD">
        <w:rPr>
          <w:rFonts w:hAnsi="標楷體" w:hint="eastAsia"/>
          <w:b/>
        </w:rPr>
        <w:t>認為</w:t>
      </w:r>
      <w:r w:rsidR="00DF77F2" w:rsidRPr="007319CD">
        <w:rPr>
          <w:rFonts w:hAnsi="標楷體" w:hint="eastAsia"/>
          <w:b/>
        </w:rPr>
        <w:t>公保養老給付仍為退休給付</w:t>
      </w:r>
    </w:p>
    <w:p w:rsidR="00707A26" w:rsidRPr="007319CD" w:rsidRDefault="00707A26" w:rsidP="00D3479C">
      <w:pPr>
        <w:pStyle w:val="6"/>
        <w:rPr>
          <w:rFonts w:hAnsi="標楷體"/>
          <w:b/>
        </w:rPr>
      </w:pPr>
      <w:r w:rsidRPr="007319CD">
        <w:rPr>
          <w:rFonts w:hAnsi="標楷體"/>
          <w:b/>
        </w:rPr>
        <w:t>黃茂榮</w:t>
      </w:r>
      <w:r w:rsidR="007118E5" w:rsidRPr="007319CD">
        <w:rPr>
          <w:rFonts w:hAnsi="標楷體"/>
          <w:b/>
        </w:rPr>
        <w:t>大法官</w:t>
      </w:r>
      <w:r w:rsidRPr="007319CD">
        <w:rPr>
          <w:rFonts w:hAnsi="標楷體"/>
          <w:b/>
        </w:rPr>
        <w:t>以退休為時點</w:t>
      </w:r>
    </w:p>
    <w:p w:rsidR="00707A26" w:rsidRPr="007319CD" w:rsidRDefault="00707A26" w:rsidP="00D3479C">
      <w:pPr>
        <w:pStyle w:val="62"/>
        <w:ind w:left="2381" w:firstLine="680"/>
        <w:rPr>
          <w:rFonts w:hAnsi="標楷體"/>
        </w:rPr>
      </w:pPr>
      <w:r w:rsidRPr="007319CD">
        <w:rPr>
          <w:rFonts w:hAnsi="標楷體"/>
        </w:rPr>
        <w:t>退休給付以退休為其發生之要件事實，而在退休時，公教人員已完全履行其債務，所以其對待給付中之退休給付債權的範圍基本上應已確定下來。可能保留之調整事由，應限於通貨膨脹及情事變更的因素，而不應該包含：在退休之要件事實完成後，關於退休給付之法令有不利於公教人員之變更。</w:t>
      </w:r>
    </w:p>
    <w:p w:rsidR="00707A26" w:rsidRPr="007319CD" w:rsidRDefault="00707A26" w:rsidP="00F026C5">
      <w:pPr>
        <w:pStyle w:val="6"/>
        <w:rPr>
          <w:rFonts w:hAnsi="標楷體"/>
          <w:b/>
        </w:rPr>
      </w:pPr>
      <w:r w:rsidRPr="007319CD">
        <w:rPr>
          <w:rFonts w:hAnsi="標楷體"/>
          <w:b/>
        </w:rPr>
        <w:t>黃璽君</w:t>
      </w:r>
      <w:r w:rsidR="007118E5" w:rsidRPr="007319CD">
        <w:rPr>
          <w:rFonts w:hAnsi="標楷體"/>
          <w:b/>
        </w:rPr>
        <w:t>大法官</w:t>
      </w:r>
      <w:r w:rsidR="00F026C5" w:rsidRPr="007319CD">
        <w:rPr>
          <w:rFonts w:hAnsi="標楷體" w:hint="eastAsia"/>
          <w:b/>
        </w:rPr>
        <w:t>認為人民公務人員之日起，即可預期服務達退休年限時可領取退休金等退休給與</w:t>
      </w:r>
    </w:p>
    <w:p w:rsidR="00707A26" w:rsidRPr="007319CD" w:rsidRDefault="00707A26" w:rsidP="00683DDE">
      <w:pPr>
        <w:pStyle w:val="62"/>
        <w:ind w:left="2381" w:firstLine="680"/>
        <w:rPr>
          <w:rFonts w:hAnsi="標楷體"/>
        </w:rPr>
      </w:pPr>
      <w:r w:rsidRPr="007319CD">
        <w:rPr>
          <w:rFonts w:hAnsi="標楷體"/>
        </w:rPr>
        <w:t>按公務人員退休金請求等權利，係基於其公務人員身分衍生而來。人民任公務人員從事公務，國家給與之報酬，除任公務人員期間之俸給外，於退休時之退休金等退休給與亦屬之。</w:t>
      </w:r>
      <w:r w:rsidRPr="007319CD">
        <w:rPr>
          <w:rFonts w:hAnsi="標楷體"/>
          <w:b/>
        </w:rPr>
        <w:t>故人民自擔任公務人員之日起，即可預期服務達退休年限時可領取退休金等退休給與，而於退休時取得退休金等退休給與之請求權。相關退休金等退休給與法規，係規範因退休原因而終結國家與公務人員間公務員法律關係時，公務人員可得之退休給與。其內容（給與種類、金額等）</w:t>
      </w:r>
      <w:proofErr w:type="gramStart"/>
      <w:r w:rsidRPr="007319CD">
        <w:rPr>
          <w:rFonts w:hAnsi="標楷體"/>
          <w:b/>
        </w:rPr>
        <w:t>均依退休</w:t>
      </w:r>
      <w:proofErr w:type="gramEnd"/>
      <w:r w:rsidRPr="007319CD">
        <w:rPr>
          <w:rFonts w:hAnsi="標楷體"/>
          <w:b/>
        </w:rPr>
        <w:t>時法規及事實定之，於退休時即已確定</w:t>
      </w:r>
      <w:r w:rsidRPr="007319CD">
        <w:rPr>
          <w:rFonts w:hAnsi="標楷體"/>
        </w:rPr>
        <w:t>。相關法規變動時，如規定對已退休者確定之退休給與適用新法規並予以變更，係對</w:t>
      </w:r>
      <w:r w:rsidRPr="007319CD">
        <w:rPr>
          <w:rFonts w:hAnsi="標楷體"/>
        </w:rPr>
        <w:lastRenderedPageBreak/>
        <w:t>已終結之事實或法律</w:t>
      </w:r>
      <w:proofErr w:type="gramStart"/>
      <w:r w:rsidRPr="007319CD">
        <w:rPr>
          <w:rFonts w:hAnsi="標楷體"/>
        </w:rPr>
        <w:t>關係為溯及</w:t>
      </w:r>
      <w:proofErr w:type="gramEnd"/>
      <w:r w:rsidRPr="007319CD">
        <w:rPr>
          <w:rFonts w:hAnsi="標楷體"/>
        </w:rPr>
        <w:t>適用。對已退休者而言，已完成提供服務而退休，其依退休時規定所得退休給與為生活規劃，</w:t>
      </w:r>
      <w:proofErr w:type="gramStart"/>
      <w:r w:rsidRPr="007319CD">
        <w:rPr>
          <w:rFonts w:hAnsi="標楷體"/>
        </w:rPr>
        <w:t>嗣</w:t>
      </w:r>
      <w:proofErr w:type="gramEnd"/>
      <w:r w:rsidRPr="007319CD">
        <w:rPr>
          <w:rFonts w:hAnsi="標楷體"/>
        </w:rPr>
        <w:t>因</w:t>
      </w:r>
      <w:proofErr w:type="gramStart"/>
      <w:r w:rsidRPr="007319CD">
        <w:rPr>
          <w:rFonts w:hAnsi="標楷體"/>
        </w:rPr>
        <w:t>上開溯及</w:t>
      </w:r>
      <w:proofErr w:type="gramEnd"/>
      <w:r w:rsidRPr="007319CD">
        <w:rPr>
          <w:rFonts w:hAnsi="標楷體"/>
        </w:rPr>
        <w:t>規定而減少其每月所得後，難於另為生活規劃（未能如在職者選擇是否提前離開公職從事其他工作、選擇領取月退休金或一次退休金等），</w:t>
      </w:r>
      <w:proofErr w:type="gramStart"/>
      <w:r w:rsidRPr="007319CD">
        <w:rPr>
          <w:rFonts w:hAnsi="標楷體"/>
        </w:rPr>
        <w:t>對屆齡退休</w:t>
      </w:r>
      <w:proofErr w:type="gramEnd"/>
      <w:r w:rsidRPr="007319CD">
        <w:rPr>
          <w:rFonts w:hAnsi="標楷體"/>
        </w:rPr>
        <w:t>者尤其明顯，此過度侵害退休者之信賴保護及法安定性。而政府將隨時變更退休給與，嚴重影響政府誠信，除已退休者外，</w:t>
      </w:r>
      <w:proofErr w:type="gramStart"/>
      <w:r w:rsidRPr="007319CD">
        <w:rPr>
          <w:rFonts w:hAnsi="標楷體"/>
        </w:rPr>
        <w:t>在職者亦慮及</w:t>
      </w:r>
      <w:proofErr w:type="gramEnd"/>
      <w:r w:rsidRPr="007319CD">
        <w:rPr>
          <w:rFonts w:hAnsi="標楷體"/>
        </w:rPr>
        <w:t>將來退休之保障不足，可能提前退休，領取一次退休金，以防嗣後政府變更規定，其衝擊非小，不可不慎。</w:t>
      </w:r>
    </w:p>
    <w:p w:rsidR="00707A26" w:rsidRPr="007319CD" w:rsidRDefault="00707A26" w:rsidP="00F026C5">
      <w:pPr>
        <w:pStyle w:val="6"/>
        <w:rPr>
          <w:rFonts w:hAnsi="標楷體"/>
          <w:b/>
        </w:rPr>
      </w:pPr>
      <w:r w:rsidRPr="007319CD">
        <w:rPr>
          <w:rFonts w:hAnsi="標楷體"/>
          <w:b/>
        </w:rPr>
        <w:t>陳碧玉</w:t>
      </w:r>
      <w:r w:rsidR="007118E5" w:rsidRPr="007319CD">
        <w:rPr>
          <w:rFonts w:hAnsi="標楷體"/>
          <w:b/>
        </w:rPr>
        <w:t>大法官</w:t>
      </w:r>
      <w:r w:rsidR="00F026C5" w:rsidRPr="007319CD">
        <w:rPr>
          <w:rFonts w:hAnsi="標楷體" w:hint="eastAsia"/>
          <w:b/>
        </w:rPr>
        <w:t>公職人員依法退休時，國家應給付法定退休金，此權利受憲法制度性之保障</w:t>
      </w:r>
    </w:p>
    <w:p w:rsidR="00707A26" w:rsidRPr="007319CD" w:rsidRDefault="00707A26" w:rsidP="00C65CF2">
      <w:pPr>
        <w:pStyle w:val="62"/>
        <w:ind w:left="2381" w:firstLine="680"/>
        <w:rPr>
          <w:rFonts w:hAnsi="標楷體"/>
        </w:rPr>
      </w:pPr>
      <w:r w:rsidRPr="007319CD">
        <w:rPr>
          <w:rFonts w:hAnsi="標楷體"/>
        </w:rPr>
        <w:t>公職人員依法退休時，國家應給付法定退休金，此權利受憲法制度性之保障（</w:t>
      </w:r>
      <w:r w:rsidR="007118E5" w:rsidRPr="007319CD">
        <w:rPr>
          <w:rFonts w:hAnsi="標楷體"/>
        </w:rPr>
        <w:t>司法院</w:t>
      </w:r>
      <w:r w:rsidRPr="007319CD">
        <w:rPr>
          <w:rFonts w:hAnsi="標楷體"/>
        </w:rPr>
        <w:t>釋字第</w:t>
      </w:r>
      <w:r w:rsidR="00670302" w:rsidRPr="007319CD">
        <w:rPr>
          <w:rFonts w:hAnsi="標楷體"/>
        </w:rPr>
        <w:t>605</w:t>
      </w:r>
      <w:r w:rsidRPr="007319CD">
        <w:rPr>
          <w:rFonts w:hAnsi="標楷體"/>
        </w:rPr>
        <w:t>號解釋參照）。退休所得替代率雖非恆定，然應有其長期性，替代率確定後，依此計算之法定退休金，即應受憲法制度性之保障，非有極重大公益，不得以法規</w:t>
      </w:r>
      <w:proofErr w:type="gramStart"/>
      <w:r w:rsidRPr="007319CD">
        <w:rPr>
          <w:rFonts w:hAnsi="標楷體"/>
        </w:rPr>
        <w:t>變動更異</w:t>
      </w:r>
      <w:proofErr w:type="gramEnd"/>
      <w:r w:rsidRPr="007319CD">
        <w:rPr>
          <w:rFonts w:hAnsi="標楷體"/>
        </w:rPr>
        <w:t>。</w:t>
      </w:r>
    </w:p>
    <w:p w:rsidR="00083092" w:rsidRPr="007319CD" w:rsidRDefault="00AF5BDB" w:rsidP="00DF05A6">
      <w:pPr>
        <w:pStyle w:val="3"/>
        <w:rPr>
          <w:rFonts w:hAnsi="標楷體"/>
          <w:b/>
        </w:rPr>
      </w:pPr>
      <w:r w:rsidRPr="007319CD">
        <w:rPr>
          <w:rFonts w:hAnsi="標楷體" w:hint="eastAsia"/>
          <w:b/>
        </w:rPr>
        <w:t>按</w:t>
      </w:r>
      <w:r w:rsidR="00083092" w:rsidRPr="007319CD">
        <w:rPr>
          <w:rFonts w:hAnsi="標楷體"/>
          <w:b/>
        </w:rPr>
        <w:t>法律</w:t>
      </w:r>
      <w:proofErr w:type="gramStart"/>
      <w:r w:rsidR="00083092" w:rsidRPr="007319CD">
        <w:rPr>
          <w:rFonts w:hAnsi="標楷體"/>
          <w:b/>
        </w:rPr>
        <w:t>不</w:t>
      </w:r>
      <w:proofErr w:type="gramEnd"/>
      <w:r w:rsidR="00083092" w:rsidRPr="007319CD">
        <w:rPr>
          <w:rFonts w:hAnsi="標楷體"/>
          <w:b/>
        </w:rPr>
        <w:t>溯既往原則是法規範概念，必須符合規範經驗，亦即回歸法安定性之基本原則，討論「法規生效前『業已終結』之事實或法律關係」，考察各國制度，</w:t>
      </w:r>
      <w:proofErr w:type="gramStart"/>
      <w:r w:rsidR="00083092" w:rsidRPr="007319CD">
        <w:rPr>
          <w:rFonts w:hAnsi="標楷體"/>
          <w:b/>
        </w:rPr>
        <w:t>採</w:t>
      </w:r>
      <w:proofErr w:type="gramEnd"/>
      <w:r w:rsidR="00083092" w:rsidRPr="007319CD">
        <w:rPr>
          <w:rFonts w:hAnsi="標楷體"/>
          <w:b/>
        </w:rPr>
        <w:t>年金制，新設制度僅適用新加入公務員，其餘公務員得自由加入；</w:t>
      </w:r>
      <w:proofErr w:type="gramStart"/>
      <w:r w:rsidR="00083092" w:rsidRPr="007319CD">
        <w:rPr>
          <w:rFonts w:hAnsi="標楷體"/>
          <w:b/>
        </w:rPr>
        <w:t>採</w:t>
      </w:r>
      <w:proofErr w:type="gramEnd"/>
      <w:r w:rsidR="00083092" w:rsidRPr="007319CD">
        <w:rPr>
          <w:rFonts w:hAnsi="標楷體"/>
          <w:b/>
        </w:rPr>
        <w:t>恩給制德國滿「法定退休年齡」公務員（不論退休與否），恩給條件均依舊法，</w:t>
      </w:r>
      <w:proofErr w:type="gramStart"/>
      <w:r w:rsidR="00083092" w:rsidRPr="007319CD">
        <w:rPr>
          <w:rFonts w:hAnsi="標楷體"/>
          <w:b/>
        </w:rPr>
        <w:t>均與我國</w:t>
      </w:r>
      <w:proofErr w:type="gramEnd"/>
      <w:r w:rsidR="00083092" w:rsidRPr="007319CD">
        <w:rPr>
          <w:rFonts w:hAnsi="標楷體"/>
          <w:b/>
        </w:rPr>
        <w:t>法律有極大差異。</w:t>
      </w:r>
    </w:p>
    <w:p w:rsidR="00707A26" w:rsidRPr="007319CD" w:rsidRDefault="00090C19" w:rsidP="00F32805">
      <w:pPr>
        <w:pStyle w:val="4"/>
        <w:rPr>
          <w:rFonts w:hAnsi="標楷體"/>
        </w:rPr>
      </w:pPr>
      <w:r w:rsidRPr="007319CD">
        <w:rPr>
          <w:rFonts w:hAnsi="標楷體"/>
        </w:rPr>
        <w:lastRenderedPageBreak/>
        <w:t>法律</w:t>
      </w:r>
      <w:proofErr w:type="gramStart"/>
      <w:r w:rsidRPr="007319CD">
        <w:rPr>
          <w:rFonts w:hAnsi="標楷體"/>
        </w:rPr>
        <w:t>不</w:t>
      </w:r>
      <w:proofErr w:type="gramEnd"/>
      <w:r w:rsidRPr="007319CD">
        <w:rPr>
          <w:rFonts w:hAnsi="標楷體"/>
        </w:rPr>
        <w:t>溯既往原則是法規範概念，必須符合規範經驗，亦即回歸「維護法秩序安定並保護人民信賴與預見可能性，故人民因信賴法律秩序，而安排其生涯規劃或處置其財產者，不能因法規制定或修正，而使其遭受不可預見之損害」討論何謂「法規生效前『業已終結』之事實或法律關係」該不確定法律概念</w:t>
      </w:r>
      <w:r w:rsidR="00B808DE" w:rsidRPr="007319CD">
        <w:rPr>
          <w:rFonts w:hAnsi="標楷體"/>
        </w:rPr>
        <w:t>，正如</w:t>
      </w:r>
      <w:r w:rsidR="00707A26" w:rsidRPr="007319CD">
        <w:rPr>
          <w:rFonts w:hAnsi="標楷體"/>
        </w:rPr>
        <w:t>美國霍姆斯</w:t>
      </w:r>
      <w:r w:rsidR="00EF14C1" w:rsidRPr="007319CD">
        <w:rPr>
          <w:rFonts w:hAnsi="標楷體"/>
        </w:rPr>
        <w:t>大法官</w:t>
      </w:r>
      <w:proofErr w:type="gramStart"/>
      <w:r w:rsidR="00707A26" w:rsidRPr="007319CD">
        <w:rPr>
          <w:rFonts w:hAnsi="標楷體"/>
        </w:rPr>
        <w:t>（</w:t>
      </w:r>
      <w:proofErr w:type="gramEnd"/>
      <w:r w:rsidR="00707A26" w:rsidRPr="007319CD">
        <w:rPr>
          <w:rFonts w:hAnsi="標楷體"/>
        </w:rPr>
        <w:t>Oliver Wendell Holmes, Jr.）在普通法(The Common Law)一書中稱：「The life of the law has not been logic; it has been experience」</w:t>
      </w:r>
      <w:r w:rsidR="00707A26" w:rsidRPr="007319CD">
        <w:rPr>
          <w:rFonts w:hAnsi="標楷體"/>
          <w:vertAlign w:val="superscript"/>
        </w:rPr>
        <w:footnoteReference w:id="21"/>
      </w:r>
      <w:r w:rsidR="00707A26" w:rsidRPr="007319CD">
        <w:rPr>
          <w:rFonts w:hAnsi="標楷體"/>
        </w:rPr>
        <w:t>，其意指法律論理過程固需符合嚴謹的邏輯推演方法，惟機械邏輯推演，需要「經驗」來賦予法律生命。在邏輯形式的背後，存在著各種價值判斷，這才是法規範之根源與生命</w:t>
      </w:r>
      <w:r w:rsidR="00B808DE" w:rsidRPr="007319CD">
        <w:rPr>
          <w:rFonts w:hAnsi="標楷體"/>
        </w:rPr>
        <w:t>，</w:t>
      </w:r>
      <w:proofErr w:type="gramStart"/>
      <w:r w:rsidR="00B808DE" w:rsidRPr="007319CD">
        <w:rPr>
          <w:rFonts w:hAnsi="標楷體"/>
        </w:rPr>
        <w:t>準</w:t>
      </w:r>
      <w:proofErr w:type="gramEnd"/>
      <w:r w:rsidR="00B808DE" w:rsidRPr="007319CD">
        <w:rPr>
          <w:rFonts w:hAnsi="標楷體"/>
        </w:rPr>
        <w:t>此，則可從其他國家</w:t>
      </w:r>
      <w:r w:rsidR="00052556" w:rsidRPr="007319CD">
        <w:rPr>
          <w:rFonts w:hAnsi="標楷體"/>
        </w:rPr>
        <w:t>退撫（年金）制度加以考察</w:t>
      </w:r>
      <w:r w:rsidR="00F32805" w:rsidRPr="007319CD">
        <w:rPr>
          <w:rFonts w:hAnsi="標楷體"/>
        </w:rPr>
        <w:t>，目前各國制度，若</w:t>
      </w:r>
      <w:proofErr w:type="gramStart"/>
      <w:r w:rsidR="00F32805" w:rsidRPr="007319CD">
        <w:rPr>
          <w:rFonts w:hAnsi="標楷體"/>
        </w:rPr>
        <w:t>採</w:t>
      </w:r>
      <w:proofErr w:type="gramEnd"/>
      <w:r w:rsidR="00F32805" w:rsidRPr="007319CD">
        <w:rPr>
          <w:rFonts w:hAnsi="標楷體"/>
        </w:rPr>
        <w:t>年金制，新設制度僅適用新加入公務員，其餘公務員得自由加入；若</w:t>
      </w:r>
      <w:proofErr w:type="gramStart"/>
      <w:r w:rsidR="00F32805" w:rsidRPr="007319CD">
        <w:rPr>
          <w:rFonts w:hAnsi="標楷體"/>
        </w:rPr>
        <w:t>採</w:t>
      </w:r>
      <w:proofErr w:type="gramEnd"/>
      <w:r w:rsidR="00F32805" w:rsidRPr="007319CD">
        <w:rPr>
          <w:rFonts w:hAnsi="標楷體"/>
        </w:rPr>
        <w:t>恩給制的德國滿「法定退休年齡」之公務員（不論退休與否），恩給條件均依舊法，詳如下述</w:t>
      </w:r>
      <w:r w:rsidR="00707A26" w:rsidRPr="007319CD">
        <w:rPr>
          <w:rFonts w:hAnsi="標楷體"/>
        </w:rPr>
        <w:t>。</w:t>
      </w:r>
    </w:p>
    <w:p w:rsidR="00707A26" w:rsidRPr="007319CD" w:rsidRDefault="00707A26" w:rsidP="000D5BE5">
      <w:pPr>
        <w:pStyle w:val="5"/>
        <w:rPr>
          <w:rFonts w:hAnsi="標楷體"/>
          <w:b/>
        </w:rPr>
      </w:pPr>
      <w:r w:rsidRPr="007319CD">
        <w:rPr>
          <w:rFonts w:hAnsi="標楷體"/>
          <w:b/>
        </w:rPr>
        <w:t>美國</w:t>
      </w:r>
      <w:r w:rsidR="00444B01" w:rsidRPr="007319CD">
        <w:rPr>
          <w:rStyle w:val="aff1"/>
          <w:rFonts w:hAnsi="標楷體"/>
          <w:b/>
        </w:rPr>
        <w:footnoteReference w:id="22"/>
      </w:r>
    </w:p>
    <w:p w:rsidR="00707A26" w:rsidRPr="007319CD" w:rsidRDefault="00707A26" w:rsidP="00B86EF9">
      <w:pPr>
        <w:pStyle w:val="6"/>
        <w:rPr>
          <w:rFonts w:hAnsi="標楷體"/>
        </w:rPr>
      </w:pPr>
      <w:r w:rsidRPr="007319CD">
        <w:rPr>
          <w:rFonts w:hAnsi="標楷體"/>
        </w:rPr>
        <w:t>美國公職人員退休制度（Civil Service Retirement System, CSRS）成立於</w:t>
      </w:r>
      <w:proofErr w:type="gramStart"/>
      <w:r w:rsidRPr="007319CD">
        <w:rPr>
          <w:rFonts w:hAnsi="標楷體"/>
        </w:rPr>
        <w:t>1920</w:t>
      </w:r>
      <w:proofErr w:type="gramEnd"/>
      <w:r w:rsidRPr="007319CD">
        <w:rPr>
          <w:rFonts w:hAnsi="標楷體"/>
        </w:rPr>
        <w:t>年代，並未規定法定退休年齡，員工達到55歲並有30年的服務任職年資、60歲服務任職20年，或者是62歲有</w:t>
      </w:r>
      <w:r w:rsidR="00541028" w:rsidRPr="007319CD">
        <w:rPr>
          <w:rFonts w:hAnsi="標楷體"/>
        </w:rPr>
        <w:t>5</w:t>
      </w:r>
      <w:r w:rsidRPr="007319CD">
        <w:rPr>
          <w:rFonts w:hAnsi="標楷體"/>
        </w:rPr>
        <w:t>年服務任職年資者，給予全額的退休金。對於服務任職未滿5年的員工</w:t>
      </w:r>
      <w:r w:rsidRPr="007319CD">
        <w:rPr>
          <w:rFonts w:hAnsi="標楷體"/>
        </w:rPr>
        <w:lastRenderedPageBreak/>
        <w:t>則將他們的</w:t>
      </w:r>
      <w:proofErr w:type="gramStart"/>
      <w:r w:rsidRPr="007319CD">
        <w:rPr>
          <w:rFonts w:hAnsi="標楷體"/>
        </w:rPr>
        <w:t>提撥</w:t>
      </w:r>
      <w:proofErr w:type="gramEnd"/>
      <w:r w:rsidRPr="007319CD">
        <w:rPr>
          <w:rFonts w:hAnsi="標楷體"/>
        </w:rPr>
        <w:t>金額連帶利息返還。聯邦部門</w:t>
      </w:r>
      <w:r w:rsidR="000453BA" w:rsidRPr="007319CD">
        <w:rPr>
          <w:rFonts w:hAnsi="標楷體"/>
        </w:rPr>
        <w:t>受</w:t>
      </w:r>
      <w:proofErr w:type="gramStart"/>
      <w:r w:rsidR="000453BA" w:rsidRPr="007319CD">
        <w:rPr>
          <w:rFonts w:hAnsi="標楷體"/>
        </w:rPr>
        <w:t>僱</w:t>
      </w:r>
      <w:proofErr w:type="gramEnd"/>
      <w:r w:rsidRPr="007319CD">
        <w:rPr>
          <w:rFonts w:hAnsi="標楷體"/>
        </w:rPr>
        <w:t>者退休制度自1987年1月1日起實施，所有於1983年</w:t>
      </w:r>
      <w:r w:rsidR="00541028" w:rsidRPr="007319CD">
        <w:rPr>
          <w:rFonts w:hAnsi="標楷體"/>
        </w:rPr>
        <w:t>12</w:t>
      </w:r>
      <w:r w:rsidRPr="007319CD">
        <w:rPr>
          <w:rFonts w:hAnsi="標楷體"/>
        </w:rPr>
        <w:t>月31日以後</w:t>
      </w:r>
      <w:r w:rsidR="000453BA" w:rsidRPr="007319CD">
        <w:rPr>
          <w:rFonts w:hAnsi="標楷體"/>
        </w:rPr>
        <w:t>受</w:t>
      </w:r>
      <w:proofErr w:type="gramStart"/>
      <w:r w:rsidR="000453BA" w:rsidRPr="007319CD">
        <w:rPr>
          <w:rFonts w:hAnsi="標楷體"/>
        </w:rPr>
        <w:t>僱</w:t>
      </w:r>
      <w:proofErr w:type="gramEnd"/>
      <w:r w:rsidRPr="007319CD">
        <w:rPr>
          <w:rFonts w:hAnsi="標楷體"/>
        </w:rPr>
        <w:t>之勞工均自動含</w:t>
      </w:r>
      <w:proofErr w:type="gramStart"/>
      <w:r w:rsidRPr="007319CD">
        <w:rPr>
          <w:rFonts w:hAnsi="標楷體"/>
        </w:rPr>
        <w:t>括</w:t>
      </w:r>
      <w:proofErr w:type="gramEnd"/>
      <w:r w:rsidRPr="007319CD">
        <w:rPr>
          <w:rFonts w:hAnsi="標楷體"/>
        </w:rPr>
        <w:t>在此制度內，其餘未包含在內的員工可自由選擇參加與否。聯邦政府提供轉換權給原本在公職人員退休制度下的員工，讓他們可以從公職人員退休制度轉換到聯邦部門</w:t>
      </w:r>
      <w:r w:rsidR="000453BA" w:rsidRPr="007319CD">
        <w:rPr>
          <w:rFonts w:hAnsi="標楷體"/>
        </w:rPr>
        <w:t>受</w:t>
      </w:r>
      <w:proofErr w:type="gramStart"/>
      <w:r w:rsidR="000453BA" w:rsidRPr="007319CD">
        <w:rPr>
          <w:rFonts w:hAnsi="標楷體"/>
        </w:rPr>
        <w:t>僱</w:t>
      </w:r>
      <w:proofErr w:type="gramEnd"/>
      <w:r w:rsidRPr="007319CD">
        <w:rPr>
          <w:rFonts w:hAnsi="標楷體"/>
        </w:rPr>
        <w:t>者退休制度。</w:t>
      </w:r>
    </w:p>
    <w:p w:rsidR="00707A26" w:rsidRPr="007319CD" w:rsidRDefault="00707A26" w:rsidP="00B86EF9">
      <w:pPr>
        <w:pStyle w:val="6"/>
        <w:rPr>
          <w:rFonts w:hAnsi="標楷體"/>
        </w:rPr>
      </w:pPr>
      <w:r w:rsidRPr="007319CD">
        <w:rPr>
          <w:rFonts w:hAnsi="標楷體"/>
        </w:rPr>
        <w:t>美國公務人員退休體制的修法，是多重因素之產物。因為在CSRS制度下，服務任職年資越多，其退休給付將會獲得越多，造成人力資源不流動的異常現象，除阻礙人員升遷管道形成新血無法及時注入外，根據精算結果，在CSRS制度下，每年應計</w:t>
      </w:r>
      <w:proofErr w:type="gramStart"/>
      <w:r w:rsidRPr="007319CD">
        <w:rPr>
          <w:rFonts w:hAnsi="標楷體"/>
        </w:rPr>
        <w:t>提撥</w:t>
      </w:r>
      <w:proofErr w:type="gramEnd"/>
      <w:r w:rsidRPr="007319CD">
        <w:rPr>
          <w:rFonts w:hAnsi="標楷體"/>
        </w:rPr>
        <w:t>率應為 25%，而實際</w:t>
      </w:r>
      <w:proofErr w:type="gramStart"/>
      <w:r w:rsidRPr="007319CD">
        <w:rPr>
          <w:rFonts w:hAnsi="標楷體"/>
        </w:rPr>
        <w:t>提撥</w:t>
      </w:r>
      <w:proofErr w:type="gramEnd"/>
      <w:r w:rsidRPr="007319CD">
        <w:rPr>
          <w:rFonts w:hAnsi="標楷體"/>
        </w:rPr>
        <w:t>率只有 14%，造成</w:t>
      </w:r>
      <w:proofErr w:type="gramStart"/>
      <w:r w:rsidRPr="007319CD">
        <w:rPr>
          <w:rFonts w:hAnsi="標楷體"/>
        </w:rPr>
        <w:t>不</w:t>
      </w:r>
      <w:proofErr w:type="gramEnd"/>
      <w:r w:rsidRPr="007319CD">
        <w:rPr>
          <w:rFonts w:hAnsi="標楷體"/>
        </w:rPr>
        <w:t>足額</w:t>
      </w:r>
      <w:proofErr w:type="gramStart"/>
      <w:r w:rsidRPr="007319CD">
        <w:rPr>
          <w:rFonts w:hAnsi="標楷體"/>
        </w:rPr>
        <w:t>提撥</w:t>
      </w:r>
      <w:proofErr w:type="gramEnd"/>
      <w:r w:rsidRPr="007319CD">
        <w:rPr>
          <w:rFonts w:hAnsi="標楷體"/>
        </w:rPr>
        <w:t>負債。</w:t>
      </w:r>
      <w:r w:rsidRPr="007319CD">
        <w:rPr>
          <w:rFonts w:hAnsi="標楷體"/>
          <w:b/>
        </w:rPr>
        <w:t>美國於1987 年1月1日開始，正式實施了聯邦部門</w:t>
      </w:r>
      <w:r w:rsidR="000453BA" w:rsidRPr="007319CD">
        <w:rPr>
          <w:rFonts w:hAnsi="標楷體"/>
          <w:b/>
        </w:rPr>
        <w:t>受</w:t>
      </w:r>
      <w:proofErr w:type="gramStart"/>
      <w:r w:rsidR="000453BA" w:rsidRPr="007319CD">
        <w:rPr>
          <w:rFonts w:hAnsi="標楷體"/>
          <w:b/>
        </w:rPr>
        <w:t>僱</w:t>
      </w:r>
      <w:proofErr w:type="gramEnd"/>
      <w:r w:rsidRPr="007319CD">
        <w:rPr>
          <w:rFonts w:hAnsi="標楷體"/>
          <w:b/>
        </w:rPr>
        <w:t>者退休制度（Federal Employees Retirement System</w:t>
      </w:r>
      <w:r w:rsidR="00541028" w:rsidRPr="007319CD">
        <w:rPr>
          <w:rFonts w:hAnsi="標楷體"/>
          <w:b/>
        </w:rPr>
        <w:t xml:space="preserve">, </w:t>
      </w:r>
      <w:r w:rsidRPr="007319CD">
        <w:rPr>
          <w:rFonts w:hAnsi="標楷體"/>
          <w:b/>
        </w:rPr>
        <w:t>FERS），</w:t>
      </w:r>
      <w:r w:rsidR="00EF53EF" w:rsidRPr="007319CD">
        <w:rPr>
          <w:rFonts w:hAnsi="標楷體"/>
          <w:b/>
        </w:rPr>
        <w:t>僅</w:t>
      </w:r>
      <w:r w:rsidRPr="007319CD">
        <w:rPr>
          <w:rFonts w:hAnsi="標楷體"/>
          <w:b/>
        </w:rPr>
        <w:t>適用於所有</w:t>
      </w:r>
      <w:r w:rsidR="003F74DE" w:rsidRPr="007319CD">
        <w:rPr>
          <w:rFonts w:hAnsi="標楷體"/>
          <w:b/>
        </w:rPr>
        <w:t>1984</w:t>
      </w:r>
      <w:r w:rsidRPr="007319CD">
        <w:rPr>
          <w:rFonts w:hAnsi="標楷體"/>
          <w:b/>
        </w:rPr>
        <w:t>年起</w:t>
      </w:r>
      <w:r w:rsidR="000453BA" w:rsidRPr="007319CD">
        <w:rPr>
          <w:rFonts w:hAnsi="標楷體"/>
          <w:b/>
        </w:rPr>
        <w:t>受</w:t>
      </w:r>
      <w:proofErr w:type="gramStart"/>
      <w:r w:rsidR="000453BA" w:rsidRPr="007319CD">
        <w:rPr>
          <w:rFonts w:hAnsi="標楷體"/>
          <w:b/>
        </w:rPr>
        <w:t>僱</w:t>
      </w:r>
      <w:proofErr w:type="gramEnd"/>
      <w:r w:rsidRPr="007319CD">
        <w:rPr>
          <w:rFonts w:hAnsi="標楷體"/>
          <w:b/>
        </w:rPr>
        <w:t>於聯邦政府之員工，而</w:t>
      </w:r>
      <w:r w:rsidR="003F74DE" w:rsidRPr="007319CD">
        <w:rPr>
          <w:rFonts w:hAnsi="標楷體"/>
          <w:b/>
        </w:rPr>
        <w:t>1984</w:t>
      </w:r>
      <w:r w:rsidRPr="007319CD">
        <w:rPr>
          <w:rFonts w:hAnsi="標楷體"/>
          <w:b/>
        </w:rPr>
        <w:t>年以前之公務人員，則可以自行選擇加入新的FERS制度或是保有原有的 CSRS 之資格</w:t>
      </w:r>
      <w:r w:rsidR="00B808DE" w:rsidRPr="007319CD">
        <w:rPr>
          <w:rFonts w:hAnsi="標楷體"/>
          <w:b/>
        </w:rPr>
        <w:t>。</w:t>
      </w:r>
    </w:p>
    <w:p w:rsidR="00707A26" w:rsidRPr="007319CD" w:rsidRDefault="00707A26" w:rsidP="00B86EF9">
      <w:pPr>
        <w:pStyle w:val="5"/>
        <w:rPr>
          <w:rFonts w:hAnsi="標楷體"/>
          <w:b/>
        </w:rPr>
      </w:pPr>
      <w:r w:rsidRPr="007319CD">
        <w:rPr>
          <w:rFonts w:hAnsi="標楷體"/>
          <w:b/>
        </w:rPr>
        <w:t>英國</w:t>
      </w:r>
      <w:r w:rsidR="001F172D" w:rsidRPr="007319CD">
        <w:rPr>
          <w:rStyle w:val="aff1"/>
          <w:rFonts w:hAnsi="標楷體"/>
          <w:b/>
        </w:rPr>
        <w:footnoteReference w:id="23"/>
      </w:r>
    </w:p>
    <w:p w:rsidR="00707A26" w:rsidRPr="007319CD" w:rsidRDefault="00707A26" w:rsidP="006336B5">
      <w:pPr>
        <w:pStyle w:val="52"/>
        <w:ind w:left="2041" w:firstLine="680"/>
        <w:rPr>
          <w:rFonts w:hAnsi="標楷體"/>
          <w:b/>
        </w:rPr>
      </w:pPr>
      <w:r w:rsidRPr="007319CD">
        <w:rPr>
          <w:rFonts w:hAnsi="標楷體"/>
        </w:rPr>
        <w:t>英國公職人員退休金</w:t>
      </w:r>
      <w:r w:rsidR="00843D8F" w:rsidRPr="007319CD">
        <w:rPr>
          <w:rFonts w:hAnsi="標楷體"/>
        </w:rPr>
        <w:t>計畫</w:t>
      </w:r>
      <w:r w:rsidRPr="007319CD">
        <w:rPr>
          <w:rFonts w:hAnsi="標楷體"/>
        </w:rPr>
        <w:t>係依據1972年退休金養老制度法案規定所建置，在2002年10月之前，大英國協中央政府部門與執行機構所聘僱之公務人員原都隸屬於「公務人員退休金</w:t>
      </w:r>
      <w:r w:rsidR="00843D8F" w:rsidRPr="007319CD">
        <w:rPr>
          <w:rFonts w:hAnsi="標楷體"/>
        </w:rPr>
        <w:t>計畫</w:t>
      </w:r>
      <w:r w:rsidRPr="007319CD">
        <w:rPr>
          <w:rFonts w:hAnsi="標楷體"/>
        </w:rPr>
        <w:t xml:space="preserve">（Principal Civil Service Pension Scheme, </w:t>
      </w:r>
      <w:r w:rsidRPr="007319CD">
        <w:rPr>
          <w:rFonts w:hAnsi="標楷體"/>
        </w:rPr>
        <w:lastRenderedPageBreak/>
        <w:t>PCSPS）」，此</w:t>
      </w:r>
      <w:r w:rsidR="00843D8F" w:rsidRPr="007319CD">
        <w:rPr>
          <w:rFonts w:hAnsi="標楷體"/>
        </w:rPr>
        <w:t>計畫</w:t>
      </w:r>
      <w:r w:rsidRPr="007319CD">
        <w:rPr>
          <w:rFonts w:hAnsi="標楷體"/>
        </w:rPr>
        <w:t>稱為「傳統型</w:t>
      </w:r>
      <w:r w:rsidR="00843D8F" w:rsidRPr="007319CD">
        <w:rPr>
          <w:rFonts w:hAnsi="標楷體"/>
        </w:rPr>
        <w:t>計畫</w:t>
      </w:r>
      <w:r w:rsidRPr="007319CD">
        <w:rPr>
          <w:rFonts w:hAnsi="標楷體"/>
        </w:rPr>
        <w:t>」</w:t>
      </w:r>
      <w:r w:rsidR="00EF53EF" w:rsidRPr="007319CD">
        <w:rPr>
          <w:rFonts w:hAnsi="標楷體"/>
        </w:rPr>
        <w:t>（Classical）</w:t>
      </w:r>
      <w:r w:rsidRPr="007319CD">
        <w:rPr>
          <w:rFonts w:hAnsi="標楷體"/>
        </w:rPr>
        <w:t>，但自</w:t>
      </w:r>
      <w:r w:rsidR="003F74DE" w:rsidRPr="007319CD">
        <w:rPr>
          <w:rFonts w:hAnsi="標楷體"/>
        </w:rPr>
        <w:t>2002</w:t>
      </w:r>
      <w:r w:rsidRPr="007319CD">
        <w:rPr>
          <w:rFonts w:hAnsi="標楷體"/>
        </w:rPr>
        <w:t>年</w:t>
      </w:r>
      <w:r w:rsidR="003F74DE" w:rsidRPr="007319CD">
        <w:rPr>
          <w:rFonts w:hAnsi="標楷體"/>
        </w:rPr>
        <w:t>10</w:t>
      </w:r>
      <w:r w:rsidRPr="007319CD">
        <w:rPr>
          <w:rFonts w:hAnsi="標楷體"/>
        </w:rPr>
        <w:t>月起，因應勞動市場結構的改變，提供公務人員更多的選擇機會，因此將原先的公務人員退休金計劃改成「</w:t>
      </w:r>
      <w:proofErr w:type="gramStart"/>
      <w:r w:rsidRPr="007319CD">
        <w:rPr>
          <w:rFonts w:hAnsi="標楷體"/>
        </w:rPr>
        <w:t>公務人員服職退休金</w:t>
      </w:r>
      <w:proofErr w:type="gramEnd"/>
      <w:r w:rsidR="00843D8F" w:rsidRPr="007319CD">
        <w:rPr>
          <w:rFonts w:hAnsi="標楷體"/>
        </w:rPr>
        <w:t>計畫</w:t>
      </w:r>
      <w:r w:rsidRPr="007319CD">
        <w:rPr>
          <w:rFonts w:hAnsi="標楷體"/>
        </w:rPr>
        <w:t>（Civil Service Pensions）</w:t>
      </w:r>
      <w:r w:rsidR="001F5B3F" w:rsidRPr="007319CD">
        <w:rPr>
          <w:rFonts w:hAnsi="標楷體"/>
        </w:rPr>
        <w:t>」</w:t>
      </w:r>
      <w:r w:rsidRPr="007319CD">
        <w:rPr>
          <w:rFonts w:hAnsi="標楷體"/>
        </w:rPr>
        <w:t>，</w:t>
      </w:r>
      <w:r w:rsidR="003F74DE" w:rsidRPr="007319CD">
        <w:rPr>
          <w:rFonts w:hAnsi="標楷體"/>
        </w:rPr>
        <w:t>2007</w:t>
      </w:r>
      <w:r w:rsidRPr="007319CD">
        <w:rPr>
          <w:rFonts w:hAnsi="標楷體"/>
        </w:rPr>
        <w:t>年</w:t>
      </w:r>
      <w:r w:rsidR="003F74DE" w:rsidRPr="007319CD">
        <w:rPr>
          <w:rFonts w:hAnsi="標楷體"/>
        </w:rPr>
        <w:t>7</w:t>
      </w:r>
      <w:r w:rsidRPr="007319CD">
        <w:rPr>
          <w:rFonts w:hAnsi="標楷體"/>
        </w:rPr>
        <w:t>月</w:t>
      </w:r>
      <w:r w:rsidR="003F74DE" w:rsidRPr="007319CD">
        <w:rPr>
          <w:rFonts w:hAnsi="標楷體"/>
        </w:rPr>
        <w:t>30</w:t>
      </w:r>
      <w:r w:rsidRPr="007319CD">
        <w:rPr>
          <w:rFonts w:hAnsi="標楷體"/>
        </w:rPr>
        <w:t>日修法後，新進成員可選擇「Nuvos</w:t>
      </w:r>
      <w:r w:rsidR="00843D8F" w:rsidRPr="007319CD">
        <w:rPr>
          <w:rFonts w:hAnsi="標楷體"/>
        </w:rPr>
        <w:t>計畫</w:t>
      </w:r>
      <w:r w:rsidRPr="007319CD">
        <w:rPr>
          <w:rFonts w:hAnsi="標楷體"/>
        </w:rPr>
        <w:t>」或「合夥型</w:t>
      </w:r>
      <w:r w:rsidR="00843D8F" w:rsidRPr="007319CD">
        <w:rPr>
          <w:rFonts w:hAnsi="標楷體"/>
        </w:rPr>
        <w:t>計畫</w:t>
      </w:r>
      <w:r w:rsidRPr="007319CD">
        <w:rPr>
          <w:rFonts w:hAnsi="標楷體"/>
        </w:rPr>
        <w:t>」。因此，2007年修法後，英國共經歷</w:t>
      </w:r>
      <w:r w:rsidR="00C66C5A" w:rsidRPr="007319CD">
        <w:rPr>
          <w:rFonts w:hAnsi="標楷體" w:hint="eastAsia"/>
        </w:rPr>
        <w:t>5</w:t>
      </w:r>
      <w:r w:rsidRPr="007319CD">
        <w:rPr>
          <w:rFonts w:hAnsi="標楷體"/>
        </w:rPr>
        <w:t>種公職人員退休金制度，包括「傳統型</w:t>
      </w:r>
      <w:r w:rsidR="00843D8F" w:rsidRPr="007319CD">
        <w:rPr>
          <w:rFonts w:hAnsi="標楷體"/>
        </w:rPr>
        <w:t>計畫</w:t>
      </w:r>
      <w:r w:rsidRPr="007319CD">
        <w:rPr>
          <w:rFonts w:hAnsi="標楷體"/>
        </w:rPr>
        <w:t>」</w:t>
      </w:r>
      <w:r w:rsidR="001F5B3F" w:rsidRPr="007319CD">
        <w:rPr>
          <w:rFonts w:hAnsi="標楷體"/>
        </w:rPr>
        <w:t>（Classical）</w:t>
      </w:r>
      <w:r w:rsidRPr="007319CD">
        <w:rPr>
          <w:rFonts w:hAnsi="標楷體"/>
        </w:rPr>
        <w:t>、「優質</w:t>
      </w:r>
      <w:r w:rsidR="00843D8F" w:rsidRPr="007319CD">
        <w:rPr>
          <w:rFonts w:hAnsi="標楷體"/>
        </w:rPr>
        <w:t>計畫</w:t>
      </w:r>
      <w:r w:rsidRPr="007319CD">
        <w:rPr>
          <w:rFonts w:hAnsi="標楷體"/>
        </w:rPr>
        <w:t>」</w:t>
      </w:r>
      <w:r w:rsidR="001F5B3F" w:rsidRPr="007319CD">
        <w:rPr>
          <w:rFonts w:hAnsi="標楷體"/>
        </w:rPr>
        <w:t>（Premium）</w:t>
      </w:r>
      <w:r w:rsidRPr="007319CD">
        <w:rPr>
          <w:rFonts w:hAnsi="標楷體"/>
        </w:rPr>
        <w:t>、「傳統加值型計畫」</w:t>
      </w:r>
      <w:r w:rsidR="001F5B3F" w:rsidRPr="007319CD">
        <w:rPr>
          <w:rFonts w:hAnsi="標楷體"/>
        </w:rPr>
        <w:t>（Classic</w:t>
      </w:r>
      <w:r w:rsidR="006336B5" w:rsidRPr="007319CD">
        <w:rPr>
          <w:rFonts w:hAnsi="標楷體"/>
        </w:rPr>
        <w:t xml:space="preserve"> </w:t>
      </w:r>
      <w:r w:rsidR="001F5B3F" w:rsidRPr="007319CD">
        <w:rPr>
          <w:rFonts w:hAnsi="標楷體"/>
        </w:rPr>
        <w:t>plus）</w:t>
      </w:r>
      <w:r w:rsidRPr="007319CD">
        <w:rPr>
          <w:rFonts w:hAnsi="標楷體"/>
        </w:rPr>
        <w:t>、「合夥型計畫」</w:t>
      </w:r>
      <w:r w:rsidR="006336B5" w:rsidRPr="007319CD">
        <w:rPr>
          <w:rFonts w:hAnsi="標楷體"/>
        </w:rPr>
        <w:t>（Partner ship pension account）</w:t>
      </w:r>
      <w:r w:rsidRPr="007319CD">
        <w:rPr>
          <w:rFonts w:hAnsi="標楷體"/>
        </w:rPr>
        <w:t>及「Nuvos計畫」供員工選擇。就目前公務人員退休金計畫類型而言，「傳統型」、「優質型」以及「傳統加值型」</w:t>
      </w:r>
      <w:r w:rsidR="00843D8F" w:rsidRPr="007319CD">
        <w:rPr>
          <w:rFonts w:hAnsi="標楷體"/>
        </w:rPr>
        <w:t>計畫</w:t>
      </w:r>
      <w:r w:rsidRPr="007319CD">
        <w:rPr>
          <w:rFonts w:hAnsi="標楷體"/>
        </w:rPr>
        <w:t>是屬於舊的退休金制度，其屬於確定給付制退休金制度，法定一般退休年齡皆為60歲，目前此3個</w:t>
      </w:r>
      <w:r w:rsidR="00843D8F" w:rsidRPr="007319CD">
        <w:rPr>
          <w:rFonts w:hAnsi="標楷體"/>
        </w:rPr>
        <w:t>計畫</w:t>
      </w:r>
      <w:r w:rsidRPr="007319CD">
        <w:rPr>
          <w:rFonts w:hAnsi="標楷體"/>
        </w:rPr>
        <w:t>已不再開放新進員工選擇適用；現行</w:t>
      </w:r>
      <w:r w:rsidR="00843D8F" w:rsidRPr="007319CD">
        <w:rPr>
          <w:rFonts w:hAnsi="標楷體"/>
        </w:rPr>
        <w:t>計畫</w:t>
      </w:r>
      <w:r w:rsidRPr="007319CD">
        <w:rPr>
          <w:rFonts w:hAnsi="標楷體"/>
        </w:rPr>
        <w:t>為「合夥型」及「Nuvos」</w:t>
      </w:r>
      <w:r w:rsidR="00843D8F" w:rsidRPr="007319CD">
        <w:rPr>
          <w:rFonts w:hAnsi="標楷體"/>
        </w:rPr>
        <w:t>計畫</w:t>
      </w:r>
      <w:r w:rsidRPr="007319CD">
        <w:rPr>
          <w:rFonts w:hAnsi="標楷體"/>
        </w:rPr>
        <w:t>，其中「合夥型</w:t>
      </w:r>
      <w:r w:rsidR="00843D8F" w:rsidRPr="007319CD">
        <w:rPr>
          <w:rFonts w:hAnsi="標楷體"/>
        </w:rPr>
        <w:t>計畫</w:t>
      </w:r>
      <w:r w:rsidRPr="007319CD">
        <w:rPr>
          <w:rFonts w:hAnsi="標楷體"/>
        </w:rPr>
        <w:t>」是確定</w:t>
      </w:r>
      <w:proofErr w:type="gramStart"/>
      <w:r w:rsidRPr="007319CD">
        <w:rPr>
          <w:rFonts w:hAnsi="標楷體"/>
        </w:rPr>
        <w:t>提撥</w:t>
      </w:r>
      <w:proofErr w:type="gramEnd"/>
      <w:r w:rsidRPr="007319CD">
        <w:rPr>
          <w:rFonts w:hAnsi="標楷體"/>
        </w:rPr>
        <w:t>退休金制度，提供員工可於55歲至75歲期間自由提領，「Nuvos</w:t>
      </w:r>
      <w:r w:rsidR="00843D8F" w:rsidRPr="007319CD">
        <w:rPr>
          <w:rFonts w:hAnsi="標楷體"/>
        </w:rPr>
        <w:t>計畫</w:t>
      </w:r>
      <w:r w:rsidRPr="007319CD">
        <w:rPr>
          <w:rFonts w:hAnsi="標楷體"/>
        </w:rPr>
        <w:t>」為確定給付制退休金制度，新員工適用法定一般退休年齡65歲。</w:t>
      </w:r>
      <w:r w:rsidR="006336B5" w:rsidRPr="007319CD">
        <w:rPr>
          <w:rFonts w:hAnsi="標楷體"/>
        </w:rPr>
        <w:t>上開</w:t>
      </w:r>
      <w:r w:rsidRPr="007319CD">
        <w:rPr>
          <w:rFonts w:hAnsi="標楷體"/>
          <w:b/>
        </w:rPr>
        <w:t>優質</w:t>
      </w:r>
      <w:r w:rsidR="00843D8F" w:rsidRPr="007319CD">
        <w:rPr>
          <w:rFonts w:hAnsi="標楷體"/>
          <w:b/>
        </w:rPr>
        <w:t>計畫</w:t>
      </w:r>
      <w:r w:rsidR="006336B5" w:rsidRPr="007319CD">
        <w:rPr>
          <w:rFonts w:hAnsi="標楷體"/>
          <w:b/>
        </w:rPr>
        <w:t>僅</w:t>
      </w:r>
      <w:r w:rsidRPr="007319CD">
        <w:rPr>
          <w:rFonts w:hAnsi="標楷體"/>
          <w:b/>
        </w:rPr>
        <w:t>適用自200</w:t>
      </w:r>
      <w:r w:rsidR="003F74DE" w:rsidRPr="007319CD">
        <w:rPr>
          <w:rFonts w:hAnsi="標楷體"/>
          <w:b/>
        </w:rPr>
        <w:t>2</w:t>
      </w:r>
      <w:r w:rsidRPr="007319CD">
        <w:rPr>
          <w:rFonts w:hAnsi="標楷體"/>
          <w:b/>
        </w:rPr>
        <w:t>年</w:t>
      </w:r>
      <w:r w:rsidR="003F74DE" w:rsidRPr="007319CD">
        <w:rPr>
          <w:rFonts w:hAnsi="標楷體"/>
          <w:b/>
        </w:rPr>
        <w:t>10</w:t>
      </w:r>
      <w:r w:rsidRPr="007319CD">
        <w:rPr>
          <w:rFonts w:hAnsi="標楷體"/>
          <w:b/>
        </w:rPr>
        <w:t>月到</w:t>
      </w:r>
      <w:r w:rsidR="003F74DE" w:rsidRPr="007319CD">
        <w:rPr>
          <w:rFonts w:hAnsi="標楷體"/>
          <w:b/>
        </w:rPr>
        <w:t>2007</w:t>
      </w:r>
      <w:r w:rsidRPr="007319CD">
        <w:rPr>
          <w:rFonts w:hAnsi="標楷體"/>
          <w:b/>
        </w:rPr>
        <w:t>年</w:t>
      </w:r>
      <w:r w:rsidR="003F74DE" w:rsidRPr="007319CD">
        <w:rPr>
          <w:rFonts w:hAnsi="標楷體"/>
          <w:b/>
        </w:rPr>
        <w:t>7</w:t>
      </w:r>
      <w:r w:rsidRPr="007319CD">
        <w:rPr>
          <w:rFonts w:hAnsi="標楷體"/>
          <w:b/>
        </w:rPr>
        <w:t>月29</w:t>
      </w:r>
      <w:r w:rsidR="006336B5" w:rsidRPr="007319CD">
        <w:rPr>
          <w:rFonts w:hAnsi="標楷體"/>
          <w:b/>
        </w:rPr>
        <w:t>日新任職於大英國協政府部門的員工，</w:t>
      </w:r>
      <w:r w:rsidRPr="007319CD">
        <w:rPr>
          <w:rFonts w:hAnsi="標楷體"/>
          <w:b/>
        </w:rPr>
        <w:t>是以最後薪資計算的確定給付職業退休年金制，其</w:t>
      </w:r>
      <w:proofErr w:type="gramStart"/>
      <w:r w:rsidRPr="007319CD">
        <w:rPr>
          <w:rFonts w:hAnsi="標楷體"/>
          <w:b/>
        </w:rPr>
        <w:t>提撥</w:t>
      </w:r>
      <w:proofErr w:type="gramEnd"/>
      <w:r w:rsidRPr="007319CD">
        <w:rPr>
          <w:rFonts w:hAnsi="標楷體"/>
          <w:b/>
        </w:rPr>
        <w:t>率、退休年齡及退休給付的計算</w:t>
      </w:r>
      <w:r w:rsidR="006336B5" w:rsidRPr="007319CD">
        <w:rPr>
          <w:rFonts w:hAnsi="標楷體"/>
          <w:b/>
        </w:rPr>
        <w:t>則</w:t>
      </w:r>
      <w:r w:rsidRPr="007319CD">
        <w:rPr>
          <w:rFonts w:hAnsi="標楷體"/>
          <w:b/>
        </w:rPr>
        <w:t>如傳統型加值</w:t>
      </w:r>
      <w:r w:rsidR="00843D8F" w:rsidRPr="007319CD">
        <w:rPr>
          <w:rFonts w:hAnsi="標楷體"/>
          <w:b/>
        </w:rPr>
        <w:t>計畫</w:t>
      </w:r>
      <w:r w:rsidRPr="007319CD">
        <w:rPr>
          <w:rFonts w:hAnsi="標楷體"/>
          <w:b/>
        </w:rPr>
        <w:t>，只適用於在</w:t>
      </w:r>
      <w:r w:rsidR="003F74DE" w:rsidRPr="007319CD">
        <w:rPr>
          <w:rFonts w:hAnsi="標楷體"/>
          <w:b/>
        </w:rPr>
        <w:t>2002</w:t>
      </w:r>
      <w:r w:rsidRPr="007319CD">
        <w:rPr>
          <w:rFonts w:hAnsi="標楷體"/>
          <w:b/>
        </w:rPr>
        <w:t>年</w:t>
      </w:r>
      <w:r w:rsidR="003F74DE" w:rsidRPr="007319CD">
        <w:rPr>
          <w:rFonts w:hAnsi="標楷體"/>
          <w:b/>
        </w:rPr>
        <w:t>10</w:t>
      </w:r>
      <w:r w:rsidRPr="007319CD">
        <w:rPr>
          <w:rFonts w:hAnsi="標楷體"/>
          <w:b/>
        </w:rPr>
        <w:t>月</w:t>
      </w:r>
      <w:r w:rsidR="003F74DE" w:rsidRPr="007319CD">
        <w:rPr>
          <w:rFonts w:hAnsi="標楷體"/>
          <w:b/>
        </w:rPr>
        <w:t>1</w:t>
      </w:r>
      <w:r w:rsidRPr="007319CD">
        <w:rPr>
          <w:rFonts w:hAnsi="標楷體"/>
          <w:b/>
        </w:rPr>
        <w:t>日之前任職於大英國協政府部門的員工，</w:t>
      </w:r>
      <w:r w:rsidR="006336B5" w:rsidRPr="007319CD">
        <w:rPr>
          <w:rFonts w:hAnsi="標楷體"/>
          <w:b/>
        </w:rPr>
        <w:t>該</w:t>
      </w:r>
      <w:r w:rsidR="00843D8F" w:rsidRPr="007319CD">
        <w:rPr>
          <w:rFonts w:hAnsi="標楷體"/>
          <w:b/>
        </w:rPr>
        <w:t>計畫</w:t>
      </w:r>
      <w:r w:rsidRPr="007319CD">
        <w:rPr>
          <w:rFonts w:hAnsi="標楷體"/>
          <w:b/>
        </w:rPr>
        <w:t>是以最後薪資計算的確定給付退休年金制。</w:t>
      </w:r>
    </w:p>
    <w:p w:rsidR="00707A26" w:rsidRPr="007319CD" w:rsidRDefault="00707A26" w:rsidP="00B86EF9">
      <w:pPr>
        <w:pStyle w:val="5"/>
        <w:rPr>
          <w:rFonts w:hAnsi="標楷體"/>
          <w:b/>
        </w:rPr>
      </w:pPr>
      <w:r w:rsidRPr="007319CD">
        <w:rPr>
          <w:rFonts w:hAnsi="標楷體"/>
          <w:b/>
        </w:rPr>
        <w:lastRenderedPageBreak/>
        <w:t>德國</w:t>
      </w:r>
      <w:r w:rsidR="00444B01" w:rsidRPr="007319CD">
        <w:rPr>
          <w:rStyle w:val="aff1"/>
          <w:rFonts w:hAnsi="標楷體"/>
          <w:b/>
        </w:rPr>
        <w:footnoteReference w:id="24"/>
      </w:r>
    </w:p>
    <w:p w:rsidR="00707A26" w:rsidRPr="007319CD" w:rsidRDefault="00707A26" w:rsidP="00B86EF9">
      <w:pPr>
        <w:pStyle w:val="52"/>
        <w:ind w:left="2041" w:firstLine="680"/>
        <w:rPr>
          <w:rFonts w:hAnsi="標楷體"/>
        </w:rPr>
      </w:pPr>
      <w:r w:rsidRPr="007319CD">
        <w:rPr>
          <w:rFonts w:hAnsi="標楷體"/>
        </w:rPr>
        <w:t>德國公務人員的退休金準備機制為「隨收隨付</w:t>
      </w:r>
      <w:proofErr w:type="gramStart"/>
      <w:r w:rsidRPr="007319CD">
        <w:rPr>
          <w:rFonts w:hAnsi="標楷體"/>
        </w:rPr>
        <w:t>的賦課制度</w:t>
      </w:r>
      <w:proofErr w:type="gramEnd"/>
      <w:r w:rsidRPr="007319CD">
        <w:rPr>
          <w:rFonts w:hAnsi="標楷體"/>
        </w:rPr>
        <w:t>(Pay-as-you-go System)」</w:t>
      </w:r>
      <w:r w:rsidR="00F32805" w:rsidRPr="007319CD">
        <w:rPr>
          <w:rStyle w:val="aff1"/>
          <w:rFonts w:hAnsi="標楷體"/>
        </w:rPr>
        <w:footnoteReference w:id="25"/>
      </w:r>
      <w:r w:rsidR="001F5B3F" w:rsidRPr="007319CD">
        <w:rPr>
          <w:rFonts w:hAnsi="標楷體"/>
        </w:rPr>
        <w:t>亦即恩給制</w:t>
      </w:r>
      <w:r w:rsidRPr="007319CD">
        <w:rPr>
          <w:rFonts w:hAnsi="標楷體"/>
        </w:rPr>
        <w:t>，公務人員之退休金籌措</w:t>
      </w:r>
      <w:r w:rsidR="00D46BEF" w:rsidRPr="007319CD">
        <w:rPr>
          <w:rFonts w:hAnsi="標楷體"/>
        </w:rPr>
        <w:t>及準備責任，由國家負責；其運作模式係：逐年編列預算，並以隨收隨付</w:t>
      </w:r>
      <w:r w:rsidRPr="007319CD">
        <w:rPr>
          <w:rFonts w:hAnsi="標楷體"/>
        </w:rPr>
        <w:t>的稅收機制，為當年度退休的公務人員籌措退休給與的機制。因不論是聯邦或地方政府，都已將一般的申請退休年齡提高為</w:t>
      </w:r>
      <w:r w:rsidR="003F74DE" w:rsidRPr="007319CD">
        <w:rPr>
          <w:rFonts w:hAnsi="標楷體"/>
        </w:rPr>
        <w:t xml:space="preserve"> 65</w:t>
      </w:r>
      <w:r w:rsidRPr="007319CD">
        <w:rPr>
          <w:rFonts w:hAnsi="標楷體"/>
        </w:rPr>
        <w:t>歲。</w:t>
      </w:r>
      <w:r w:rsidRPr="007319CD">
        <w:rPr>
          <w:rFonts w:hAnsi="標楷體"/>
          <w:b/>
        </w:rPr>
        <w:t>自</w:t>
      </w:r>
      <w:r w:rsidR="003F74DE" w:rsidRPr="007319CD">
        <w:rPr>
          <w:rFonts w:hAnsi="標楷體"/>
          <w:b/>
        </w:rPr>
        <w:t>2002</w:t>
      </w:r>
      <w:r w:rsidRPr="007319CD">
        <w:rPr>
          <w:rFonts w:hAnsi="標楷體"/>
          <w:b/>
        </w:rPr>
        <w:t>年後，想要在年滿</w:t>
      </w:r>
      <w:r w:rsidR="003F74DE" w:rsidRPr="007319CD">
        <w:rPr>
          <w:rFonts w:hAnsi="標楷體"/>
          <w:b/>
        </w:rPr>
        <w:t>65</w:t>
      </w:r>
      <w:r w:rsidRPr="007319CD">
        <w:rPr>
          <w:rFonts w:hAnsi="標楷體"/>
          <w:b/>
        </w:rPr>
        <w:t>歲以前就提前退休者</w:t>
      </w:r>
      <w:r w:rsidR="008D562F" w:rsidRPr="007319CD">
        <w:rPr>
          <w:rFonts w:hAnsi="標楷體"/>
          <w:b/>
        </w:rPr>
        <w:t>，</w:t>
      </w:r>
      <w:proofErr w:type="gramStart"/>
      <w:r w:rsidRPr="007319CD">
        <w:rPr>
          <w:rFonts w:hAnsi="標楷體"/>
          <w:b/>
        </w:rPr>
        <w:t>其恩給</w:t>
      </w:r>
      <w:proofErr w:type="gramEnd"/>
      <w:r w:rsidRPr="007319CD">
        <w:rPr>
          <w:rFonts w:hAnsi="標楷體"/>
          <w:b/>
        </w:rPr>
        <w:t>將被縮減，最多每年將被扣除每月退休年金額的3.6%。隨著</w:t>
      </w:r>
      <w:r w:rsidR="003F74DE" w:rsidRPr="007319CD">
        <w:rPr>
          <w:rFonts w:hAnsi="標楷體"/>
          <w:b/>
        </w:rPr>
        <w:t>1992</w:t>
      </w:r>
      <w:r w:rsidRPr="007319CD">
        <w:rPr>
          <w:rFonts w:hAnsi="標楷體"/>
          <w:b/>
        </w:rPr>
        <w:t>年1月1日起生效的新規定，原本存在的恩給條件並不受影響。就2002年</w:t>
      </w:r>
      <w:r w:rsidR="008D562F" w:rsidRPr="007319CD">
        <w:rPr>
          <w:rFonts w:hAnsi="標楷體"/>
          <w:b/>
        </w:rPr>
        <w:t>1</w:t>
      </w:r>
      <w:r w:rsidRPr="007319CD">
        <w:rPr>
          <w:rFonts w:hAnsi="標楷體"/>
          <w:b/>
        </w:rPr>
        <w:t>月1日前已滿法定退休年齡的公務員，恩給的條件仍比照舊的規定。其他的公務員則以</w:t>
      </w:r>
      <w:r w:rsidR="008D562F" w:rsidRPr="007319CD">
        <w:rPr>
          <w:rFonts w:hAnsi="標楷體"/>
          <w:b/>
        </w:rPr>
        <w:t>1991</w:t>
      </w:r>
      <w:r w:rsidRPr="007319CD">
        <w:rPr>
          <w:rFonts w:hAnsi="標楷體"/>
          <w:b/>
        </w:rPr>
        <w:t>年</w:t>
      </w:r>
      <w:r w:rsidR="008D562F" w:rsidRPr="007319CD">
        <w:rPr>
          <w:rFonts w:hAnsi="標楷體"/>
          <w:b/>
        </w:rPr>
        <w:t>12</w:t>
      </w:r>
      <w:r w:rsidRPr="007319CD">
        <w:rPr>
          <w:rFonts w:hAnsi="標楷體"/>
          <w:b/>
        </w:rPr>
        <w:t>月</w:t>
      </w:r>
      <w:r w:rsidR="008D562F" w:rsidRPr="007319CD">
        <w:rPr>
          <w:rFonts w:hAnsi="標楷體"/>
          <w:b/>
        </w:rPr>
        <w:t>31</w:t>
      </w:r>
      <w:r w:rsidRPr="007319CD">
        <w:rPr>
          <w:rFonts w:hAnsi="標楷體"/>
          <w:b/>
        </w:rPr>
        <w:t>日止已達到的退休金額度來計算，仍維持不變。</w:t>
      </w:r>
      <w:r w:rsidRPr="007319CD">
        <w:rPr>
          <w:rFonts w:hAnsi="標楷體"/>
        </w:rPr>
        <w:t>而自</w:t>
      </w:r>
      <w:r w:rsidR="008D562F" w:rsidRPr="007319CD">
        <w:rPr>
          <w:rFonts w:hAnsi="標楷體"/>
        </w:rPr>
        <w:t>1992</w:t>
      </w:r>
      <w:r w:rsidRPr="007319CD">
        <w:rPr>
          <w:rFonts w:hAnsi="標楷體"/>
        </w:rPr>
        <w:t>年起退休金的比例每年增加一個百分點。只</w:t>
      </w:r>
      <w:r w:rsidRPr="007319CD">
        <w:rPr>
          <w:rFonts w:hAnsi="標楷體"/>
          <w:b/>
        </w:rPr>
        <w:t>要是對公務員較有利的情形下，都可引用新的法律為依據</w:t>
      </w:r>
      <w:r w:rsidRPr="007319CD">
        <w:rPr>
          <w:rFonts w:hAnsi="標楷體"/>
        </w:rPr>
        <w:t>。但是如果該過渡期的法律使得退休金的金額較原本高，則會引用比較計算的方式</w:t>
      </w:r>
      <w:r w:rsidRPr="007319CD">
        <w:rPr>
          <w:rFonts w:hAnsi="標楷體"/>
        </w:rPr>
        <w:lastRenderedPageBreak/>
        <w:t>來降低，也就是仍以</w:t>
      </w:r>
      <w:r w:rsidR="008D562F" w:rsidRPr="007319CD">
        <w:rPr>
          <w:rFonts w:hAnsi="標楷體"/>
        </w:rPr>
        <w:t>1991</w:t>
      </w:r>
      <w:r w:rsidRPr="007319CD">
        <w:rPr>
          <w:rFonts w:hAnsi="標楷體"/>
        </w:rPr>
        <w:t>年</w:t>
      </w:r>
      <w:r w:rsidR="008D562F" w:rsidRPr="007319CD">
        <w:rPr>
          <w:rFonts w:hAnsi="標楷體"/>
        </w:rPr>
        <w:t>12</w:t>
      </w:r>
      <w:r w:rsidRPr="007319CD">
        <w:rPr>
          <w:rFonts w:hAnsi="標楷體"/>
        </w:rPr>
        <w:t>月</w:t>
      </w:r>
      <w:r w:rsidR="008D562F" w:rsidRPr="007319CD">
        <w:rPr>
          <w:rFonts w:hAnsi="標楷體"/>
        </w:rPr>
        <w:t>31</w:t>
      </w:r>
      <w:r w:rsidRPr="007319CD">
        <w:rPr>
          <w:rFonts w:hAnsi="標楷體"/>
        </w:rPr>
        <w:t>日仍適用的公務員恩給制度的法律來計算。</w:t>
      </w:r>
    </w:p>
    <w:p w:rsidR="00707A26" w:rsidRPr="007319CD" w:rsidRDefault="00707A26" w:rsidP="008E3983">
      <w:pPr>
        <w:pStyle w:val="4"/>
        <w:rPr>
          <w:rFonts w:hAnsi="標楷體"/>
        </w:rPr>
      </w:pPr>
      <w:r w:rsidRPr="007319CD">
        <w:rPr>
          <w:rFonts w:hAnsi="標楷體"/>
        </w:rPr>
        <w:t>公務員請領退休給付之本質，與一般社會安全保障之年金制度有間</w:t>
      </w:r>
      <w:r w:rsidR="008511CB" w:rsidRPr="007319CD">
        <w:rPr>
          <w:rFonts w:hAnsi="標楷體"/>
        </w:rPr>
        <w:t>，退休給付與薪資給付就公務員</w:t>
      </w:r>
      <w:proofErr w:type="gramStart"/>
      <w:r w:rsidR="008511CB" w:rsidRPr="007319CD">
        <w:rPr>
          <w:rFonts w:hAnsi="標楷體"/>
        </w:rPr>
        <w:t>而言均屬報酬</w:t>
      </w:r>
      <w:proofErr w:type="gramEnd"/>
      <w:r w:rsidR="008511CB" w:rsidRPr="007319CD">
        <w:rPr>
          <w:rFonts w:hAnsi="標楷體"/>
        </w:rPr>
        <w:t>價金，公務員相對於國家係屬契約</w:t>
      </w:r>
      <w:proofErr w:type="gramStart"/>
      <w:r w:rsidR="008511CB" w:rsidRPr="007319CD">
        <w:rPr>
          <w:rFonts w:hAnsi="標楷體"/>
        </w:rPr>
        <w:t>一</w:t>
      </w:r>
      <w:proofErr w:type="gramEnd"/>
      <w:r w:rsidR="008511CB" w:rsidRPr="007319CD">
        <w:rPr>
          <w:rFonts w:hAnsi="標楷體"/>
        </w:rPr>
        <w:t>造之債權人，具有請求權基礎</w:t>
      </w:r>
      <w:r w:rsidR="008062E8" w:rsidRPr="007319CD">
        <w:rPr>
          <w:rFonts w:hAnsi="標楷體"/>
        </w:rPr>
        <w:t>，其於「任用」時起，即與國家產生公法上勤務關係，受特別法律關係之拘束，</w:t>
      </w:r>
      <w:r w:rsidR="00B9071B" w:rsidRPr="007319CD">
        <w:rPr>
          <w:rFonts w:hAnsi="標楷體"/>
        </w:rPr>
        <w:t>當</w:t>
      </w:r>
      <w:r w:rsidR="008062E8" w:rsidRPr="007319CD">
        <w:rPr>
          <w:rFonts w:hAnsi="標楷體"/>
        </w:rPr>
        <w:t>屬「法規生效前</w:t>
      </w:r>
      <w:r w:rsidR="008062E8" w:rsidRPr="007319CD">
        <w:rPr>
          <w:rFonts w:hAnsi="標楷體"/>
          <w:b/>
        </w:rPr>
        <w:t>『業已終結』</w:t>
      </w:r>
      <w:r w:rsidR="008062E8" w:rsidRPr="007319CD">
        <w:rPr>
          <w:rFonts w:hAnsi="標楷體"/>
        </w:rPr>
        <w:t>之事實或法律關係」</w:t>
      </w:r>
      <w:r w:rsidR="00C627E3" w:rsidRPr="007319CD">
        <w:rPr>
          <w:rFonts w:hAnsi="標楷體"/>
        </w:rPr>
        <w:t>，新法所改變</w:t>
      </w:r>
      <w:r w:rsidR="008062E8" w:rsidRPr="007319CD">
        <w:rPr>
          <w:rFonts w:hAnsi="標楷體"/>
        </w:rPr>
        <w:t>不單僅為「規範勞動契約之上位法令」之普遍性與對</w:t>
      </w:r>
      <w:proofErr w:type="gramStart"/>
      <w:r w:rsidR="008062E8" w:rsidRPr="007319CD">
        <w:rPr>
          <w:rFonts w:hAnsi="標楷體"/>
        </w:rPr>
        <w:t>世</w:t>
      </w:r>
      <w:proofErr w:type="gramEnd"/>
      <w:r w:rsidR="008062E8" w:rsidRPr="007319CD">
        <w:rPr>
          <w:rFonts w:hAnsi="標楷體"/>
        </w:rPr>
        <w:t>效，同時亦變更「勞動契約實質內容」</w:t>
      </w:r>
      <w:r w:rsidR="00C627E3" w:rsidRPr="007319CD">
        <w:rPr>
          <w:rFonts w:hAnsi="標楷體"/>
        </w:rPr>
        <w:t>相對效</w:t>
      </w:r>
      <w:r w:rsidR="008B7F19" w:rsidRPr="007319CD">
        <w:rPr>
          <w:rFonts w:hAnsi="標楷體"/>
        </w:rPr>
        <w:t>，亦即</w:t>
      </w:r>
      <w:r w:rsidR="008B7F19" w:rsidRPr="007319CD">
        <w:rPr>
          <w:rFonts w:hAnsi="標楷體"/>
          <w:bCs/>
        </w:rPr>
        <w:t>國家作為契約當事人，擅自以國家地位，而未經同意變更公務員退休法令時，其事物本質即為契約當事人透過單方行為，</w:t>
      </w:r>
      <w:proofErr w:type="gramStart"/>
      <w:r w:rsidR="008B7F19" w:rsidRPr="007319CD">
        <w:rPr>
          <w:rFonts w:hAnsi="標楷體"/>
          <w:bCs/>
        </w:rPr>
        <w:t>事後破棄契約</w:t>
      </w:r>
      <w:proofErr w:type="gramEnd"/>
      <w:r w:rsidR="008B7F19" w:rsidRPr="007319CD">
        <w:rPr>
          <w:rFonts w:hAnsi="標楷體"/>
          <w:bCs/>
        </w:rPr>
        <w:t>，而生債務不履行情形無異，從正當法律程序與法治國原則而論，自屬違反法律</w:t>
      </w:r>
      <w:proofErr w:type="gramStart"/>
      <w:r w:rsidR="008B7F19" w:rsidRPr="007319CD">
        <w:rPr>
          <w:rFonts w:hAnsi="標楷體"/>
          <w:bCs/>
        </w:rPr>
        <w:t>不</w:t>
      </w:r>
      <w:proofErr w:type="gramEnd"/>
      <w:r w:rsidR="008B7F19" w:rsidRPr="007319CD">
        <w:rPr>
          <w:rFonts w:hAnsi="標楷體"/>
          <w:bCs/>
        </w:rPr>
        <w:t>溯既往原則。</w:t>
      </w:r>
    </w:p>
    <w:p w:rsidR="00707A26" w:rsidRPr="007319CD" w:rsidRDefault="00707A26" w:rsidP="008E3983">
      <w:pPr>
        <w:pStyle w:val="5"/>
        <w:rPr>
          <w:rFonts w:hAnsi="標楷體"/>
        </w:rPr>
      </w:pPr>
      <w:r w:rsidRPr="007319CD">
        <w:rPr>
          <w:rFonts w:hAnsi="標楷體"/>
        </w:rPr>
        <w:t>法律關係之成立與生效不論公法或</w:t>
      </w:r>
      <w:proofErr w:type="gramStart"/>
      <w:r w:rsidRPr="007319CD">
        <w:rPr>
          <w:rFonts w:hAnsi="標楷體"/>
        </w:rPr>
        <w:t>私法均以法律行為</w:t>
      </w:r>
      <w:proofErr w:type="gramEnd"/>
      <w:r w:rsidRPr="007319CD">
        <w:rPr>
          <w:rFonts w:hAnsi="標楷體"/>
        </w:rPr>
        <w:t>或法律為其規範基礎。公務員任用關係，縱認為行政處分，但仍必須以該受任人的同意為成立要件，其事物本質仍以雙方的合意（契約）作為規範基礎，本質上仍具有契約性質</w:t>
      </w:r>
      <w:r w:rsidRPr="007319CD">
        <w:rPr>
          <w:rFonts w:hAnsi="標楷體"/>
          <w:vertAlign w:val="superscript"/>
        </w:rPr>
        <w:footnoteReference w:id="26"/>
      </w:r>
      <w:r w:rsidRPr="007319CD">
        <w:rPr>
          <w:rFonts w:hAnsi="標楷體"/>
        </w:rPr>
        <w:t>。如前所述公務員提供勞務，交換報酬作</w:t>
      </w:r>
      <w:r w:rsidRPr="007319CD">
        <w:rPr>
          <w:rFonts w:hAnsi="標楷體"/>
        </w:rPr>
        <w:lastRenderedPageBreak/>
        <w:t>為勞務之債的關係，其相對於國家負有忠誠、服從義務、</w:t>
      </w:r>
      <w:proofErr w:type="gramStart"/>
      <w:r w:rsidRPr="007319CD">
        <w:rPr>
          <w:rFonts w:hAnsi="標楷體"/>
        </w:rPr>
        <w:t>職務專念義務</w:t>
      </w:r>
      <w:proofErr w:type="gramEnd"/>
      <w:r w:rsidRPr="007319CD">
        <w:rPr>
          <w:rFonts w:hAnsi="標楷體"/>
        </w:rPr>
        <w:t>、服勤義務與禁止圖利義務，亦同於服從資本家（勞務債權人）之指揮監督，具有提供勞務特徵，當即具有</w:t>
      </w:r>
      <w:proofErr w:type="gramStart"/>
      <w:r w:rsidRPr="007319CD">
        <w:rPr>
          <w:rFonts w:hAnsi="標楷體"/>
        </w:rPr>
        <w:t>僱傭</w:t>
      </w:r>
      <w:proofErr w:type="gramEnd"/>
      <w:r w:rsidRPr="007319CD">
        <w:rPr>
          <w:rFonts w:hAnsi="標楷體"/>
        </w:rPr>
        <w:t>關係或勞動關係之類型特徵，此與民法上</w:t>
      </w:r>
      <w:proofErr w:type="gramStart"/>
      <w:r w:rsidRPr="007319CD">
        <w:rPr>
          <w:rFonts w:hAnsi="標楷體"/>
        </w:rPr>
        <w:t>僱傭</w:t>
      </w:r>
      <w:proofErr w:type="gramEnd"/>
      <w:r w:rsidRPr="007319CD">
        <w:rPr>
          <w:rFonts w:hAnsi="標楷體"/>
        </w:rPr>
        <w:t>契約及勞動基準法上勞動契約並無二致。是則，退休給付法令制度，不僅為國家法規之一環而已，不論其</w:t>
      </w:r>
      <w:proofErr w:type="gramStart"/>
      <w:r w:rsidRPr="007319CD">
        <w:rPr>
          <w:rFonts w:hAnsi="標楷體"/>
        </w:rPr>
        <w:t>採</w:t>
      </w:r>
      <w:proofErr w:type="gramEnd"/>
      <w:r w:rsidRPr="007319CD">
        <w:rPr>
          <w:rFonts w:hAnsi="標楷體"/>
        </w:rPr>
        <w:t>強行規定或任意規定之規範形式，</w:t>
      </w:r>
      <w:proofErr w:type="gramStart"/>
      <w:r w:rsidRPr="007319CD">
        <w:rPr>
          <w:rFonts w:hAnsi="標楷體"/>
        </w:rPr>
        <w:t>同時皆亦構成</w:t>
      </w:r>
      <w:proofErr w:type="gramEnd"/>
      <w:r w:rsidRPr="007319CD">
        <w:rPr>
          <w:rFonts w:hAnsi="標楷體"/>
        </w:rPr>
        <w:t>勞動契約中勞務債權人所負對待給付內容之重要部分。從而退休給付與薪資給付就公務員</w:t>
      </w:r>
      <w:proofErr w:type="gramStart"/>
      <w:r w:rsidRPr="007319CD">
        <w:rPr>
          <w:rFonts w:hAnsi="標楷體"/>
        </w:rPr>
        <w:t>而言均屬報酬</w:t>
      </w:r>
      <w:proofErr w:type="gramEnd"/>
      <w:r w:rsidRPr="007319CD">
        <w:rPr>
          <w:rFonts w:hAnsi="標楷體"/>
        </w:rPr>
        <w:t>價金，公務員相對於國家係屬契約</w:t>
      </w:r>
      <w:proofErr w:type="gramStart"/>
      <w:r w:rsidRPr="007319CD">
        <w:rPr>
          <w:rFonts w:hAnsi="標楷體"/>
        </w:rPr>
        <w:t>一</w:t>
      </w:r>
      <w:proofErr w:type="gramEnd"/>
      <w:r w:rsidRPr="007319CD">
        <w:rPr>
          <w:rFonts w:hAnsi="標楷體"/>
        </w:rPr>
        <w:t>造之債權人，具有請求權基礎，契約一般條款之事後的變更，未得債權人（公務員）之明示或默示的同意，變更效力</w:t>
      </w:r>
      <w:r w:rsidRPr="007319CD">
        <w:rPr>
          <w:rFonts w:hAnsi="標楷體"/>
          <w:vertAlign w:val="superscript"/>
        </w:rPr>
        <w:footnoteReference w:id="27"/>
      </w:r>
      <w:r w:rsidRPr="007319CD">
        <w:rPr>
          <w:rFonts w:hAnsi="標楷體"/>
        </w:rPr>
        <w:t>自有疑義。</w:t>
      </w:r>
    </w:p>
    <w:p w:rsidR="00707A26" w:rsidRPr="007319CD" w:rsidRDefault="00707A26" w:rsidP="008E3983">
      <w:pPr>
        <w:pStyle w:val="5"/>
        <w:rPr>
          <w:rFonts w:hAnsi="標楷體"/>
        </w:rPr>
      </w:pPr>
      <w:r w:rsidRPr="007319CD">
        <w:rPr>
          <w:rFonts w:hAnsi="標楷體"/>
        </w:rPr>
        <w:t>年金制度是社會保險</w:t>
      </w:r>
      <w:r w:rsidR="00C66C5A" w:rsidRPr="007319CD">
        <w:rPr>
          <w:rFonts w:hAnsi="標楷體" w:hint="eastAsia"/>
        </w:rPr>
        <w:t>一</w:t>
      </w:r>
      <w:r w:rsidRPr="007319CD">
        <w:rPr>
          <w:rFonts w:hAnsi="標楷體"/>
        </w:rPr>
        <w:t>環，係基於社會國原則</w:t>
      </w:r>
      <w:r w:rsidRPr="007319CD">
        <w:rPr>
          <w:rFonts w:hAnsi="標楷體"/>
          <w:vertAlign w:val="superscript"/>
        </w:rPr>
        <w:footnoteReference w:id="28"/>
      </w:r>
      <w:r w:rsidRPr="007319CD">
        <w:rPr>
          <w:rFonts w:hAnsi="標楷體"/>
        </w:rPr>
        <w:t>所為之社會保障計畫，亦即經濟社會文化權利國際公約第9條規定：「本公約締約國確認人</w:t>
      </w:r>
      <w:r w:rsidRPr="007319CD">
        <w:rPr>
          <w:rFonts w:hAnsi="標楷體"/>
        </w:rPr>
        <w:lastRenderedPageBreak/>
        <w:t>人有權享受社會保障，包括社會保險。」退休給付為公教人員退休後，為滿足生活需要及克服老病問題的主要經濟來源，</w:t>
      </w:r>
      <w:proofErr w:type="gramStart"/>
      <w:r w:rsidRPr="007319CD">
        <w:rPr>
          <w:rFonts w:hAnsi="標楷體"/>
        </w:rPr>
        <w:t>固亦為</w:t>
      </w:r>
      <w:proofErr w:type="gramEnd"/>
      <w:r w:rsidRPr="007319CD">
        <w:rPr>
          <w:rFonts w:hAnsi="標楷體"/>
        </w:rPr>
        <w:t>社會安全保障計畫之一，惟公務員退休給付與國民年金及勞保年金等社會保險制度不同之處</w:t>
      </w:r>
      <w:r w:rsidR="008D562F" w:rsidRPr="007319CD">
        <w:rPr>
          <w:rFonts w:hAnsi="標楷體"/>
        </w:rPr>
        <w:t>，</w:t>
      </w:r>
      <w:r w:rsidRPr="007319CD">
        <w:rPr>
          <w:rFonts w:hAnsi="標楷體"/>
        </w:rPr>
        <w:t>係為一般社會保障</w:t>
      </w:r>
      <w:r w:rsidR="008D562F" w:rsidRPr="007319CD">
        <w:rPr>
          <w:rFonts w:hAnsi="標楷體"/>
        </w:rPr>
        <w:t>，</w:t>
      </w:r>
      <w:r w:rsidRPr="007319CD">
        <w:rPr>
          <w:rFonts w:hAnsi="標楷體"/>
        </w:rPr>
        <w:t>國家並非雇主，所為係為補助性質之福利，而公教員之薪資給付，國家為雇主其法律定性就公務員而言係具有權利地位之債權，基於同一法律理由其退休給付，</w:t>
      </w:r>
      <w:proofErr w:type="gramStart"/>
      <w:r w:rsidRPr="007319CD">
        <w:rPr>
          <w:rFonts w:hAnsi="標楷體"/>
        </w:rPr>
        <w:t>均屬公教人員</w:t>
      </w:r>
      <w:proofErr w:type="gramEnd"/>
      <w:r w:rsidRPr="007319CD">
        <w:rPr>
          <w:rFonts w:hAnsi="標楷體"/>
        </w:rPr>
        <w:t>任用關係所生給付債權之範疇，而與所謂恩給制或年金制等「制度表象名目」實屬無關。從而公務員退休法制之變動論其</w:t>
      </w:r>
      <w:proofErr w:type="gramStart"/>
      <w:r w:rsidRPr="007319CD">
        <w:rPr>
          <w:rFonts w:hAnsi="標楷體"/>
        </w:rPr>
        <w:t>實際，</w:t>
      </w:r>
      <w:proofErr w:type="gramEnd"/>
      <w:r w:rsidRPr="007319CD">
        <w:rPr>
          <w:rFonts w:hAnsi="標楷體"/>
        </w:rPr>
        <w:t>不同於國民年金法或勞工保險條例之法令變更，所變更者不單僅為「規範勞動契約之上位法令」之法規範之普遍性與對</w:t>
      </w:r>
      <w:proofErr w:type="gramStart"/>
      <w:r w:rsidRPr="007319CD">
        <w:rPr>
          <w:rFonts w:hAnsi="標楷體"/>
        </w:rPr>
        <w:t>世</w:t>
      </w:r>
      <w:proofErr w:type="gramEnd"/>
      <w:r w:rsidRPr="007319CD">
        <w:rPr>
          <w:rFonts w:hAnsi="標楷體"/>
        </w:rPr>
        <w:t>效，同時亦變更「勞動契約實質內容」顯然</w:t>
      </w:r>
      <w:proofErr w:type="gramStart"/>
      <w:r w:rsidRPr="007319CD">
        <w:rPr>
          <w:rFonts w:hAnsi="標楷體"/>
        </w:rPr>
        <w:t>斲</w:t>
      </w:r>
      <w:proofErr w:type="gramEnd"/>
      <w:r w:rsidRPr="007319CD">
        <w:rPr>
          <w:rFonts w:hAnsi="標楷體"/>
        </w:rPr>
        <w:t>傷資本主義法律核心概念債之相對性與拘束力，是則，國家作為契約當事人，擅自以國家地位，而未經同意變更公務員退休法令時，其事物本質即為契約當事人透過單方行為，</w:t>
      </w:r>
      <w:proofErr w:type="gramStart"/>
      <w:r w:rsidRPr="007319CD">
        <w:rPr>
          <w:rFonts w:hAnsi="標楷體"/>
        </w:rPr>
        <w:t>事後破棄契約</w:t>
      </w:r>
      <w:proofErr w:type="gramEnd"/>
      <w:r w:rsidRPr="007319CD">
        <w:rPr>
          <w:rFonts w:hAnsi="標楷體"/>
        </w:rPr>
        <w:t>，而生債務不履行情形無異，故而從正當法律程序與法治國原則而論，新法效力之射程是否真無法律</w:t>
      </w:r>
      <w:proofErr w:type="gramStart"/>
      <w:r w:rsidRPr="007319CD">
        <w:rPr>
          <w:rFonts w:hAnsi="標楷體"/>
        </w:rPr>
        <w:t>不</w:t>
      </w:r>
      <w:proofErr w:type="gramEnd"/>
      <w:r w:rsidRPr="007319CD">
        <w:rPr>
          <w:rFonts w:hAnsi="標楷體"/>
        </w:rPr>
        <w:t>溯既往原則之適用即非無疑問。</w:t>
      </w:r>
      <w:r w:rsidRPr="007319CD">
        <w:rPr>
          <w:rFonts w:hAnsi="標楷體"/>
          <w:vertAlign w:val="superscript"/>
        </w:rPr>
        <w:footnoteReference w:id="29"/>
      </w:r>
    </w:p>
    <w:p w:rsidR="00707A26" w:rsidRPr="007319CD" w:rsidRDefault="00707A26" w:rsidP="008E3983">
      <w:pPr>
        <w:pStyle w:val="5"/>
        <w:rPr>
          <w:rFonts w:hAnsi="標楷體"/>
        </w:rPr>
      </w:pPr>
      <w:proofErr w:type="gramStart"/>
      <w:r w:rsidRPr="007319CD">
        <w:rPr>
          <w:rFonts w:hAnsi="標楷體"/>
        </w:rPr>
        <w:t>再者，</w:t>
      </w:r>
      <w:proofErr w:type="gramEnd"/>
      <w:r w:rsidRPr="007319CD">
        <w:rPr>
          <w:rFonts w:hAnsi="標楷體"/>
        </w:rPr>
        <w:t>債之關係從成立、生效、履行與消滅（民法第309條第1項）過程，債之關係具有發展性與延續性。其存在取決於成立及生效要件。當</w:t>
      </w:r>
      <w:r w:rsidRPr="007319CD">
        <w:rPr>
          <w:rFonts w:hAnsi="標楷體"/>
        </w:rPr>
        <w:lastRenderedPageBreak/>
        <w:t>契約簽訂時，債之雙方權利義務即告確立。依私法自治原則或其引申之契約原則，一方當事人除有形</w:t>
      </w:r>
      <w:proofErr w:type="gramStart"/>
      <w:r w:rsidRPr="007319CD">
        <w:rPr>
          <w:rFonts w:hAnsi="標楷體"/>
        </w:rPr>
        <w:t>成權外</w:t>
      </w:r>
      <w:proofErr w:type="gramEnd"/>
      <w:r w:rsidRPr="007319CD">
        <w:rPr>
          <w:rFonts w:hAnsi="標楷體"/>
        </w:rPr>
        <w:t>，並不得以單方行為使之變更或消滅。從而退休給付債權之成立要件，於「任用」時即告確定，而於「退休」時，因履行要件具備時產生效力</w:t>
      </w:r>
      <w:r w:rsidRPr="007319CD">
        <w:rPr>
          <w:rFonts w:hAnsi="標楷體"/>
          <w:vertAlign w:val="superscript"/>
        </w:rPr>
        <w:footnoteReference w:id="30"/>
      </w:r>
      <w:r w:rsidRPr="007319CD">
        <w:rPr>
          <w:rFonts w:hAnsi="標楷體"/>
        </w:rPr>
        <w:t>，債務人即應開始清償。</w:t>
      </w:r>
      <w:proofErr w:type="gramStart"/>
      <w:r w:rsidRPr="007319CD">
        <w:rPr>
          <w:rFonts w:hAnsi="標楷體"/>
        </w:rPr>
        <w:t>從而，</w:t>
      </w:r>
      <w:proofErr w:type="gramEnd"/>
      <w:r w:rsidRPr="007319CD">
        <w:rPr>
          <w:rFonts w:hAnsi="標楷體"/>
        </w:rPr>
        <w:t>公務員任用時</w:t>
      </w:r>
      <w:r w:rsidR="00843D8F" w:rsidRPr="007319CD">
        <w:rPr>
          <w:rFonts w:hAnsi="標楷體"/>
        </w:rPr>
        <w:t>，</w:t>
      </w:r>
      <w:r w:rsidRPr="007319CD">
        <w:rPr>
          <w:rFonts w:hAnsi="標楷體"/>
        </w:rPr>
        <w:t>因其同意而與國家勤務關係之構成要件事實業已完成，其要件事實所指應為「任用關係」</w:t>
      </w:r>
      <w:r w:rsidRPr="007319CD">
        <w:rPr>
          <w:rFonts w:hAnsi="標楷體"/>
          <w:vertAlign w:val="superscript"/>
        </w:rPr>
        <w:footnoteReference w:id="31"/>
      </w:r>
      <w:r w:rsidRPr="007319CD">
        <w:rPr>
          <w:rFonts w:hAnsi="標楷體"/>
        </w:rPr>
        <w:t>，而非退休後之退休給付的履行關係，而其後公務員法令變更，而產生公法勤務關係之契約給付債務內容之實質不利變更，是國家以單方行為背離誠信原則（詳如後述）破壞契約所課以雙方當事人遵守之義務，所以新法是背離法律</w:t>
      </w:r>
      <w:proofErr w:type="gramStart"/>
      <w:r w:rsidRPr="007319CD">
        <w:rPr>
          <w:rFonts w:hAnsi="標楷體"/>
        </w:rPr>
        <w:t>不</w:t>
      </w:r>
      <w:proofErr w:type="gramEnd"/>
      <w:r w:rsidRPr="007319CD">
        <w:rPr>
          <w:rFonts w:hAnsi="標楷體"/>
        </w:rPr>
        <w:t>溯既往原則，真正溯及適用，應為憲法所禁止。</w:t>
      </w:r>
    </w:p>
    <w:p w:rsidR="00707A26" w:rsidRPr="007319CD" w:rsidRDefault="00707A26" w:rsidP="00DF77F2">
      <w:pPr>
        <w:pStyle w:val="5"/>
        <w:rPr>
          <w:rFonts w:hAnsi="標楷體"/>
        </w:rPr>
      </w:pPr>
      <w:r w:rsidRPr="007319CD">
        <w:rPr>
          <w:rFonts w:hAnsi="標楷體"/>
        </w:rPr>
        <w:t>退</w:t>
      </w:r>
      <w:proofErr w:type="gramStart"/>
      <w:r w:rsidRPr="007319CD">
        <w:rPr>
          <w:rFonts w:hAnsi="標楷體"/>
        </w:rPr>
        <w:t>萬步言</w:t>
      </w:r>
      <w:proofErr w:type="gramEnd"/>
      <w:r w:rsidRPr="007319CD">
        <w:rPr>
          <w:rFonts w:hAnsi="標楷體"/>
        </w:rPr>
        <w:t>，若從切割債之發展性與延續性，僅以債權債務之對待給付關係而論，而將退休給付「錯誤地」脫離薪資給付，單獨作為債之成立的獨立構成要件事實，因公務員於</w:t>
      </w:r>
      <w:proofErr w:type="gramStart"/>
      <w:r w:rsidRPr="007319CD">
        <w:rPr>
          <w:rFonts w:hAnsi="標楷體"/>
        </w:rPr>
        <w:t>退休時業完全</w:t>
      </w:r>
      <w:proofErr w:type="gramEnd"/>
      <w:r w:rsidRPr="007319CD">
        <w:rPr>
          <w:rFonts w:hAnsi="標楷體"/>
        </w:rPr>
        <w:t>履行其勞動債務，故國家對待給付中之退休給付範圍已告確定。</w:t>
      </w:r>
      <w:r w:rsidR="00DF77F2" w:rsidRPr="007319CD">
        <w:rPr>
          <w:rFonts w:hAnsi="標楷體"/>
          <w:b/>
        </w:rPr>
        <w:t>可能保留之調整事由，應限於通貨膨脹及情事變更的因素，而不應該包含：在退休之要件事實完成後，關於退休給付之法令有不利於公教人員之變更。</w:t>
      </w:r>
      <w:r w:rsidRPr="007319CD">
        <w:rPr>
          <w:rFonts w:hAnsi="標楷體"/>
        </w:rPr>
        <w:t>是則，縱</w:t>
      </w:r>
      <w:proofErr w:type="gramStart"/>
      <w:r w:rsidRPr="007319CD">
        <w:rPr>
          <w:rFonts w:hAnsi="標楷體"/>
        </w:rPr>
        <w:t>採</w:t>
      </w:r>
      <w:proofErr w:type="gramEnd"/>
      <w:r w:rsidRPr="007319CD">
        <w:rPr>
          <w:rFonts w:hAnsi="標楷體"/>
        </w:rPr>
        <w:t>此一見解而以退休作為判斷基準，構成所謂</w:t>
      </w:r>
      <w:r w:rsidRPr="007319CD">
        <w:rPr>
          <w:rFonts w:hAnsi="標楷體"/>
        </w:rPr>
        <w:lastRenderedPageBreak/>
        <w:t>退休給付要件事實跨越新、舊法之情形，就退休後之新法而論，對於退休後之公務員適用新法亦為真正的溯及適用，自為憲法所禁止，此亦為黃茂榮</w:t>
      </w:r>
      <w:r w:rsidRPr="007319CD">
        <w:rPr>
          <w:rFonts w:hAnsi="標楷體"/>
          <w:vertAlign w:val="superscript"/>
        </w:rPr>
        <w:footnoteReference w:id="32"/>
      </w:r>
      <w:r w:rsidRPr="007319CD">
        <w:rPr>
          <w:rFonts w:hAnsi="標楷體"/>
        </w:rPr>
        <w:t>、黃璽君與陳碧玉</w:t>
      </w:r>
      <w:r w:rsidR="00A81C8A" w:rsidRPr="007319CD">
        <w:rPr>
          <w:rFonts w:hAnsi="標楷體"/>
        </w:rPr>
        <w:t>大法官</w:t>
      </w:r>
      <w:r w:rsidRPr="007319CD">
        <w:rPr>
          <w:rFonts w:hAnsi="標楷體"/>
        </w:rPr>
        <w:t>於</w:t>
      </w:r>
      <w:proofErr w:type="gramStart"/>
      <w:r w:rsidR="00A81C8A" w:rsidRPr="007319CD">
        <w:rPr>
          <w:rFonts w:hAnsi="標楷體" w:hint="eastAsia"/>
        </w:rPr>
        <w:t>司法院</w:t>
      </w:r>
      <w:r w:rsidRPr="007319CD">
        <w:rPr>
          <w:rFonts w:hAnsi="標楷體"/>
        </w:rPr>
        <w:t>字第717</w:t>
      </w:r>
      <w:r w:rsidR="00843D8F" w:rsidRPr="007319CD">
        <w:rPr>
          <w:rFonts w:hAnsi="標楷體"/>
        </w:rPr>
        <w:t>號</w:t>
      </w:r>
      <w:proofErr w:type="gramEnd"/>
      <w:r w:rsidR="00843D8F" w:rsidRPr="007319CD">
        <w:rPr>
          <w:rFonts w:hAnsi="標楷體"/>
        </w:rPr>
        <w:t>解釋</w:t>
      </w:r>
      <w:r w:rsidRPr="007319CD">
        <w:rPr>
          <w:rFonts w:hAnsi="標楷體"/>
        </w:rPr>
        <w:t>所</w:t>
      </w:r>
      <w:proofErr w:type="gramStart"/>
      <w:r w:rsidRPr="007319CD">
        <w:rPr>
          <w:rFonts w:hAnsi="標楷體"/>
        </w:rPr>
        <w:t>採</w:t>
      </w:r>
      <w:proofErr w:type="gramEnd"/>
      <w:r w:rsidRPr="007319CD">
        <w:rPr>
          <w:rFonts w:hAnsi="標楷體"/>
        </w:rPr>
        <w:t>之見解。</w:t>
      </w:r>
    </w:p>
    <w:p w:rsidR="00AA50AC" w:rsidRPr="007319CD" w:rsidRDefault="00AA50AC" w:rsidP="00AA50AC">
      <w:pPr>
        <w:pStyle w:val="5"/>
        <w:rPr>
          <w:rFonts w:hAnsi="標楷體"/>
        </w:rPr>
      </w:pPr>
      <w:r w:rsidRPr="007319CD">
        <w:rPr>
          <w:rFonts w:hAnsi="標楷體" w:hint="eastAsia"/>
        </w:rPr>
        <w:t>另按，司法院釋字717號解釋就「銓敘部中華民國</w:t>
      </w:r>
      <w:r w:rsidR="00C876C3" w:rsidRPr="007319CD">
        <w:rPr>
          <w:rFonts w:hAnsi="標楷體" w:hint="eastAsia"/>
        </w:rPr>
        <w:t>95</w:t>
      </w:r>
      <w:r w:rsidRPr="007319CD">
        <w:rPr>
          <w:rFonts w:hAnsi="標楷體" w:hint="eastAsia"/>
        </w:rPr>
        <w:t>年</w:t>
      </w:r>
      <w:r w:rsidR="00C876C3" w:rsidRPr="007319CD">
        <w:rPr>
          <w:rFonts w:hAnsi="標楷體" w:hint="eastAsia"/>
        </w:rPr>
        <w:t>1</w:t>
      </w:r>
      <w:r w:rsidRPr="007319CD">
        <w:rPr>
          <w:rFonts w:hAnsi="標楷體" w:hint="eastAsia"/>
        </w:rPr>
        <w:t>月</w:t>
      </w:r>
      <w:r w:rsidR="00C876C3" w:rsidRPr="007319CD">
        <w:rPr>
          <w:rFonts w:hAnsi="標楷體" w:hint="eastAsia"/>
        </w:rPr>
        <w:t>17</w:t>
      </w:r>
      <w:r w:rsidRPr="007319CD">
        <w:rPr>
          <w:rFonts w:hAnsi="標楷體" w:hint="eastAsia"/>
        </w:rPr>
        <w:t>日增訂發布、同年</w:t>
      </w:r>
      <w:r w:rsidR="00C876C3" w:rsidRPr="007319CD">
        <w:rPr>
          <w:rFonts w:hAnsi="標楷體" w:hint="eastAsia"/>
        </w:rPr>
        <w:t>2</w:t>
      </w:r>
      <w:r w:rsidRPr="007319CD">
        <w:rPr>
          <w:rFonts w:hAnsi="標楷體" w:hint="eastAsia"/>
        </w:rPr>
        <w:t>月</w:t>
      </w:r>
      <w:r w:rsidR="00C876C3" w:rsidRPr="007319CD">
        <w:rPr>
          <w:rFonts w:hAnsi="標楷體" w:hint="eastAsia"/>
        </w:rPr>
        <w:t>16</w:t>
      </w:r>
      <w:r w:rsidRPr="007319CD">
        <w:rPr>
          <w:rFonts w:hAnsi="標楷體" w:hint="eastAsia"/>
        </w:rPr>
        <w:t>日施行之退休公務人員公保養老給付金額優惠存款要點（已廢止）第</w:t>
      </w:r>
      <w:r w:rsidR="00C876C3" w:rsidRPr="007319CD">
        <w:rPr>
          <w:rFonts w:hAnsi="標楷體" w:hint="eastAsia"/>
        </w:rPr>
        <w:t>3</w:t>
      </w:r>
      <w:r w:rsidRPr="007319CD">
        <w:rPr>
          <w:rFonts w:hAnsi="標楷體" w:hint="eastAsia"/>
        </w:rPr>
        <w:t>點之</w:t>
      </w:r>
      <w:r w:rsidR="00C876C3" w:rsidRPr="007319CD">
        <w:rPr>
          <w:rFonts w:hAnsi="標楷體" w:hint="eastAsia"/>
        </w:rPr>
        <w:t>1</w:t>
      </w:r>
      <w:r w:rsidRPr="007319CD">
        <w:rPr>
          <w:rFonts w:hAnsi="標楷體" w:hint="eastAsia"/>
        </w:rPr>
        <w:t>第</w:t>
      </w:r>
      <w:r w:rsidR="00C876C3" w:rsidRPr="007319CD">
        <w:rPr>
          <w:rFonts w:hAnsi="標楷體" w:hint="eastAsia"/>
        </w:rPr>
        <w:t>1</w:t>
      </w:r>
      <w:r w:rsidRPr="007319CD">
        <w:rPr>
          <w:rFonts w:hAnsi="標楷體" w:hint="eastAsia"/>
        </w:rPr>
        <w:t>項至第</w:t>
      </w:r>
      <w:r w:rsidR="00C876C3" w:rsidRPr="007319CD">
        <w:rPr>
          <w:rFonts w:hAnsi="標楷體" w:hint="eastAsia"/>
        </w:rPr>
        <w:t>3</w:t>
      </w:r>
      <w:r w:rsidRPr="007319CD">
        <w:rPr>
          <w:rFonts w:hAnsi="標楷體" w:hint="eastAsia"/>
        </w:rPr>
        <w:t>項、第</w:t>
      </w:r>
      <w:r w:rsidR="00C876C3" w:rsidRPr="007319CD">
        <w:rPr>
          <w:rFonts w:hAnsi="標楷體" w:hint="eastAsia"/>
        </w:rPr>
        <w:t>7</w:t>
      </w:r>
      <w:r w:rsidRPr="007319CD">
        <w:rPr>
          <w:rFonts w:hAnsi="標楷體" w:hint="eastAsia"/>
        </w:rPr>
        <w:t>項及第</w:t>
      </w:r>
      <w:r w:rsidR="00C876C3" w:rsidRPr="007319CD">
        <w:rPr>
          <w:rFonts w:hAnsi="標楷體" w:hint="eastAsia"/>
        </w:rPr>
        <w:t>8</w:t>
      </w:r>
      <w:r w:rsidRPr="007319CD">
        <w:rPr>
          <w:rFonts w:hAnsi="標楷體" w:hint="eastAsia"/>
        </w:rPr>
        <w:t>項、教育部</w:t>
      </w:r>
      <w:r w:rsidR="00C876C3" w:rsidRPr="007319CD">
        <w:rPr>
          <w:rFonts w:hAnsi="標楷體" w:hint="eastAsia"/>
        </w:rPr>
        <w:t>95</w:t>
      </w:r>
      <w:r w:rsidRPr="007319CD">
        <w:rPr>
          <w:rFonts w:hAnsi="標楷體" w:hint="eastAsia"/>
        </w:rPr>
        <w:t>年</w:t>
      </w:r>
      <w:r w:rsidR="00C876C3" w:rsidRPr="007319CD">
        <w:rPr>
          <w:rFonts w:hAnsi="標楷體" w:hint="eastAsia"/>
        </w:rPr>
        <w:t>1</w:t>
      </w:r>
      <w:r w:rsidRPr="007319CD">
        <w:rPr>
          <w:rFonts w:hAnsi="標楷體" w:hint="eastAsia"/>
        </w:rPr>
        <w:t>月</w:t>
      </w:r>
      <w:r w:rsidR="00C876C3" w:rsidRPr="007319CD">
        <w:rPr>
          <w:rFonts w:hAnsi="標楷體" w:hint="eastAsia"/>
        </w:rPr>
        <w:t>27</w:t>
      </w:r>
      <w:r w:rsidRPr="007319CD">
        <w:rPr>
          <w:rFonts w:hAnsi="標楷體" w:hint="eastAsia"/>
        </w:rPr>
        <w:t>日增訂發布、同年</w:t>
      </w:r>
      <w:r w:rsidR="00C876C3" w:rsidRPr="007319CD">
        <w:rPr>
          <w:rFonts w:hAnsi="標楷體" w:hint="eastAsia"/>
        </w:rPr>
        <w:t>2</w:t>
      </w:r>
      <w:r w:rsidRPr="007319CD">
        <w:rPr>
          <w:rFonts w:hAnsi="標楷體" w:hint="eastAsia"/>
        </w:rPr>
        <w:t>月</w:t>
      </w:r>
      <w:r w:rsidR="00C876C3" w:rsidRPr="007319CD">
        <w:rPr>
          <w:rFonts w:hAnsi="標楷體" w:hint="eastAsia"/>
        </w:rPr>
        <w:t>16</w:t>
      </w:r>
      <w:r w:rsidRPr="007319CD">
        <w:rPr>
          <w:rFonts w:hAnsi="標楷體" w:hint="eastAsia"/>
        </w:rPr>
        <w:t>日施行之學校退休教職員公保養老給付金額優惠存款要點（已廢止）第</w:t>
      </w:r>
      <w:r w:rsidR="00C876C3" w:rsidRPr="007319CD">
        <w:rPr>
          <w:rFonts w:hAnsi="標楷體" w:hint="eastAsia"/>
        </w:rPr>
        <w:t>3</w:t>
      </w:r>
      <w:r w:rsidRPr="007319CD">
        <w:rPr>
          <w:rFonts w:hAnsi="標楷體" w:hint="eastAsia"/>
        </w:rPr>
        <w:t>點之</w:t>
      </w:r>
      <w:r w:rsidR="00C876C3" w:rsidRPr="007319CD">
        <w:rPr>
          <w:rFonts w:hAnsi="標楷體" w:hint="eastAsia"/>
        </w:rPr>
        <w:t>1</w:t>
      </w:r>
      <w:r w:rsidRPr="007319CD">
        <w:rPr>
          <w:rFonts w:hAnsi="標楷體" w:hint="eastAsia"/>
        </w:rPr>
        <w:t>第</w:t>
      </w:r>
      <w:r w:rsidR="00C876C3" w:rsidRPr="007319CD">
        <w:rPr>
          <w:rFonts w:hAnsi="標楷體" w:hint="eastAsia"/>
        </w:rPr>
        <w:t>1</w:t>
      </w:r>
      <w:r w:rsidRPr="007319CD">
        <w:rPr>
          <w:rFonts w:hAnsi="標楷體" w:hint="eastAsia"/>
        </w:rPr>
        <w:t>項至第</w:t>
      </w:r>
      <w:r w:rsidR="00C876C3" w:rsidRPr="007319CD">
        <w:rPr>
          <w:rFonts w:hAnsi="標楷體" w:hint="eastAsia"/>
        </w:rPr>
        <w:t>3</w:t>
      </w:r>
      <w:r w:rsidRPr="007319CD">
        <w:rPr>
          <w:rFonts w:hAnsi="標楷體" w:hint="eastAsia"/>
        </w:rPr>
        <w:t>項、第</w:t>
      </w:r>
      <w:r w:rsidR="00C876C3" w:rsidRPr="007319CD">
        <w:rPr>
          <w:rFonts w:hAnsi="標楷體" w:hint="eastAsia"/>
        </w:rPr>
        <w:t>7</w:t>
      </w:r>
      <w:r w:rsidRPr="007319CD">
        <w:rPr>
          <w:rFonts w:hAnsi="標楷體" w:hint="eastAsia"/>
        </w:rPr>
        <w:t>項及第</w:t>
      </w:r>
      <w:r w:rsidR="00C876C3" w:rsidRPr="007319CD">
        <w:rPr>
          <w:rFonts w:hAnsi="標楷體" w:hint="eastAsia"/>
        </w:rPr>
        <w:t>8</w:t>
      </w:r>
      <w:r w:rsidRPr="007319CD">
        <w:rPr>
          <w:rFonts w:hAnsi="標楷體" w:hint="eastAsia"/>
        </w:rPr>
        <w:t>項，有關以支領月退休金人員之每月退休所得，不得超過依最後在職同等級</w:t>
      </w:r>
      <w:r w:rsidRPr="007319CD">
        <w:rPr>
          <w:rFonts w:hAnsi="標楷體" w:hint="eastAsia"/>
        </w:rPr>
        <w:lastRenderedPageBreak/>
        <w:t>人員現職待遇計算之退休所得上限一定百分比之方式，減少其公保養老給付得辦理優惠存款金額之規定」，認為無涉禁止法律溯及既往之原則。該號解釋之事實基礎係針對優惠存款</w:t>
      </w:r>
      <w:r w:rsidR="00BF0D27" w:rsidRPr="007319CD">
        <w:rPr>
          <w:rFonts w:hAnsi="標楷體" w:hint="eastAsia"/>
        </w:rPr>
        <w:t>之</w:t>
      </w:r>
      <w:r w:rsidRPr="007319CD">
        <w:rPr>
          <w:rFonts w:hAnsi="標楷體" w:hint="eastAsia"/>
        </w:rPr>
        <w:t>制度，依據該號解釋稱，優惠存款之制度作為對公務人員於退休金額度偏低時之政策性補貼，與本件聲請釋憲客體涉及國家經常性退休給付顯然有別，退休給付並非國家政策性補貼，而係屬公務員請求國家支付退休金之權利，國家自負有給付之義務；復查，退休公務人員一次退休金與養老給付優惠存款辦法與公立學校退休教職員一次退休金及養老給付優惠存款辦法第8條</w:t>
      </w:r>
      <w:r w:rsidR="00C404CF" w:rsidRPr="007319CD">
        <w:rPr>
          <w:rFonts w:hAnsi="標楷體" w:hint="eastAsia"/>
        </w:rPr>
        <w:t>第1項</w:t>
      </w:r>
      <w:r w:rsidRPr="007319CD">
        <w:rPr>
          <w:rFonts w:hAnsi="標楷體" w:hint="eastAsia"/>
        </w:rPr>
        <w:t>規定：「優惠存款契約之期限定為</w:t>
      </w:r>
      <w:r w:rsidR="00C876C3" w:rsidRPr="007319CD">
        <w:rPr>
          <w:rFonts w:hAnsi="標楷體" w:hint="eastAsia"/>
        </w:rPr>
        <w:t>1</w:t>
      </w:r>
      <w:r w:rsidRPr="007319CD">
        <w:rPr>
          <w:rFonts w:hAnsi="標楷體" w:hint="eastAsia"/>
        </w:rPr>
        <w:t>年及</w:t>
      </w:r>
      <w:r w:rsidR="00C876C3" w:rsidRPr="007319CD">
        <w:rPr>
          <w:rFonts w:hAnsi="標楷體" w:hint="eastAsia"/>
        </w:rPr>
        <w:t>2</w:t>
      </w:r>
      <w:r w:rsidR="00BF0D27" w:rsidRPr="007319CD">
        <w:rPr>
          <w:rFonts w:hAnsi="標楷體" w:hint="eastAsia"/>
        </w:rPr>
        <w:t>年。期滿得辦理續存。」從而就優惠存款契約係屬定期契約，</w:t>
      </w:r>
      <w:r w:rsidRPr="007319CD">
        <w:rPr>
          <w:rFonts w:hAnsi="標楷體" w:hint="eastAsia"/>
        </w:rPr>
        <w:t>然公務人員退休給付依據公務人員退</w:t>
      </w:r>
      <w:r w:rsidR="00C404CF" w:rsidRPr="007319CD">
        <w:rPr>
          <w:rFonts w:hAnsi="標楷體"/>
        </w:rPr>
        <w:t>休</w:t>
      </w:r>
      <w:r w:rsidRPr="007319CD">
        <w:rPr>
          <w:rFonts w:hAnsi="標楷體" w:hint="eastAsia"/>
        </w:rPr>
        <w:t>法（舊法）第33條規定：「</w:t>
      </w:r>
      <w:proofErr w:type="gramStart"/>
      <w:r w:rsidRPr="007319CD">
        <w:rPr>
          <w:rFonts w:hAnsi="標楷體" w:hint="eastAsia"/>
        </w:rPr>
        <w:t>銓敘部於受理</w:t>
      </w:r>
      <w:proofErr w:type="gramEnd"/>
      <w:r w:rsidRPr="007319CD">
        <w:rPr>
          <w:rFonts w:hAnsi="標楷體" w:hint="eastAsia"/>
        </w:rPr>
        <w:t>退休、資遣或撫慰金案之申請，應於</w:t>
      </w:r>
      <w:r w:rsidR="00FB6FE1" w:rsidRPr="007319CD">
        <w:rPr>
          <w:rFonts w:hAnsi="標楷體" w:hint="eastAsia"/>
        </w:rPr>
        <w:t>2</w:t>
      </w:r>
      <w:r w:rsidRPr="007319CD">
        <w:rPr>
          <w:rFonts w:hAnsi="標楷體" w:hint="eastAsia"/>
        </w:rPr>
        <w:t>個月內核定或審定；必要時，得延長</w:t>
      </w:r>
      <w:r w:rsidR="00FB6FE1" w:rsidRPr="007319CD">
        <w:rPr>
          <w:rFonts w:hAnsi="標楷體" w:hint="eastAsia"/>
        </w:rPr>
        <w:t>1</w:t>
      </w:r>
      <w:r w:rsidRPr="007319CD">
        <w:rPr>
          <w:rFonts w:hAnsi="標楷體" w:hint="eastAsia"/>
        </w:rPr>
        <w:t>個月。退休、資遣人員或請領撫慰金遺族，對於退休、資遣案或撫慰金案之核（審）定之結果如有不服，得依公務人員保障法提起救濟；如有顯然錯誤，或有發生新事實、發現新證據等行政程序再開事由，得依行政程序法相關規定辦理。」同法第34條</w:t>
      </w:r>
      <w:r w:rsidR="00BF0D27" w:rsidRPr="007319CD">
        <w:rPr>
          <w:rFonts w:hAnsi="標楷體" w:hint="eastAsia"/>
        </w:rPr>
        <w:t>並</w:t>
      </w:r>
      <w:r w:rsidRPr="007319CD">
        <w:rPr>
          <w:rFonts w:hAnsi="標楷體" w:hint="eastAsia"/>
        </w:rPr>
        <w:t>規定：「依本法辦理自願</w:t>
      </w:r>
      <w:proofErr w:type="gramStart"/>
      <w:r w:rsidRPr="007319CD">
        <w:rPr>
          <w:rFonts w:hAnsi="標楷體" w:hint="eastAsia"/>
        </w:rPr>
        <w:t>或屆齡退休</w:t>
      </w:r>
      <w:proofErr w:type="gramEnd"/>
      <w:r w:rsidRPr="007319CD">
        <w:rPr>
          <w:rFonts w:hAnsi="標楷體" w:hint="eastAsia"/>
        </w:rPr>
        <w:t>人員，其生效日期應於申請時審慎決定，逾核定生效日之後，不得請求變更。公務人員依</w:t>
      </w:r>
      <w:proofErr w:type="gramStart"/>
      <w:r w:rsidRPr="007319CD">
        <w:rPr>
          <w:rFonts w:hAnsi="標楷體" w:hint="eastAsia"/>
        </w:rPr>
        <w:t>本法擇領</w:t>
      </w:r>
      <w:proofErr w:type="gramEnd"/>
      <w:r w:rsidRPr="007319CD">
        <w:rPr>
          <w:rFonts w:hAnsi="標楷體" w:hint="eastAsia"/>
        </w:rPr>
        <w:t>退休金、補償金之種類、退撫新制實施前後年資之取捨及遺族擇領撫慰金之種類，</w:t>
      </w:r>
      <w:proofErr w:type="gramStart"/>
      <w:r w:rsidRPr="007319CD">
        <w:rPr>
          <w:rFonts w:hAnsi="標楷體" w:hint="eastAsia"/>
        </w:rPr>
        <w:t>均應於</w:t>
      </w:r>
      <w:proofErr w:type="gramEnd"/>
      <w:r w:rsidRPr="007319CD">
        <w:rPr>
          <w:rFonts w:hAnsi="標楷體" w:hint="eastAsia"/>
        </w:rPr>
        <w:t>申請時審慎決定，經銓敘部核定並領取給與後，不得請求變更。」是則，退休給付依</w:t>
      </w:r>
      <w:r w:rsidRPr="007319CD">
        <w:rPr>
          <w:rFonts w:hAnsi="標楷體" w:hint="eastAsia"/>
        </w:rPr>
        <w:lastRenderedPageBreak/>
        <w:t>據前揭規定經主管機關（銓敘部）核定時，業將退休所得之給付內容、金額、方式及時期業於退休生效時審定確定在案，就其公務員請領退休所得所有構成要件事實及法律</w:t>
      </w:r>
      <w:proofErr w:type="gramStart"/>
      <w:r w:rsidRPr="007319CD">
        <w:rPr>
          <w:rFonts w:hAnsi="標楷體" w:hint="eastAsia"/>
        </w:rPr>
        <w:t>關係均為確定</w:t>
      </w:r>
      <w:proofErr w:type="gramEnd"/>
      <w:r w:rsidRPr="007319CD">
        <w:rPr>
          <w:rFonts w:hAnsi="標楷體" w:hint="eastAsia"/>
        </w:rPr>
        <w:t>，顯為司法院釋字717號解釋所稱：「法規生效前『業已終結』之事實或法律關係。」</w:t>
      </w:r>
      <w:r w:rsidR="00BF0D27" w:rsidRPr="007319CD">
        <w:rPr>
          <w:rFonts w:hAnsi="標楷體" w:hint="eastAsia"/>
        </w:rPr>
        <w:t>（</w:t>
      </w:r>
      <w:r w:rsidR="00BF0D27" w:rsidRPr="007319CD">
        <w:rPr>
          <w:rFonts w:hAnsi="標楷體"/>
        </w:rPr>
        <w:t>公立學校教職員</w:t>
      </w:r>
      <w:r w:rsidR="00BF0D27" w:rsidRPr="007319CD">
        <w:rPr>
          <w:rFonts w:hAnsi="標楷體" w:hint="eastAsia"/>
        </w:rPr>
        <w:t>退休給付亦同），</w:t>
      </w:r>
      <w:r w:rsidRPr="007319CD">
        <w:rPr>
          <w:rFonts w:hAnsi="標楷體" w:hint="eastAsia"/>
        </w:rPr>
        <w:t>自無疑義。</w:t>
      </w:r>
    </w:p>
    <w:p w:rsidR="00685318" w:rsidRPr="007319CD" w:rsidRDefault="00685318" w:rsidP="00685318">
      <w:pPr>
        <w:pStyle w:val="3"/>
        <w:rPr>
          <w:rFonts w:hAnsi="標楷體"/>
        </w:rPr>
      </w:pPr>
      <w:r w:rsidRPr="007319CD">
        <w:rPr>
          <w:rFonts w:hAnsi="標楷體"/>
        </w:rPr>
        <w:t>綜上，</w:t>
      </w:r>
      <w:r w:rsidR="009315F3" w:rsidRPr="007319CD">
        <w:rPr>
          <w:rFonts w:hAnsi="標楷體"/>
        </w:rPr>
        <w:t>公務人員退撫法（新法）</w:t>
      </w:r>
      <w:r w:rsidR="00140958" w:rsidRPr="007319CD">
        <w:rPr>
          <w:rFonts w:hAnsi="標楷體"/>
        </w:rPr>
        <w:t>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rPr>
        <w:t>年金制度定期檢討機制</w:t>
      </w:r>
      <w:r w:rsidR="00140958" w:rsidRPr="007319CD">
        <w:rPr>
          <w:rFonts w:hAnsi="標楷體"/>
        </w:rPr>
        <w:t>，使退休給付債權永成不確定狀態等；另</w:t>
      </w:r>
      <w:r w:rsidR="00914E2B" w:rsidRPr="007319CD">
        <w:rPr>
          <w:rFonts w:hAnsi="標楷體"/>
        </w:rPr>
        <w:t>公立學校教職員退撫條例</w:t>
      </w:r>
      <w:r w:rsidR="00C74E5E" w:rsidRPr="007319CD">
        <w:rPr>
          <w:rFonts w:hAnsi="標楷體"/>
        </w:rPr>
        <w:t>（新法）</w:t>
      </w:r>
      <w:r w:rsidR="00140958" w:rsidRPr="007319CD">
        <w:rPr>
          <w:rFonts w:hAnsi="標楷體"/>
        </w:rPr>
        <w:t>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rPr>
        <w:t>年金制度定期檢討機制</w:t>
      </w:r>
      <w:r w:rsidR="00140958" w:rsidRPr="007319CD">
        <w:rPr>
          <w:rFonts w:hAnsi="標楷體"/>
        </w:rPr>
        <w:t>，使退休給付債權永成不確定狀態等，其適用對象與範圍涵蓋已退休與未退休之所有公教人員，</w:t>
      </w:r>
      <w:r w:rsidRPr="007319CD">
        <w:rPr>
          <w:rFonts w:hAnsi="標楷體"/>
        </w:rPr>
        <w:t>均涉及違反法律</w:t>
      </w:r>
      <w:r w:rsidR="0088548F">
        <w:rPr>
          <w:rFonts w:hAnsi="標楷體" w:hint="eastAsia"/>
        </w:rPr>
        <w:t>不</w:t>
      </w:r>
      <w:bookmarkStart w:id="31" w:name="_GoBack"/>
      <w:bookmarkEnd w:id="31"/>
      <w:r w:rsidRPr="007319CD">
        <w:rPr>
          <w:rFonts w:hAnsi="標楷體"/>
        </w:rPr>
        <w:t>溯及既往原則，侵害公務員財產權。</w:t>
      </w:r>
    </w:p>
    <w:p w:rsidR="006215FA" w:rsidRPr="007319CD" w:rsidRDefault="009315F3" w:rsidP="00ED6DB4">
      <w:pPr>
        <w:pStyle w:val="2"/>
        <w:rPr>
          <w:rFonts w:hAnsi="標楷體"/>
          <w:b/>
        </w:rPr>
      </w:pPr>
      <w:r w:rsidRPr="007319CD">
        <w:rPr>
          <w:rFonts w:hAnsi="標楷體"/>
          <w:b/>
        </w:rPr>
        <w:t>公務人員退撫法（新法）</w:t>
      </w:r>
      <w:r w:rsidR="00ED6DB4" w:rsidRPr="007319CD">
        <w:rPr>
          <w:rFonts w:hAnsi="標楷體"/>
          <w:b/>
        </w:rPr>
        <w:t>第31條規定改變請領資格，延後月</w:t>
      </w:r>
      <w:proofErr w:type="gramStart"/>
      <w:r w:rsidR="00ED6DB4" w:rsidRPr="007319CD">
        <w:rPr>
          <w:rFonts w:hAnsi="標楷體"/>
          <w:b/>
        </w:rPr>
        <w:t>退休金起支年齡</w:t>
      </w:r>
      <w:proofErr w:type="gramEnd"/>
      <w:r w:rsidR="00ED6DB4" w:rsidRPr="007319CD">
        <w:rPr>
          <w:rFonts w:hAnsi="標楷體"/>
          <w:b/>
        </w:rPr>
        <w:t>、第27條調整退休金計算基準、第4條第4款及第37條至第39條規定調降退休所得、第34條取消年資補償金、第45條規定調整月撫慰金制度、第92條規定</w:t>
      </w:r>
      <w:r w:rsidR="00DA4D6C" w:rsidRPr="007319CD">
        <w:rPr>
          <w:rFonts w:hAnsi="標楷體"/>
          <w:b/>
        </w:rPr>
        <w:t>年金制度定期檢討機制</w:t>
      </w:r>
      <w:r w:rsidR="00ED6DB4" w:rsidRPr="007319CD">
        <w:rPr>
          <w:rFonts w:hAnsi="標楷體"/>
          <w:b/>
        </w:rPr>
        <w:t>，使退休給付債權永成不確定狀態等；另</w:t>
      </w:r>
      <w:r w:rsidR="00914E2B" w:rsidRPr="007319CD">
        <w:rPr>
          <w:rFonts w:hAnsi="標楷體"/>
          <w:b/>
        </w:rPr>
        <w:t>公立學校教職員退撫條例</w:t>
      </w:r>
      <w:r w:rsidR="00C74E5E" w:rsidRPr="007319CD">
        <w:rPr>
          <w:rFonts w:hAnsi="標楷體"/>
          <w:b/>
        </w:rPr>
        <w:t>（新法）</w:t>
      </w:r>
      <w:r w:rsidR="00ED6DB4" w:rsidRPr="007319CD">
        <w:rPr>
          <w:rFonts w:hAnsi="標楷體"/>
          <w:b/>
        </w:rPr>
        <w:t>第32條規定改變請領資格，延後月</w:t>
      </w:r>
      <w:proofErr w:type="gramStart"/>
      <w:r w:rsidR="00ED6DB4" w:rsidRPr="007319CD">
        <w:rPr>
          <w:rFonts w:hAnsi="標楷體"/>
          <w:b/>
        </w:rPr>
        <w:t>退休金起支年齡</w:t>
      </w:r>
      <w:proofErr w:type="gramEnd"/>
      <w:r w:rsidR="00ED6DB4" w:rsidRPr="007319CD">
        <w:rPr>
          <w:rFonts w:hAnsi="標楷體"/>
          <w:b/>
        </w:rPr>
        <w:t>、第28條調整退休金計算基準、第4條第4</w:t>
      </w:r>
      <w:r w:rsidR="00ED6DB4" w:rsidRPr="007319CD">
        <w:rPr>
          <w:rFonts w:hAnsi="標楷體"/>
          <w:b/>
        </w:rPr>
        <w:lastRenderedPageBreak/>
        <w:t>款及第37條至第39條規定調降退休所得、第34條取消年資補償金、第45條規定調整月撫慰金制度、第97條規定</w:t>
      </w:r>
      <w:r w:rsidR="00DA4D6C" w:rsidRPr="007319CD">
        <w:rPr>
          <w:rFonts w:hAnsi="標楷體"/>
          <w:b/>
        </w:rPr>
        <w:t>年金制度定期檢討機制</w:t>
      </w:r>
      <w:r w:rsidR="00ED6DB4" w:rsidRPr="007319CD">
        <w:rPr>
          <w:rFonts w:hAnsi="標楷體"/>
          <w:b/>
        </w:rPr>
        <w:t>，使退休給付債權永成不確定狀態等，其適用對象與範圍涵蓋已退休與未退休之所有公教人員，</w:t>
      </w:r>
      <w:r w:rsidR="00707A26" w:rsidRPr="007319CD">
        <w:rPr>
          <w:rFonts w:hAnsi="標楷體"/>
          <w:b/>
        </w:rPr>
        <w:t>破壞公務員制度性保障（含教師），</w:t>
      </w:r>
      <w:r w:rsidR="00031D46" w:rsidRPr="007319CD">
        <w:rPr>
          <w:rFonts w:hAnsi="標楷體"/>
          <w:b/>
        </w:rPr>
        <w:t>將使特別法律關係失其正當性；又</w:t>
      </w:r>
      <w:r w:rsidR="007F0472" w:rsidRPr="007319CD">
        <w:rPr>
          <w:rFonts w:hAnsi="標楷體" w:hint="eastAsia"/>
          <w:b/>
        </w:rPr>
        <w:t>新法</w:t>
      </w:r>
      <w:r w:rsidR="006215FA" w:rsidRPr="007319CD">
        <w:rPr>
          <w:rFonts w:hAnsi="標楷體"/>
          <w:b/>
        </w:rPr>
        <w:t>實施後公務員年齡結構將達60歲，全體公務員勢將以「消極性取代主動性」，而年輕菁英</w:t>
      </w:r>
      <w:proofErr w:type="gramStart"/>
      <w:r w:rsidR="006215FA" w:rsidRPr="007319CD">
        <w:rPr>
          <w:rFonts w:hAnsi="標楷體"/>
          <w:b/>
        </w:rPr>
        <w:t>無人願進公務</w:t>
      </w:r>
      <w:proofErr w:type="gramEnd"/>
      <w:r w:rsidR="006215FA" w:rsidRPr="007319CD">
        <w:rPr>
          <w:rFonts w:hAnsi="標楷體"/>
          <w:b/>
        </w:rPr>
        <w:t>體系，公共服務品質與國家整體競爭力必將下降，嚴重影響常任文官制度。</w:t>
      </w:r>
    </w:p>
    <w:p w:rsidR="00707A26" w:rsidRPr="007319CD" w:rsidRDefault="00707A26" w:rsidP="005460BB">
      <w:pPr>
        <w:pStyle w:val="3"/>
        <w:rPr>
          <w:rFonts w:hAnsi="標楷體"/>
          <w:b/>
        </w:rPr>
      </w:pPr>
      <w:r w:rsidRPr="007319CD">
        <w:rPr>
          <w:rFonts w:hAnsi="標楷體"/>
          <w:b/>
        </w:rPr>
        <w:t>公務員制度性保障除司法院釋字第483號解釋以降所</w:t>
      </w:r>
      <w:proofErr w:type="gramStart"/>
      <w:r w:rsidRPr="007319CD">
        <w:rPr>
          <w:rFonts w:hAnsi="標楷體"/>
          <w:b/>
        </w:rPr>
        <w:t>肯認外</w:t>
      </w:r>
      <w:proofErr w:type="gramEnd"/>
      <w:r w:rsidRPr="007319CD">
        <w:rPr>
          <w:rFonts w:hAnsi="標楷體"/>
          <w:b/>
        </w:rPr>
        <w:t>，我國憲法並將三權分立改為五權分立特設考試院加以保障，揭示立法權應尊重考試權之意旨之憲法意義。</w:t>
      </w:r>
    </w:p>
    <w:p w:rsidR="00707A26" w:rsidRPr="007319CD" w:rsidRDefault="00707A26" w:rsidP="00F129C3">
      <w:pPr>
        <w:pStyle w:val="4"/>
        <w:rPr>
          <w:rFonts w:hAnsi="標楷體"/>
        </w:rPr>
      </w:pPr>
      <w:r w:rsidRPr="007319CD">
        <w:rPr>
          <w:rFonts w:hAnsi="標楷體"/>
        </w:rPr>
        <w:t>制度性保障乃是基本權客觀功能體系的內涵之一，按制度性保障作為大陸法系憲法學基本權保障核心概念，原係由法國憲法學者毛利思·烏利五（Maurice Hauriou, 1856年</w:t>
      </w:r>
      <w:r w:rsidR="00901FBA" w:rsidRPr="007319CD">
        <w:rPr>
          <w:rFonts w:hAnsi="標楷體" w:hint="eastAsia"/>
        </w:rPr>
        <w:t>至</w:t>
      </w:r>
      <w:r w:rsidRPr="007319CD">
        <w:rPr>
          <w:rFonts w:hAnsi="標楷體"/>
        </w:rPr>
        <w:t>1929</w:t>
      </w:r>
      <w:r w:rsidR="004332C3" w:rsidRPr="007319CD">
        <w:rPr>
          <w:rFonts w:hAnsi="標楷體"/>
        </w:rPr>
        <w:t>年）等</w:t>
      </w:r>
      <w:r w:rsidRPr="007319CD">
        <w:rPr>
          <w:rFonts w:hAnsi="標楷體"/>
        </w:rPr>
        <w:t>發展出來的，其後再由德國威</w:t>
      </w:r>
      <w:proofErr w:type="gramStart"/>
      <w:r w:rsidRPr="007319CD">
        <w:rPr>
          <w:rFonts w:hAnsi="標楷體"/>
        </w:rPr>
        <w:t>瑪</w:t>
      </w:r>
      <w:proofErr w:type="gramEnd"/>
      <w:r w:rsidRPr="007319CD">
        <w:rPr>
          <w:rFonts w:hAnsi="標楷體"/>
        </w:rPr>
        <w:t>共和憲法學者卡爾</w:t>
      </w:r>
      <w:proofErr w:type="gramStart"/>
      <w:r w:rsidRPr="007319CD">
        <w:rPr>
          <w:rFonts w:hAnsi="標楷體"/>
        </w:rPr>
        <w:t>·施密</w:t>
      </w:r>
      <w:proofErr w:type="gramEnd"/>
      <w:r w:rsidRPr="007319CD">
        <w:rPr>
          <w:rFonts w:hAnsi="標楷體"/>
        </w:rPr>
        <w:t>特（Carl Schmitt, 1888年</w:t>
      </w:r>
      <w:r w:rsidR="00901FBA" w:rsidRPr="007319CD">
        <w:rPr>
          <w:rFonts w:hAnsi="標楷體" w:hint="eastAsia"/>
        </w:rPr>
        <w:t>至</w:t>
      </w:r>
      <w:r w:rsidRPr="007319CD">
        <w:rPr>
          <w:rFonts w:hAnsi="標楷體"/>
        </w:rPr>
        <w:t>1985年）將其概念進行體系化，其主張「制度」和「基本權利」二分，而認「某些既存或為憲法所肯認的制度須受憲法直接保護，立法者不得以法律任意變更其核心價值內涵」</w:t>
      </w:r>
      <w:r w:rsidR="003F74DE" w:rsidRPr="007319CD">
        <w:rPr>
          <w:rFonts w:hAnsi="標楷體"/>
        </w:rPr>
        <w:t>，</w:t>
      </w:r>
      <w:r w:rsidRPr="007319CD">
        <w:rPr>
          <w:rFonts w:hAnsi="標楷體"/>
        </w:rPr>
        <w:t>除排除立法者對人民基本權利的侵害外，同時解決基本權利理論中有關權利主體的問題。第二次世界大戰後，德國制定基本法，落實人民基本權利的效力，人民得直接援引憲法中基本權利對國家主張。更進一步強化制度性保障之範圍</w:t>
      </w:r>
      <w:r w:rsidR="003F74DE" w:rsidRPr="007319CD">
        <w:rPr>
          <w:rFonts w:hAnsi="標楷體"/>
        </w:rPr>
        <w:t>，</w:t>
      </w:r>
      <w:r w:rsidRPr="007319CD">
        <w:rPr>
          <w:rFonts w:hAnsi="標楷體"/>
        </w:rPr>
        <w:t>在現代意義的制度性保障係指「國家必須建立制度或法律，確保其存在，得</w:t>
      </w:r>
      <w:r w:rsidRPr="007319CD">
        <w:rPr>
          <w:rFonts w:hAnsi="標楷體"/>
        </w:rPr>
        <w:lastRenderedPageBreak/>
        <w:t>以實現基本權利」例如：人民擁有財產權，國家即必須建立完善的私有財產制度來實現人民的財產權；人民擁有訴訟權，國家即必須建立完善的法院體系和訴訟制度來實現人民的訴訟權利。制度性保障理論在實務上最早由司法院大法官在司法院釋字第380號解釋引進，到了釋字第396</w:t>
      </w:r>
      <w:r w:rsidR="00B24338" w:rsidRPr="007319CD">
        <w:rPr>
          <w:rFonts w:hAnsi="標楷體"/>
        </w:rPr>
        <w:t>號解釋則</w:t>
      </w:r>
      <w:proofErr w:type="gramStart"/>
      <w:r w:rsidR="00B24338" w:rsidRPr="007319CD">
        <w:rPr>
          <w:rFonts w:hAnsi="標楷體"/>
        </w:rPr>
        <w:t>全面肯</w:t>
      </w:r>
      <w:proofErr w:type="gramEnd"/>
      <w:r w:rsidR="00B24338" w:rsidRPr="007319CD">
        <w:rPr>
          <w:rFonts w:hAnsi="標楷體"/>
        </w:rPr>
        <w:t>認制度性保障在</w:t>
      </w:r>
      <w:r w:rsidR="00B24338" w:rsidRPr="007319CD">
        <w:rPr>
          <w:rFonts w:hAnsi="標楷體" w:hint="eastAsia"/>
        </w:rPr>
        <w:t>臺</w:t>
      </w:r>
      <w:r w:rsidRPr="007319CD">
        <w:rPr>
          <w:rFonts w:hAnsi="標楷體"/>
        </w:rPr>
        <w:t>灣憲法實務上的地位。目前受制度性保障的制度有訴訟制度（釋字第396號</w:t>
      </w:r>
      <w:r w:rsidR="00E63B5D" w:rsidRPr="007319CD">
        <w:rPr>
          <w:rFonts w:hAnsi="標楷體"/>
        </w:rPr>
        <w:t>解釋</w:t>
      </w:r>
      <w:r w:rsidRPr="007319CD">
        <w:rPr>
          <w:rFonts w:hAnsi="標楷體"/>
        </w:rPr>
        <w:t>）、大學自治制度（釋字第380號</w:t>
      </w:r>
      <w:r w:rsidR="00E63B5D" w:rsidRPr="007319CD">
        <w:rPr>
          <w:rFonts w:hAnsi="標楷體"/>
        </w:rPr>
        <w:t>解釋</w:t>
      </w:r>
      <w:r w:rsidRPr="007319CD">
        <w:rPr>
          <w:rFonts w:hAnsi="標楷體"/>
        </w:rPr>
        <w:t>、釋字第563號</w:t>
      </w:r>
      <w:r w:rsidR="00E63B5D" w:rsidRPr="007319CD">
        <w:rPr>
          <w:rFonts w:hAnsi="標楷體"/>
        </w:rPr>
        <w:t>解釋</w:t>
      </w:r>
      <w:r w:rsidRPr="007319CD">
        <w:rPr>
          <w:rFonts w:hAnsi="標楷體"/>
        </w:rPr>
        <w:t>）、地方自治制度（釋字第498號</w:t>
      </w:r>
      <w:r w:rsidR="00E63B5D" w:rsidRPr="007319CD">
        <w:rPr>
          <w:rFonts w:hAnsi="標楷體"/>
        </w:rPr>
        <w:t>解釋</w:t>
      </w:r>
      <w:r w:rsidRPr="007319CD">
        <w:rPr>
          <w:rFonts w:hAnsi="標楷體"/>
        </w:rPr>
        <w:t>）、婚姻家庭制度(釋字第554號</w:t>
      </w:r>
      <w:r w:rsidR="00E63B5D" w:rsidRPr="007319CD">
        <w:rPr>
          <w:rFonts w:hAnsi="標楷體"/>
        </w:rPr>
        <w:t>解釋</w:t>
      </w:r>
      <w:r w:rsidRPr="007319CD">
        <w:rPr>
          <w:rFonts w:hAnsi="標楷體"/>
        </w:rPr>
        <w:t>)、服公職權利(釋字第605號</w:t>
      </w:r>
      <w:r w:rsidR="00E63B5D" w:rsidRPr="007319CD">
        <w:rPr>
          <w:rFonts w:hAnsi="標楷體"/>
        </w:rPr>
        <w:t>解釋</w:t>
      </w:r>
      <w:r w:rsidRPr="007319CD">
        <w:rPr>
          <w:rFonts w:hAnsi="標楷體"/>
        </w:rPr>
        <w:t>)等。</w:t>
      </w:r>
    </w:p>
    <w:p w:rsidR="00707A26" w:rsidRPr="007319CD" w:rsidRDefault="00707A26" w:rsidP="00BD6339">
      <w:pPr>
        <w:pStyle w:val="4"/>
        <w:tabs>
          <w:tab w:val="left" w:pos="5103"/>
        </w:tabs>
        <w:rPr>
          <w:rFonts w:hAnsi="標楷體"/>
        </w:rPr>
      </w:pPr>
      <w:r w:rsidRPr="007319CD">
        <w:rPr>
          <w:rFonts w:hAnsi="標楷體"/>
        </w:rPr>
        <w:t>有關公務員制度性保障</w:t>
      </w:r>
      <w:r w:rsidR="004332C3" w:rsidRPr="007319CD">
        <w:rPr>
          <w:rFonts w:hAnsi="標楷體"/>
        </w:rPr>
        <w:t>，</w:t>
      </w:r>
      <w:r w:rsidR="00901FBA" w:rsidRPr="007319CD">
        <w:rPr>
          <w:rFonts w:hAnsi="標楷體" w:hint="eastAsia"/>
        </w:rPr>
        <w:t>司法院</w:t>
      </w:r>
      <w:r w:rsidRPr="007319CD">
        <w:rPr>
          <w:rFonts w:hAnsi="標楷體"/>
        </w:rPr>
        <w:t>釋字第483號解釋</w:t>
      </w:r>
      <w:r w:rsidR="004332C3" w:rsidRPr="007319CD">
        <w:rPr>
          <w:rFonts w:hAnsi="標楷體"/>
        </w:rPr>
        <w:t>稱</w:t>
      </w:r>
      <w:r w:rsidRPr="007319CD">
        <w:rPr>
          <w:rFonts w:hAnsi="標楷體"/>
        </w:rPr>
        <w:t>：公務人員依法銓敘取得之官等</w:t>
      </w:r>
      <w:proofErr w:type="gramStart"/>
      <w:r w:rsidRPr="007319CD">
        <w:rPr>
          <w:rFonts w:hAnsi="標楷體"/>
        </w:rPr>
        <w:t>俸</w:t>
      </w:r>
      <w:proofErr w:type="gramEnd"/>
      <w:r w:rsidRPr="007319CD">
        <w:rPr>
          <w:rFonts w:hAnsi="標楷體"/>
        </w:rPr>
        <w:t>級，非經公務員懲戒機關依法定程序之審議決定，不得降級或減</w:t>
      </w:r>
      <w:proofErr w:type="gramStart"/>
      <w:r w:rsidRPr="007319CD">
        <w:rPr>
          <w:rFonts w:hAnsi="標楷體"/>
        </w:rPr>
        <w:t>俸</w:t>
      </w:r>
      <w:proofErr w:type="gramEnd"/>
      <w:r w:rsidRPr="007319CD">
        <w:rPr>
          <w:rFonts w:hAnsi="標楷體"/>
        </w:rPr>
        <w:t>，此乃憲法上</w:t>
      </w:r>
      <w:r w:rsidR="003F74DE" w:rsidRPr="007319CD">
        <w:rPr>
          <w:rFonts w:hAnsi="標楷體"/>
          <w:b/>
        </w:rPr>
        <w:t>「</w:t>
      </w:r>
      <w:r w:rsidRPr="007319CD">
        <w:rPr>
          <w:rFonts w:hAnsi="標楷體"/>
          <w:b/>
        </w:rPr>
        <w:t>服公職權利所受之制度性保障</w:t>
      </w:r>
      <w:r w:rsidR="003F74DE" w:rsidRPr="007319CD">
        <w:rPr>
          <w:rFonts w:hAnsi="標楷體"/>
          <w:b/>
        </w:rPr>
        <w:t>」</w:t>
      </w:r>
      <w:r w:rsidRPr="007319CD">
        <w:rPr>
          <w:rFonts w:hAnsi="標楷體"/>
          <w:b/>
        </w:rPr>
        <w:t>，</w:t>
      </w:r>
      <w:r w:rsidR="00E63B5D" w:rsidRPr="007319CD">
        <w:rPr>
          <w:rFonts w:hAnsi="標楷體"/>
        </w:rPr>
        <w:t>亦為公務員懲戒法第</w:t>
      </w:r>
      <w:r w:rsidR="003F74DE" w:rsidRPr="007319CD">
        <w:rPr>
          <w:rFonts w:hAnsi="標楷體"/>
        </w:rPr>
        <w:t>1</w:t>
      </w:r>
      <w:r w:rsidR="00E63B5D" w:rsidRPr="007319CD">
        <w:rPr>
          <w:rFonts w:hAnsi="標楷體"/>
        </w:rPr>
        <w:t>條、公務人員保障法第16條及公務人員俸給法第16</w:t>
      </w:r>
      <w:r w:rsidRPr="007319CD">
        <w:rPr>
          <w:rFonts w:hAnsi="標楷體"/>
        </w:rPr>
        <w:t>條之</w:t>
      </w:r>
      <w:proofErr w:type="gramStart"/>
      <w:r w:rsidRPr="007319CD">
        <w:rPr>
          <w:rFonts w:hAnsi="標楷體"/>
        </w:rPr>
        <w:t>所由</w:t>
      </w:r>
      <w:r w:rsidR="00C17C2D" w:rsidRPr="007319CD">
        <w:rPr>
          <w:rFonts w:hAnsi="標楷體"/>
        </w:rPr>
        <w:t>設</w:t>
      </w:r>
      <w:proofErr w:type="gramEnd"/>
      <w:r w:rsidR="00C17C2D" w:rsidRPr="007319CD">
        <w:rPr>
          <w:rFonts w:hAnsi="標楷體"/>
        </w:rPr>
        <w:t>。</w:t>
      </w:r>
      <w:r w:rsidRPr="007319CD">
        <w:rPr>
          <w:rFonts w:hAnsi="標楷體"/>
        </w:rPr>
        <w:t>釋字第575號</w:t>
      </w:r>
      <w:r w:rsidR="00E63B5D" w:rsidRPr="007319CD">
        <w:rPr>
          <w:rFonts w:hAnsi="標楷體"/>
        </w:rPr>
        <w:t>解釋</w:t>
      </w:r>
      <w:r w:rsidR="00C17C2D" w:rsidRPr="007319CD">
        <w:rPr>
          <w:rFonts w:hAnsi="標楷體"/>
        </w:rPr>
        <w:t>稱</w:t>
      </w:r>
      <w:r w:rsidR="00E63B5D" w:rsidRPr="007319CD">
        <w:rPr>
          <w:rFonts w:hAnsi="標楷體"/>
        </w:rPr>
        <w:t>：憲法第18</w:t>
      </w:r>
      <w:r w:rsidRPr="007319CD">
        <w:rPr>
          <w:rFonts w:hAnsi="標楷體"/>
        </w:rPr>
        <w:t>條規定人民有服公職之權利，旨在保障人民有依法令從事於公務，暨由此衍生享有之身分保障、俸給與退休金等權利。機關因改組、解散或</w:t>
      </w:r>
      <w:proofErr w:type="gramStart"/>
      <w:r w:rsidRPr="007319CD">
        <w:rPr>
          <w:rFonts w:hAnsi="標楷體"/>
        </w:rPr>
        <w:t>改隸致對</w:t>
      </w:r>
      <w:proofErr w:type="gramEnd"/>
      <w:r w:rsidRPr="007319CD">
        <w:rPr>
          <w:rFonts w:hAnsi="標楷體"/>
        </w:rPr>
        <w:t>公務人員之憲法所保障服公職之權利產生重大不利影響，應設適度過渡條款或其他緩和措施，以資兼顧。</w:t>
      </w:r>
      <w:r w:rsidR="00901FBA" w:rsidRPr="007319CD">
        <w:rPr>
          <w:rFonts w:hAnsi="標楷體" w:hint="eastAsia"/>
        </w:rPr>
        <w:t>司法院</w:t>
      </w:r>
      <w:r w:rsidRPr="007319CD">
        <w:rPr>
          <w:rFonts w:hAnsi="標楷體"/>
        </w:rPr>
        <w:t>釋字第605號</w:t>
      </w:r>
      <w:r w:rsidR="00E63B5D" w:rsidRPr="007319CD">
        <w:rPr>
          <w:rFonts w:hAnsi="標楷體"/>
        </w:rPr>
        <w:t>解釋</w:t>
      </w:r>
      <w:r w:rsidR="00C17C2D" w:rsidRPr="007319CD">
        <w:rPr>
          <w:rFonts w:hAnsi="標楷體"/>
        </w:rPr>
        <w:t>稱</w:t>
      </w:r>
      <w:r w:rsidRPr="007319CD">
        <w:rPr>
          <w:rFonts w:hAnsi="標楷體"/>
        </w:rPr>
        <w:t>：憲法第</w:t>
      </w:r>
      <w:r w:rsidR="00E63B5D" w:rsidRPr="007319CD">
        <w:rPr>
          <w:rFonts w:hAnsi="標楷體"/>
        </w:rPr>
        <w:t>18</w:t>
      </w:r>
      <w:r w:rsidRPr="007319CD">
        <w:rPr>
          <w:rFonts w:hAnsi="標楷體"/>
        </w:rPr>
        <w:t>條規定人民有服公職之權利，旨在保障人民有依法令從事於公務，</w:t>
      </w:r>
      <w:r w:rsidRPr="007319CD">
        <w:rPr>
          <w:rFonts w:hAnsi="標楷體"/>
          <w:b/>
        </w:rPr>
        <w:t>暨由此衍生享有之身分保障、俸給與退休金等權利。</w:t>
      </w:r>
      <w:r w:rsidRPr="007319CD">
        <w:rPr>
          <w:rFonts w:hAnsi="標楷體"/>
        </w:rPr>
        <w:t>公務人員依法銓敘取得之官等</w:t>
      </w:r>
      <w:proofErr w:type="gramStart"/>
      <w:r w:rsidRPr="007319CD">
        <w:rPr>
          <w:rFonts w:hAnsi="標楷體"/>
        </w:rPr>
        <w:t>俸</w:t>
      </w:r>
      <w:proofErr w:type="gramEnd"/>
      <w:r w:rsidRPr="007319CD">
        <w:rPr>
          <w:rFonts w:hAnsi="標楷體"/>
        </w:rPr>
        <w:t>級，基於憲法上服公職之權利，受制度性保障，惟其俸給銓敘權利之取得，</w:t>
      </w:r>
      <w:r w:rsidRPr="007319CD">
        <w:rPr>
          <w:rFonts w:hAnsi="標楷體"/>
          <w:b/>
        </w:rPr>
        <w:t>係以取得公務人</w:t>
      </w:r>
      <w:r w:rsidRPr="007319CD">
        <w:rPr>
          <w:rFonts w:hAnsi="標楷體"/>
          <w:b/>
        </w:rPr>
        <w:lastRenderedPageBreak/>
        <w:t>員任用法上之公</w:t>
      </w:r>
      <w:r w:rsidR="00C17C2D" w:rsidRPr="007319CD">
        <w:rPr>
          <w:rFonts w:hAnsi="標楷體"/>
          <w:b/>
        </w:rPr>
        <w:t>務人員資格為前提</w:t>
      </w:r>
      <w:r w:rsidR="00C17C2D" w:rsidRPr="007319CD">
        <w:rPr>
          <w:rFonts w:hAnsi="標楷體"/>
        </w:rPr>
        <w:t>。</w:t>
      </w:r>
    </w:p>
    <w:p w:rsidR="00707A26" w:rsidRPr="007319CD" w:rsidRDefault="00707A26" w:rsidP="00F129C3">
      <w:pPr>
        <w:pStyle w:val="4"/>
        <w:rPr>
          <w:rFonts w:hAnsi="標楷體"/>
        </w:rPr>
      </w:pPr>
      <w:r w:rsidRPr="007319CD">
        <w:rPr>
          <w:rFonts w:hAnsi="標楷體"/>
        </w:rPr>
        <w:t>按國家為達成善良政治的目的，必有兩種政治制度的配合運作</w:t>
      </w:r>
      <w:proofErr w:type="gramStart"/>
      <w:r w:rsidRPr="007319CD">
        <w:rPr>
          <w:rFonts w:hAnsi="標楷體"/>
        </w:rPr>
        <w:t>﹕</w:t>
      </w:r>
      <w:proofErr w:type="gramEnd"/>
      <w:r w:rsidR="004332C3" w:rsidRPr="007319CD">
        <w:rPr>
          <w:rFonts w:hAnsi="標楷體"/>
        </w:rPr>
        <w:t>其</w:t>
      </w:r>
      <w:r w:rsidRPr="007319CD">
        <w:rPr>
          <w:rFonts w:hAnsi="標楷體"/>
        </w:rPr>
        <w:t>一為民主的憲政制度(constitutionalism)</w:t>
      </w:r>
      <w:r w:rsidR="004332C3" w:rsidRPr="007319CD">
        <w:rPr>
          <w:rFonts w:hAnsi="標楷體"/>
        </w:rPr>
        <w:t>；其二</w:t>
      </w:r>
      <w:r w:rsidRPr="007319CD">
        <w:rPr>
          <w:rFonts w:hAnsi="標楷體"/>
        </w:rPr>
        <w:t>為功績制(merit system)</w:t>
      </w:r>
      <w:r w:rsidR="004332C3" w:rsidRPr="007319CD">
        <w:rPr>
          <w:rFonts w:hAnsi="標楷體"/>
        </w:rPr>
        <w:t>獨立的</w:t>
      </w:r>
      <w:r w:rsidRPr="007319CD">
        <w:rPr>
          <w:rFonts w:hAnsi="標楷體"/>
        </w:rPr>
        <w:t>文官制度(civil service)。文官制度必須透過憲法始得確保</w:t>
      </w:r>
      <w:r w:rsidR="004332C3" w:rsidRPr="007319CD">
        <w:rPr>
          <w:rFonts w:hAnsi="標楷體"/>
        </w:rPr>
        <w:t>其行政中立與依法行政，而與政務官形成權力分立</w:t>
      </w:r>
      <w:r w:rsidRPr="007319CD">
        <w:rPr>
          <w:rFonts w:hAnsi="標楷體"/>
        </w:rPr>
        <w:t>，按憲法第18條規定：「人民有應考試</w:t>
      </w:r>
      <w:r w:rsidR="003F74DE" w:rsidRPr="007319CD">
        <w:rPr>
          <w:rFonts w:hAnsi="標楷體"/>
        </w:rPr>
        <w:t>、</w:t>
      </w:r>
      <w:r w:rsidRPr="007319CD">
        <w:rPr>
          <w:rFonts w:hAnsi="標楷體"/>
        </w:rPr>
        <w:t>服公職之權。」憲法第83條規定：「考試院為國家最高考試機關，掌理考試、任用、銓敘、考績、級</w:t>
      </w:r>
      <w:proofErr w:type="gramStart"/>
      <w:r w:rsidRPr="007319CD">
        <w:rPr>
          <w:rFonts w:hAnsi="標楷體"/>
        </w:rPr>
        <w:t>俸</w:t>
      </w:r>
      <w:proofErr w:type="gramEnd"/>
      <w:r w:rsidRPr="007319CD">
        <w:rPr>
          <w:rFonts w:hAnsi="標楷體"/>
        </w:rPr>
        <w:t>、</w:t>
      </w:r>
      <w:proofErr w:type="gramStart"/>
      <w:r w:rsidRPr="007319CD">
        <w:rPr>
          <w:rFonts w:hAnsi="標楷體"/>
        </w:rPr>
        <w:t>陞</w:t>
      </w:r>
      <w:proofErr w:type="gramEnd"/>
      <w:r w:rsidRPr="007319CD">
        <w:rPr>
          <w:rFonts w:hAnsi="標楷體"/>
        </w:rPr>
        <w:t>遷、保障、褒獎、撫</w:t>
      </w:r>
      <w:proofErr w:type="gramStart"/>
      <w:r w:rsidRPr="007319CD">
        <w:rPr>
          <w:rFonts w:hAnsi="標楷體"/>
        </w:rPr>
        <w:t>卹</w:t>
      </w:r>
      <w:proofErr w:type="gramEnd"/>
      <w:r w:rsidRPr="007319CD">
        <w:rPr>
          <w:rFonts w:hAnsi="標楷體"/>
        </w:rPr>
        <w:t>、退休、養老等事項。」與憲法增修條文第6條第1項規定：「考試院為國家最高考試機關，</w:t>
      </w:r>
      <w:proofErr w:type="gramStart"/>
      <w:r w:rsidRPr="007319CD">
        <w:rPr>
          <w:rFonts w:hAnsi="標楷體"/>
        </w:rPr>
        <w:t>掌理左列</w:t>
      </w:r>
      <w:proofErr w:type="gramEnd"/>
      <w:r w:rsidRPr="007319CD">
        <w:rPr>
          <w:rFonts w:hAnsi="標楷體"/>
        </w:rPr>
        <w:t>事項，不適用憲法第83條之規定：一、考試。二、公務人員之銓敘、保障、撫</w:t>
      </w:r>
      <w:proofErr w:type="gramStart"/>
      <w:r w:rsidRPr="007319CD">
        <w:rPr>
          <w:rFonts w:hAnsi="標楷體"/>
        </w:rPr>
        <w:t>卹</w:t>
      </w:r>
      <w:proofErr w:type="gramEnd"/>
      <w:r w:rsidRPr="007319CD">
        <w:rPr>
          <w:rFonts w:hAnsi="標楷體"/>
        </w:rPr>
        <w:t>、退休。三、公務人員任免、考績、級</w:t>
      </w:r>
      <w:proofErr w:type="gramStart"/>
      <w:r w:rsidRPr="007319CD">
        <w:rPr>
          <w:rFonts w:hAnsi="標楷體"/>
        </w:rPr>
        <w:t>俸</w:t>
      </w:r>
      <w:proofErr w:type="gramEnd"/>
      <w:r w:rsidRPr="007319CD">
        <w:rPr>
          <w:rFonts w:hAnsi="標楷體"/>
        </w:rPr>
        <w:t>、</w:t>
      </w:r>
      <w:proofErr w:type="gramStart"/>
      <w:r w:rsidRPr="007319CD">
        <w:rPr>
          <w:rFonts w:hAnsi="標楷體"/>
        </w:rPr>
        <w:t>陞</w:t>
      </w:r>
      <w:proofErr w:type="gramEnd"/>
      <w:r w:rsidRPr="007319CD">
        <w:rPr>
          <w:rFonts w:hAnsi="標楷體"/>
        </w:rPr>
        <w:t>遷、褒獎之法制事項。」憲法第85條規定：「公務人員之選拔，應實行公開競爭之考制度，並應按省區分別規定名額，分區舉行考試。</w:t>
      </w:r>
      <w:r w:rsidRPr="007319CD">
        <w:rPr>
          <w:rFonts w:hAnsi="標楷體"/>
          <w:b/>
        </w:rPr>
        <w:t>非經考試及格者，不得任用。」</w:t>
      </w:r>
      <w:r w:rsidRPr="007319CD">
        <w:rPr>
          <w:rFonts w:hAnsi="標楷體"/>
          <w:vertAlign w:val="superscript"/>
        </w:rPr>
        <w:footnoteReference w:id="33"/>
      </w:r>
      <w:r w:rsidRPr="007319CD">
        <w:rPr>
          <w:rFonts w:hAnsi="標楷體"/>
        </w:rPr>
        <w:t>依據憲法前言：「中華民國國民大會受全體國民之付託，依據孫中山先生創立中華民國之遺教，為鞏固國權，保障民權，奠定社會安寧，增進人民福利，制定本憲法，頒行全國，永</w:t>
      </w:r>
      <w:proofErr w:type="gramStart"/>
      <w:r w:rsidRPr="007319CD">
        <w:rPr>
          <w:rFonts w:hAnsi="標楷體"/>
        </w:rPr>
        <w:t>矢</w:t>
      </w:r>
      <w:proofErr w:type="gramEnd"/>
      <w:r w:rsidRPr="007319CD">
        <w:rPr>
          <w:rFonts w:hAnsi="標楷體"/>
        </w:rPr>
        <w:t>咸</w:t>
      </w:r>
      <w:proofErr w:type="gramStart"/>
      <w:r w:rsidRPr="007319CD">
        <w:rPr>
          <w:rFonts w:hAnsi="標楷體"/>
        </w:rPr>
        <w:t>遵</w:t>
      </w:r>
      <w:proofErr w:type="gramEnd"/>
      <w:r w:rsidRPr="007319CD">
        <w:rPr>
          <w:rFonts w:hAnsi="標楷體"/>
        </w:rPr>
        <w:t>。」在我國公務員制度性保障更不同於大陸法系之各國，更特別成立考試院強化作為公務員制度性保障之機關，立法院就其有關公務員制度性保障相關法令，自應予以尊重。</w:t>
      </w:r>
    </w:p>
    <w:p w:rsidR="00707A26" w:rsidRPr="007319CD" w:rsidRDefault="00707A26" w:rsidP="00F129C3">
      <w:pPr>
        <w:pStyle w:val="4"/>
        <w:rPr>
          <w:rFonts w:hAnsi="標楷體"/>
        </w:rPr>
      </w:pPr>
      <w:proofErr w:type="gramStart"/>
      <w:r w:rsidRPr="007319CD">
        <w:rPr>
          <w:rFonts w:hAnsi="標楷體"/>
        </w:rPr>
        <w:t>復按司法</w:t>
      </w:r>
      <w:proofErr w:type="gramEnd"/>
      <w:r w:rsidRPr="007319CD">
        <w:rPr>
          <w:rFonts w:hAnsi="標楷體"/>
        </w:rPr>
        <w:t>院釋字第707號解釋羅昌發大法官協同</w:t>
      </w:r>
      <w:r w:rsidRPr="007319CD">
        <w:rPr>
          <w:rFonts w:hAnsi="標楷體"/>
        </w:rPr>
        <w:lastRenderedPageBreak/>
        <w:t>意見書稱：「公立學校教師與公務人員在性質上及諸多法律適用上，雖多有不同，然兩者間亦有甚多類似之處。公立學校教師與公務人員之任用</w:t>
      </w:r>
      <w:proofErr w:type="gramStart"/>
      <w:r w:rsidRPr="007319CD">
        <w:rPr>
          <w:rFonts w:hAnsi="標楷體"/>
        </w:rPr>
        <w:t>者均為國家</w:t>
      </w:r>
      <w:proofErr w:type="gramEnd"/>
      <w:r w:rsidRPr="007319CD">
        <w:rPr>
          <w:rFonts w:hAnsi="標楷體"/>
        </w:rPr>
        <w:t>；兩者在任用</w:t>
      </w:r>
      <w:proofErr w:type="gramStart"/>
      <w:r w:rsidRPr="007319CD">
        <w:rPr>
          <w:rFonts w:hAnsi="標楷體"/>
        </w:rPr>
        <w:t>前均須經</w:t>
      </w:r>
      <w:proofErr w:type="gramEnd"/>
      <w:r w:rsidRPr="007319CD">
        <w:rPr>
          <w:rFonts w:hAnsi="標楷體"/>
        </w:rPr>
        <w:t>相當嚴格的考試或甄選程序；</w:t>
      </w:r>
      <w:proofErr w:type="gramStart"/>
      <w:r w:rsidRPr="007319CD">
        <w:rPr>
          <w:rFonts w:hAnsi="標楷體"/>
        </w:rPr>
        <w:t>兩者均須具備</w:t>
      </w:r>
      <w:proofErr w:type="gramEnd"/>
      <w:r w:rsidRPr="007319CD">
        <w:rPr>
          <w:rFonts w:hAnsi="標楷體"/>
        </w:rPr>
        <w:t>相當高門檻的任用或聘用資格（實際上，公立學校教師之聘用條件及資格，並不低於一般公務人員）；且兩者均擔負國家職務</w:t>
      </w:r>
      <w:proofErr w:type="gramStart"/>
      <w:r w:rsidRPr="007319CD">
        <w:rPr>
          <w:rFonts w:hAnsi="標楷體"/>
        </w:rPr>
        <w:t>（</w:t>
      </w:r>
      <w:proofErr w:type="gramEnd"/>
      <w:r w:rsidRPr="007319CD">
        <w:rPr>
          <w:rFonts w:hAnsi="標楷體"/>
        </w:rPr>
        <w:t>公務人員服務國家，並依法履行其職責；公立學校教師在培育國家人才，責任重大</w:t>
      </w:r>
      <w:proofErr w:type="gramStart"/>
      <w:r w:rsidRPr="007319CD">
        <w:rPr>
          <w:rFonts w:hAnsi="標楷體"/>
        </w:rPr>
        <w:t>）</w:t>
      </w:r>
      <w:proofErr w:type="gramEnd"/>
      <w:r w:rsidRPr="007319CD">
        <w:rPr>
          <w:rFonts w:hAnsi="標楷體"/>
        </w:rPr>
        <w:t>。實際上，軍公教人員在法律規範上，亦曾一體化；其後由於公務人員與教師各有其特殊性且基於尊師重道精神，而使其待遇及保護，在法律層次上，予以分殊化。然由憲法角度而言，公立學校教師，毋寧為一種特殊的公務員類型。公務員諸多法規雖未必均適用於公立學校教師，且公立學校教師在憲法上的保障雖未必高於一般公務人員，然亦絕無低於一般公務人員之理。」「釋字第605</w:t>
      </w:r>
      <w:r w:rsidR="00E63B5D" w:rsidRPr="007319CD">
        <w:rPr>
          <w:rFonts w:hAnsi="標楷體"/>
        </w:rPr>
        <w:t>號解釋稱：『憲法第18</w:t>
      </w:r>
      <w:r w:rsidRPr="007319CD">
        <w:rPr>
          <w:rFonts w:hAnsi="標楷體"/>
        </w:rPr>
        <w:t>條規定人民有服公職之權利，旨在保障人民有依法令從事於公務，暨由此衍生享有之身分保障、俸給與退休金等權利。公務人員依法銓敘取得之官等</w:t>
      </w:r>
      <w:proofErr w:type="gramStart"/>
      <w:r w:rsidRPr="007319CD">
        <w:rPr>
          <w:rFonts w:hAnsi="標楷體"/>
        </w:rPr>
        <w:t>俸</w:t>
      </w:r>
      <w:proofErr w:type="gramEnd"/>
      <w:r w:rsidRPr="007319CD">
        <w:rPr>
          <w:rFonts w:hAnsi="標楷體"/>
        </w:rPr>
        <w:t>級，基於憲法上服公職之權利，受制度性保障（</w:t>
      </w:r>
      <w:r w:rsidR="003F74DE" w:rsidRPr="007319CD">
        <w:rPr>
          <w:rFonts w:hAnsi="標楷體"/>
        </w:rPr>
        <w:t>司法院</w:t>
      </w:r>
      <w:r w:rsidRPr="007319CD">
        <w:rPr>
          <w:rFonts w:hAnsi="標楷體"/>
        </w:rPr>
        <w:t>釋字第</w:t>
      </w:r>
      <w:r w:rsidR="00E63B5D" w:rsidRPr="007319CD">
        <w:rPr>
          <w:rFonts w:hAnsi="標楷體"/>
        </w:rPr>
        <w:t>575</w:t>
      </w:r>
      <w:r w:rsidRPr="007319CD">
        <w:rPr>
          <w:rFonts w:hAnsi="標楷體"/>
        </w:rPr>
        <w:t>號、第</w:t>
      </w:r>
      <w:r w:rsidR="00E63B5D" w:rsidRPr="007319CD">
        <w:rPr>
          <w:rFonts w:hAnsi="標楷體"/>
        </w:rPr>
        <w:t>483</w:t>
      </w:r>
      <w:r w:rsidRPr="007319CD">
        <w:rPr>
          <w:rFonts w:hAnsi="標楷體"/>
        </w:rPr>
        <w:t>號解釋參照），惟其俸給銓敘權利之取得，係以取得公務人員任用法上之公務人員資格為前提。』據此以觀，公務人員俸給銓敘權利，係以公務人員任用為前提，故公立學校教師固未可直接適用憲法第18條有關人民有服公職權利之規定，然基於憲法第</w:t>
      </w:r>
      <w:r w:rsidR="00E63B5D" w:rsidRPr="007319CD">
        <w:rPr>
          <w:rFonts w:hAnsi="標楷體"/>
        </w:rPr>
        <w:t>22</w:t>
      </w:r>
      <w:r w:rsidRPr="007319CD">
        <w:rPr>
          <w:rFonts w:hAnsi="標楷體"/>
        </w:rPr>
        <w:t>條『凡人民之其他自由及權利，不妨害社會秩序公共利益者，</w:t>
      </w:r>
      <w:proofErr w:type="gramStart"/>
      <w:r w:rsidRPr="007319CD">
        <w:rPr>
          <w:rFonts w:hAnsi="標楷體"/>
        </w:rPr>
        <w:t>均受憲法</w:t>
      </w:r>
      <w:proofErr w:type="gramEnd"/>
      <w:r w:rsidRPr="007319CD">
        <w:rPr>
          <w:rFonts w:hAnsi="標楷體"/>
        </w:rPr>
        <w:t>之保障』之規定，使公立學校教師</w:t>
      </w:r>
      <w:r w:rsidRPr="007319CD">
        <w:rPr>
          <w:rFonts w:hAnsi="標楷體"/>
        </w:rPr>
        <w:lastRenderedPageBreak/>
        <w:t>在憲法上的地位及保障，不低於一般公務人員所受之憲法上所要求的制度性保障。亦即，基於類似情形應受類似保障的基本法理，應以憲法第</w:t>
      </w:r>
      <w:r w:rsidR="00E63B5D" w:rsidRPr="007319CD">
        <w:rPr>
          <w:rFonts w:hAnsi="標楷體"/>
        </w:rPr>
        <w:t>22</w:t>
      </w:r>
      <w:r w:rsidRPr="007319CD">
        <w:rPr>
          <w:rFonts w:hAnsi="標楷體"/>
        </w:rPr>
        <w:t>條為基礎，使公立學校教師之俸給與銓敘等權益，亦受法律層次的制度性保障。如未能使公立學校教師權益受法律層次的制度性保障，則應與憲法保障人民權利之意旨有違。」等語，從而按此項見解，本文認為基於同一事物本質，公立學校教師之待遇（包括退休金及其計算等），應適用憲法第22條之規定，比照憲法第18條受公務員制度性保障之見解，自屬可</w:t>
      </w:r>
      <w:proofErr w:type="gramStart"/>
      <w:r w:rsidRPr="007319CD">
        <w:rPr>
          <w:rFonts w:hAnsi="標楷體"/>
        </w:rPr>
        <w:t>採</w:t>
      </w:r>
      <w:proofErr w:type="gramEnd"/>
      <w:r w:rsidRPr="007319CD">
        <w:rPr>
          <w:rFonts w:hAnsi="標楷體"/>
        </w:rPr>
        <w:t>。</w:t>
      </w:r>
    </w:p>
    <w:p w:rsidR="00707A26" w:rsidRPr="007319CD" w:rsidRDefault="004332C3" w:rsidP="00C17C2D">
      <w:pPr>
        <w:pStyle w:val="3"/>
        <w:rPr>
          <w:rFonts w:hAnsi="標楷體"/>
          <w:b/>
        </w:rPr>
      </w:pPr>
      <w:r w:rsidRPr="007319CD">
        <w:rPr>
          <w:rFonts w:hAnsi="標楷體"/>
          <w:b/>
        </w:rPr>
        <w:t>公務員制度性保障目的，在於將公務員納入特別法律關係</w:t>
      </w:r>
      <w:r w:rsidR="00C17C2D" w:rsidRPr="007319CD">
        <w:rPr>
          <w:rFonts w:hAnsi="標楷體"/>
          <w:b/>
        </w:rPr>
        <w:t>，在符合</w:t>
      </w:r>
      <w:r w:rsidR="00707A26" w:rsidRPr="007319CD">
        <w:rPr>
          <w:rFonts w:hAnsi="標楷體"/>
          <w:b/>
        </w:rPr>
        <w:t>權利與義務對等</w:t>
      </w:r>
      <w:r w:rsidRPr="007319CD">
        <w:rPr>
          <w:rFonts w:hAnsi="標楷體"/>
          <w:b/>
        </w:rPr>
        <w:t>原則</w:t>
      </w:r>
      <w:r w:rsidR="00C17C2D" w:rsidRPr="007319CD">
        <w:rPr>
          <w:rFonts w:hAnsi="標楷體"/>
          <w:b/>
        </w:rPr>
        <w:t>下</w:t>
      </w:r>
      <w:r w:rsidRPr="007319CD">
        <w:rPr>
          <w:rFonts w:hAnsi="標楷體"/>
          <w:b/>
        </w:rPr>
        <w:t>，</w:t>
      </w:r>
      <w:r w:rsidR="00C17C2D" w:rsidRPr="007319CD">
        <w:rPr>
          <w:rFonts w:hAnsi="標楷體"/>
          <w:b/>
        </w:rPr>
        <w:t>給予常任文官終身</w:t>
      </w:r>
      <w:r w:rsidR="000453BA" w:rsidRPr="007319CD">
        <w:rPr>
          <w:rFonts w:hAnsi="標楷體"/>
          <w:b/>
        </w:rPr>
        <w:t>任</w:t>
      </w:r>
      <w:r w:rsidR="00C17C2D" w:rsidRPr="007319CD">
        <w:rPr>
          <w:rFonts w:hAnsi="標楷體"/>
          <w:b/>
        </w:rPr>
        <w:t>用職務保障，</w:t>
      </w:r>
      <w:r w:rsidR="00243638" w:rsidRPr="007319CD">
        <w:rPr>
          <w:rFonts w:hAnsi="標楷體"/>
          <w:b/>
        </w:rPr>
        <w:t>同時</w:t>
      </w:r>
      <w:proofErr w:type="gramStart"/>
      <w:r w:rsidR="00C17C2D" w:rsidRPr="007319CD">
        <w:rPr>
          <w:rFonts w:hAnsi="標楷體"/>
          <w:b/>
        </w:rPr>
        <w:t>羈</w:t>
      </w:r>
      <w:proofErr w:type="gramEnd"/>
      <w:r w:rsidR="00C17C2D" w:rsidRPr="007319CD">
        <w:rPr>
          <w:rFonts w:hAnsi="標楷體"/>
          <w:b/>
        </w:rPr>
        <w:t>束公務員</w:t>
      </w:r>
      <w:r w:rsidR="00243638" w:rsidRPr="007319CD">
        <w:rPr>
          <w:rFonts w:hAnsi="標楷體"/>
          <w:b/>
        </w:rPr>
        <w:t>自由，以</w:t>
      </w:r>
      <w:r w:rsidR="00C17C2D" w:rsidRPr="007319CD">
        <w:rPr>
          <w:rFonts w:hAnsi="標楷體"/>
          <w:b/>
        </w:rPr>
        <w:t>高於一般人民之各項義務，用以確保依法行政、行政中立，並提升公共服務之品質。</w:t>
      </w:r>
    </w:p>
    <w:p w:rsidR="00707A26" w:rsidRPr="007319CD" w:rsidRDefault="00707A26" w:rsidP="00C17C2D">
      <w:pPr>
        <w:pStyle w:val="32"/>
        <w:ind w:left="1361" w:firstLine="680"/>
        <w:rPr>
          <w:rFonts w:hAnsi="標楷體"/>
        </w:rPr>
      </w:pPr>
      <w:r w:rsidRPr="007319CD">
        <w:rPr>
          <w:rFonts w:hAnsi="標楷體"/>
        </w:rPr>
        <w:t>司法院釋字第433號解釋：「國家為公法人，其意思及行為係經由充當國家機關之公務員為之。</w:t>
      </w:r>
      <w:r w:rsidRPr="007319CD">
        <w:rPr>
          <w:rFonts w:hAnsi="標楷體"/>
          <w:b/>
        </w:rPr>
        <w:t>公務員與國家之間係為公法上職務關係，國家對公務員有給予俸給、退休金等照顧其生活及保障其權益之義務，公務員對國家亦負有忠誠、執行職務等義務。</w:t>
      </w:r>
      <w:r w:rsidRPr="007319CD">
        <w:rPr>
          <w:rFonts w:hAnsi="標楷體"/>
        </w:rPr>
        <w:t>為維護公務員之紀律，國家於公務員有違法、廢弛職務或其他失職行為時，得予以懲戒。」公務員義務與權利，係社會契約理論在公務員制度中的具體表現。國家通過考試制度平等錄用公民擔任事務官，一方面其在國家機關工作和享受法定的各種權利，但同時</w:t>
      </w:r>
      <w:r w:rsidR="00C17C2D" w:rsidRPr="007319CD">
        <w:rPr>
          <w:rFonts w:hAnsi="標楷體"/>
        </w:rPr>
        <w:t>被納入特別法律關係（特別權力關係）</w:t>
      </w:r>
      <w:r w:rsidRPr="007319CD">
        <w:rPr>
          <w:rFonts w:hAnsi="標楷體"/>
        </w:rPr>
        <w:t>承擔在國家機關工作時應盡的義務，用以確保行政機關能依法行政並保持行政中立而不受政黨輪替的影響。退而言之</w:t>
      </w:r>
      <w:r w:rsidR="00C17C2D" w:rsidRPr="007319CD">
        <w:rPr>
          <w:rFonts w:hAnsi="標楷體"/>
        </w:rPr>
        <w:t>，</w:t>
      </w:r>
      <w:r w:rsidRPr="007319CD">
        <w:rPr>
          <w:rFonts w:hAnsi="標楷體"/>
        </w:rPr>
        <w:t>單從契約論的觀點，</w:t>
      </w:r>
      <w:proofErr w:type="gramStart"/>
      <w:r w:rsidR="00E63B5D" w:rsidRPr="007319CD">
        <w:rPr>
          <w:rFonts w:hAnsi="標楷體"/>
        </w:rPr>
        <w:t>僱傭</w:t>
      </w:r>
      <w:proofErr w:type="gramEnd"/>
      <w:r w:rsidRPr="007319CD">
        <w:rPr>
          <w:rFonts w:hAnsi="標楷體"/>
        </w:rPr>
        <w:t>契約</w:t>
      </w:r>
      <w:r w:rsidRPr="007319CD">
        <w:rPr>
          <w:rFonts w:hAnsi="標楷體"/>
        </w:rPr>
        <w:lastRenderedPageBreak/>
        <w:t>的實現過程就是獲得權利和履行義務的過程。平等的契約關係和權利義務對等的契約內容，在客觀情況發生變化，出現不公平的情形時，雙方均可修改原來的契約內容。由此而論</w:t>
      </w:r>
      <w:r w:rsidR="00E63B5D" w:rsidRPr="007319CD">
        <w:rPr>
          <w:rFonts w:hAnsi="標楷體"/>
        </w:rPr>
        <w:t>，</w:t>
      </w:r>
      <w:r w:rsidRPr="007319CD">
        <w:rPr>
          <w:rFonts w:hAnsi="標楷體"/>
        </w:rPr>
        <w:t>公務員義務同時亦為公務員對於國家所應履行之債務，是指公務員依法受有禁止或</w:t>
      </w:r>
      <w:proofErr w:type="gramStart"/>
      <w:r w:rsidRPr="007319CD">
        <w:rPr>
          <w:rFonts w:hAnsi="標楷體"/>
        </w:rPr>
        <w:t>誡</w:t>
      </w:r>
      <w:proofErr w:type="gramEnd"/>
      <w:r w:rsidRPr="007319CD">
        <w:rPr>
          <w:rFonts w:hAnsi="標楷體"/>
        </w:rPr>
        <w:t>命規範之限制與約束。具體內涵為(1)公務員義務係以</w:t>
      </w:r>
      <w:r w:rsidR="00076433" w:rsidRPr="007319CD">
        <w:rPr>
          <w:rFonts w:hAnsi="標楷體"/>
        </w:rPr>
        <w:t>身分</w:t>
      </w:r>
      <w:r w:rsidRPr="007319CD">
        <w:rPr>
          <w:rFonts w:hAnsi="標楷體"/>
        </w:rPr>
        <w:t>關係作為前提條件，</w:t>
      </w:r>
      <w:r w:rsidR="00C17C2D" w:rsidRPr="007319CD">
        <w:rPr>
          <w:rFonts w:hAnsi="標楷體"/>
        </w:rPr>
        <w:t>納入特別法律關係（特別權力關係）</w:t>
      </w:r>
      <w:r w:rsidRPr="007319CD">
        <w:rPr>
          <w:rFonts w:hAnsi="標楷體"/>
        </w:rPr>
        <w:t>對義務主體加以限制。(2)公務員的義務內涵本質在於忠誠義務所生不定量與不定時勤務概念，係本於公務員本身主動性概念，公務員依法必須主動地作出正確行為，</w:t>
      </w:r>
      <w:proofErr w:type="gramStart"/>
      <w:r w:rsidRPr="007319CD">
        <w:rPr>
          <w:rFonts w:hAnsi="標楷體"/>
        </w:rPr>
        <w:t>即負有作為</w:t>
      </w:r>
      <w:proofErr w:type="gramEnd"/>
      <w:r w:rsidRPr="007319CD">
        <w:rPr>
          <w:rFonts w:hAnsi="標楷體"/>
        </w:rPr>
        <w:t>的義務；公務員依法亦負有不作為的義務，如公務員不得貪污、盜竊、行賄、受賄或者利用職權為自己和他人牟取私利，不得參與營利性的經營活動等，這是從消極方面對公務員行為的約束。(3)公務員是行使國家行政權力，執行國家公務的人員，對其手中掌握的權力如果</w:t>
      </w:r>
      <w:proofErr w:type="gramStart"/>
      <w:r w:rsidRPr="007319CD">
        <w:rPr>
          <w:rFonts w:hAnsi="標楷體"/>
        </w:rPr>
        <w:t>不</w:t>
      </w:r>
      <w:proofErr w:type="gramEnd"/>
      <w:r w:rsidRPr="007319CD">
        <w:rPr>
          <w:rFonts w:hAnsi="標楷體"/>
        </w:rPr>
        <w:t>設定一定的義務性條款加以限制與約束，就會導致被濫用的危險。所以，公務員不同於一般</w:t>
      </w:r>
      <w:r w:rsidR="000453BA" w:rsidRPr="007319CD">
        <w:rPr>
          <w:rFonts w:hAnsi="標楷體"/>
        </w:rPr>
        <w:t>受</w:t>
      </w:r>
      <w:proofErr w:type="gramStart"/>
      <w:r w:rsidR="000453BA" w:rsidRPr="007319CD">
        <w:rPr>
          <w:rFonts w:hAnsi="標楷體"/>
        </w:rPr>
        <w:t>僱</w:t>
      </w:r>
      <w:proofErr w:type="gramEnd"/>
      <w:r w:rsidRPr="007319CD">
        <w:rPr>
          <w:rFonts w:hAnsi="標楷體"/>
        </w:rPr>
        <w:t>者</w:t>
      </w:r>
      <w:r w:rsidR="00E63B5D" w:rsidRPr="007319CD">
        <w:rPr>
          <w:rFonts w:hAnsi="標楷體"/>
        </w:rPr>
        <w:t>，</w:t>
      </w:r>
      <w:r w:rsidRPr="007319CD">
        <w:rPr>
          <w:rFonts w:hAnsi="標楷體"/>
        </w:rPr>
        <w:t>當法律在設定諸多義務，同時</w:t>
      </w:r>
      <w:r w:rsidR="00C17C2D" w:rsidRPr="007319CD">
        <w:rPr>
          <w:rFonts w:hAnsi="標楷體"/>
        </w:rPr>
        <w:t>在憲法給予制度性保障，</w:t>
      </w:r>
      <w:r w:rsidRPr="007319CD">
        <w:rPr>
          <w:rFonts w:hAnsi="標楷體"/>
        </w:rPr>
        <w:t>制定公務員</w:t>
      </w:r>
      <w:r w:rsidR="00C17C2D" w:rsidRPr="007319CD">
        <w:rPr>
          <w:rFonts w:hAnsi="標楷體"/>
        </w:rPr>
        <w:t>各項</w:t>
      </w:r>
      <w:r w:rsidRPr="007319CD">
        <w:rPr>
          <w:rFonts w:hAnsi="標楷體"/>
        </w:rPr>
        <w:t>權利以保障公務員合法執行公務，履行職權。</w:t>
      </w:r>
      <w:proofErr w:type="gramStart"/>
      <w:r w:rsidR="00C17C2D" w:rsidRPr="007319CD">
        <w:rPr>
          <w:rFonts w:hAnsi="標楷體"/>
        </w:rPr>
        <w:t>從而，</w:t>
      </w:r>
      <w:proofErr w:type="gramEnd"/>
      <w:r w:rsidRPr="007319CD">
        <w:rPr>
          <w:rFonts w:hAnsi="標楷體"/>
        </w:rPr>
        <w:t>國家給予常任文官終身</w:t>
      </w:r>
      <w:r w:rsidR="000453BA" w:rsidRPr="007319CD">
        <w:rPr>
          <w:rFonts w:hAnsi="標楷體"/>
        </w:rPr>
        <w:t>任用</w:t>
      </w:r>
      <w:r w:rsidRPr="007319CD">
        <w:rPr>
          <w:rFonts w:hAnsi="標楷體"/>
        </w:rPr>
        <w:t>職務保障</w:t>
      </w:r>
      <w:r w:rsidRPr="007319CD">
        <w:rPr>
          <w:rFonts w:hAnsi="標楷體"/>
          <w:vertAlign w:val="superscript"/>
        </w:rPr>
        <w:footnoteReference w:id="34"/>
      </w:r>
      <w:r w:rsidRPr="007319CD">
        <w:rPr>
          <w:rFonts w:hAnsi="標楷體"/>
        </w:rPr>
        <w:t>，</w:t>
      </w:r>
      <w:r w:rsidRPr="007319CD">
        <w:rPr>
          <w:rFonts w:hAnsi="標楷體"/>
        </w:rPr>
        <w:lastRenderedPageBreak/>
        <w:t>其目的在於期待</w:t>
      </w:r>
      <w:r w:rsidR="00C17C2D" w:rsidRPr="007319CD">
        <w:rPr>
          <w:rFonts w:hAnsi="標楷體"/>
        </w:rPr>
        <w:t>公務員履行</w:t>
      </w:r>
      <w:r w:rsidRPr="007319CD">
        <w:rPr>
          <w:rFonts w:hAnsi="標楷體"/>
        </w:rPr>
        <w:t>忠實守法義務</w:t>
      </w:r>
      <w:r w:rsidRPr="007319CD">
        <w:rPr>
          <w:rFonts w:hAnsi="標楷體"/>
          <w:vertAlign w:val="superscript"/>
        </w:rPr>
        <w:footnoteReference w:id="35"/>
      </w:r>
      <w:r w:rsidR="00C17C2D" w:rsidRPr="007319CD">
        <w:rPr>
          <w:rFonts w:hAnsi="標楷體"/>
        </w:rPr>
        <w:t>、</w:t>
      </w:r>
      <w:r w:rsidRPr="007319CD">
        <w:rPr>
          <w:rFonts w:hAnsi="標楷體"/>
        </w:rPr>
        <w:t>保守機密義務</w:t>
      </w:r>
      <w:r w:rsidRPr="007319CD">
        <w:rPr>
          <w:rFonts w:hAnsi="標楷體"/>
          <w:vertAlign w:val="superscript"/>
        </w:rPr>
        <w:footnoteReference w:id="36"/>
      </w:r>
      <w:r w:rsidR="00C17C2D" w:rsidRPr="007319CD">
        <w:rPr>
          <w:rFonts w:hAnsi="標楷體"/>
        </w:rPr>
        <w:t>、</w:t>
      </w:r>
      <w:r w:rsidRPr="007319CD">
        <w:rPr>
          <w:rFonts w:hAnsi="標楷體"/>
        </w:rPr>
        <w:t>執行職務義務</w:t>
      </w:r>
      <w:r w:rsidRPr="007319CD">
        <w:rPr>
          <w:rFonts w:hAnsi="標楷體"/>
          <w:vertAlign w:val="superscript"/>
        </w:rPr>
        <w:footnoteReference w:id="37"/>
      </w:r>
      <w:r w:rsidR="00C17C2D" w:rsidRPr="007319CD">
        <w:rPr>
          <w:rFonts w:hAnsi="標楷體"/>
        </w:rPr>
        <w:t>、</w:t>
      </w:r>
      <w:r w:rsidRPr="007319CD">
        <w:rPr>
          <w:rFonts w:hAnsi="標楷體"/>
        </w:rPr>
        <w:t>服從命令義務</w:t>
      </w:r>
      <w:r w:rsidRPr="007319CD">
        <w:rPr>
          <w:rFonts w:hAnsi="標楷體"/>
          <w:vertAlign w:val="superscript"/>
        </w:rPr>
        <w:footnoteReference w:id="38"/>
      </w:r>
      <w:r w:rsidR="00C17C2D" w:rsidRPr="007319CD">
        <w:rPr>
          <w:rFonts w:hAnsi="標楷體"/>
        </w:rPr>
        <w:t>、</w:t>
      </w:r>
      <w:r w:rsidRPr="007319CD">
        <w:rPr>
          <w:rFonts w:hAnsi="標楷體"/>
        </w:rPr>
        <w:t>保持品格義務</w:t>
      </w:r>
      <w:r w:rsidRPr="007319CD">
        <w:rPr>
          <w:rFonts w:hAnsi="標楷體"/>
          <w:vertAlign w:val="superscript"/>
        </w:rPr>
        <w:footnoteReference w:id="39"/>
      </w:r>
      <w:r w:rsidR="00C17C2D" w:rsidRPr="007319CD">
        <w:rPr>
          <w:rFonts w:hAnsi="標楷體"/>
        </w:rPr>
        <w:t>、</w:t>
      </w:r>
      <w:r w:rsidRPr="007319CD">
        <w:rPr>
          <w:rFonts w:hAnsi="標楷體"/>
        </w:rPr>
        <w:t>職務</w:t>
      </w:r>
      <w:proofErr w:type="gramStart"/>
      <w:r w:rsidRPr="007319CD">
        <w:rPr>
          <w:rFonts w:hAnsi="標楷體"/>
        </w:rPr>
        <w:t>專念</w:t>
      </w:r>
      <w:r w:rsidR="00C17C2D" w:rsidRPr="007319CD">
        <w:rPr>
          <w:rFonts w:hAnsi="標楷體"/>
        </w:rPr>
        <w:t>義務—</w:t>
      </w:r>
      <w:proofErr w:type="gramEnd"/>
      <w:r w:rsidRPr="007319CD">
        <w:rPr>
          <w:rFonts w:hAnsi="標楷體"/>
        </w:rPr>
        <w:t>禁止兼職</w:t>
      </w:r>
      <w:r w:rsidR="00C17C2D" w:rsidRPr="007319CD">
        <w:rPr>
          <w:rFonts w:hAnsi="標楷體"/>
        </w:rPr>
        <w:t>、</w:t>
      </w:r>
      <w:r w:rsidRPr="007319CD">
        <w:rPr>
          <w:rFonts w:hAnsi="標楷體"/>
        </w:rPr>
        <w:t>禁止圖利</w:t>
      </w:r>
      <w:r w:rsidR="00C17C2D" w:rsidRPr="007319CD">
        <w:rPr>
          <w:rFonts w:hAnsi="標楷體"/>
        </w:rPr>
        <w:t>與</w:t>
      </w:r>
      <w:r w:rsidRPr="007319CD">
        <w:rPr>
          <w:rFonts w:hAnsi="標楷體"/>
        </w:rPr>
        <w:t>財產申報</w:t>
      </w:r>
      <w:r w:rsidR="00C17C2D" w:rsidRPr="007319CD">
        <w:rPr>
          <w:rFonts w:hAnsi="標楷體"/>
        </w:rPr>
        <w:t>等</w:t>
      </w:r>
      <w:r w:rsidRPr="007319CD">
        <w:rPr>
          <w:rFonts w:hAnsi="標楷體"/>
        </w:rPr>
        <w:t>義務</w:t>
      </w:r>
      <w:r w:rsidR="00C17C2D" w:rsidRPr="007319CD">
        <w:rPr>
          <w:rFonts w:hAnsi="標楷體"/>
        </w:rPr>
        <w:t>。</w:t>
      </w:r>
    </w:p>
    <w:p w:rsidR="00707A26" w:rsidRPr="007319CD" w:rsidRDefault="00707A26" w:rsidP="00E40BCE">
      <w:pPr>
        <w:pStyle w:val="3"/>
        <w:rPr>
          <w:rFonts w:hAnsi="標楷體"/>
          <w:b/>
        </w:rPr>
      </w:pPr>
      <w:r w:rsidRPr="007319CD">
        <w:rPr>
          <w:rFonts w:hAnsi="標楷體"/>
          <w:b/>
        </w:rPr>
        <w:t>新法修正違反「衡平法則」</w:t>
      </w:r>
      <w:r w:rsidR="003E14E0" w:rsidRPr="007319CD">
        <w:rPr>
          <w:rFonts w:hAnsi="標楷體"/>
          <w:b/>
        </w:rPr>
        <w:t>侵害公務員制度性保障</w:t>
      </w:r>
      <w:r w:rsidRPr="007319CD">
        <w:rPr>
          <w:rFonts w:hAnsi="標楷體"/>
          <w:b/>
        </w:rPr>
        <w:t>，造成公務員</w:t>
      </w:r>
      <w:r w:rsidR="00243638" w:rsidRPr="007319CD">
        <w:rPr>
          <w:rFonts w:hAnsi="標楷體"/>
          <w:b/>
        </w:rPr>
        <w:t>服務法</w:t>
      </w:r>
      <w:r w:rsidRPr="007319CD">
        <w:rPr>
          <w:rFonts w:hAnsi="標楷體"/>
          <w:b/>
        </w:rPr>
        <w:t>義務</w:t>
      </w:r>
      <w:r w:rsidR="003E14E0" w:rsidRPr="007319CD">
        <w:rPr>
          <w:rFonts w:hAnsi="標楷體"/>
          <w:b/>
        </w:rPr>
        <w:t>規範</w:t>
      </w:r>
      <w:r w:rsidRPr="007319CD">
        <w:rPr>
          <w:rFonts w:hAnsi="標楷體"/>
          <w:b/>
        </w:rPr>
        <w:t>喪失合理性</w:t>
      </w:r>
      <w:r w:rsidR="003E14E0" w:rsidRPr="007319CD">
        <w:rPr>
          <w:rFonts w:hAnsi="標楷體"/>
          <w:b/>
        </w:rPr>
        <w:t>，將使常任文官制度崩解</w:t>
      </w:r>
      <w:r w:rsidRPr="007319CD">
        <w:rPr>
          <w:rFonts w:hAnsi="標楷體"/>
          <w:b/>
        </w:rPr>
        <w:t>。</w:t>
      </w:r>
    </w:p>
    <w:p w:rsidR="00707A26" w:rsidRPr="007319CD" w:rsidRDefault="00CB2266" w:rsidP="00E40BCE">
      <w:pPr>
        <w:pStyle w:val="4"/>
        <w:rPr>
          <w:rFonts w:hAnsi="標楷體"/>
          <w:b/>
        </w:rPr>
      </w:pPr>
      <w:r w:rsidRPr="007319CD">
        <w:rPr>
          <w:rFonts w:hAnsi="標楷體"/>
          <w:b/>
        </w:rPr>
        <w:t>公務員服務法之職務</w:t>
      </w:r>
      <w:proofErr w:type="gramStart"/>
      <w:r w:rsidRPr="007319CD">
        <w:rPr>
          <w:rFonts w:hAnsi="標楷體"/>
          <w:b/>
        </w:rPr>
        <w:t>專念義務—</w:t>
      </w:r>
      <w:proofErr w:type="gramEnd"/>
      <w:r w:rsidR="00707A26" w:rsidRPr="007319CD">
        <w:rPr>
          <w:rFonts w:hAnsi="標楷體"/>
          <w:b/>
        </w:rPr>
        <w:t>禁止兼職義務</w:t>
      </w:r>
      <w:r w:rsidR="00707A26" w:rsidRPr="007319CD">
        <w:rPr>
          <w:rFonts w:hAnsi="標楷體"/>
          <w:b/>
          <w:vertAlign w:val="superscript"/>
        </w:rPr>
        <w:footnoteReference w:id="40"/>
      </w:r>
      <w:r w:rsidR="00707A26" w:rsidRPr="007319CD">
        <w:rPr>
          <w:rFonts w:hAnsi="標楷體"/>
          <w:b/>
        </w:rPr>
        <w:t>與經營商業義務</w:t>
      </w:r>
      <w:r w:rsidR="003F74DE" w:rsidRPr="007319CD">
        <w:rPr>
          <w:rFonts w:hAnsi="標楷體"/>
          <w:b/>
        </w:rPr>
        <w:t>，</w:t>
      </w:r>
      <w:r w:rsidR="00707A26" w:rsidRPr="007319CD">
        <w:rPr>
          <w:rFonts w:hAnsi="標楷體"/>
          <w:b/>
        </w:rPr>
        <w:t>在新法制度設計</w:t>
      </w:r>
      <w:r w:rsidRPr="007319CD">
        <w:rPr>
          <w:rFonts w:hAnsi="標楷體"/>
          <w:b/>
        </w:rPr>
        <w:t>侵害終身</w:t>
      </w:r>
      <w:r w:rsidR="000453BA" w:rsidRPr="007319CD">
        <w:rPr>
          <w:rFonts w:hAnsi="標楷體"/>
          <w:b/>
        </w:rPr>
        <w:t>任</w:t>
      </w:r>
      <w:r w:rsidRPr="007319CD">
        <w:rPr>
          <w:rFonts w:hAnsi="標楷體"/>
          <w:b/>
        </w:rPr>
        <w:t>用之保障下，喪失</w:t>
      </w:r>
      <w:r w:rsidR="00707A26" w:rsidRPr="007319CD">
        <w:rPr>
          <w:rFonts w:hAnsi="標楷體"/>
          <w:b/>
        </w:rPr>
        <w:t>正當性</w:t>
      </w:r>
    </w:p>
    <w:p w:rsidR="00707A26" w:rsidRPr="007319CD" w:rsidRDefault="00707A26" w:rsidP="00E40BCE">
      <w:pPr>
        <w:pStyle w:val="42"/>
        <w:ind w:left="1701" w:firstLine="680"/>
        <w:rPr>
          <w:rFonts w:hAnsi="標楷體"/>
        </w:rPr>
      </w:pPr>
      <w:r w:rsidRPr="007319CD">
        <w:rPr>
          <w:rFonts w:hAnsi="標楷體"/>
        </w:rPr>
        <w:lastRenderedPageBreak/>
        <w:t>按禁止兼職義務與經營商業源於</w:t>
      </w:r>
      <w:proofErr w:type="gramStart"/>
      <w:r w:rsidRPr="007319CD">
        <w:rPr>
          <w:rFonts w:hAnsi="標楷體"/>
        </w:rPr>
        <w:t>職務專念義務</w:t>
      </w:r>
      <w:proofErr w:type="gramEnd"/>
      <w:r w:rsidRPr="007319CD">
        <w:rPr>
          <w:rFonts w:hAnsi="標楷體"/>
          <w:vertAlign w:val="superscript"/>
        </w:rPr>
        <w:footnoteReference w:id="41"/>
      </w:r>
      <w:r w:rsidR="00CB2266" w:rsidRPr="007319CD">
        <w:rPr>
          <w:rFonts w:hAnsi="標楷體"/>
        </w:rPr>
        <w:t>，</w:t>
      </w:r>
      <w:r w:rsidRPr="007319CD">
        <w:rPr>
          <w:rFonts w:hAnsi="標楷體"/>
        </w:rPr>
        <w:t>亦即公務員為全體國民的奉侍者</w:t>
      </w:r>
      <w:r w:rsidR="00243638" w:rsidRPr="007319CD">
        <w:rPr>
          <w:rFonts w:hAnsi="標楷體"/>
        </w:rPr>
        <w:t>，</w:t>
      </w:r>
      <w:r w:rsidRPr="007319CD">
        <w:rPr>
          <w:rFonts w:hAnsi="標楷體"/>
        </w:rPr>
        <w:t>不能服務於個人，</w:t>
      </w:r>
      <w:r w:rsidR="00243638" w:rsidRPr="007319CD">
        <w:rPr>
          <w:rFonts w:hAnsi="標楷體"/>
        </w:rPr>
        <w:t>故</w:t>
      </w:r>
      <w:r w:rsidRPr="007319CD">
        <w:rPr>
          <w:rFonts w:hAnsi="標楷體"/>
        </w:rPr>
        <w:t>為達成</w:t>
      </w:r>
      <w:r w:rsidR="00243638" w:rsidRPr="007319CD">
        <w:rPr>
          <w:rFonts w:hAnsi="標楷體"/>
        </w:rPr>
        <w:t>此一</w:t>
      </w:r>
      <w:r w:rsidRPr="007319CD">
        <w:rPr>
          <w:rFonts w:hAnsi="標楷體"/>
        </w:rPr>
        <w:t>公共利益</w:t>
      </w:r>
      <w:r w:rsidR="00CB2266" w:rsidRPr="007319CD">
        <w:rPr>
          <w:rFonts w:hAnsi="標楷體"/>
        </w:rPr>
        <w:t>，</w:t>
      </w:r>
      <w:r w:rsidR="00243638" w:rsidRPr="007319CD">
        <w:rPr>
          <w:rFonts w:hAnsi="標楷體"/>
        </w:rPr>
        <w:t>期待公務員劬勞一生，制度規範要求其</w:t>
      </w:r>
      <w:r w:rsidRPr="007319CD">
        <w:rPr>
          <w:rFonts w:hAnsi="標楷體"/>
        </w:rPr>
        <w:t>竭盡心力盡瘁於國家，除於勤務時間禁止遲到、早退等形式工作守則外，更要求公務員</w:t>
      </w:r>
      <w:r w:rsidR="00243638" w:rsidRPr="007319CD">
        <w:rPr>
          <w:rFonts w:hAnsi="標楷體"/>
        </w:rPr>
        <w:t>於</w:t>
      </w:r>
      <w:r w:rsidRPr="007319CD">
        <w:rPr>
          <w:rFonts w:hAnsi="標楷體"/>
        </w:rPr>
        <w:t>非勤務時間禁止兼職與經營商業</w:t>
      </w:r>
      <w:r w:rsidR="00243638" w:rsidRPr="007319CD">
        <w:rPr>
          <w:rFonts w:hAnsi="標楷體"/>
        </w:rPr>
        <w:t>，並保持一定品位尊榮（公務員服務法第5條</w:t>
      </w:r>
      <w:r w:rsidR="00243638" w:rsidRPr="007319CD">
        <w:rPr>
          <w:rStyle w:val="aff1"/>
          <w:rFonts w:hAnsi="標楷體"/>
        </w:rPr>
        <w:footnoteReference w:id="42"/>
      </w:r>
      <w:r w:rsidR="00687B13" w:rsidRPr="007319CD">
        <w:rPr>
          <w:rFonts w:hAnsi="標楷體"/>
        </w:rPr>
        <w:t>）</w:t>
      </w:r>
      <w:r w:rsidRPr="007319CD">
        <w:rPr>
          <w:rFonts w:hAnsi="標楷體"/>
        </w:rPr>
        <w:t>。</w:t>
      </w:r>
    </w:p>
    <w:p w:rsidR="00243638" w:rsidRPr="007319CD" w:rsidRDefault="00FB602E" w:rsidP="00E40BCE">
      <w:pPr>
        <w:pStyle w:val="4"/>
        <w:rPr>
          <w:rFonts w:hAnsi="標楷體"/>
          <w:b/>
        </w:rPr>
      </w:pPr>
      <w:r w:rsidRPr="007319CD">
        <w:rPr>
          <w:rFonts w:hAnsi="標楷體"/>
          <w:b/>
        </w:rPr>
        <w:t>限制公務員</w:t>
      </w:r>
      <w:r w:rsidR="00243638" w:rsidRPr="007319CD">
        <w:rPr>
          <w:rFonts w:hAnsi="標楷體"/>
          <w:b/>
        </w:rPr>
        <w:t>終身守密義務與</w:t>
      </w:r>
      <w:proofErr w:type="gramStart"/>
      <w:r w:rsidRPr="007319CD">
        <w:rPr>
          <w:rFonts w:hAnsi="標楷體"/>
          <w:b/>
        </w:rPr>
        <w:t>與</w:t>
      </w:r>
      <w:proofErr w:type="gramEnd"/>
      <w:r w:rsidRPr="007319CD">
        <w:rPr>
          <w:rFonts w:hAnsi="標楷體"/>
          <w:b/>
        </w:rPr>
        <w:t>言論自由</w:t>
      </w:r>
    </w:p>
    <w:p w:rsidR="00FB602E" w:rsidRPr="007319CD" w:rsidRDefault="00FB602E" w:rsidP="0058733B">
      <w:pPr>
        <w:pStyle w:val="42"/>
        <w:ind w:left="1701" w:firstLine="680"/>
        <w:rPr>
          <w:rFonts w:hAnsi="標楷體"/>
        </w:rPr>
      </w:pPr>
      <w:r w:rsidRPr="007319CD">
        <w:rPr>
          <w:rFonts w:hAnsi="標楷體"/>
        </w:rPr>
        <w:t>公務員服務法第4條規定：「公務員有絕對保守政府機關機密之義務，對於機密事件無論是否主管事務，均不得洩漏，退職後亦同。公務員未得長官許可，不得以私人或代表機關名義，任意發表有關職務之談話。</w:t>
      </w:r>
      <w:r w:rsidR="00715EAE" w:rsidRPr="007319CD">
        <w:rPr>
          <w:rFonts w:hAnsi="標楷體"/>
        </w:rPr>
        <w:t>」其基於終身任</w:t>
      </w:r>
      <w:r w:rsidR="0058733B" w:rsidRPr="007319CD">
        <w:rPr>
          <w:rFonts w:hAnsi="標楷體"/>
        </w:rPr>
        <w:t>用</w:t>
      </w:r>
      <w:r w:rsidR="00BD6339" w:rsidRPr="007319CD">
        <w:rPr>
          <w:rFonts w:hAnsi="標楷體"/>
        </w:rPr>
        <w:t>，</w:t>
      </w:r>
      <w:r w:rsidR="0058733B" w:rsidRPr="007319CD">
        <w:rPr>
          <w:rFonts w:hAnsi="標楷體"/>
        </w:rPr>
        <w:t>故給予終身守密之責任並限制言論自由</w:t>
      </w:r>
      <w:r w:rsidR="002C4DDF" w:rsidRPr="007319CD">
        <w:rPr>
          <w:rFonts w:hAnsi="標楷體"/>
        </w:rPr>
        <w:t>。</w:t>
      </w:r>
    </w:p>
    <w:p w:rsidR="00FB602E" w:rsidRPr="007319CD" w:rsidRDefault="0058733B" w:rsidP="00FB602E">
      <w:pPr>
        <w:pStyle w:val="4"/>
        <w:rPr>
          <w:rFonts w:hAnsi="標楷體"/>
          <w:b/>
        </w:rPr>
      </w:pPr>
      <w:r w:rsidRPr="007319CD">
        <w:rPr>
          <w:rFonts w:hAnsi="標楷體"/>
          <w:b/>
        </w:rPr>
        <w:t>財產申報義務</w:t>
      </w:r>
      <w:proofErr w:type="gramStart"/>
      <w:r w:rsidRPr="007319CD">
        <w:rPr>
          <w:rFonts w:hAnsi="標楷體"/>
          <w:b/>
        </w:rPr>
        <w:t>—</w:t>
      </w:r>
      <w:proofErr w:type="gramEnd"/>
      <w:r w:rsidRPr="007319CD">
        <w:rPr>
          <w:rFonts w:hAnsi="標楷體"/>
          <w:b/>
        </w:rPr>
        <w:t>限制公務員財產自由，侵害隱私權失去正當性</w:t>
      </w:r>
      <w:r w:rsidR="00415A02" w:rsidRPr="007319CD">
        <w:rPr>
          <w:rFonts w:hAnsi="標楷體" w:hint="eastAsia"/>
          <w:b/>
        </w:rPr>
        <w:t>。</w:t>
      </w:r>
    </w:p>
    <w:p w:rsidR="00707A26" w:rsidRPr="007319CD" w:rsidRDefault="004E258E" w:rsidP="0058733B">
      <w:pPr>
        <w:pStyle w:val="3"/>
        <w:rPr>
          <w:rFonts w:hAnsi="標楷體"/>
          <w:b/>
        </w:rPr>
      </w:pPr>
      <w:r w:rsidRPr="007319CD">
        <w:rPr>
          <w:rFonts w:hAnsi="標楷體"/>
          <w:b/>
        </w:rPr>
        <w:t>新</w:t>
      </w:r>
      <w:r w:rsidRPr="007319CD">
        <w:rPr>
          <w:rFonts w:hAnsi="標楷體" w:hint="eastAsia"/>
          <w:b/>
        </w:rPr>
        <w:t>法</w:t>
      </w:r>
      <w:r w:rsidR="0058733B" w:rsidRPr="007319CD">
        <w:rPr>
          <w:rFonts w:hAnsi="標楷體"/>
          <w:b/>
        </w:rPr>
        <w:t>實施後公務員</w:t>
      </w:r>
      <w:r w:rsidR="00707A26" w:rsidRPr="007319CD">
        <w:rPr>
          <w:rFonts w:hAnsi="標楷體"/>
          <w:b/>
        </w:rPr>
        <w:t>年齡結構</w:t>
      </w:r>
      <w:r w:rsidR="0058733B" w:rsidRPr="007319CD">
        <w:rPr>
          <w:rFonts w:hAnsi="標楷體"/>
          <w:b/>
        </w:rPr>
        <w:t>未來將平均60歲，公務員勢將以</w:t>
      </w:r>
      <w:r w:rsidR="00DE0312" w:rsidRPr="007319CD">
        <w:rPr>
          <w:rFonts w:hAnsi="標楷體"/>
          <w:b/>
        </w:rPr>
        <w:t>「</w:t>
      </w:r>
      <w:r w:rsidR="0058733B" w:rsidRPr="007319CD">
        <w:rPr>
          <w:rFonts w:hAnsi="標楷體"/>
          <w:b/>
          <w:bCs w:val="0"/>
        </w:rPr>
        <w:t>消極性取代主動性</w:t>
      </w:r>
      <w:r w:rsidR="00DE0312" w:rsidRPr="007319CD">
        <w:rPr>
          <w:rFonts w:hAnsi="標楷體"/>
          <w:b/>
          <w:bCs w:val="0"/>
        </w:rPr>
        <w:t>」</w:t>
      </w:r>
      <w:r w:rsidR="0058733B" w:rsidRPr="007319CD">
        <w:rPr>
          <w:rFonts w:hAnsi="標楷體"/>
          <w:b/>
          <w:bCs w:val="0"/>
        </w:rPr>
        <w:t>，優質青年人力將出走而不願進入公務體系，公共服務品質與國家整體競爭力必將下降</w:t>
      </w:r>
      <w:r w:rsidR="00DE0312" w:rsidRPr="007319CD">
        <w:rPr>
          <w:rFonts w:hAnsi="標楷體"/>
          <w:b/>
          <w:bCs w:val="0"/>
        </w:rPr>
        <w:t>，嚴重影響常任文官制度</w:t>
      </w:r>
      <w:r w:rsidR="00B330B8" w:rsidRPr="007319CD">
        <w:rPr>
          <w:rFonts w:hAnsi="標楷體" w:hint="eastAsia"/>
          <w:b/>
          <w:bCs w:val="0"/>
        </w:rPr>
        <w:t>。</w:t>
      </w:r>
    </w:p>
    <w:p w:rsidR="00707A26" w:rsidRPr="007319CD" w:rsidRDefault="00707A26" w:rsidP="00E40BCE">
      <w:pPr>
        <w:pStyle w:val="32"/>
        <w:ind w:left="1361" w:firstLine="680"/>
        <w:rPr>
          <w:rFonts w:hAnsi="標楷體"/>
        </w:rPr>
      </w:pPr>
      <w:r w:rsidRPr="007319CD">
        <w:rPr>
          <w:rFonts w:hAnsi="標楷體"/>
        </w:rPr>
        <w:t>舊法第11條第1項</w:t>
      </w:r>
      <w:r w:rsidRPr="007319CD">
        <w:rPr>
          <w:rFonts w:hAnsi="標楷體"/>
          <w:vertAlign w:val="superscript"/>
        </w:rPr>
        <w:footnoteReference w:id="43"/>
      </w:r>
      <w:r w:rsidRPr="007319CD">
        <w:rPr>
          <w:rFonts w:hAnsi="標楷體"/>
        </w:rPr>
        <w:t>規定，任職年資滿</w:t>
      </w:r>
      <w:r w:rsidR="00437A28" w:rsidRPr="007319CD">
        <w:rPr>
          <w:rFonts w:hAnsi="標楷體"/>
        </w:rPr>
        <w:t>30</w:t>
      </w:r>
      <w:r w:rsidRPr="007319CD">
        <w:rPr>
          <w:rFonts w:hAnsi="標楷體"/>
        </w:rPr>
        <w:t>年以上</w:t>
      </w:r>
      <w:r w:rsidRPr="007319CD">
        <w:rPr>
          <w:rFonts w:hAnsi="標楷體"/>
        </w:rPr>
        <w:lastRenderedPageBreak/>
        <w:t>且年滿</w:t>
      </w:r>
      <w:r w:rsidR="00437A28" w:rsidRPr="007319CD">
        <w:rPr>
          <w:rFonts w:hAnsi="標楷體"/>
        </w:rPr>
        <w:t>55</w:t>
      </w:r>
      <w:r w:rsidRPr="007319CD">
        <w:rPr>
          <w:rFonts w:hAnsi="標楷體"/>
        </w:rPr>
        <w:t>歲，即可請領月退休金，而新法第31條第1項</w:t>
      </w:r>
      <w:r w:rsidRPr="007319CD">
        <w:rPr>
          <w:rFonts w:hAnsi="標楷體"/>
          <w:vertAlign w:val="superscript"/>
        </w:rPr>
        <w:footnoteReference w:id="44"/>
      </w:r>
      <w:r w:rsidRPr="007319CD">
        <w:rPr>
          <w:rFonts w:hAnsi="標楷體"/>
        </w:rPr>
        <w:t>規定，則為110年退休者，</w:t>
      </w:r>
      <w:proofErr w:type="gramStart"/>
      <w:r w:rsidRPr="007319CD">
        <w:rPr>
          <w:rFonts w:hAnsi="標楷體"/>
        </w:rPr>
        <w:t>應年滿</w:t>
      </w:r>
      <w:proofErr w:type="gramEnd"/>
      <w:r w:rsidRPr="007319CD">
        <w:rPr>
          <w:rFonts w:hAnsi="標楷體"/>
        </w:rPr>
        <w:t>60歲</w:t>
      </w:r>
      <w:r w:rsidR="00091E92" w:rsidRPr="007319CD">
        <w:rPr>
          <w:rFonts w:hAnsi="標楷體"/>
        </w:rPr>
        <w:t>，</w:t>
      </w:r>
      <w:r w:rsidRPr="007319CD">
        <w:rPr>
          <w:rFonts w:hAnsi="標楷體"/>
        </w:rPr>
        <w:t>至115年以後一律為65歲</w:t>
      </w:r>
      <w:r w:rsidR="00576EBA" w:rsidRPr="007319CD">
        <w:rPr>
          <w:rFonts w:hAnsi="標楷體"/>
        </w:rPr>
        <w:t>，中間設所謂過渡期</w:t>
      </w:r>
      <w:r w:rsidR="00576EBA" w:rsidRPr="007319CD">
        <w:rPr>
          <w:rFonts w:hAnsi="標楷體"/>
          <w:vertAlign w:val="superscript"/>
        </w:rPr>
        <w:footnoteReference w:id="45"/>
      </w:r>
      <w:r w:rsidRPr="007319CD">
        <w:rPr>
          <w:rFonts w:hAnsi="標楷體"/>
        </w:rPr>
        <w:t>。據銓敘部資料（全國公務人員人數按年齡分），過去從2002</w:t>
      </w:r>
      <w:r w:rsidR="00091E92" w:rsidRPr="007319CD">
        <w:rPr>
          <w:rFonts w:hAnsi="標楷體"/>
        </w:rPr>
        <w:t>年</w:t>
      </w:r>
      <w:r w:rsidRPr="007319CD">
        <w:rPr>
          <w:rFonts w:hAnsi="標楷體"/>
        </w:rPr>
        <w:t>到2016年，公務員的平均年齡從42.02歲增加至43.22歲，增幅為1.2歲。而30歲</w:t>
      </w:r>
      <w:r w:rsidR="004E258E" w:rsidRPr="007319CD">
        <w:rPr>
          <w:rFonts w:hAnsi="標楷體" w:hint="eastAsia"/>
        </w:rPr>
        <w:t>至</w:t>
      </w:r>
      <w:r w:rsidRPr="007319CD">
        <w:rPr>
          <w:rFonts w:hAnsi="標楷體"/>
        </w:rPr>
        <w:t>35歲公務員從61</w:t>
      </w:r>
      <w:r w:rsidR="00437A28" w:rsidRPr="007319CD">
        <w:rPr>
          <w:rFonts w:hAnsi="標楷體"/>
        </w:rPr>
        <w:t>,</w:t>
      </w:r>
      <w:r w:rsidRPr="007319CD">
        <w:rPr>
          <w:rFonts w:hAnsi="標楷體"/>
        </w:rPr>
        <w:t>976人跌至45</w:t>
      </w:r>
      <w:r w:rsidR="00437A28" w:rsidRPr="007319CD">
        <w:rPr>
          <w:rFonts w:hAnsi="標楷體"/>
        </w:rPr>
        <w:t>,</w:t>
      </w:r>
      <w:r w:rsidRPr="007319CD">
        <w:rPr>
          <w:rFonts w:hAnsi="標楷體"/>
        </w:rPr>
        <w:t>546人；50歲</w:t>
      </w:r>
      <w:r w:rsidR="004E258E" w:rsidRPr="007319CD">
        <w:rPr>
          <w:rFonts w:hAnsi="標楷體" w:hint="eastAsia"/>
        </w:rPr>
        <w:t>至</w:t>
      </w:r>
      <w:r w:rsidRPr="007319CD">
        <w:rPr>
          <w:rFonts w:hAnsi="標楷體"/>
        </w:rPr>
        <w:t>55歲從31</w:t>
      </w:r>
      <w:r w:rsidR="00437A28" w:rsidRPr="007319CD">
        <w:rPr>
          <w:rFonts w:hAnsi="標楷體"/>
        </w:rPr>
        <w:t>,</w:t>
      </w:r>
      <w:r w:rsidRPr="007319CD">
        <w:rPr>
          <w:rFonts w:hAnsi="標楷體"/>
        </w:rPr>
        <w:t>455</w:t>
      </w:r>
      <w:r w:rsidR="00091E92" w:rsidRPr="007319CD">
        <w:rPr>
          <w:rFonts w:hAnsi="標楷體"/>
        </w:rPr>
        <w:t>人</w:t>
      </w:r>
      <w:r w:rsidRPr="007319CD">
        <w:rPr>
          <w:rFonts w:hAnsi="標楷體"/>
        </w:rPr>
        <w:t>至32</w:t>
      </w:r>
      <w:r w:rsidR="00437A28" w:rsidRPr="007319CD">
        <w:rPr>
          <w:rFonts w:hAnsi="標楷體"/>
        </w:rPr>
        <w:t>,</w:t>
      </w:r>
      <w:r w:rsidRPr="007319CD">
        <w:rPr>
          <w:rFonts w:hAnsi="標楷體"/>
        </w:rPr>
        <w:t>084人；2016</w:t>
      </w:r>
      <w:r w:rsidR="00437A28" w:rsidRPr="007319CD">
        <w:rPr>
          <w:rFonts w:hAnsi="標楷體"/>
        </w:rPr>
        <w:t>年</w:t>
      </w:r>
      <w:r w:rsidRPr="007319CD">
        <w:rPr>
          <w:rFonts w:hAnsi="標楷體"/>
        </w:rPr>
        <w:t>50歲以上的公務員為101</w:t>
      </w:r>
      <w:r w:rsidR="00437A28" w:rsidRPr="007319CD">
        <w:rPr>
          <w:rFonts w:hAnsi="標楷體"/>
        </w:rPr>
        <w:t>,</w:t>
      </w:r>
      <w:r w:rsidRPr="007319CD">
        <w:rPr>
          <w:rFonts w:hAnsi="標楷體"/>
        </w:rPr>
        <w:t>279人，全部為347</w:t>
      </w:r>
      <w:r w:rsidR="00437A28" w:rsidRPr="007319CD">
        <w:rPr>
          <w:rFonts w:hAnsi="標楷體"/>
        </w:rPr>
        <w:t>,</w:t>
      </w:r>
      <w:r w:rsidRPr="007319CD">
        <w:rPr>
          <w:rFonts w:hAnsi="標楷體"/>
        </w:rPr>
        <w:t>572人，占比達到29%</w:t>
      </w:r>
      <w:r w:rsidR="00B95CC6" w:rsidRPr="007319CD">
        <w:rPr>
          <w:rFonts w:hAnsi="標楷體"/>
        </w:rPr>
        <w:t>（</w:t>
      </w:r>
      <w:r w:rsidR="00A03BAE" w:rsidRPr="007319CD">
        <w:rPr>
          <w:rFonts w:hAnsi="標楷體"/>
        </w:rPr>
        <w:t>附表三</w:t>
      </w:r>
      <w:r w:rsidR="00B95CC6" w:rsidRPr="007319CD">
        <w:rPr>
          <w:rFonts w:hAnsi="標楷體"/>
        </w:rPr>
        <w:t>）</w:t>
      </w:r>
      <w:r w:rsidRPr="007319CD">
        <w:rPr>
          <w:rFonts w:hAnsi="標楷體"/>
        </w:rPr>
        <w:t>。近10年起</w:t>
      </w:r>
      <w:r w:rsidR="00091E92" w:rsidRPr="007319CD">
        <w:rPr>
          <w:rFonts w:hAnsi="標楷體"/>
        </w:rPr>
        <w:t>，</w:t>
      </w:r>
      <w:r w:rsidRPr="007319CD">
        <w:rPr>
          <w:rFonts w:hAnsi="標楷體"/>
        </w:rPr>
        <w:t>公務員</w:t>
      </w:r>
      <w:r w:rsidR="000D6C61" w:rsidRPr="007319CD">
        <w:rPr>
          <w:rFonts w:hAnsi="標楷體" w:hint="eastAsia"/>
        </w:rPr>
        <w:t>平均年齡逐年提升</w:t>
      </w:r>
      <w:r w:rsidRPr="007319CD">
        <w:rPr>
          <w:rFonts w:hAnsi="標楷體"/>
        </w:rPr>
        <w:t>，按新法規定110年退休者，</w:t>
      </w:r>
      <w:proofErr w:type="gramStart"/>
      <w:r w:rsidRPr="007319CD">
        <w:rPr>
          <w:rFonts w:hAnsi="標楷體"/>
        </w:rPr>
        <w:t>應年滿</w:t>
      </w:r>
      <w:proofErr w:type="gramEnd"/>
      <w:r w:rsidRPr="007319CD">
        <w:rPr>
          <w:rFonts w:hAnsi="標楷體"/>
        </w:rPr>
        <w:t>60歲，115年以後一律為65歲始能支領退休給付，新法施行10年後，可預期公務員平均年齡將達60歲，50歲以下公務員將不達</w:t>
      </w:r>
      <w:r w:rsidR="004E258E" w:rsidRPr="007319CD">
        <w:rPr>
          <w:rFonts w:hAnsi="標楷體" w:hint="eastAsia"/>
        </w:rPr>
        <w:t>20%</w:t>
      </w:r>
      <w:r w:rsidRPr="007319CD">
        <w:rPr>
          <w:rFonts w:hAnsi="標楷體"/>
        </w:rPr>
        <w:t>，</w:t>
      </w:r>
      <w:r w:rsidR="0058733B" w:rsidRPr="007319CD">
        <w:rPr>
          <w:rFonts w:hAnsi="標楷體"/>
        </w:rPr>
        <w:t>優質</w:t>
      </w:r>
      <w:r w:rsidRPr="007319CD">
        <w:rPr>
          <w:rFonts w:hAnsi="標楷體"/>
        </w:rPr>
        <w:t>年輕人因新法</w:t>
      </w:r>
      <w:r w:rsidR="0058733B" w:rsidRPr="007319CD">
        <w:rPr>
          <w:rFonts w:hAnsi="標楷體"/>
        </w:rPr>
        <w:t>任意違反法律</w:t>
      </w:r>
      <w:proofErr w:type="gramStart"/>
      <w:r w:rsidR="0058733B" w:rsidRPr="007319CD">
        <w:rPr>
          <w:rFonts w:hAnsi="標楷體"/>
        </w:rPr>
        <w:t>不</w:t>
      </w:r>
      <w:proofErr w:type="gramEnd"/>
      <w:r w:rsidR="0058733B" w:rsidRPr="007319CD">
        <w:rPr>
          <w:rFonts w:hAnsi="標楷體"/>
        </w:rPr>
        <w:t>溯既往原則，政府喪失誠信，</w:t>
      </w:r>
      <w:r w:rsidRPr="007319CD">
        <w:rPr>
          <w:rFonts w:hAnsi="標楷體"/>
        </w:rPr>
        <w:t>而不願意進入公務體系，</w:t>
      </w:r>
      <w:r w:rsidR="0058733B" w:rsidRPr="007319CD">
        <w:rPr>
          <w:rFonts w:hAnsi="標楷體"/>
        </w:rPr>
        <w:t>甚或出走。在職公務員</w:t>
      </w:r>
      <w:r w:rsidR="005A408E" w:rsidRPr="007319CD">
        <w:rPr>
          <w:rFonts w:hAnsi="標楷體" w:hint="eastAsia"/>
        </w:rPr>
        <w:t>基於經濟學理性而自利之基本原則，被迫</w:t>
      </w:r>
      <w:r w:rsidR="00DE0312" w:rsidRPr="007319CD">
        <w:rPr>
          <w:rFonts w:hAnsi="標楷體"/>
        </w:rPr>
        <w:t>為65歲退休後之健康與稻</w:t>
      </w:r>
      <w:proofErr w:type="gramStart"/>
      <w:r w:rsidR="00DE0312" w:rsidRPr="007319CD">
        <w:rPr>
          <w:rFonts w:hAnsi="標楷體"/>
        </w:rPr>
        <w:t>粱</w:t>
      </w:r>
      <w:proofErr w:type="gramEnd"/>
      <w:r w:rsidR="00DE0312" w:rsidRPr="007319CD">
        <w:rPr>
          <w:rFonts w:hAnsi="標楷體"/>
        </w:rPr>
        <w:t>謀，勢將以「消極性取代主動性」，</w:t>
      </w:r>
      <w:r w:rsidR="005A408E" w:rsidRPr="007319CD">
        <w:rPr>
          <w:rFonts w:hAnsi="標楷體" w:hint="eastAsia"/>
        </w:rPr>
        <w:t>將</w:t>
      </w:r>
      <w:r w:rsidR="00DE0312" w:rsidRPr="007319CD">
        <w:rPr>
          <w:rFonts w:hAnsi="標楷體"/>
        </w:rPr>
        <w:t>嚴重影響常任文官制度。</w:t>
      </w:r>
    </w:p>
    <w:p w:rsidR="00707A26" w:rsidRPr="007319CD" w:rsidRDefault="00DE0312" w:rsidP="00D778BE">
      <w:pPr>
        <w:pStyle w:val="3"/>
        <w:rPr>
          <w:rFonts w:hAnsi="標楷體"/>
          <w:b/>
        </w:rPr>
      </w:pPr>
      <w:r w:rsidRPr="007319CD">
        <w:rPr>
          <w:rFonts w:hAnsi="標楷體"/>
          <w:b/>
        </w:rPr>
        <w:t>限縮勞動三權</w:t>
      </w:r>
      <w:proofErr w:type="gramStart"/>
      <w:r w:rsidRPr="007319CD">
        <w:rPr>
          <w:rFonts w:hAnsi="標楷體"/>
          <w:b/>
        </w:rPr>
        <w:t>—</w:t>
      </w:r>
      <w:proofErr w:type="gramEnd"/>
      <w:r w:rsidR="006215FA" w:rsidRPr="007319CD">
        <w:rPr>
          <w:rFonts w:hAnsi="標楷體"/>
          <w:b/>
        </w:rPr>
        <w:t>禁止公務員</w:t>
      </w:r>
      <w:r w:rsidR="00844A05" w:rsidRPr="007319CD">
        <w:rPr>
          <w:rFonts w:hAnsi="標楷體"/>
          <w:b/>
        </w:rPr>
        <w:t>全面</w:t>
      </w:r>
      <w:r w:rsidR="006215FA" w:rsidRPr="007319CD">
        <w:rPr>
          <w:rFonts w:hAnsi="標楷體"/>
          <w:b/>
        </w:rPr>
        <w:t>罷工將</w:t>
      </w:r>
      <w:r w:rsidRPr="007319CD">
        <w:rPr>
          <w:rFonts w:hAnsi="標楷體"/>
          <w:b/>
        </w:rPr>
        <w:t>失去正當性</w:t>
      </w:r>
      <w:r w:rsidR="004F1147" w:rsidRPr="007319CD">
        <w:rPr>
          <w:rFonts w:hAnsi="標楷體"/>
          <w:b/>
        </w:rPr>
        <w:t>，新法同時賦予公務員抵抗權，將使文官制度</w:t>
      </w:r>
      <w:r w:rsidR="00A2753A" w:rsidRPr="007319CD">
        <w:rPr>
          <w:rFonts w:hAnsi="標楷體"/>
          <w:b/>
        </w:rPr>
        <w:t>更</w:t>
      </w:r>
      <w:r w:rsidR="004F1147" w:rsidRPr="007319CD">
        <w:rPr>
          <w:rFonts w:hAnsi="標楷體"/>
          <w:b/>
        </w:rPr>
        <w:lastRenderedPageBreak/>
        <w:t>加速崩解。</w:t>
      </w:r>
    </w:p>
    <w:p w:rsidR="00707A26" w:rsidRPr="007319CD" w:rsidRDefault="00707A26" w:rsidP="008E3983">
      <w:pPr>
        <w:pStyle w:val="32"/>
        <w:ind w:left="1361" w:firstLine="680"/>
        <w:rPr>
          <w:rFonts w:hAnsi="標楷體"/>
        </w:rPr>
      </w:pPr>
      <w:r w:rsidRPr="007319CD">
        <w:rPr>
          <w:rFonts w:hAnsi="標楷體"/>
        </w:rPr>
        <w:t>公務人員協會法第46條規定：「公務人員協會不得發起、主辦、幫助或參與任何罷工、</w:t>
      </w:r>
      <w:proofErr w:type="gramStart"/>
      <w:r w:rsidRPr="007319CD">
        <w:rPr>
          <w:rFonts w:hAnsi="標楷體"/>
        </w:rPr>
        <w:t>怠</w:t>
      </w:r>
      <w:proofErr w:type="gramEnd"/>
      <w:r w:rsidRPr="007319CD">
        <w:rPr>
          <w:rFonts w:hAnsi="標楷體"/>
        </w:rPr>
        <w:t>職或其他足以產生相當結果之活動，並不得參與政治活動。」同法第48條規定：「公務人員協會與外國公務人員團體之聯合或締結聯盟，應經會員或會員代表大會之議決，並函報主管機關許可。」</w:t>
      </w:r>
      <w:r w:rsidR="006215FA" w:rsidRPr="007319CD">
        <w:rPr>
          <w:rFonts w:hAnsi="標楷體"/>
        </w:rPr>
        <w:t>然所謂勞動三權係指1.</w:t>
      </w:r>
      <w:r w:rsidRPr="007319CD">
        <w:rPr>
          <w:rFonts w:hAnsi="標楷體"/>
        </w:rPr>
        <w:t>團結權</w:t>
      </w:r>
      <w:r w:rsidR="006215FA" w:rsidRPr="007319CD">
        <w:rPr>
          <w:rStyle w:val="aff1"/>
          <w:rFonts w:hAnsi="標楷體"/>
        </w:rPr>
        <w:footnoteReference w:id="46"/>
      </w:r>
      <w:r w:rsidR="008F6D21" w:rsidRPr="007319CD">
        <w:rPr>
          <w:rFonts w:hAnsi="標楷體"/>
        </w:rPr>
        <w:t>、</w:t>
      </w:r>
      <w:r w:rsidRPr="007319CD">
        <w:rPr>
          <w:rFonts w:hAnsi="標楷體"/>
        </w:rPr>
        <w:t>2.團體交涉權</w:t>
      </w:r>
      <w:r w:rsidR="006215FA" w:rsidRPr="007319CD">
        <w:rPr>
          <w:rStyle w:val="aff1"/>
          <w:rFonts w:hAnsi="標楷體"/>
        </w:rPr>
        <w:footnoteReference w:id="47"/>
      </w:r>
      <w:r w:rsidR="008F6D21" w:rsidRPr="007319CD">
        <w:rPr>
          <w:rFonts w:hAnsi="標楷體"/>
        </w:rPr>
        <w:t>、</w:t>
      </w:r>
      <w:r w:rsidRPr="007319CD">
        <w:rPr>
          <w:rFonts w:hAnsi="標楷體"/>
        </w:rPr>
        <w:t>3.團體爭議權，也稱罷工權</w:t>
      </w:r>
      <w:r w:rsidR="006215FA" w:rsidRPr="007319CD">
        <w:rPr>
          <w:rStyle w:val="aff1"/>
          <w:rFonts w:hAnsi="標楷體"/>
        </w:rPr>
        <w:footnoteReference w:id="48"/>
      </w:r>
      <w:r w:rsidR="001730F0" w:rsidRPr="007319CD">
        <w:rPr>
          <w:rFonts w:hAnsi="標楷體"/>
        </w:rPr>
        <w:t>，前揭法律禁止公務員</w:t>
      </w:r>
      <w:r w:rsidR="00844A05" w:rsidRPr="007319CD">
        <w:rPr>
          <w:rFonts w:hAnsi="標楷體"/>
        </w:rPr>
        <w:t>全面</w:t>
      </w:r>
      <w:r w:rsidR="001730F0" w:rsidRPr="007319CD">
        <w:rPr>
          <w:rFonts w:hAnsi="標楷體"/>
        </w:rPr>
        <w:t>罷工與結社，</w:t>
      </w:r>
      <w:r w:rsidR="00844A05" w:rsidRPr="007319CD">
        <w:rPr>
          <w:rFonts w:hAnsi="標楷體"/>
        </w:rPr>
        <w:t>本與</w:t>
      </w:r>
      <w:r w:rsidR="004F1147" w:rsidRPr="007319CD">
        <w:rPr>
          <w:rFonts w:hAnsi="標楷體"/>
        </w:rPr>
        <w:t>國際勞工公約有違，又</w:t>
      </w:r>
      <w:r w:rsidR="00091E92" w:rsidRPr="007319CD">
        <w:rPr>
          <w:rFonts w:hAnsi="標楷體"/>
        </w:rPr>
        <w:t>從</w:t>
      </w:r>
      <w:r w:rsidR="001730F0" w:rsidRPr="007319CD">
        <w:rPr>
          <w:rFonts w:hAnsi="標楷體"/>
        </w:rPr>
        <w:t>權利義務對等關係，</w:t>
      </w:r>
      <w:r w:rsidR="00844A05" w:rsidRPr="007319CD">
        <w:rPr>
          <w:rFonts w:hAnsi="標楷體"/>
        </w:rPr>
        <w:t>現行新法隨時更動公務員退休給付</w:t>
      </w:r>
      <w:r w:rsidR="004F1147" w:rsidRPr="007319CD">
        <w:rPr>
          <w:rFonts w:hAnsi="標楷體"/>
        </w:rPr>
        <w:t>，違反</w:t>
      </w:r>
      <w:proofErr w:type="gramStart"/>
      <w:r w:rsidR="004F1147" w:rsidRPr="007319CD">
        <w:rPr>
          <w:rFonts w:hAnsi="標楷體"/>
        </w:rPr>
        <w:t>不</w:t>
      </w:r>
      <w:proofErr w:type="gramEnd"/>
      <w:r w:rsidR="004F1147" w:rsidRPr="007319CD">
        <w:rPr>
          <w:rFonts w:hAnsi="標楷體"/>
        </w:rPr>
        <w:t>溯既往原則、比例原則與信賴保護原則</w:t>
      </w:r>
      <w:r w:rsidR="00844A05" w:rsidRPr="007319CD">
        <w:rPr>
          <w:rFonts w:hAnsi="標楷體"/>
        </w:rPr>
        <w:t>，</w:t>
      </w:r>
      <w:r w:rsidR="004F1147" w:rsidRPr="007319CD">
        <w:rPr>
          <w:rFonts w:hAnsi="標楷體"/>
        </w:rPr>
        <w:t>公務員自因此</w:t>
      </w:r>
      <w:r w:rsidR="00EC3902" w:rsidRPr="007319CD">
        <w:rPr>
          <w:rFonts w:hAnsi="標楷體"/>
        </w:rPr>
        <w:t>取得</w:t>
      </w:r>
      <w:r w:rsidR="00A2753A" w:rsidRPr="007319CD">
        <w:rPr>
          <w:rFonts w:hAnsi="標楷體"/>
        </w:rPr>
        <w:t>對抗違憲法律而</w:t>
      </w:r>
      <w:r w:rsidR="004F1147" w:rsidRPr="007319CD">
        <w:rPr>
          <w:rFonts w:hAnsi="標楷體"/>
        </w:rPr>
        <w:t>罷工之基本權利</w:t>
      </w:r>
      <w:r w:rsidR="004F1147" w:rsidRPr="007319CD">
        <w:rPr>
          <w:rStyle w:val="aff1"/>
          <w:rFonts w:hAnsi="標楷體"/>
        </w:rPr>
        <w:footnoteReference w:id="49"/>
      </w:r>
      <w:r w:rsidR="004F1147" w:rsidRPr="007319CD">
        <w:rPr>
          <w:rFonts w:hAnsi="標楷體"/>
        </w:rPr>
        <w:t>，亦即現</w:t>
      </w:r>
      <w:r w:rsidR="004F1147" w:rsidRPr="007319CD">
        <w:rPr>
          <w:rFonts w:hAnsi="標楷體"/>
        </w:rPr>
        <w:lastRenderedPageBreak/>
        <w:t>代法治國家並非「依法統治」，而係認為國家不能先制定違反憲法的法律，復要求人民服從其違反憲法所做成之法律。國家若因自己的違憲行為而遭人民以行使抵抗權之方式予以反抗，則人民抵抗權的行使因具備捍衛憲政秩序之正當性，</w:t>
      </w:r>
      <w:r w:rsidR="00EC3902" w:rsidRPr="007319CD">
        <w:rPr>
          <w:rFonts w:hAnsi="標楷體"/>
        </w:rPr>
        <w:t>而</w:t>
      </w:r>
      <w:r w:rsidR="004F1147" w:rsidRPr="007319CD">
        <w:rPr>
          <w:rFonts w:hAnsi="標楷體"/>
        </w:rPr>
        <w:t>阻卻其違法性</w:t>
      </w:r>
      <w:r w:rsidR="004F1147" w:rsidRPr="007319CD">
        <w:rPr>
          <w:rStyle w:val="aff1"/>
          <w:rFonts w:hAnsi="標楷體"/>
        </w:rPr>
        <w:footnoteReference w:id="50"/>
      </w:r>
      <w:r w:rsidR="00A2753A" w:rsidRPr="007319CD">
        <w:rPr>
          <w:rFonts w:hAnsi="標楷體"/>
        </w:rPr>
        <w:t>，</w:t>
      </w:r>
      <w:r w:rsidR="00EC3902" w:rsidRPr="007319CD">
        <w:rPr>
          <w:rFonts w:hAnsi="標楷體"/>
        </w:rPr>
        <w:t>若在公務員體制發生上開情事，</w:t>
      </w:r>
      <w:r w:rsidR="00A2753A" w:rsidRPr="007319CD">
        <w:rPr>
          <w:rFonts w:hAnsi="標楷體"/>
        </w:rPr>
        <w:t>文官制度將因此更加速崩解</w:t>
      </w:r>
      <w:r w:rsidRPr="007319CD">
        <w:rPr>
          <w:rFonts w:hAnsi="標楷體"/>
        </w:rPr>
        <w:t>。</w:t>
      </w:r>
    </w:p>
    <w:p w:rsidR="00A2753A" w:rsidRPr="007319CD" w:rsidRDefault="00A2753A" w:rsidP="00A2753A">
      <w:pPr>
        <w:pStyle w:val="3"/>
        <w:rPr>
          <w:rFonts w:hAnsi="標楷體"/>
        </w:rPr>
      </w:pPr>
      <w:r w:rsidRPr="007319CD">
        <w:rPr>
          <w:rFonts w:hAnsi="標楷體"/>
        </w:rPr>
        <w:t>綜上，</w:t>
      </w:r>
      <w:r w:rsidR="009315F3" w:rsidRPr="007319CD">
        <w:rPr>
          <w:rFonts w:hAnsi="標楷體"/>
        </w:rPr>
        <w:t>公務人員退撫法（新法）</w:t>
      </w:r>
      <w:r w:rsidR="00140958" w:rsidRPr="007319CD">
        <w:rPr>
          <w:rFonts w:hAnsi="標楷體"/>
        </w:rPr>
        <w:t>第31條規定改變請領資格，延後月</w:t>
      </w:r>
      <w:proofErr w:type="gramStart"/>
      <w:r w:rsidR="00140958" w:rsidRPr="007319CD">
        <w:rPr>
          <w:rFonts w:hAnsi="標楷體"/>
        </w:rPr>
        <w:t>退休金起支年齡</w:t>
      </w:r>
      <w:proofErr w:type="gramEnd"/>
      <w:r w:rsidR="00140958" w:rsidRPr="007319CD">
        <w:rPr>
          <w:rFonts w:hAnsi="標楷體"/>
        </w:rPr>
        <w:t>、第27條調整退休金計算基準、第4條第4款及第37條至第39條規定調降退休所得、第34條取消年資補償金、第45條規定調整月撫慰金制度、第92條規定</w:t>
      </w:r>
      <w:r w:rsidR="00DA4D6C" w:rsidRPr="007319CD">
        <w:rPr>
          <w:rFonts w:hAnsi="標楷體"/>
        </w:rPr>
        <w:t>年金制度定期檢討機制</w:t>
      </w:r>
      <w:r w:rsidR="00140958" w:rsidRPr="007319CD">
        <w:rPr>
          <w:rFonts w:hAnsi="標楷體"/>
        </w:rPr>
        <w:t>，使退休給付債權永成不確定狀態等；另</w:t>
      </w:r>
      <w:r w:rsidR="00914E2B" w:rsidRPr="007319CD">
        <w:rPr>
          <w:rFonts w:hAnsi="標楷體"/>
        </w:rPr>
        <w:t>公立學校教職員退撫條例</w:t>
      </w:r>
      <w:r w:rsidR="00C74E5E" w:rsidRPr="007319CD">
        <w:rPr>
          <w:rFonts w:hAnsi="標楷體"/>
        </w:rPr>
        <w:t>（新法）</w:t>
      </w:r>
      <w:r w:rsidR="00140958" w:rsidRPr="007319CD">
        <w:rPr>
          <w:rFonts w:hAnsi="標楷體"/>
        </w:rPr>
        <w:t>第32條規定改變請領資格，延後月</w:t>
      </w:r>
      <w:proofErr w:type="gramStart"/>
      <w:r w:rsidR="00140958" w:rsidRPr="007319CD">
        <w:rPr>
          <w:rFonts w:hAnsi="標楷體"/>
        </w:rPr>
        <w:t>退休金起支年齡</w:t>
      </w:r>
      <w:proofErr w:type="gramEnd"/>
      <w:r w:rsidR="00140958" w:rsidRPr="007319CD">
        <w:rPr>
          <w:rFonts w:hAnsi="標楷體"/>
        </w:rPr>
        <w:t>、第28條調整退休金計算基準、第4條第4款及第37條至第39條規定調降退休所得、第34條取消年資補償金、第45條規定調整月撫慰金制度、第97條規定</w:t>
      </w:r>
      <w:r w:rsidR="00DA4D6C" w:rsidRPr="007319CD">
        <w:rPr>
          <w:rFonts w:hAnsi="標楷體"/>
        </w:rPr>
        <w:t>年金制度定期檢討機制</w:t>
      </w:r>
      <w:r w:rsidR="00140958" w:rsidRPr="007319CD">
        <w:rPr>
          <w:rFonts w:hAnsi="標楷體"/>
        </w:rPr>
        <w:t>，使退休給付債權永成不確定狀態等，其適用對象與範圍涵蓋已退休與未退休之所有公教人員，</w:t>
      </w:r>
      <w:r w:rsidRPr="007319CD">
        <w:rPr>
          <w:rFonts w:hAnsi="標楷體"/>
        </w:rPr>
        <w:t>破壞公務員制度性保障（</w:t>
      </w:r>
      <w:r w:rsidR="00AF2AA3" w:rsidRPr="007319CD">
        <w:rPr>
          <w:rFonts w:hAnsi="標楷體"/>
        </w:rPr>
        <w:t>含教師），將使特別法律關係失其正當性；又新</w:t>
      </w:r>
      <w:r w:rsidR="00AF2AA3" w:rsidRPr="007319CD">
        <w:rPr>
          <w:rFonts w:hAnsi="標楷體" w:hint="eastAsia"/>
        </w:rPr>
        <w:t>法</w:t>
      </w:r>
      <w:r w:rsidRPr="007319CD">
        <w:rPr>
          <w:rFonts w:hAnsi="標楷體"/>
        </w:rPr>
        <w:t>實施後</w:t>
      </w:r>
      <w:r w:rsidR="00091E92" w:rsidRPr="007319CD">
        <w:rPr>
          <w:rFonts w:hAnsi="標楷體"/>
        </w:rPr>
        <w:t>，</w:t>
      </w:r>
      <w:r w:rsidRPr="007319CD">
        <w:rPr>
          <w:rFonts w:hAnsi="標楷體"/>
        </w:rPr>
        <w:t>公務員年齡結構將達60歲，全體公務員勢將以「消極性取代主動性」，而年輕菁英</w:t>
      </w:r>
      <w:proofErr w:type="gramStart"/>
      <w:r w:rsidRPr="007319CD">
        <w:rPr>
          <w:rFonts w:hAnsi="標楷體"/>
        </w:rPr>
        <w:t>無人願進公務</w:t>
      </w:r>
      <w:proofErr w:type="gramEnd"/>
      <w:r w:rsidRPr="007319CD">
        <w:rPr>
          <w:rFonts w:hAnsi="標楷體"/>
        </w:rPr>
        <w:t>體系，公共服務品質與國家整體競爭力必將下降，嚴重影響常任文官制度。</w:t>
      </w:r>
    </w:p>
    <w:p w:rsidR="004F68C0" w:rsidRPr="007319CD" w:rsidRDefault="004F68C0" w:rsidP="001D5D83">
      <w:pPr>
        <w:pStyle w:val="2"/>
        <w:tabs>
          <w:tab w:val="left" w:pos="5245"/>
        </w:tabs>
        <w:rPr>
          <w:rFonts w:hAnsi="標楷體"/>
          <w:b/>
        </w:rPr>
      </w:pPr>
      <w:r w:rsidRPr="007319CD">
        <w:rPr>
          <w:rFonts w:hAnsi="標楷體" w:hint="eastAsia"/>
          <w:b/>
        </w:rPr>
        <w:t>公務人員退撫法（新法）第31條規定改變請領資格，延後月</w:t>
      </w:r>
      <w:proofErr w:type="gramStart"/>
      <w:r w:rsidRPr="007319CD">
        <w:rPr>
          <w:rFonts w:hAnsi="標楷體" w:hint="eastAsia"/>
          <w:b/>
        </w:rPr>
        <w:t>退休金起支年齡</w:t>
      </w:r>
      <w:proofErr w:type="gramEnd"/>
      <w:r w:rsidRPr="007319CD">
        <w:rPr>
          <w:rFonts w:hAnsi="標楷體" w:hint="eastAsia"/>
          <w:b/>
        </w:rPr>
        <w:t>、第27條調整退休金計算基準、第4條第4款及第37條至第39條規定調降退休所</w:t>
      </w:r>
      <w:r w:rsidRPr="007319CD">
        <w:rPr>
          <w:rFonts w:hAnsi="標楷體" w:hint="eastAsia"/>
          <w:b/>
        </w:rPr>
        <w:lastRenderedPageBreak/>
        <w:t>得、第34條取消年資補償金、第45條規定調整月撫慰金制度、第92條規定</w:t>
      </w:r>
      <w:r w:rsidR="00DA4D6C" w:rsidRPr="007319CD">
        <w:rPr>
          <w:rFonts w:hAnsi="標楷體" w:hint="eastAsia"/>
          <w:b/>
        </w:rPr>
        <w:t>年金制度定期檢討機制</w:t>
      </w:r>
      <w:r w:rsidRPr="007319CD">
        <w:rPr>
          <w:rFonts w:hAnsi="標楷體" w:hint="eastAsia"/>
          <w:b/>
        </w:rPr>
        <w:t>，使退休給付債權永成不確定狀態等；又</w:t>
      </w:r>
      <w:r w:rsidR="00914E2B" w:rsidRPr="007319CD">
        <w:rPr>
          <w:rFonts w:hAnsi="標楷體" w:hint="eastAsia"/>
          <w:b/>
        </w:rPr>
        <w:t>公立學校教職員退撫條例</w:t>
      </w:r>
      <w:r w:rsidRPr="007319CD">
        <w:rPr>
          <w:rFonts w:hAnsi="標楷體" w:hint="eastAsia"/>
          <w:b/>
        </w:rPr>
        <w:t>（新法）第32條規定改變請領資格，延後月</w:t>
      </w:r>
      <w:proofErr w:type="gramStart"/>
      <w:r w:rsidRPr="007319CD">
        <w:rPr>
          <w:rFonts w:hAnsi="標楷體" w:hint="eastAsia"/>
          <w:b/>
        </w:rPr>
        <w:t>退休金起支年齡</w:t>
      </w:r>
      <w:proofErr w:type="gramEnd"/>
      <w:r w:rsidRPr="007319CD">
        <w:rPr>
          <w:rFonts w:hAnsi="標楷體" w:hint="eastAsia"/>
          <w:b/>
        </w:rPr>
        <w:t>、第28條調整退休金計算基準、第4條第4款及第37條至第39條規定調降退休所得、第34條取消年資補償金、第45條規定調整月撫慰金制度、第97條規定</w:t>
      </w:r>
      <w:r w:rsidR="00DA4D6C" w:rsidRPr="007319CD">
        <w:rPr>
          <w:rFonts w:hAnsi="標楷體" w:hint="eastAsia"/>
          <w:b/>
        </w:rPr>
        <w:t>年金制度定期檢討機制</w:t>
      </w:r>
      <w:r w:rsidRPr="007319CD">
        <w:rPr>
          <w:rFonts w:hAnsi="標楷體" w:hint="eastAsia"/>
          <w:b/>
        </w:rPr>
        <w:t>，使退休給付債權永成不確定狀態等，其適用對象與範圍涵蓋已退休與未退休之所有公教人員，除侵害公務員財產權外，因該法設計係以國家作為第三人而非雇主身分，而生繳費義務與退休所得不相稱現象，違反平等原則，又拒絕給與符合「退休公務員俸給與職等身分」之價金，致公務員老年生活喪失安全保障，顯然違反最小侵害原則，自有違憲法第15條生存權與憲法第23條比例原則至明；</w:t>
      </w:r>
      <w:proofErr w:type="gramStart"/>
      <w:r w:rsidRPr="007319CD">
        <w:rPr>
          <w:rFonts w:hAnsi="標楷體" w:hint="eastAsia"/>
          <w:b/>
        </w:rPr>
        <w:t>再者，</w:t>
      </w:r>
      <w:proofErr w:type="gramEnd"/>
      <w:r w:rsidRPr="007319CD">
        <w:rPr>
          <w:rFonts w:hAnsi="標楷體" w:hint="eastAsia"/>
          <w:b/>
        </w:rPr>
        <w:t>新法僅基於財務政策公益之考量（即國庫利益之考量），而</w:t>
      </w:r>
      <w:proofErr w:type="gramStart"/>
      <w:r w:rsidRPr="007319CD">
        <w:rPr>
          <w:rFonts w:hAnsi="標楷體" w:hint="eastAsia"/>
          <w:b/>
        </w:rPr>
        <w:t>遽</w:t>
      </w:r>
      <w:proofErr w:type="gramEnd"/>
      <w:r w:rsidRPr="007319CD">
        <w:rPr>
          <w:rFonts w:hAnsi="標楷體" w:hint="eastAsia"/>
          <w:b/>
        </w:rPr>
        <w:t>行摧毀公務員制度性保障或減損具有效能（具吸引力）的文官制度，並未遵守</w:t>
      </w:r>
      <w:r w:rsidR="008B0C99" w:rsidRPr="007319CD">
        <w:rPr>
          <w:rFonts w:hAnsi="標楷體" w:hint="eastAsia"/>
          <w:b/>
        </w:rPr>
        <w:t>退撫基金管理條例</w:t>
      </w:r>
      <w:r w:rsidRPr="007319CD">
        <w:rPr>
          <w:rFonts w:hAnsi="標楷體" w:hint="eastAsia"/>
          <w:b/>
        </w:rPr>
        <w:t>調整繳費費率，或由政府撥款（</w:t>
      </w:r>
      <w:r w:rsidR="00636D81" w:rsidRPr="007319CD">
        <w:rPr>
          <w:rFonts w:hAnsi="標楷體" w:hint="eastAsia"/>
          <w:b/>
        </w:rPr>
        <w:t>本案</w:t>
      </w:r>
      <w:r w:rsidR="001D5D83" w:rsidRPr="007319CD">
        <w:rPr>
          <w:rFonts w:hAnsi="標楷體" w:hint="eastAsia"/>
          <w:b/>
        </w:rPr>
        <w:t>調查意見</w:t>
      </w:r>
      <w:r w:rsidR="00636D81" w:rsidRPr="007319CD">
        <w:rPr>
          <w:rFonts w:hAnsi="標楷體" w:hint="eastAsia"/>
          <w:b/>
        </w:rPr>
        <w:t>五</w:t>
      </w:r>
      <w:r w:rsidRPr="007319CD">
        <w:rPr>
          <w:rFonts w:hAnsi="標楷體" w:hint="eastAsia"/>
          <w:b/>
        </w:rPr>
        <w:t>），反以違反法治國原則下之法律</w:t>
      </w:r>
      <w:proofErr w:type="gramStart"/>
      <w:r w:rsidRPr="007319CD">
        <w:rPr>
          <w:rFonts w:hAnsi="標楷體" w:hint="eastAsia"/>
          <w:b/>
        </w:rPr>
        <w:t>不</w:t>
      </w:r>
      <w:proofErr w:type="gramEnd"/>
      <w:r w:rsidRPr="007319CD">
        <w:rPr>
          <w:rFonts w:hAnsi="標楷體" w:hint="eastAsia"/>
          <w:b/>
        </w:rPr>
        <w:t>溯及既往原則、信賴保護原則、比例原則、誠信原則、平等原則，並侵害公務員財產權與生存權之方式，達成所謂減輕國家財政負擔目的，其亦僅能延長</w:t>
      </w:r>
      <w:r w:rsidR="00E70E45" w:rsidRPr="007319CD">
        <w:rPr>
          <w:rFonts w:hAnsi="標楷體"/>
          <w:b/>
        </w:rPr>
        <w:t>退撫基金</w:t>
      </w:r>
      <w:r w:rsidRPr="007319CD">
        <w:rPr>
          <w:rFonts w:hAnsi="標楷體" w:hint="eastAsia"/>
          <w:b/>
        </w:rPr>
        <w:t>收支平衡16年或17年，與延後基金免於</w:t>
      </w:r>
      <w:proofErr w:type="gramStart"/>
      <w:r w:rsidRPr="007319CD">
        <w:rPr>
          <w:rFonts w:hAnsi="標楷體" w:hint="eastAsia"/>
          <w:b/>
        </w:rPr>
        <w:t>用罄約20年</w:t>
      </w:r>
      <w:proofErr w:type="gramEnd"/>
      <w:r w:rsidRPr="007319CD">
        <w:rPr>
          <w:rFonts w:hAnsi="標楷體" w:hint="eastAsia"/>
          <w:b/>
        </w:rPr>
        <w:t>，對於基金</w:t>
      </w:r>
      <w:proofErr w:type="gramStart"/>
      <w:r w:rsidRPr="007319CD">
        <w:rPr>
          <w:rFonts w:hAnsi="標楷體" w:hint="eastAsia"/>
          <w:b/>
        </w:rPr>
        <w:t>得否永續</w:t>
      </w:r>
      <w:proofErr w:type="gramEnd"/>
      <w:r w:rsidRPr="007319CD">
        <w:rPr>
          <w:rFonts w:hAnsi="標楷體" w:hint="eastAsia"/>
          <w:b/>
        </w:rPr>
        <w:t>經營無法解決，除與「適合原則」未盡相符外，亦違反狹義之比例原則，至為灼然。</w:t>
      </w:r>
    </w:p>
    <w:p w:rsidR="00707A26" w:rsidRPr="007319CD" w:rsidRDefault="00707A26" w:rsidP="004F68C0">
      <w:pPr>
        <w:pStyle w:val="3"/>
        <w:rPr>
          <w:rFonts w:hAnsi="標楷體"/>
          <w:b/>
        </w:rPr>
      </w:pPr>
      <w:r w:rsidRPr="007319CD">
        <w:rPr>
          <w:rFonts w:hAnsi="標楷體"/>
          <w:b/>
        </w:rPr>
        <w:t>國家支付退休給付</w:t>
      </w:r>
      <w:r w:rsidR="00994690" w:rsidRPr="007319CD">
        <w:rPr>
          <w:rFonts w:hAnsi="標楷體"/>
          <w:b/>
        </w:rPr>
        <w:t>，</w:t>
      </w:r>
      <w:r w:rsidRPr="007319CD">
        <w:rPr>
          <w:rFonts w:hAnsi="標楷體"/>
          <w:b/>
        </w:rPr>
        <w:t>就比例原則，司法院大法官應</w:t>
      </w:r>
      <w:proofErr w:type="gramStart"/>
      <w:r w:rsidRPr="007319CD">
        <w:rPr>
          <w:rFonts w:hAnsi="標楷體"/>
          <w:b/>
        </w:rPr>
        <w:t>採</w:t>
      </w:r>
      <w:proofErr w:type="gramEnd"/>
      <w:r w:rsidRPr="007319CD">
        <w:rPr>
          <w:rFonts w:hAnsi="標楷體"/>
          <w:b/>
        </w:rPr>
        <w:t>從嚴審查</w:t>
      </w:r>
      <w:r w:rsidR="00994690" w:rsidRPr="007319CD">
        <w:rPr>
          <w:rFonts w:hAnsi="標楷體"/>
          <w:b/>
        </w:rPr>
        <w:t>標準</w:t>
      </w:r>
      <w:r w:rsidR="002817FF" w:rsidRPr="007319CD">
        <w:rPr>
          <w:rFonts w:hAnsi="標楷體"/>
          <w:b/>
        </w:rPr>
        <w:t>。</w:t>
      </w:r>
    </w:p>
    <w:p w:rsidR="00707A26" w:rsidRPr="007319CD" w:rsidRDefault="00707A26" w:rsidP="00D778BE">
      <w:pPr>
        <w:pStyle w:val="32"/>
        <w:ind w:left="1361" w:firstLine="680"/>
        <w:rPr>
          <w:rFonts w:hAnsi="標楷體"/>
        </w:rPr>
      </w:pPr>
      <w:r w:rsidRPr="007319CD">
        <w:rPr>
          <w:rFonts w:hAnsi="標楷體"/>
        </w:rPr>
        <w:t>憲法第23條規定：「以上各條列舉之自由權利，除為防止妨礙他人自由、避免緊急危難、維持社會</w:t>
      </w:r>
      <w:r w:rsidRPr="007319CD">
        <w:rPr>
          <w:rFonts w:hAnsi="標楷體"/>
        </w:rPr>
        <w:lastRenderedPageBreak/>
        <w:t>秩序、或增進公共利益所必要者外，不得以法律限制之。」實務上</w:t>
      </w:r>
      <w:r w:rsidR="00994690" w:rsidRPr="007319CD">
        <w:rPr>
          <w:rFonts w:hAnsi="標楷體"/>
        </w:rPr>
        <w:t>，</w:t>
      </w:r>
      <w:r w:rsidRPr="007319CD">
        <w:rPr>
          <w:rFonts w:hAnsi="標楷體"/>
        </w:rPr>
        <w:t>司法院釋字第476號</w:t>
      </w:r>
      <w:r w:rsidR="00994690" w:rsidRPr="007319CD">
        <w:rPr>
          <w:rFonts w:hAnsi="標楷體"/>
        </w:rPr>
        <w:t>解釋</w:t>
      </w:r>
      <w:r w:rsidRPr="007319CD">
        <w:rPr>
          <w:rFonts w:hAnsi="標楷體"/>
        </w:rPr>
        <w:t>將憲法第23條的比例原則，分為目的正當性、手段必要性、限制妥當性三個子原則。</w:t>
      </w:r>
      <w:r w:rsidR="00091E92" w:rsidRPr="007319CD">
        <w:rPr>
          <w:rFonts w:hAnsi="標楷體"/>
        </w:rPr>
        <w:t>司法院</w:t>
      </w:r>
      <w:r w:rsidRPr="007319CD">
        <w:rPr>
          <w:rFonts w:hAnsi="標楷體"/>
        </w:rPr>
        <w:t>釋字第544號</w:t>
      </w:r>
      <w:r w:rsidR="00994690" w:rsidRPr="007319CD">
        <w:rPr>
          <w:rFonts w:hAnsi="標楷體"/>
        </w:rPr>
        <w:t>解釋</w:t>
      </w:r>
      <w:r w:rsidRPr="007319CD">
        <w:rPr>
          <w:rFonts w:hAnsi="標楷體"/>
        </w:rPr>
        <w:t>依循釋字第476號</w:t>
      </w:r>
      <w:r w:rsidR="00994690" w:rsidRPr="007319CD">
        <w:rPr>
          <w:rFonts w:hAnsi="標楷體"/>
        </w:rPr>
        <w:t>解釋</w:t>
      </w:r>
      <w:r w:rsidRPr="007319CD">
        <w:rPr>
          <w:rFonts w:hAnsi="標楷體"/>
        </w:rPr>
        <w:t>進一步稱，憲法第23條所要求之比例原則必須符合目的正當性、手段必要性、限制妥當性，亦即立法目的須具有正當性，手段須有助於立法目的之達成，且別無其他侵害</w:t>
      </w:r>
      <w:proofErr w:type="gramStart"/>
      <w:r w:rsidRPr="007319CD">
        <w:rPr>
          <w:rFonts w:hAnsi="標楷體"/>
        </w:rPr>
        <w:t>較小亦能</w:t>
      </w:r>
      <w:proofErr w:type="gramEnd"/>
      <w:r w:rsidRPr="007319CD">
        <w:rPr>
          <w:rFonts w:hAnsi="標楷體"/>
        </w:rPr>
        <w:t>達成相同目的之手段可資運用時，始得為之，而手段對基本權利之限制與立法者所欲維護法益之重要性及行為對法益危害之程度，尚須處於合乎比例之關係，如此方</w:t>
      </w:r>
      <w:proofErr w:type="gramStart"/>
      <w:r w:rsidRPr="007319CD">
        <w:rPr>
          <w:rFonts w:hAnsi="標楷體"/>
        </w:rPr>
        <w:t>無乖於</w:t>
      </w:r>
      <w:proofErr w:type="gramEnd"/>
      <w:r w:rsidRPr="007319CD">
        <w:rPr>
          <w:rFonts w:hAnsi="標楷體"/>
        </w:rPr>
        <w:t>比例原則。</w:t>
      </w:r>
      <w:r w:rsidR="00091E92" w:rsidRPr="007319CD">
        <w:rPr>
          <w:rFonts w:hAnsi="標楷體"/>
        </w:rPr>
        <w:t>司法院</w:t>
      </w:r>
      <w:r w:rsidRPr="007319CD">
        <w:rPr>
          <w:rFonts w:hAnsi="標楷體"/>
        </w:rPr>
        <w:t>釋字第554號</w:t>
      </w:r>
      <w:r w:rsidR="00994690" w:rsidRPr="007319CD">
        <w:rPr>
          <w:rFonts w:hAnsi="標楷體"/>
        </w:rPr>
        <w:t>解釋</w:t>
      </w:r>
      <w:r w:rsidRPr="007319CD">
        <w:rPr>
          <w:rFonts w:hAnsi="標楷體"/>
        </w:rPr>
        <w:t>重申，立法目的具有正當性，手段有助於立法目的達成，又無其他侵害</w:t>
      </w:r>
      <w:proofErr w:type="gramStart"/>
      <w:r w:rsidRPr="007319CD">
        <w:rPr>
          <w:rFonts w:hAnsi="標楷體"/>
        </w:rPr>
        <w:t>較小亦能</w:t>
      </w:r>
      <w:proofErr w:type="gramEnd"/>
      <w:r w:rsidRPr="007319CD">
        <w:rPr>
          <w:rFonts w:hAnsi="標楷體"/>
        </w:rPr>
        <w:t>達成相同目的之手段可資運用，而手段對基本權利之限制與立法者所欲維護法益之重要性及行為對法益危害之程度，亦處於合乎比例之關係者，即難謂與憲法第</w:t>
      </w:r>
      <w:r w:rsidR="00994690" w:rsidRPr="007319CD">
        <w:rPr>
          <w:rFonts w:hAnsi="標楷體"/>
        </w:rPr>
        <w:t>23</w:t>
      </w:r>
      <w:r w:rsidRPr="007319CD">
        <w:rPr>
          <w:rFonts w:hAnsi="標楷體"/>
        </w:rPr>
        <w:t>條規定之比例原則有所不符。許宗力</w:t>
      </w:r>
      <w:proofErr w:type="gramStart"/>
      <w:r w:rsidRPr="007319CD">
        <w:rPr>
          <w:rFonts w:hAnsi="標楷體"/>
        </w:rPr>
        <w:t>大法官於釋字</w:t>
      </w:r>
      <w:proofErr w:type="gramEnd"/>
      <w:r w:rsidRPr="007319CD">
        <w:rPr>
          <w:rFonts w:hAnsi="標楷體"/>
        </w:rPr>
        <w:t>第578號</w:t>
      </w:r>
      <w:r w:rsidR="00994690" w:rsidRPr="007319CD">
        <w:rPr>
          <w:rFonts w:hAnsi="標楷體"/>
        </w:rPr>
        <w:t>解釋</w:t>
      </w:r>
      <w:r w:rsidRPr="007319CD">
        <w:rPr>
          <w:rFonts w:hAnsi="標楷體"/>
        </w:rPr>
        <w:t>協同意見書則認為「本院釋字第554號解釋理由書已明白指出，首先立法目的必須具有正當性，其次，手段須有助於立法目的之達成（適合原則），亦無其他侵害</w:t>
      </w:r>
      <w:proofErr w:type="gramStart"/>
      <w:r w:rsidRPr="007319CD">
        <w:rPr>
          <w:rFonts w:hAnsi="標楷體"/>
        </w:rPr>
        <w:t>較小亦能</w:t>
      </w:r>
      <w:proofErr w:type="gramEnd"/>
      <w:r w:rsidRPr="007319CD">
        <w:rPr>
          <w:rFonts w:hAnsi="標楷體"/>
        </w:rPr>
        <w:t>達成相同目的之手段可資運用（必要原則），最後，手段對基本權利之限制與立法者所欲維護法益之重要性必須處於合乎比例之關係（狹義比例原則）。之後的</w:t>
      </w:r>
      <w:r w:rsidR="00091E92" w:rsidRPr="007319CD">
        <w:rPr>
          <w:rFonts w:hAnsi="標楷體"/>
        </w:rPr>
        <w:t>司法院</w:t>
      </w:r>
      <w:r w:rsidRPr="007319CD">
        <w:rPr>
          <w:rFonts w:hAnsi="標楷體"/>
        </w:rPr>
        <w:t>釋字第575</w:t>
      </w:r>
      <w:r w:rsidR="00031D46" w:rsidRPr="007319CD">
        <w:rPr>
          <w:rFonts w:hAnsi="標楷體" w:hint="eastAsia"/>
        </w:rPr>
        <w:t>號</w:t>
      </w:r>
      <w:r w:rsidRPr="007319CD">
        <w:rPr>
          <w:rFonts w:hAnsi="標楷體"/>
        </w:rPr>
        <w:t>、</w:t>
      </w:r>
      <w:r w:rsidR="00031D46" w:rsidRPr="007319CD">
        <w:rPr>
          <w:rFonts w:hAnsi="標楷體" w:hint="eastAsia"/>
        </w:rPr>
        <w:t>第</w:t>
      </w:r>
      <w:r w:rsidRPr="007319CD">
        <w:rPr>
          <w:rFonts w:hAnsi="標楷體"/>
        </w:rPr>
        <w:t>577號解釋大體上也都循此足跡作比例原則之操作。是</w:t>
      </w:r>
      <w:proofErr w:type="gramStart"/>
      <w:r w:rsidRPr="007319CD">
        <w:rPr>
          <w:rFonts w:hAnsi="標楷體"/>
        </w:rPr>
        <w:t>本件系爭</w:t>
      </w:r>
      <w:proofErr w:type="gramEnd"/>
      <w:r w:rsidRPr="007319CD">
        <w:rPr>
          <w:rFonts w:hAnsi="標楷體"/>
        </w:rPr>
        <w:t>勞動基準法第55</w:t>
      </w:r>
      <w:r w:rsidR="00091E92" w:rsidRPr="007319CD">
        <w:rPr>
          <w:rFonts w:hAnsi="標楷體"/>
        </w:rPr>
        <w:t>條</w:t>
      </w:r>
      <w:r w:rsidRPr="007319CD">
        <w:rPr>
          <w:rFonts w:hAnsi="標楷體"/>
        </w:rPr>
        <w:t>、</w:t>
      </w:r>
      <w:r w:rsidR="00031D46" w:rsidRPr="007319CD">
        <w:rPr>
          <w:rFonts w:hAnsi="標楷體" w:hint="eastAsia"/>
        </w:rPr>
        <w:t>第</w:t>
      </w:r>
      <w:r w:rsidRPr="007319CD">
        <w:rPr>
          <w:rFonts w:hAnsi="標楷體"/>
        </w:rPr>
        <w:t>56條既然課予雇主負擔給付勞工退休金，及按月</w:t>
      </w:r>
      <w:proofErr w:type="gramStart"/>
      <w:r w:rsidRPr="007319CD">
        <w:rPr>
          <w:rFonts w:hAnsi="標楷體"/>
        </w:rPr>
        <w:t>提撥</w:t>
      </w:r>
      <w:proofErr w:type="gramEnd"/>
      <w:r w:rsidRPr="007319CD">
        <w:rPr>
          <w:rFonts w:hAnsi="標楷體"/>
        </w:rPr>
        <w:t>勞工退休準備金之義務，以限制雇主財產權與契約自由之手段，追求改善、保護勞工</w:t>
      </w:r>
      <w:r w:rsidRPr="007319CD">
        <w:rPr>
          <w:rFonts w:hAnsi="標楷體"/>
        </w:rPr>
        <w:lastRenderedPageBreak/>
        <w:t>退休生活之目的，自</w:t>
      </w:r>
      <w:proofErr w:type="gramStart"/>
      <w:r w:rsidRPr="007319CD">
        <w:rPr>
          <w:rFonts w:hAnsi="標楷體"/>
        </w:rPr>
        <w:t>不應脫免</w:t>
      </w:r>
      <w:proofErr w:type="gramEnd"/>
      <w:r w:rsidRPr="007319CD">
        <w:rPr>
          <w:rFonts w:hAnsi="標楷體"/>
        </w:rPr>
        <w:t>於前揭目的正當性、手段適合性、必要性與比例性之審查。</w:t>
      </w:r>
      <w:proofErr w:type="gramStart"/>
      <w:r w:rsidRPr="007319CD">
        <w:rPr>
          <w:rFonts w:hAnsi="標楷體"/>
        </w:rPr>
        <w:t>惟</w:t>
      </w:r>
      <w:proofErr w:type="gramEnd"/>
      <w:r w:rsidRPr="007319CD">
        <w:rPr>
          <w:rFonts w:hAnsi="標楷體"/>
        </w:rPr>
        <w:t>多數意見之解釋理由書審查系爭規定，除目的正當性審查外，看不出有輪廓清晰之比例原則之操作，</w:t>
      </w:r>
      <w:proofErr w:type="gramStart"/>
      <w:r w:rsidRPr="007319CD">
        <w:rPr>
          <w:rFonts w:hAnsi="標楷體"/>
        </w:rPr>
        <w:t>且或使用</w:t>
      </w:r>
      <w:proofErr w:type="gramEnd"/>
      <w:r w:rsidRPr="007319CD">
        <w:rPr>
          <w:rFonts w:hAnsi="標楷體"/>
        </w:rPr>
        <w:t>『應屬適當』或『手段仍在合理範圍內』等之概念，其與比例原則之關連為何，亦語焉不詳」，乃將釋字第476號及第544號</w:t>
      </w:r>
      <w:r w:rsidR="00994690" w:rsidRPr="007319CD">
        <w:rPr>
          <w:rFonts w:hAnsi="標楷體"/>
        </w:rPr>
        <w:t>解釋</w:t>
      </w:r>
      <w:r w:rsidRPr="007319CD">
        <w:rPr>
          <w:rFonts w:hAnsi="標楷體"/>
        </w:rPr>
        <w:t>所建構的「目的正當性、手段必要性、限制妥當性」等三項比例原則子原則，闡釋為：「立法目的必須具有正當性，其次，手段須有助於立法目的之達成（適合原則），亦無其他侵害</w:t>
      </w:r>
      <w:proofErr w:type="gramStart"/>
      <w:r w:rsidRPr="007319CD">
        <w:rPr>
          <w:rFonts w:hAnsi="標楷體"/>
        </w:rPr>
        <w:t>較小亦能</w:t>
      </w:r>
      <w:proofErr w:type="gramEnd"/>
      <w:r w:rsidRPr="007319CD">
        <w:rPr>
          <w:rFonts w:hAnsi="標楷體"/>
        </w:rPr>
        <w:t>達成相同目的之手段可資運用（必要原則），最後，手段對基本權利之限制與立法者所欲維護法益之重要性必須處於合乎比例之關係（狹義比例原則）。」 渠進一步認為</w:t>
      </w:r>
      <w:r w:rsidR="00994690" w:rsidRPr="007319CD">
        <w:rPr>
          <w:rFonts w:hAnsi="標楷體"/>
        </w:rPr>
        <w:t>，</w:t>
      </w:r>
      <w:r w:rsidRPr="007319CD">
        <w:rPr>
          <w:rFonts w:hAnsi="標楷體"/>
        </w:rPr>
        <w:t>避免司法者就相關立法事實存在與否形成心證時，會流於恣意，也同時為提升司法審查的可預測性與可接受度，逐步</w:t>
      </w:r>
      <w:proofErr w:type="gramStart"/>
      <w:r w:rsidRPr="007319CD">
        <w:rPr>
          <w:rFonts w:hAnsi="標楷體"/>
        </w:rPr>
        <w:t>發展出寬嚴</w:t>
      </w:r>
      <w:proofErr w:type="gramEnd"/>
      <w:r w:rsidRPr="007319CD">
        <w:rPr>
          <w:rFonts w:hAnsi="標楷體"/>
        </w:rPr>
        <w:t>不同的審查基準，自亦有其必要，</w:t>
      </w:r>
      <w:proofErr w:type="gramStart"/>
      <w:r w:rsidRPr="007319CD">
        <w:rPr>
          <w:rFonts w:hAnsi="標楷體"/>
        </w:rPr>
        <w:t>其稱</w:t>
      </w:r>
      <w:proofErr w:type="gramEnd"/>
      <w:r w:rsidRPr="007319CD">
        <w:rPr>
          <w:rFonts w:hAnsi="標楷體"/>
        </w:rPr>
        <w:t>：「如</w:t>
      </w:r>
      <w:proofErr w:type="gramStart"/>
      <w:r w:rsidRPr="007319CD">
        <w:rPr>
          <w:rFonts w:hAnsi="標楷體"/>
        </w:rPr>
        <w:t>採</w:t>
      </w:r>
      <w:proofErr w:type="gramEnd"/>
      <w:r w:rsidRPr="007319CD">
        <w:rPr>
          <w:rFonts w:hAnsi="標楷體"/>
        </w:rPr>
        <w:t>最寬鬆審查標準，只要立法者對事實的判斷與預測，不具公然、明顯的錯誤，或不構成明顯恣意，即予尊重；如</w:t>
      </w:r>
      <w:proofErr w:type="gramStart"/>
      <w:r w:rsidRPr="007319CD">
        <w:rPr>
          <w:rFonts w:hAnsi="標楷體"/>
        </w:rPr>
        <w:t>採</w:t>
      </w:r>
      <w:proofErr w:type="gramEnd"/>
      <w:r w:rsidRPr="007319CD">
        <w:rPr>
          <w:rFonts w:hAnsi="標楷體"/>
        </w:rPr>
        <w:t>中度審查標準，則進一步審查立法者的事實判斷是否合乎事理、說得過去，因而可以支持；如</w:t>
      </w:r>
      <w:proofErr w:type="gramStart"/>
      <w:r w:rsidRPr="007319CD">
        <w:rPr>
          <w:rFonts w:hAnsi="標楷體"/>
        </w:rPr>
        <w:t>採</w:t>
      </w:r>
      <w:proofErr w:type="gramEnd"/>
      <w:r w:rsidRPr="007319CD">
        <w:rPr>
          <w:rFonts w:hAnsi="標楷體"/>
        </w:rPr>
        <w:t>最嚴格審查標準，司法者對立法者判斷就須作具體詳盡的深入分析，倘無法確信立法者的判斷是正確的，就只能宣告系爭手段不符適合原則之要求。何時從嚴，何時從寬審查，應考量許多因素，例如系爭法律所涉事務領域，根據功能</w:t>
      </w:r>
      <w:proofErr w:type="gramStart"/>
      <w:r w:rsidRPr="007319CD">
        <w:rPr>
          <w:rFonts w:hAnsi="標楷體"/>
        </w:rPr>
        <w:t>最</w:t>
      </w:r>
      <w:proofErr w:type="gramEnd"/>
      <w:r w:rsidRPr="007319CD">
        <w:rPr>
          <w:rFonts w:hAnsi="標楷體"/>
        </w:rPr>
        <w:t>適觀點，由司法者或政治部門作決定，較能達到</w:t>
      </w:r>
      <w:proofErr w:type="gramStart"/>
      <w:r w:rsidRPr="007319CD">
        <w:rPr>
          <w:rFonts w:hAnsi="標楷體"/>
        </w:rPr>
        <w:t>儘</w:t>
      </w:r>
      <w:proofErr w:type="gramEnd"/>
      <w:r w:rsidRPr="007319CD">
        <w:rPr>
          <w:rFonts w:hAnsi="標楷體"/>
        </w:rPr>
        <w:t xml:space="preserve">可能「正確」之境地，系爭法律所涉基本權之種類、對基本權干預之強度，還有憲法本身揭示的價值秩序等等，都會影響寬嚴不同。」 </w:t>
      </w:r>
      <w:r w:rsidRPr="007319CD">
        <w:rPr>
          <w:rFonts w:hAnsi="標楷體"/>
        </w:rPr>
        <w:lastRenderedPageBreak/>
        <w:t>等語。如前所述，公務人員退休給付請求權利，係基於公務人員身分關係。人民任公務人員從事公務，國家給與之報酬，除任公務人員期間之俸給外，包括退休時之退休金等退休給與。故公務員個人法律地位</w:t>
      </w:r>
      <w:r w:rsidR="00994690" w:rsidRPr="007319CD">
        <w:rPr>
          <w:rFonts w:hAnsi="標楷體"/>
        </w:rPr>
        <w:t>，</w:t>
      </w:r>
      <w:r w:rsidRPr="007319CD">
        <w:rPr>
          <w:rFonts w:hAnsi="標楷體"/>
        </w:rPr>
        <w:t>係從任用關係即「確立」</w:t>
      </w:r>
      <w:r w:rsidR="00994690" w:rsidRPr="007319CD">
        <w:rPr>
          <w:rFonts w:hAnsi="標楷體"/>
        </w:rPr>
        <w:t>，</w:t>
      </w:r>
      <w:r w:rsidRPr="007319CD">
        <w:rPr>
          <w:rFonts w:hAnsi="標楷體"/>
        </w:rPr>
        <w:t>服務達退休年限時，即可領取退休金等退休給與。故其退休給付並非僅為社會保險，而係國家作為勞動契約債務人所負對待給付內容之重要部分，亦即國家所擔負並非經濟社會文化權利國際公約第9條社會保障相對義務而已，而係負有契約</w:t>
      </w:r>
      <w:proofErr w:type="gramStart"/>
      <w:r w:rsidRPr="007319CD">
        <w:rPr>
          <w:rFonts w:hAnsi="標楷體"/>
        </w:rPr>
        <w:t>一</w:t>
      </w:r>
      <w:proofErr w:type="gramEnd"/>
      <w:r w:rsidRPr="007319CD">
        <w:rPr>
          <w:rFonts w:hAnsi="標楷體"/>
        </w:rPr>
        <w:t>造當事人之絕對義務，</w:t>
      </w:r>
      <w:proofErr w:type="gramStart"/>
      <w:r w:rsidRPr="007319CD">
        <w:rPr>
          <w:rFonts w:hAnsi="標楷體"/>
        </w:rPr>
        <w:t>從而，</w:t>
      </w:r>
      <w:proofErr w:type="gramEnd"/>
      <w:r w:rsidRPr="007319CD">
        <w:rPr>
          <w:rFonts w:hAnsi="標楷體"/>
        </w:rPr>
        <w:t>國家支付退休給付係屬報酬，自非僅為社會安全保障之補充性質，而係按其公務員俸給與職等</w:t>
      </w:r>
      <w:r w:rsidR="00076433" w:rsidRPr="007319CD">
        <w:rPr>
          <w:rFonts w:hAnsi="標楷體"/>
        </w:rPr>
        <w:t>身分</w:t>
      </w:r>
      <w:r w:rsidRPr="007319CD">
        <w:rPr>
          <w:rFonts w:hAnsi="標楷體"/>
        </w:rPr>
        <w:t>之價金並</w:t>
      </w:r>
      <w:proofErr w:type="gramStart"/>
      <w:r w:rsidRPr="007319CD">
        <w:rPr>
          <w:rFonts w:hAnsi="標楷體"/>
        </w:rPr>
        <w:t>攸</w:t>
      </w:r>
      <w:proofErr w:type="gramEnd"/>
      <w:r w:rsidRPr="007319CD">
        <w:rPr>
          <w:rFonts w:hAnsi="標楷體"/>
        </w:rPr>
        <w:t>關憲法所示公務員制度性保障。從此</w:t>
      </w:r>
      <w:proofErr w:type="gramStart"/>
      <w:r w:rsidRPr="007319CD">
        <w:rPr>
          <w:rFonts w:hAnsi="標楷體"/>
        </w:rPr>
        <w:t>一</w:t>
      </w:r>
      <w:proofErr w:type="gramEnd"/>
      <w:r w:rsidRPr="007319CD">
        <w:rPr>
          <w:rFonts w:hAnsi="標楷體"/>
        </w:rPr>
        <w:t>角度而論，自有從嚴審查之必要性。</w:t>
      </w:r>
      <w:r w:rsidRPr="007319CD">
        <w:rPr>
          <w:rFonts w:hAnsi="標楷體"/>
          <w:vertAlign w:val="superscript"/>
        </w:rPr>
        <w:footnoteReference w:id="51"/>
      </w:r>
    </w:p>
    <w:p w:rsidR="00707A26" w:rsidRPr="007319CD" w:rsidRDefault="002817FF" w:rsidP="002817FF">
      <w:pPr>
        <w:pStyle w:val="3"/>
        <w:rPr>
          <w:rFonts w:hAnsi="標楷體"/>
          <w:b/>
        </w:rPr>
      </w:pPr>
      <w:r w:rsidRPr="007319CD">
        <w:rPr>
          <w:rFonts w:hAnsi="標楷體"/>
          <w:b/>
        </w:rPr>
        <w:t>新法修正</w:t>
      </w:r>
      <w:r w:rsidR="00F45C89" w:rsidRPr="007319CD">
        <w:rPr>
          <w:rFonts w:hAnsi="標楷體" w:hint="eastAsia"/>
          <w:b/>
        </w:rPr>
        <w:t>後，</w:t>
      </w:r>
      <w:r w:rsidR="00F45C89" w:rsidRPr="007319CD">
        <w:rPr>
          <w:rFonts w:hAnsi="標楷體"/>
          <w:b/>
        </w:rPr>
        <w:t>簡任12職等年功4級800</w:t>
      </w:r>
      <w:proofErr w:type="gramStart"/>
      <w:r w:rsidR="00F45C89" w:rsidRPr="007319CD">
        <w:rPr>
          <w:rFonts w:hAnsi="標楷體"/>
          <w:b/>
        </w:rPr>
        <w:t>俸</w:t>
      </w:r>
      <w:proofErr w:type="gramEnd"/>
      <w:r w:rsidR="00F45C89" w:rsidRPr="007319CD">
        <w:rPr>
          <w:rFonts w:hAnsi="標楷體"/>
          <w:b/>
        </w:rPr>
        <w:t>點任職35年</w:t>
      </w:r>
      <w:r w:rsidR="00F75D3F" w:rsidRPr="007319CD">
        <w:rPr>
          <w:rFonts w:hAnsi="標楷體" w:hint="eastAsia"/>
          <w:b/>
        </w:rPr>
        <w:t>公教</w:t>
      </w:r>
      <w:r w:rsidR="00F45C89" w:rsidRPr="007319CD">
        <w:rPr>
          <w:rFonts w:hAnsi="標楷體" w:hint="eastAsia"/>
          <w:b/>
        </w:rPr>
        <w:t>人員，</w:t>
      </w:r>
      <w:r w:rsidRPr="007319CD">
        <w:rPr>
          <w:rFonts w:hAnsi="標楷體"/>
          <w:b/>
        </w:rPr>
        <w:t>所得替代率</w:t>
      </w:r>
      <w:r w:rsidR="00F45C89" w:rsidRPr="007319CD">
        <w:rPr>
          <w:rFonts w:hAnsi="標楷體" w:hint="eastAsia"/>
          <w:b/>
        </w:rPr>
        <w:t>上限至</w:t>
      </w:r>
      <w:r w:rsidR="00F45C89" w:rsidRPr="007319CD">
        <w:rPr>
          <w:rFonts w:hAnsi="標楷體"/>
          <w:b/>
        </w:rPr>
        <w:t>118年1月1日</w:t>
      </w:r>
      <w:r w:rsidRPr="007319CD">
        <w:rPr>
          <w:rFonts w:hAnsi="標楷體"/>
          <w:b/>
        </w:rPr>
        <w:t>降低為60%，</w:t>
      </w:r>
      <w:r w:rsidR="00F45C89" w:rsidRPr="007319CD">
        <w:rPr>
          <w:rFonts w:hAnsi="標楷體"/>
          <w:b/>
        </w:rPr>
        <w:t>最高退休給付</w:t>
      </w:r>
      <w:r w:rsidRPr="007319CD">
        <w:rPr>
          <w:rFonts w:hAnsi="標楷體"/>
          <w:b/>
        </w:rPr>
        <w:t>降</w:t>
      </w:r>
      <w:r w:rsidR="009A5DF4" w:rsidRPr="007319CD">
        <w:rPr>
          <w:rFonts w:hAnsi="標楷體" w:hint="eastAsia"/>
          <w:b/>
        </w:rPr>
        <w:t>至</w:t>
      </w:r>
      <w:r w:rsidRPr="007319CD">
        <w:rPr>
          <w:rFonts w:hAnsi="標楷體"/>
          <w:b/>
        </w:rPr>
        <w:t>63</w:t>
      </w:r>
      <w:r w:rsidR="00994690" w:rsidRPr="007319CD">
        <w:rPr>
          <w:rFonts w:hAnsi="標楷體"/>
          <w:b/>
        </w:rPr>
        <w:t>,</w:t>
      </w:r>
      <w:r w:rsidRPr="007319CD">
        <w:rPr>
          <w:rFonts w:hAnsi="標楷體"/>
          <w:b/>
        </w:rPr>
        <w:t>690元，與最低保障金額32,160元，詳述如下：</w:t>
      </w:r>
    </w:p>
    <w:p w:rsidR="00707A26" w:rsidRPr="007319CD" w:rsidRDefault="00EE4184" w:rsidP="00D778BE">
      <w:pPr>
        <w:pStyle w:val="4"/>
        <w:rPr>
          <w:rFonts w:hAnsi="標楷體"/>
          <w:b/>
        </w:rPr>
      </w:pPr>
      <w:r w:rsidRPr="007319CD">
        <w:rPr>
          <w:rFonts w:hAnsi="標楷體"/>
          <w:b/>
        </w:rPr>
        <w:t>公務人員部分</w:t>
      </w:r>
    </w:p>
    <w:p w:rsidR="00707A26" w:rsidRPr="007319CD" w:rsidRDefault="00707A26" w:rsidP="00E92679">
      <w:pPr>
        <w:pStyle w:val="5"/>
        <w:rPr>
          <w:rFonts w:hAnsi="標楷體"/>
        </w:rPr>
      </w:pPr>
      <w:r w:rsidRPr="007319CD">
        <w:rPr>
          <w:rFonts w:hAnsi="標楷體"/>
        </w:rPr>
        <w:t>107年7月1日以後，公務人員退休所得替代率上限，</w:t>
      </w:r>
      <w:proofErr w:type="gramStart"/>
      <w:r w:rsidRPr="007319CD">
        <w:rPr>
          <w:rFonts w:hAnsi="標楷體"/>
        </w:rPr>
        <w:t>均應依</w:t>
      </w:r>
      <w:proofErr w:type="gramEnd"/>
      <w:r w:rsidRPr="007319CD">
        <w:rPr>
          <w:rFonts w:hAnsi="標楷體"/>
        </w:rPr>
        <w:t>上述規定計算，且每月所領退休所得不得超過依其替代率上限計算之金額；</w:t>
      </w:r>
      <w:proofErr w:type="gramStart"/>
      <w:r w:rsidRPr="007319CD">
        <w:rPr>
          <w:rFonts w:hAnsi="標楷體"/>
        </w:rPr>
        <w:t>另</w:t>
      </w:r>
      <w:proofErr w:type="gramEnd"/>
      <w:r w:rsidRPr="007319CD">
        <w:rPr>
          <w:rFonts w:hAnsi="標楷體"/>
        </w:rPr>
        <w:t>，調降後月退休所得不得低於最低保障金額(公務人員委任第</w:t>
      </w:r>
      <w:r w:rsidR="004B7605" w:rsidRPr="007319CD">
        <w:rPr>
          <w:rFonts w:hAnsi="標楷體" w:hint="eastAsia"/>
        </w:rPr>
        <w:t>1</w:t>
      </w:r>
      <w:r w:rsidRPr="007319CD">
        <w:rPr>
          <w:rFonts w:hAnsi="標楷體"/>
        </w:rPr>
        <w:t>職等本</w:t>
      </w:r>
      <w:proofErr w:type="gramStart"/>
      <w:r w:rsidRPr="007319CD">
        <w:rPr>
          <w:rFonts w:hAnsi="標楷體"/>
        </w:rPr>
        <w:t>俸</w:t>
      </w:r>
      <w:proofErr w:type="gramEnd"/>
      <w:r w:rsidRPr="007319CD">
        <w:rPr>
          <w:rFonts w:hAnsi="標楷體"/>
        </w:rPr>
        <w:t>最高級之本</w:t>
      </w:r>
      <w:proofErr w:type="gramStart"/>
      <w:r w:rsidRPr="007319CD">
        <w:rPr>
          <w:rFonts w:hAnsi="標楷體"/>
        </w:rPr>
        <w:t>俸</w:t>
      </w:r>
      <w:proofErr w:type="gramEnd"/>
      <w:r w:rsidRPr="007319CD">
        <w:rPr>
          <w:rFonts w:hAnsi="標楷體"/>
        </w:rPr>
        <w:t>額與該職等一般公務人員專業加給合計數額。依</w:t>
      </w:r>
      <w:proofErr w:type="gramStart"/>
      <w:r w:rsidR="00EE4184" w:rsidRPr="007319CD">
        <w:rPr>
          <w:rFonts w:hAnsi="標楷體" w:hint="eastAsia"/>
        </w:rPr>
        <w:t>106</w:t>
      </w:r>
      <w:proofErr w:type="gramEnd"/>
      <w:r w:rsidR="00EE4184" w:rsidRPr="007319CD">
        <w:rPr>
          <w:rFonts w:hAnsi="標楷體" w:hint="eastAsia"/>
        </w:rPr>
        <w:lastRenderedPageBreak/>
        <w:t>年度</w:t>
      </w:r>
      <w:r w:rsidRPr="007319CD">
        <w:rPr>
          <w:rFonts w:hAnsi="標楷體"/>
        </w:rPr>
        <w:t>待遇標準計算為32,160元</w:t>
      </w:r>
      <w:r w:rsidRPr="007319CD">
        <w:rPr>
          <w:rFonts w:hAnsi="標楷體"/>
          <w:vertAlign w:val="superscript"/>
        </w:rPr>
        <w:footnoteReference w:id="52"/>
      </w:r>
      <w:r w:rsidRPr="007319CD">
        <w:rPr>
          <w:rFonts w:hAnsi="標楷體"/>
        </w:rPr>
        <w:t>)，調降前之月退休所得</w:t>
      </w:r>
      <w:r w:rsidR="00994690" w:rsidRPr="007319CD">
        <w:rPr>
          <w:rFonts w:hAnsi="標楷體"/>
        </w:rPr>
        <w:t>，</w:t>
      </w:r>
      <w:r w:rsidRPr="007319CD">
        <w:rPr>
          <w:rFonts w:hAnsi="標楷體"/>
        </w:rPr>
        <w:t>原即低於最低保障金額者，維持原金額。</w:t>
      </w:r>
    </w:p>
    <w:p w:rsidR="00707A26" w:rsidRPr="007319CD" w:rsidRDefault="00C23EAB" w:rsidP="008E3983">
      <w:pPr>
        <w:pStyle w:val="5"/>
        <w:rPr>
          <w:rFonts w:hAnsi="標楷體"/>
        </w:rPr>
      </w:pPr>
      <w:r w:rsidRPr="007319CD">
        <w:rPr>
          <w:rFonts w:hAnsi="標楷體"/>
        </w:rPr>
        <w:t>退休</w:t>
      </w:r>
      <w:proofErr w:type="gramStart"/>
      <w:r w:rsidRPr="007319CD">
        <w:rPr>
          <w:rFonts w:hAnsi="標楷體"/>
        </w:rPr>
        <w:t>年資具純舊制</w:t>
      </w:r>
      <w:proofErr w:type="gramEnd"/>
      <w:r w:rsidRPr="007319CD">
        <w:rPr>
          <w:rFonts w:hAnsi="標楷體"/>
        </w:rPr>
        <w:t>年資30年、兼具新舊制年資35年及僅具新制年資35年人員之改革前</w:t>
      </w:r>
      <w:r w:rsidR="00091E92" w:rsidRPr="007319CD">
        <w:rPr>
          <w:rFonts w:hAnsi="標楷體"/>
        </w:rPr>
        <w:t>、</w:t>
      </w:r>
      <w:r w:rsidRPr="007319CD">
        <w:rPr>
          <w:rFonts w:hAnsi="標楷體"/>
        </w:rPr>
        <w:t>後月退休所得變化情形分述如下</w:t>
      </w:r>
      <w:r w:rsidR="00707A26" w:rsidRPr="007319CD">
        <w:rPr>
          <w:rFonts w:hAnsi="標楷體"/>
        </w:rPr>
        <w:t>：</w:t>
      </w:r>
    </w:p>
    <w:p w:rsidR="00707A26" w:rsidRPr="007319CD" w:rsidRDefault="00707A26" w:rsidP="003A6000">
      <w:pPr>
        <w:pStyle w:val="6"/>
        <w:rPr>
          <w:rFonts w:hAnsi="標楷體"/>
        </w:rPr>
      </w:pPr>
      <w:r w:rsidRPr="007319CD">
        <w:rPr>
          <w:rFonts w:hAnsi="標楷體"/>
        </w:rPr>
        <w:t>純舊制年資人員（詳如附表</w:t>
      </w:r>
      <w:r w:rsidR="00A03BAE" w:rsidRPr="007319CD">
        <w:rPr>
          <w:rFonts w:hAnsi="標楷體"/>
        </w:rPr>
        <w:t>四</w:t>
      </w:r>
      <w:r w:rsidRPr="007319CD">
        <w:rPr>
          <w:rFonts w:hAnsi="標楷體"/>
        </w:rPr>
        <w:t>）</w:t>
      </w:r>
    </w:p>
    <w:p w:rsidR="00F87F8A" w:rsidRPr="007319CD" w:rsidRDefault="00F87F8A" w:rsidP="00F87F8A">
      <w:pPr>
        <w:pStyle w:val="7"/>
        <w:kinsoku w:val="0"/>
        <w:overflowPunct/>
        <w:rPr>
          <w:rFonts w:hAnsi="標楷體"/>
        </w:rPr>
      </w:pPr>
      <w:r w:rsidRPr="007319CD">
        <w:rPr>
          <w:rFonts w:hAnsi="標楷體"/>
        </w:rPr>
        <w:t>委任5職等年功10級520</w:t>
      </w:r>
      <w:proofErr w:type="gramStart"/>
      <w:r w:rsidRPr="007319CD">
        <w:rPr>
          <w:rFonts w:hAnsi="標楷體"/>
        </w:rPr>
        <w:t>俸</w:t>
      </w:r>
      <w:proofErr w:type="gramEnd"/>
      <w:r w:rsidRPr="007319CD">
        <w:rPr>
          <w:rFonts w:hAnsi="標楷體"/>
        </w:rPr>
        <w:t>點年資30年之退休主管及非主管人員原領月退</w:t>
      </w:r>
      <w:proofErr w:type="gramStart"/>
      <w:r w:rsidRPr="007319CD">
        <w:rPr>
          <w:rFonts w:hAnsi="標楷體"/>
        </w:rPr>
        <w:t>所得均為</w:t>
      </w:r>
      <w:proofErr w:type="gramEnd"/>
      <w:r w:rsidRPr="007319CD">
        <w:rPr>
          <w:rFonts w:hAnsi="標楷體"/>
        </w:rPr>
        <w:t>46,605元，於107年7月1日先行扣減7,344元</w:t>
      </w:r>
      <w:r w:rsidR="00F553D6" w:rsidRPr="007319CD">
        <w:rPr>
          <w:rFonts w:hAnsi="標楷體" w:hint="eastAsia"/>
        </w:rPr>
        <w:t>（相關調整金額引用自銓敘部評估資料，下同）</w:t>
      </w:r>
      <w:r w:rsidRPr="007319CD">
        <w:rPr>
          <w:rFonts w:hAnsi="標楷體"/>
        </w:rPr>
        <w:t>，月退休金額調降為39,261元。</w:t>
      </w:r>
      <w:proofErr w:type="gramStart"/>
      <w:r w:rsidRPr="007319CD">
        <w:rPr>
          <w:rFonts w:hAnsi="標楷體"/>
        </w:rPr>
        <w:t>嗣</w:t>
      </w:r>
      <w:proofErr w:type="gramEnd"/>
      <w:r w:rsidRPr="007319CD">
        <w:rPr>
          <w:rFonts w:hAnsi="標楷體"/>
        </w:rPr>
        <w:t>再以每年調降月退所得替代率1.5%方式，至118年1月1日較改革前扣減10,454元，月退休金額調降為36,152元。</w:t>
      </w:r>
    </w:p>
    <w:p w:rsidR="00F87F8A" w:rsidRPr="007319CD" w:rsidRDefault="00F87F8A" w:rsidP="00F87F8A">
      <w:pPr>
        <w:pStyle w:val="7"/>
        <w:kinsoku w:val="0"/>
        <w:overflowPunct/>
        <w:rPr>
          <w:rFonts w:hAnsi="標楷體"/>
        </w:rPr>
      </w:pPr>
      <w:r w:rsidRPr="007319CD">
        <w:rPr>
          <w:rFonts w:hAnsi="標楷體"/>
        </w:rPr>
        <w:t>薦任9職等年功7級710</w:t>
      </w:r>
      <w:proofErr w:type="gramStart"/>
      <w:r w:rsidRPr="007319CD">
        <w:rPr>
          <w:rFonts w:hAnsi="標楷體"/>
        </w:rPr>
        <w:t>俸</w:t>
      </w:r>
      <w:proofErr w:type="gramEnd"/>
      <w:r w:rsidRPr="007319CD">
        <w:rPr>
          <w:rFonts w:hAnsi="標楷體"/>
        </w:rPr>
        <w:t>點年資30年之退休主管及非主管人員原領月退</w:t>
      </w:r>
      <w:proofErr w:type="gramStart"/>
      <w:r w:rsidRPr="007319CD">
        <w:rPr>
          <w:rFonts w:hAnsi="標楷體"/>
        </w:rPr>
        <w:t>所得均為</w:t>
      </w:r>
      <w:proofErr w:type="gramEnd"/>
      <w:r w:rsidRPr="007319CD">
        <w:rPr>
          <w:rFonts w:hAnsi="標楷體"/>
        </w:rPr>
        <w:t>63,498元，於107年7月1日先行扣減</w:t>
      </w:r>
      <w:r w:rsidRPr="007319CD">
        <w:rPr>
          <w:rFonts w:hAnsi="標楷體"/>
        </w:rPr>
        <w:lastRenderedPageBreak/>
        <w:t>10,098元，月退休金額調降為53,400元。</w:t>
      </w:r>
      <w:proofErr w:type="gramStart"/>
      <w:r w:rsidRPr="007319CD">
        <w:rPr>
          <w:rFonts w:hAnsi="標楷體"/>
        </w:rPr>
        <w:t>嗣</w:t>
      </w:r>
      <w:proofErr w:type="gramEnd"/>
      <w:r w:rsidRPr="007319CD">
        <w:rPr>
          <w:rFonts w:hAnsi="標楷體"/>
        </w:rPr>
        <w:t>再以每年調降月退所得替代率1.5%方式，至118年1月1日較改革前扣減14,064元，月退休金額調降為49,434元。</w:t>
      </w:r>
    </w:p>
    <w:p w:rsidR="00707A26" w:rsidRPr="007319CD" w:rsidRDefault="00F87F8A" w:rsidP="00F87F8A">
      <w:pPr>
        <w:pStyle w:val="7"/>
        <w:rPr>
          <w:rFonts w:hAnsi="標楷體"/>
        </w:rPr>
      </w:pPr>
      <w:r w:rsidRPr="007319CD">
        <w:rPr>
          <w:rFonts w:hAnsi="標楷體"/>
        </w:rPr>
        <w:t>簡任12職等年功4級800</w:t>
      </w:r>
      <w:proofErr w:type="gramStart"/>
      <w:r w:rsidRPr="007319CD">
        <w:rPr>
          <w:rFonts w:hAnsi="標楷體"/>
        </w:rPr>
        <w:t>俸</w:t>
      </w:r>
      <w:proofErr w:type="gramEnd"/>
      <w:r w:rsidRPr="007319CD">
        <w:rPr>
          <w:rFonts w:hAnsi="標楷體"/>
        </w:rPr>
        <w:t>點年資30年之退休主管及非主管人員原領月退</w:t>
      </w:r>
      <w:proofErr w:type="gramStart"/>
      <w:r w:rsidRPr="007319CD">
        <w:rPr>
          <w:rFonts w:hAnsi="標楷體"/>
        </w:rPr>
        <w:t>所得均為</w:t>
      </w:r>
      <w:proofErr w:type="gramEnd"/>
      <w:r w:rsidRPr="007319CD">
        <w:rPr>
          <w:rFonts w:hAnsi="標楷體"/>
        </w:rPr>
        <w:t>71,486元，於107年7月1日先行扣減11,394元，月退休金額調降為60,092元。</w:t>
      </w:r>
      <w:proofErr w:type="gramStart"/>
      <w:r w:rsidRPr="007319CD">
        <w:rPr>
          <w:rFonts w:hAnsi="標楷體"/>
        </w:rPr>
        <w:t>嗣</w:t>
      </w:r>
      <w:proofErr w:type="gramEnd"/>
      <w:r w:rsidRPr="007319CD">
        <w:rPr>
          <w:rFonts w:hAnsi="標楷體"/>
        </w:rPr>
        <w:t>再以每年調降月退所得替代率1.5%方式，至118年1月1日較改革前扣減15,757元，月退休金額調降為55,729元</w:t>
      </w:r>
      <w:r w:rsidR="00707A26" w:rsidRPr="007319CD">
        <w:rPr>
          <w:rFonts w:hAnsi="標楷體"/>
        </w:rPr>
        <w:t>。</w:t>
      </w:r>
    </w:p>
    <w:p w:rsidR="00707A26" w:rsidRPr="007319CD" w:rsidRDefault="00707A26" w:rsidP="007D5BC4">
      <w:pPr>
        <w:pStyle w:val="6"/>
        <w:rPr>
          <w:rFonts w:hAnsi="標楷體"/>
        </w:rPr>
      </w:pPr>
      <w:r w:rsidRPr="007319CD">
        <w:rPr>
          <w:rFonts w:hAnsi="標楷體"/>
        </w:rPr>
        <w:t>兼具新舊制年資人員</w:t>
      </w:r>
      <w:r w:rsidR="00A03BAE" w:rsidRPr="007319CD">
        <w:rPr>
          <w:rFonts w:hAnsi="標楷體"/>
        </w:rPr>
        <w:t>（詳如附表五）</w:t>
      </w:r>
    </w:p>
    <w:p w:rsidR="0016657F" w:rsidRPr="007319CD" w:rsidRDefault="0016657F" w:rsidP="0016657F">
      <w:pPr>
        <w:pStyle w:val="7"/>
        <w:kinsoku w:val="0"/>
        <w:overflowPunct/>
        <w:rPr>
          <w:rFonts w:hAnsi="標楷體"/>
        </w:rPr>
      </w:pPr>
      <w:r w:rsidRPr="007319CD">
        <w:rPr>
          <w:rFonts w:hAnsi="標楷體"/>
        </w:rPr>
        <w:t>委任5職等年功10級520</w:t>
      </w:r>
      <w:proofErr w:type="gramStart"/>
      <w:r w:rsidRPr="007319CD">
        <w:rPr>
          <w:rFonts w:hAnsi="標楷體"/>
        </w:rPr>
        <w:t>俸</w:t>
      </w:r>
      <w:proofErr w:type="gramEnd"/>
      <w:r w:rsidRPr="007319CD">
        <w:rPr>
          <w:rFonts w:hAnsi="標楷體"/>
        </w:rPr>
        <w:t>點年資35年之退休主管人員原領月退所得為58,847元，於107年7月1日先行扣減7,202元，月退休金額調降為51,645元。</w:t>
      </w:r>
      <w:proofErr w:type="gramStart"/>
      <w:r w:rsidRPr="007319CD">
        <w:rPr>
          <w:rFonts w:hAnsi="標楷體"/>
        </w:rPr>
        <w:t>嗣</w:t>
      </w:r>
      <w:proofErr w:type="gramEnd"/>
      <w:r w:rsidRPr="007319CD">
        <w:rPr>
          <w:rFonts w:hAnsi="標楷體"/>
        </w:rPr>
        <w:t>再以每年調降月退所得替代率1.5%方式，至118年1月1日較改革前扣減17,531元，月退休金額調降為41,316元。</w:t>
      </w:r>
    </w:p>
    <w:p w:rsidR="0016657F" w:rsidRPr="007319CD" w:rsidRDefault="0016657F" w:rsidP="0016657F">
      <w:pPr>
        <w:pStyle w:val="7"/>
        <w:kinsoku w:val="0"/>
        <w:overflowPunct/>
        <w:rPr>
          <w:rFonts w:hAnsi="標楷體"/>
        </w:rPr>
      </w:pPr>
      <w:r w:rsidRPr="007319CD">
        <w:rPr>
          <w:rFonts w:hAnsi="標楷體"/>
        </w:rPr>
        <w:t>委任5職等年功10級520</w:t>
      </w:r>
      <w:proofErr w:type="gramStart"/>
      <w:r w:rsidRPr="007319CD">
        <w:rPr>
          <w:rFonts w:hAnsi="標楷體"/>
        </w:rPr>
        <w:t>俸</w:t>
      </w:r>
      <w:proofErr w:type="gramEnd"/>
      <w:r w:rsidRPr="007319CD">
        <w:rPr>
          <w:rFonts w:hAnsi="標楷體"/>
        </w:rPr>
        <w:t>點年資35年之退休非主管人員原領月退所得為55,060元，於107年7月1日先行扣減3,415元，月退休金額調降為51,645元。</w:t>
      </w:r>
      <w:proofErr w:type="gramStart"/>
      <w:r w:rsidRPr="007319CD">
        <w:rPr>
          <w:rFonts w:hAnsi="標楷體"/>
        </w:rPr>
        <w:t>嗣</w:t>
      </w:r>
      <w:proofErr w:type="gramEnd"/>
      <w:r w:rsidRPr="007319CD">
        <w:rPr>
          <w:rFonts w:hAnsi="標楷體"/>
        </w:rPr>
        <w:t>再以每年調降月退所得替代率1.5%方式，至118年1月1日較改革前扣減13,744元，月退休金額調降為41,316元。</w:t>
      </w:r>
    </w:p>
    <w:p w:rsidR="0016657F" w:rsidRPr="007319CD" w:rsidRDefault="0016657F" w:rsidP="0016657F">
      <w:pPr>
        <w:pStyle w:val="7"/>
        <w:kinsoku w:val="0"/>
        <w:overflowPunct/>
        <w:rPr>
          <w:rFonts w:hAnsi="標楷體"/>
        </w:rPr>
      </w:pPr>
      <w:r w:rsidRPr="007319CD">
        <w:rPr>
          <w:rFonts w:hAnsi="標楷體"/>
        </w:rPr>
        <w:t>薦任9職等年功7級710</w:t>
      </w:r>
      <w:proofErr w:type="gramStart"/>
      <w:r w:rsidRPr="007319CD">
        <w:rPr>
          <w:rFonts w:hAnsi="標楷體"/>
        </w:rPr>
        <w:t>俸</w:t>
      </w:r>
      <w:proofErr w:type="gramEnd"/>
      <w:r w:rsidRPr="007319CD">
        <w:rPr>
          <w:rFonts w:hAnsi="標楷體"/>
        </w:rPr>
        <w:t>點年資35年之退休主管人員原領月退所得為84,370元，於107年7月1日先行扣減13,750元，月退休金額調降為70,620元。</w:t>
      </w:r>
      <w:proofErr w:type="gramStart"/>
      <w:r w:rsidRPr="007319CD">
        <w:rPr>
          <w:rFonts w:hAnsi="標楷體"/>
        </w:rPr>
        <w:t>嗣</w:t>
      </w:r>
      <w:proofErr w:type="gramEnd"/>
      <w:r w:rsidRPr="007319CD">
        <w:rPr>
          <w:rFonts w:hAnsi="標楷體"/>
        </w:rPr>
        <w:t>再以每年調降月</w:t>
      </w:r>
      <w:r w:rsidRPr="007319CD">
        <w:rPr>
          <w:rFonts w:hAnsi="標楷體"/>
        </w:rPr>
        <w:lastRenderedPageBreak/>
        <w:t>退所得替代率1.5%方式，至118年1月1日較改革前扣減27,874元，月退休金額調降為56,496元。</w:t>
      </w:r>
    </w:p>
    <w:p w:rsidR="0016657F" w:rsidRPr="007319CD" w:rsidRDefault="0016657F" w:rsidP="0016657F">
      <w:pPr>
        <w:pStyle w:val="7"/>
        <w:kinsoku w:val="0"/>
        <w:overflowPunct/>
        <w:rPr>
          <w:rFonts w:hAnsi="標楷體"/>
        </w:rPr>
      </w:pPr>
      <w:r w:rsidRPr="007319CD">
        <w:rPr>
          <w:rFonts w:hAnsi="標楷體"/>
        </w:rPr>
        <w:t>薦任9職等年功7級710</w:t>
      </w:r>
      <w:proofErr w:type="gramStart"/>
      <w:r w:rsidRPr="007319CD">
        <w:rPr>
          <w:rFonts w:hAnsi="標楷體"/>
        </w:rPr>
        <w:t>俸</w:t>
      </w:r>
      <w:proofErr w:type="gramEnd"/>
      <w:r w:rsidRPr="007319CD">
        <w:rPr>
          <w:rFonts w:hAnsi="標楷體"/>
        </w:rPr>
        <w:t>點年資35年之退休非主管人員原領月退所得為75,561元，於107年7月1日先行扣減4,941元，月退休金額調降為70,620元。</w:t>
      </w:r>
      <w:proofErr w:type="gramStart"/>
      <w:r w:rsidRPr="007319CD">
        <w:rPr>
          <w:rFonts w:hAnsi="標楷體"/>
        </w:rPr>
        <w:t>嗣</w:t>
      </w:r>
      <w:proofErr w:type="gramEnd"/>
      <w:r w:rsidRPr="007319CD">
        <w:rPr>
          <w:rFonts w:hAnsi="標楷體"/>
        </w:rPr>
        <w:t>再以每年調降月退所得替代率1.5%方式，至118年1月1日較改革前扣減19,065元，月退休金額調降為56,496元。</w:t>
      </w:r>
    </w:p>
    <w:p w:rsidR="0016657F" w:rsidRPr="007319CD" w:rsidRDefault="0016657F" w:rsidP="0016657F">
      <w:pPr>
        <w:pStyle w:val="7"/>
        <w:kinsoku w:val="0"/>
        <w:overflowPunct/>
        <w:rPr>
          <w:rFonts w:hAnsi="標楷體"/>
        </w:rPr>
      </w:pPr>
      <w:r w:rsidRPr="007319CD">
        <w:rPr>
          <w:rFonts w:hAnsi="標楷體"/>
        </w:rPr>
        <w:t>簡任12職等年功4級800</w:t>
      </w:r>
      <w:proofErr w:type="gramStart"/>
      <w:r w:rsidRPr="007319CD">
        <w:rPr>
          <w:rFonts w:hAnsi="標楷體"/>
        </w:rPr>
        <w:t>俸</w:t>
      </w:r>
      <w:proofErr w:type="gramEnd"/>
      <w:r w:rsidRPr="007319CD">
        <w:rPr>
          <w:rFonts w:hAnsi="標楷體"/>
        </w:rPr>
        <w:t>點年資35年之退休主管人員原領月退所得為100,842元，於107年7月1日先行扣減21,230元，月退休金額調降為79,613元。</w:t>
      </w:r>
      <w:proofErr w:type="gramStart"/>
      <w:r w:rsidRPr="007319CD">
        <w:rPr>
          <w:rFonts w:hAnsi="標楷體"/>
        </w:rPr>
        <w:t>嗣</w:t>
      </w:r>
      <w:proofErr w:type="gramEnd"/>
      <w:r w:rsidRPr="007319CD">
        <w:rPr>
          <w:rFonts w:hAnsi="標楷體"/>
        </w:rPr>
        <w:t>再以每年調降月退所得替代率1.5%方式，至118年1月1日較改革前扣減37,152元，月退休金額調降為63,690元。</w:t>
      </w:r>
    </w:p>
    <w:p w:rsidR="00707A26" w:rsidRPr="007319CD" w:rsidRDefault="0016657F" w:rsidP="0016657F">
      <w:pPr>
        <w:pStyle w:val="7"/>
        <w:rPr>
          <w:rFonts w:hAnsi="標楷體"/>
        </w:rPr>
      </w:pPr>
      <w:r w:rsidRPr="007319CD">
        <w:rPr>
          <w:rFonts w:hAnsi="標楷體"/>
        </w:rPr>
        <w:t>簡任12職等年功4級800</w:t>
      </w:r>
      <w:proofErr w:type="gramStart"/>
      <w:r w:rsidRPr="007319CD">
        <w:rPr>
          <w:rFonts w:hAnsi="標楷體"/>
        </w:rPr>
        <w:t>俸</w:t>
      </w:r>
      <w:proofErr w:type="gramEnd"/>
      <w:r w:rsidRPr="007319CD">
        <w:rPr>
          <w:rFonts w:hAnsi="標楷體"/>
        </w:rPr>
        <w:t>點年資35年之退休非主管人員原領月退所得為92,435元，於107年7月1日先行扣減12,823元，月退休金額調降為79,613元。</w:t>
      </w:r>
      <w:proofErr w:type="gramStart"/>
      <w:r w:rsidRPr="007319CD">
        <w:rPr>
          <w:rFonts w:hAnsi="標楷體"/>
        </w:rPr>
        <w:t>嗣</w:t>
      </w:r>
      <w:proofErr w:type="gramEnd"/>
      <w:r w:rsidRPr="007319CD">
        <w:rPr>
          <w:rFonts w:hAnsi="標楷體"/>
        </w:rPr>
        <w:t>再以每年調降月退所得替代率1.5%方式，至118年1月1日較改革前扣減28,745元，月退休金額調降為63,690元</w:t>
      </w:r>
      <w:r w:rsidR="00707A26" w:rsidRPr="007319CD">
        <w:rPr>
          <w:rFonts w:hAnsi="標楷體"/>
        </w:rPr>
        <w:t>。</w:t>
      </w:r>
    </w:p>
    <w:p w:rsidR="00707A26" w:rsidRPr="007319CD" w:rsidRDefault="00707A26" w:rsidP="00261D27">
      <w:pPr>
        <w:pStyle w:val="6"/>
        <w:rPr>
          <w:rFonts w:hAnsi="標楷體"/>
        </w:rPr>
      </w:pPr>
      <w:r w:rsidRPr="007319CD">
        <w:rPr>
          <w:rFonts w:hAnsi="標楷體"/>
        </w:rPr>
        <w:t>純新制年資人員(114.7.1退休)</w:t>
      </w:r>
      <w:r w:rsidR="00A03BAE" w:rsidRPr="007319CD">
        <w:rPr>
          <w:rFonts w:hAnsi="標楷體"/>
        </w:rPr>
        <w:t>（詳如附表六）</w:t>
      </w:r>
    </w:p>
    <w:p w:rsidR="001828CA" w:rsidRPr="007319CD" w:rsidRDefault="001828CA" w:rsidP="007A56FF">
      <w:pPr>
        <w:pStyle w:val="7"/>
        <w:rPr>
          <w:rFonts w:hAnsi="標楷體"/>
        </w:rPr>
      </w:pPr>
      <w:r w:rsidRPr="007319CD">
        <w:rPr>
          <w:rFonts w:hAnsi="標楷體"/>
        </w:rPr>
        <w:t>委任5職等年功10級520</w:t>
      </w:r>
      <w:proofErr w:type="gramStart"/>
      <w:r w:rsidRPr="007319CD">
        <w:rPr>
          <w:rFonts w:hAnsi="標楷體"/>
        </w:rPr>
        <w:t>俸</w:t>
      </w:r>
      <w:proofErr w:type="gramEnd"/>
      <w:r w:rsidRPr="007319CD">
        <w:rPr>
          <w:rFonts w:hAnsi="標楷體"/>
        </w:rPr>
        <w:t>點年資35年之退休人員於改革前</w:t>
      </w:r>
      <w:proofErr w:type="gramStart"/>
      <w:r w:rsidRPr="007319CD">
        <w:rPr>
          <w:rFonts w:hAnsi="標楷體"/>
        </w:rPr>
        <w:t>原得領</w:t>
      </w:r>
      <w:proofErr w:type="gramEnd"/>
      <w:r w:rsidRPr="007319CD">
        <w:rPr>
          <w:rFonts w:hAnsi="標楷體"/>
        </w:rPr>
        <w:t>月退</w:t>
      </w:r>
      <w:proofErr w:type="gramStart"/>
      <w:r w:rsidRPr="007319CD">
        <w:rPr>
          <w:rFonts w:hAnsi="標楷體"/>
        </w:rPr>
        <w:t>所得均為</w:t>
      </w:r>
      <w:proofErr w:type="gramEnd"/>
      <w:r w:rsidRPr="007319CD">
        <w:rPr>
          <w:rFonts w:hAnsi="標楷體"/>
        </w:rPr>
        <w:t>48,202元。惟至118年1月1日較改革前扣減6,886元，月退休金額調降為41,316元。</w:t>
      </w:r>
    </w:p>
    <w:p w:rsidR="001828CA" w:rsidRPr="007319CD" w:rsidRDefault="001828CA" w:rsidP="007A56FF">
      <w:pPr>
        <w:pStyle w:val="7"/>
        <w:rPr>
          <w:rFonts w:hAnsi="標楷體"/>
        </w:rPr>
      </w:pPr>
      <w:r w:rsidRPr="007319CD">
        <w:rPr>
          <w:rFonts w:hAnsi="標楷體"/>
        </w:rPr>
        <w:lastRenderedPageBreak/>
        <w:t>薦任9職等年功7級710</w:t>
      </w:r>
      <w:proofErr w:type="gramStart"/>
      <w:r w:rsidRPr="007319CD">
        <w:rPr>
          <w:rFonts w:hAnsi="標楷體"/>
        </w:rPr>
        <w:t>俸</w:t>
      </w:r>
      <w:proofErr w:type="gramEnd"/>
      <w:r w:rsidRPr="007319CD">
        <w:rPr>
          <w:rFonts w:hAnsi="標楷體"/>
        </w:rPr>
        <w:t>點年資35年之退休人員於改革前</w:t>
      </w:r>
      <w:proofErr w:type="gramStart"/>
      <w:r w:rsidRPr="007319CD">
        <w:rPr>
          <w:rFonts w:hAnsi="標楷體"/>
        </w:rPr>
        <w:t>原得領</w:t>
      </w:r>
      <w:proofErr w:type="gramEnd"/>
      <w:r w:rsidRPr="007319CD">
        <w:rPr>
          <w:rFonts w:hAnsi="標楷體"/>
        </w:rPr>
        <w:t>月退</w:t>
      </w:r>
      <w:proofErr w:type="gramStart"/>
      <w:r w:rsidRPr="007319CD">
        <w:rPr>
          <w:rFonts w:hAnsi="標楷體"/>
        </w:rPr>
        <w:t>所得均為</w:t>
      </w:r>
      <w:proofErr w:type="gramEnd"/>
      <w:r w:rsidRPr="007319CD">
        <w:rPr>
          <w:rFonts w:hAnsi="標楷體"/>
        </w:rPr>
        <w:t>65,912元，惟至118年1月1日較改革前扣減9,416元，月退休金額調降為56,496元。</w:t>
      </w:r>
    </w:p>
    <w:p w:rsidR="00707A26" w:rsidRPr="007319CD" w:rsidRDefault="001828CA" w:rsidP="007A56FF">
      <w:pPr>
        <w:pStyle w:val="7"/>
        <w:rPr>
          <w:rFonts w:hAnsi="標楷體"/>
        </w:rPr>
      </w:pPr>
      <w:r w:rsidRPr="007319CD">
        <w:rPr>
          <w:rFonts w:hAnsi="標楷體"/>
        </w:rPr>
        <w:t>簡任12職等年功4級800</w:t>
      </w:r>
      <w:proofErr w:type="gramStart"/>
      <w:r w:rsidRPr="007319CD">
        <w:rPr>
          <w:rFonts w:hAnsi="標楷體"/>
        </w:rPr>
        <w:t>俸</w:t>
      </w:r>
      <w:proofErr w:type="gramEnd"/>
      <w:r w:rsidRPr="007319CD">
        <w:rPr>
          <w:rFonts w:hAnsi="標楷體"/>
        </w:rPr>
        <w:t>點年資35年之退休人員於改革前</w:t>
      </w:r>
      <w:proofErr w:type="gramStart"/>
      <w:r w:rsidRPr="007319CD">
        <w:rPr>
          <w:rFonts w:hAnsi="標楷體"/>
        </w:rPr>
        <w:t>原得領</w:t>
      </w:r>
      <w:proofErr w:type="gramEnd"/>
      <w:r w:rsidRPr="007319CD">
        <w:rPr>
          <w:rFonts w:hAnsi="標楷體"/>
        </w:rPr>
        <w:t>月退</w:t>
      </w:r>
      <w:proofErr w:type="gramStart"/>
      <w:r w:rsidRPr="007319CD">
        <w:rPr>
          <w:rFonts w:hAnsi="標楷體"/>
        </w:rPr>
        <w:t>所得均為</w:t>
      </w:r>
      <w:proofErr w:type="gramEnd"/>
      <w:r w:rsidRPr="007319CD">
        <w:rPr>
          <w:rFonts w:hAnsi="標楷體"/>
        </w:rPr>
        <w:t>74,305元，惟至118年1月1日較改革前扣減10,615元，月退休金額調降為63,690元</w:t>
      </w:r>
      <w:r w:rsidR="00E92679" w:rsidRPr="007319CD">
        <w:rPr>
          <w:rFonts w:hAnsi="標楷體"/>
        </w:rPr>
        <w:t>。</w:t>
      </w:r>
    </w:p>
    <w:p w:rsidR="00707A26" w:rsidRPr="007319CD" w:rsidRDefault="00707A26" w:rsidP="00AD3CDA">
      <w:pPr>
        <w:pStyle w:val="4"/>
        <w:rPr>
          <w:rFonts w:hAnsi="標楷體"/>
          <w:b/>
        </w:rPr>
      </w:pPr>
      <w:r w:rsidRPr="007319CD">
        <w:rPr>
          <w:rFonts w:hAnsi="標楷體"/>
          <w:b/>
        </w:rPr>
        <w:t>教育人員部分</w:t>
      </w:r>
    </w:p>
    <w:p w:rsidR="00707A26" w:rsidRPr="007319CD" w:rsidRDefault="00696948" w:rsidP="00AD3CDA">
      <w:pPr>
        <w:pStyle w:val="42"/>
        <w:ind w:left="1701" w:firstLine="680"/>
        <w:rPr>
          <w:rFonts w:hAnsi="標楷體"/>
        </w:rPr>
      </w:pPr>
      <w:r w:rsidRPr="007319CD">
        <w:rPr>
          <w:rFonts w:hAnsi="標楷體"/>
        </w:rPr>
        <w:t>退休</w:t>
      </w:r>
      <w:proofErr w:type="gramStart"/>
      <w:r w:rsidRPr="007319CD">
        <w:rPr>
          <w:rFonts w:hAnsi="標楷體"/>
        </w:rPr>
        <w:t>年資具純舊制</w:t>
      </w:r>
      <w:proofErr w:type="gramEnd"/>
      <w:r w:rsidRPr="007319CD">
        <w:rPr>
          <w:rFonts w:hAnsi="標楷體"/>
        </w:rPr>
        <w:t>年資30年、兼具新舊制年資35年及僅具新制年資35年人員之改革前後月退休所得變化情形</w:t>
      </w:r>
      <w:r w:rsidR="00707A26" w:rsidRPr="007319CD">
        <w:rPr>
          <w:rFonts w:hAnsi="標楷體"/>
        </w:rPr>
        <w:t>分述如下：</w:t>
      </w:r>
    </w:p>
    <w:p w:rsidR="00707A26" w:rsidRPr="007319CD" w:rsidRDefault="00707A26" w:rsidP="00AD3CDA">
      <w:pPr>
        <w:pStyle w:val="5"/>
        <w:rPr>
          <w:rFonts w:hAnsi="標楷體"/>
        </w:rPr>
      </w:pPr>
      <w:r w:rsidRPr="007319CD">
        <w:rPr>
          <w:rFonts w:hAnsi="標楷體"/>
        </w:rPr>
        <w:t>純舊制年資人員</w:t>
      </w:r>
      <w:r w:rsidR="00E92679" w:rsidRPr="007319CD">
        <w:rPr>
          <w:rFonts w:hAnsi="標楷體"/>
        </w:rPr>
        <w:t>（詳如附表七）</w:t>
      </w:r>
    </w:p>
    <w:p w:rsidR="007A56FF" w:rsidRPr="007319CD" w:rsidRDefault="007A56FF" w:rsidP="007A56FF">
      <w:pPr>
        <w:pStyle w:val="6"/>
        <w:rPr>
          <w:rFonts w:hAnsi="標楷體"/>
        </w:rPr>
      </w:pPr>
      <w:r w:rsidRPr="007319CD">
        <w:rPr>
          <w:rFonts w:hAnsi="標楷體"/>
        </w:rPr>
        <w:t>625薪點年資30年之退休主管及非主管人員之中小學教師原領月退</w:t>
      </w:r>
      <w:proofErr w:type="gramStart"/>
      <w:r w:rsidRPr="007319CD">
        <w:rPr>
          <w:rFonts w:hAnsi="標楷體"/>
        </w:rPr>
        <w:t>所得均為</w:t>
      </w:r>
      <w:proofErr w:type="gramEnd"/>
      <w:r w:rsidRPr="007319CD">
        <w:rPr>
          <w:rFonts w:hAnsi="標楷體"/>
        </w:rPr>
        <w:t>64,524元，於107年7月1日先行扣減10,611元，月退休金額調降為53,913元。</w:t>
      </w:r>
      <w:proofErr w:type="gramStart"/>
      <w:r w:rsidRPr="007319CD">
        <w:rPr>
          <w:rFonts w:hAnsi="標楷體"/>
        </w:rPr>
        <w:t>嗣</w:t>
      </w:r>
      <w:proofErr w:type="gramEnd"/>
      <w:r w:rsidRPr="007319CD">
        <w:rPr>
          <w:rFonts w:hAnsi="標楷體"/>
        </w:rPr>
        <w:t>再以每年調降月退所得替代率1.5%方式，至118年1月1日較改革前扣減15,090元，月退休金額調降為49,434元。</w:t>
      </w:r>
    </w:p>
    <w:p w:rsidR="00707A26" w:rsidRPr="007319CD" w:rsidRDefault="007A56FF" w:rsidP="007A56FF">
      <w:pPr>
        <w:pStyle w:val="6"/>
        <w:rPr>
          <w:rFonts w:hAnsi="標楷體"/>
        </w:rPr>
      </w:pPr>
      <w:r w:rsidRPr="007319CD">
        <w:rPr>
          <w:rFonts w:hAnsi="標楷體"/>
        </w:rPr>
        <w:t>770薪點年資30年之退休主管及非主管人員之教授原領月退</w:t>
      </w:r>
      <w:proofErr w:type="gramStart"/>
      <w:r w:rsidRPr="007319CD">
        <w:rPr>
          <w:rFonts w:hAnsi="標楷體"/>
        </w:rPr>
        <w:t>所得均為</w:t>
      </w:r>
      <w:proofErr w:type="gramEnd"/>
      <w:r w:rsidRPr="007319CD">
        <w:rPr>
          <w:rFonts w:hAnsi="標楷體"/>
        </w:rPr>
        <w:t>72,620元，於107年7月1日先行扣減11,961元，月退休金額調降為60,659元。</w:t>
      </w:r>
      <w:proofErr w:type="gramStart"/>
      <w:r w:rsidRPr="007319CD">
        <w:rPr>
          <w:rFonts w:hAnsi="標楷體"/>
        </w:rPr>
        <w:t>嗣</w:t>
      </w:r>
      <w:proofErr w:type="gramEnd"/>
      <w:r w:rsidRPr="007319CD">
        <w:rPr>
          <w:rFonts w:hAnsi="標楷體"/>
        </w:rPr>
        <w:t>再以每年調降月退所得替代率1.5%方式，至118年1月1日較改革前扣減16,891元，月退休金額調降為55,729元</w:t>
      </w:r>
      <w:r w:rsidR="00707A26" w:rsidRPr="007319CD">
        <w:rPr>
          <w:rFonts w:hAnsi="標楷體"/>
        </w:rPr>
        <w:t>。</w:t>
      </w:r>
    </w:p>
    <w:p w:rsidR="00707A26" w:rsidRPr="007319CD" w:rsidRDefault="00707A26" w:rsidP="00AD3CDA">
      <w:pPr>
        <w:pStyle w:val="5"/>
        <w:rPr>
          <w:rFonts w:hAnsi="標楷體"/>
        </w:rPr>
      </w:pPr>
      <w:r w:rsidRPr="007319CD">
        <w:rPr>
          <w:rFonts w:hAnsi="標楷體"/>
        </w:rPr>
        <w:t>兼具新舊制年資人員</w:t>
      </w:r>
      <w:r w:rsidR="00E92679" w:rsidRPr="007319CD">
        <w:rPr>
          <w:rFonts w:hAnsi="標楷體"/>
        </w:rPr>
        <w:t>（詳如附表八）</w:t>
      </w:r>
    </w:p>
    <w:p w:rsidR="007A56FF" w:rsidRPr="007319CD" w:rsidRDefault="007A56FF" w:rsidP="007A56FF">
      <w:pPr>
        <w:pStyle w:val="6"/>
        <w:rPr>
          <w:rFonts w:hAnsi="標楷體"/>
        </w:rPr>
      </w:pPr>
      <w:r w:rsidRPr="007319CD">
        <w:rPr>
          <w:rFonts w:hAnsi="標楷體"/>
        </w:rPr>
        <w:t>625薪點年資35年之退休曾任主管中小學教師原領月退所得為78,337元，於107年7月1日先行扣減7,717元，月退休金額調降為</w:t>
      </w:r>
      <w:r w:rsidRPr="007319CD">
        <w:rPr>
          <w:rFonts w:hAnsi="標楷體"/>
        </w:rPr>
        <w:lastRenderedPageBreak/>
        <w:t>70,620元。</w:t>
      </w:r>
      <w:proofErr w:type="gramStart"/>
      <w:r w:rsidRPr="007319CD">
        <w:rPr>
          <w:rFonts w:hAnsi="標楷體"/>
        </w:rPr>
        <w:t>嗣</w:t>
      </w:r>
      <w:proofErr w:type="gramEnd"/>
      <w:r w:rsidRPr="007319CD">
        <w:rPr>
          <w:rFonts w:hAnsi="標楷體"/>
        </w:rPr>
        <w:t>再以每年調降月退所得替代率1.5%方式，至118年1月1日較改革前扣減21,841元，月退休金額調降為56,496元。</w:t>
      </w:r>
    </w:p>
    <w:p w:rsidR="007A56FF" w:rsidRPr="007319CD" w:rsidRDefault="007A56FF" w:rsidP="007A56FF">
      <w:pPr>
        <w:pStyle w:val="6"/>
        <w:rPr>
          <w:rFonts w:hAnsi="標楷體"/>
        </w:rPr>
      </w:pPr>
      <w:r w:rsidRPr="007319CD">
        <w:rPr>
          <w:rFonts w:hAnsi="標楷體"/>
        </w:rPr>
        <w:t>625薪點年資35年之已退休非主管中小學教師原領月退</w:t>
      </w:r>
      <w:proofErr w:type="gramStart"/>
      <w:r w:rsidRPr="007319CD">
        <w:rPr>
          <w:rFonts w:hAnsi="標楷體"/>
        </w:rPr>
        <w:t>所得均為</w:t>
      </w:r>
      <w:proofErr w:type="gramEnd"/>
      <w:r w:rsidRPr="007319CD">
        <w:rPr>
          <w:rFonts w:hAnsi="標楷體"/>
        </w:rPr>
        <w:t>74,287元，於107年7月1日先行扣減3,667元，月退休金額調降為70,620元。</w:t>
      </w:r>
      <w:proofErr w:type="gramStart"/>
      <w:r w:rsidRPr="007319CD">
        <w:rPr>
          <w:rFonts w:hAnsi="標楷體"/>
        </w:rPr>
        <w:t>嗣</w:t>
      </w:r>
      <w:proofErr w:type="gramEnd"/>
      <w:r w:rsidRPr="007319CD">
        <w:rPr>
          <w:rFonts w:hAnsi="標楷體"/>
        </w:rPr>
        <w:t>再以每年調降月退所得替代率1.5%方式，至118年1月1日較改革前扣減17,791元，月退休金額調降為56,496元。</w:t>
      </w:r>
    </w:p>
    <w:p w:rsidR="00707A26" w:rsidRPr="007319CD" w:rsidRDefault="007A56FF" w:rsidP="007A56FF">
      <w:pPr>
        <w:pStyle w:val="6"/>
        <w:rPr>
          <w:rFonts w:hAnsi="標楷體"/>
        </w:rPr>
      </w:pPr>
      <w:r w:rsidRPr="007319CD">
        <w:rPr>
          <w:rFonts w:hAnsi="標楷體"/>
        </w:rPr>
        <w:t>770薪點年資35年之退休主管及非主管教授原領月退</w:t>
      </w:r>
      <w:proofErr w:type="gramStart"/>
      <w:r w:rsidRPr="007319CD">
        <w:rPr>
          <w:rFonts w:hAnsi="標楷體"/>
        </w:rPr>
        <w:t>所得均為</w:t>
      </w:r>
      <w:proofErr w:type="gramEnd"/>
      <w:r w:rsidRPr="007319CD">
        <w:rPr>
          <w:rFonts w:hAnsi="標楷體"/>
        </w:rPr>
        <w:t>100,843元，於107年7月1日先行扣減21,230元，月退休金額調降為79,613元。</w:t>
      </w:r>
      <w:proofErr w:type="gramStart"/>
      <w:r w:rsidRPr="007319CD">
        <w:rPr>
          <w:rFonts w:hAnsi="標楷體"/>
        </w:rPr>
        <w:t>嗣</w:t>
      </w:r>
      <w:proofErr w:type="gramEnd"/>
      <w:r w:rsidRPr="007319CD">
        <w:rPr>
          <w:rFonts w:hAnsi="標楷體"/>
        </w:rPr>
        <w:t>再以每年調降月退所得替代率1.5%方式，至118年1月1日較改革前扣減37,153元，月退休金額調降為63,690元</w:t>
      </w:r>
      <w:r w:rsidR="00596F56" w:rsidRPr="007319CD">
        <w:rPr>
          <w:rFonts w:hAnsi="標楷體"/>
        </w:rPr>
        <w:t>。</w:t>
      </w:r>
    </w:p>
    <w:p w:rsidR="00707A26" w:rsidRPr="007319CD" w:rsidRDefault="00707A26" w:rsidP="00EA3CCF">
      <w:pPr>
        <w:pStyle w:val="5"/>
        <w:rPr>
          <w:rFonts w:hAnsi="標楷體"/>
        </w:rPr>
      </w:pPr>
      <w:r w:rsidRPr="007319CD">
        <w:rPr>
          <w:rFonts w:hAnsi="標楷體"/>
        </w:rPr>
        <w:t>純新制年資人員</w:t>
      </w:r>
      <w:r w:rsidR="00E92679" w:rsidRPr="007319CD">
        <w:rPr>
          <w:rFonts w:hAnsi="標楷體"/>
        </w:rPr>
        <w:t>（詳如附表九）</w:t>
      </w:r>
    </w:p>
    <w:p w:rsidR="0052494F" w:rsidRPr="007319CD" w:rsidRDefault="0052494F" w:rsidP="0052494F">
      <w:pPr>
        <w:pStyle w:val="6"/>
        <w:rPr>
          <w:rFonts w:hAnsi="標楷體"/>
        </w:rPr>
      </w:pPr>
      <w:r w:rsidRPr="007319CD">
        <w:rPr>
          <w:rFonts w:hAnsi="標楷體"/>
        </w:rPr>
        <w:t>625薪點年資35年之退休中小學教師於改革前</w:t>
      </w:r>
      <w:proofErr w:type="gramStart"/>
      <w:r w:rsidRPr="007319CD">
        <w:rPr>
          <w:rFonts w:hAnsi="標楷體"/>
        </w:rPr>
        <w:t>原得領</w:t>
      </w:r>
      <w:proofErr w:type="gramEnd"/>
      <w:r w:rsidRPr="007319CD">
        <w:rPr>
          <w:rFonts w:hAnsi="標楷體"/>
        </w:rPr>
        <w:t>月退</w:t>
      </w:r>
      <w:proofErr w:type="gramStart"/>
      <w:r w:rsidRPr="007319CD">
        <w:rPr>
          <w:rFonts w:hAnsi="標楷體"/>
        </w:rPr>
        <w:t>所得均為</w:t>
      </w:r>
      <w:proofErr w:type="gramEnd"/>
      <w:r w:rsidRPr="007319CD">
        <w:rPr>
          <w:rFonts w:hAnsi="標楷體"/>
        </w:rPr>
        <w:t>65,912元，惟至118年1月1日較改革前扣減9,416元，月退休金額調降為56,496元。</w:t>
      </w:r>
    </w:p>
    <w:p w:rsidR="00707A26" w:rsidRPr="007319CD" w:rsidRDefault="0052494F" w:rsidP="0052494F">
      <w:pPr>
        <w:pStyle w:val="6"/>
        <w:rPr>
          <w:rFonts w:hAnsi="標楷體"/>
        </w:rPr>
      </w:pPr>
      <w:r w:rsidRPr="007319CD">
        <w:rPr>
          <w:rFonts w:hAnsi="標楷體"/>
        </w:rPr>
        <w:t>770薪點年資35年之退休教授於改革前</w:t>
      </w:r>
      <w:proofErr w:type="gramStart"/>
      <w:r w:rsidRPr="007319CD">
        <w:rPr>
          <w:rFonts w:hAnsi="標楷體"/>
        </w:rPr>
        <w:t>原得領</w:t>
      </w:r>
      <w:proofErr w:type="gramEnd"/>
      <w:r w:rsidRPr="007319CD">
        <w:rPr>
          <w:rFonts w:hAnsi="標楷體"/>
        </w:rPr>
        <w:t>月退</w:t>
      </w:r>
      <w:proofErr w:type="gramStart"/>
      <w:r w:rsidRPr="007319CD">
        <w:rPr>
          <w:rFonts w:hAnsi="標楷體"/>
        </w:rPr>
        <w:t>所得均為</w:t>
      </w:r>
      <w:proofErr w:type="gramEnd"/>
      <w:r w:rsidRPr="007319CD">
        <w:rPr>
          <w:rFonts w:hAnsi="標楷體"/>
        </w:rPr>
        <w:t>74,305元，惟至118年1月1日較改革前扣減10,615元，月退休金額調降為63,690元</w:t>
      </w:r>
      <w:r w:rsidR="00707A26" w:rsidRPr="007319CD">
        <w:rPr>
          <w:rFonts w:hAnsi="標楷體"/>
        </w:rPr>
        <w:t>。</w:t>
      </w:r>
    </w:p>
    <w:p w:rsidR="00600497" w:rsidRPr="007319CD" w:rsidRDefault="00707A26" w:rsidP="00600497">
      <w:pPr>
        <w:pStyle w:val="3"/>
        <w:rPr>
          <w:rFonts w:hAnsi="標楷體"/>
          <w:b/>
        </w:rPr>
      </w:pPr>
      <w:r w:rsidRPr="007319CD">
        <w:rPr>
          <w:rFonts w:hAnsi="標楷體"/>
          <w:b/>
        </w:rPr>
        <w:t>新法修正公務員退休給付不符合「中產階級身分收入」，</w:t>
      </w:r>
      <w:r w:rsidR="00600497" w:rsidRPr="007319CD">
        <w:rPr>
          <w:rFonts w:hAnsi="標楷體"/>
          <w:b/>
        </w:rPr>
        <w:t>其係因政府為掩飾經濟發展所得分配不均之現象，所為之施政重點，然退休給付並非僅為社會保</w:t>
      </w:r>
      <w:r w:rsidR="002C6038" w:rsidRPr="007319CD">
        <w:rPr>
          <w:rFonts w:hAnsi="標楷體"/>
          <w:b/>
        </w:rPr>
        <w:t>險，而係國家之應對待給付，必須支付符合「</w:t>
      </w:r>
      <w:r w:rsidR="009244DB" w:rsidRPr="007319CD">
        <w:rPr>
          <w:rFonts w:hAnsi="標楷體"/>
          <w:b/>
        </w:rPr>
        <w:t>退休公務員俸給與</w:t>
      </w:r>
      <w:r w:rsidR="005A408E" w:rsidRPr="007319CD">
        <w:rPr>
          <w:rFonts w:hAnsi="標楷體"/>
          <w:b/>
        </w:rPr>
        <w:t>職等身分</w:t>
      </w:r>
      <w:r w:rsidR="00600497" w:rsidRPr="007319CD">
        <w:rPr>
          <w:rFonts w:hAnsi="標楷體"/>
          <w:b/>
        </w:rPr>
        <w:t>」之價金，其最低標準應合乎中產階級生活標準。</w:t>
      </w:r>
    </w:p>
    <w:p w:rsidR="00707A26" w:rsidRPr="007319CD" w:rsidRDefault="00707A26" w:rsidP="00600497">
      <w:pPr>
        <w:pStyle w:val="4"/>
        <w:rPr>
          <w:rFonts w:hAnsi="標楷體"/>
        </w:rPr>
      </w:pPr>
      <w:r w:rsidRPr="007319CD">
        <w:rPr>
          <w:rFonts w:hAnsi="標楷體"/>
        </w:rPr>
        <w:lastRenderedPageBreak/>
        <w:t>據</w:t>
      </w:r>
      <w:proofErr w:type="gramStart"/>
      <w:r w:rsidR="00246C75" w:rsidRPr="007319CD">
        <w:rPr>
          <w:rFonts w:hAnsi="標楷體"/>
        </w:rPr>
        <w:t>銓敘部所稱</w:t>
      </w:r>
      <w:proofErr w:type="gramEnd"/>
      <w:r w:rsidR="00246C75" w:rsidRPr="007319CD">
        <w:rPr>
          <w:rFonts w:hAnsi="標楷體"/>
        </w:rPr>
        <w:t>：本次年金修法之退休所得替代率上限，係參酌國家年金</w:t>
      </w:r>
      <w:r w:rsidR="00246C75" w:rsidRPr="007319CD">
        <w:rPr>
          <w:rFonts w:hAnsi="標楷體" w:hint="eastAsia"/>
        </w:rPr>
        <w:t>改革</w:t>
      </w:r>
      <w:r w:rsidRPr="007319CD">
        <w:rPr>
          <w:rFonts w:hAnsi="標楷體"/>
        </w:rPr>
        <w:t>委員會106年1月19</w:t>
      </w:r>
      <w:r w:rsidR="00246C75" w:rsidRPr="007319CD">
        <w:rPr>
          <w:rFonts w:hAnsi="標楷體"/>
        </w:rPr>
        <w:t>日公布之國家年金</w:t>
      </w:r>
      <w:r w:rsidR="00246C75" w:rsidRPr="007319CD">
        <w:rPr>
          <w:rFonts w:hAnsi="標楷體" w:hint="eastAsia"/>
        </w:rPr>
        <w:t>改革</w:t>
      </w:r>
      <w:r w:rsidRPr="007319CD">
        <w:rPr>
          <w:rFonts w:hAnsi="標楷體"/>
        </w:rPr>
        <w:t>方案（草案）之退休所得替代率調整方案所設計，目的在合理調整公務人員退休所得，以適時減緩公務人員提早自願退休所衍生菁英人力流失問題，同時藉此拉近不同職業別年金所得替代率的差距，以達成國家年金</w:t>
      </w:r>
      <w:r w:rsidR="00246C75" w:rsidRPr="007319CD">
        <w:rPr>
          <w:rFonts w:hAnsi="標楷體" w:hint="eastAsia"/>
        </w:rPr>
        <w:t>改革</w:t>
      </w:r>
      <w:r w:rsidRPr="007319CD">
        <w:rPr>
          <w:rFonts w:hAnsi="標楷體"/>
        </w:rPr>
        <w:t>目標之「兼顧職業衡平」云云。固</w:t>
      </w:r>
      <w:proofErr w:type="gramStart"/>
      <w:r w:rsidRPr="007319CD">
        <w:rPr>
          <w:rFonts w:hAnsi="標楷體"/>
        </w:rPr>
        <w:t>非無見</w:t>
      </w:r>
      <w:proofErr w:type="gramEnd"/>
      <w:r w:rsidRPr="007319CD">
        <w:rPr>
          <w:rFonts w:hAnsi="標楷體"/>
        </w:rPr>
        <w:t>，然如前所述，</w:t>
      </w:r>
      <w:r w:rsidR="008A5B65" w:rsidRPr="007319CD">
        <w:rPr>
          <w:rFonts w:hAnsi="標楷體"/>
        </w:rPr>
        <w:t>退休給付</w:t>
      </w:r>
      <w:r w:rsidR="00600497" w:rsidRPr="007319CD">
        <w:rPr>
          <w:rFonts w:hAnsi="標楷體"/>
        </w:rPr>
        <w:t>非僅為社會保險，而係國家之應對待給付，其所稱「兼顧職業衡平」</w:t>
      </w:r>
      <w:r w:rsidR="008A5B65" w:rsidRPr="007319CD">
        <w:rPr>
          <w:rFonts w:hAnsi="標楷體"/>
        </w:rPr>
        <w:t>係國家自居於第三人概念，如何將拋棄雇主概念而不</w:t>
      </w:r>
      <w:proofErr w:type="gramStart"/>
      <w:r w:rsidR="008A5B65" w:rsidRPr="007319CD">
        <w:rPr>
          <w:rFonts w:hAnsi="標楷體"/>
        </w:rPr>
        <w:t>遵</w:t>
      </w:r>
      <w:proofErr w:type="gramEnd"/>
      <w:r w:rsidR="008A5B65" w:rsidRPr="007319CD">
        <w:rPr>
          <w:rFonts w:hAnsi="標楷體"/>
        </w:rPr>
        <w:t>契約原則與誠信原則，實匪夷所思。</w:t>
      </w:r>
    </w:p>
    <w:p w:rsidR="00707A26" w:rsidRPr="007319CD" w:rsidRDefault="00707A26" w:rsidP="009D3142">
      <w:pPr>
        <w:pStyle w:val="4"/>
        <w:rPr>
          <w:rFonts w:hAnsi="標楷體"/>
        </w:rPr>
      </w:pPr>
      <w:r w:rsidRPr="007319CD">
        <w:rPr>
          <w:rFonts w:hAnsi="標楷體"/>
        </w:rPr>
        <w:t>臺灣國民收入與國民總財富呈現上升趨勢，</w:t>
      </w:r>
      <w:r w:rsidR="00246C75" w:rsidRPr="007319CD">
        <w:rPr>
          <w:rFonts w:hAnsi="標楷體" w:hint="eastAsia"/>
        </w:rPr>
        <w:t>五</w:t>
      </w:r>
      <w:r w:rsidRPr="007319CD">
        <w:rPr>
          <w:rFonts w:hAnsi="標楷體"/>
        </w:rPr>
        <w:t>等分位差距倍數與吉尼係數均上升，房價所得比更高達9.46倍，高所得占比提升近</w:t>
      </w:r>
      <w:r w:rsidR="00246C75" w:rsidRPr="007319CD">
        <w:rPr>
          <w:rFonts w:hAnsi="標楷體" w:hint="eastAsia"/>
        </w:rPr>
        <w:t>1</w:t>
      </w:r>
      <w:r w:rsidRPr="007319CD">
        <w:rPr>
          <w:rFonts w:hAnsi="標楷體"/>
        </w:rPr>
        <w:t>倍，薪資成長則遠落後物價膨脹速度，造成貧</w:t>
      </w:r>
      <w:proofErr w:type="gramStart"/>
      <w:r w:rsidRPr="007319CD">
        <w:rPr>
          <w:rFonts w:hAnsi="標楷體"/>
        </w:rPr>
        <w:t>者越貧</w:t>
      </w:r>
      <w:proofErr w:type="gramEnd"/>
      <w:r w:rsidRPr="007319CD">
        <w:rPr>
          <w:rFonts w:hAnsi="標楷體"/>
        </w:rPr>
        <w:t>，富者越富「M型社會」，造成相對剝削感，故公務員退休給付作為「中產階級身分收入」成為政府施政重點對象</w:t>
      </w:r>
      <w:r w:rsidR="002C6038" w:rsidRPr="007319CD">
        <w:rPr>
          <w:rFonts w:hAnsi="標楷體"/>
        </w:rPr>
        <w:t>，試圖掩飾經濟發展所得分配不均之現象</w:t>
      </w:r>
      <w:r w:rsidRPr="007319CD">
        <w:rPr>
          <w:rFonts w:hAnsi="標楷體"/>
        </w:rPr>
        <w:t>。</w:t>
      </w:r>
    </w:p>
    <w:p w:rsidR="00707A26" w:rsidRPr="007319CD" w:rsidRDefault="00707A26" w:rsidP="009D3142">
      <w:pPr>
        <w:pStyle w:val="42"/>
        <w:ind w:left="1701" w:firstLine="680"/>
        <w:rPr>
          <w:rFonts w:hAnsi="標楷體"/>
        </w:rPr>
      </w:pPr>
      <w:r w:rsidRPr="007319CD">
        <w:rPr>
          <w:rFonts w:hAnsi="標楷體"/>
        </w:rPr>
        <w:t>我國國民所得自1991年之4.69兆元，增至2016年之14.99</w:t>
      </w:r>
      <w:r w:rsidR="00994690" w:rsidRPr="007319CD">
        <w:rPr>
          <w:rFonts w:hAnsi="標楷體"/>
        </w:rPr>
        <w:t>兆元</w:t>
      </w:r>
      <w:r w:rsidRPr="007319CD">
        <w:rPr>
          <w:rFonts w:hAnsi="標楷體"/>
        </w:rPr>
        <w:t>。而國民總財富，由近5年資料觀察，國富淨額由2011年底之148.98兆元，增加至2015年底之198.22兆元，主要係土地因公告現值連年</w:t>
      </w:r>
      <w:proofErr w:type="gramStart"/>
      <w:r w:rsidRPr="007319CD">
        <w:rPr>
          <w:rFonts w:hAnsi="標楷體"/>
        </w:rPr>
        <w:t>調升所致</w:t>
      </w:r>
      <w:proofErr w:type="gramEnd"/>
      <w:r w:rsidRPr="007319CD">
        <w:rPr>
          <w:rFonts w:hAnsi="標楷體"/>
        </w:rPr>
        <w:t>，金融性資產淨值亦明顯增加</w:t>
      </w:r>
      <w:r w:rsidR="00E22AA9" w:rsidRPr="007319CD">
        <w:rPr>
          <w:rStyle w:val="aff1"/>
          <w:rFonts w:hAnsi="標楷體"/>
        </w:rPr>
        <w:footnoteReference w:id="53"/>
      </w:r>
      <w:r w:rsidRPr="007319CD">
        <w:rPr>
          <w:rFonts w:hAnsi="標楷體"/>
        </w:rPr>
        <w:t>。若按經濟部門分，國富淨值以家庭部門為主(</w:t>
      </w:r>
      <w:r w:rsidR="004A3BDC" w:rsidRPr="007319CD">
        <w:rPr>
          <w:rFonts w:hAnsi="標楷體" w:hint="eastAsia"/>
        </w:rPr>
        <w:t>2015年</w:t>
      </w:r>
      <w:r w:rsidRPr="007319CD">
        <w:rPr>
          <w:rFonts w:hAnsi="標楷體"/>
        </w:rPr>
        <w:t>占57.22%)，近5年累計增幅達35%</w:t>
      </w:r>
      <w:r w:rsidR="00897AB5" w:rsidRPr="007319CD">
        <w:rPr>
          <w:rFonts w:hAnsi="標楷體"/>
        </w:rPr>
        <w:t>（附表十</w:t>
      </w:r>
      <w:r w:rsidRPr="007319CD">
        <w:rPr>
          <w:rFonts w:hAnsi="標楷體"/>
        </w:rPr>
        <w:t>），長期呈現上升走勢。然據行政院主計總處</w:t>
      </w:r>
      <w:r w:rsidRPr="007319CD">
        <w:rPr>
          <w:rFonts w:hAnsi="標楷體"/>
        </w:rPr>
        <w:lastRenderedPageBreak/>
        <w:t>家庭收支調查報告，從家庭可支配所得按</w:t>
      </w:r>
      <w:r w:rsidR="00246C75" w:rsidRPr="007319CD">
        <w:rPr>
          <w:rFonts w:hAnsi="標楷體" w:hint="eastAsia"/>
        </w:rPr>
        <w:t>五</w:t>
      </w:r>
      <w:r w:rsidRPr="007319CD">
        <w:rPr>
          <w:rFonts w:hAnsi="標楷體"/>
        </w:rPr>
        <w:t>等分位組觀察，第</w:t>
      </w:r>
      <w:r w:rsidR="00026060" w:rsidRPr="007319CD">
        <w:rPr>
          <w:rFonts w:hAnsi="標楷體" w:hint="eastAsia"/>
        </w:rPr>
        <w:t>五</w:t>
      </w:r>
      <w:r w:rsidRPr="007319CD">
        <w:rPr>
          <w:rFonts w:hAnsi="標楷體"/>
        </w:rPr>
        <w:t>分位組(最高所得20%家庭)所得占比由80年38.6%略增為105年40.63%，第</w:t>
      </w:r>
      <w:r w:rsidR="00026060" w:rsidRPr="007319CD">
        <w:rPr>
          <w:rFonts w:hAnsi="標楷體" w:hint="eastAsia"/>
        </w:rPr>
        <w:t>一</w:t>
      </w:r>
      <w:r w:rsidRPr="007319CD">
        <w:rPr>
          <w:rFonts w:hAnsi="標楷體"/>
        </w:rPr>
        <w:t>分位組(所得最低20%家庭)則由7.76%略降為6.63%，五等分位差距倍數由1991年4.97倍擴大至2016年6.08倍，吉尼係數亦由0.308擴增至0.336</w:t>
      </w:r>
      <w:r w:rsidR="00897AB5" w:rsidRPr="007319CD">
        <w:rPr>
          <w:rFonts w:hAnsi="標楷體"/>
        </w:rPr>
        <w:t>（附表十一</w:t>
      </w:r>
      <w:r w:rsidRPr="007319CD">
        <w:rPr>
          <w:rFonts w:hAnsi="標楷體"/>
        </w:rPr>
        <w:t>）。又</w:t>
      </w:r>
      <w:r w:rsidR="00462F97" w:rsidRPr="007319CD">
        <w:rPr>
          <w:rFonts w:hAnsi="標楷體"/>
        </w:rPr>
        <w:t>全國房價所得比</w:t>
      </w:r>
      <w:r w:rsidRPr="007319CD">
        <w:rPr>
          <w:rFonts w:hAnsi="標楷體"/>
        </w:rPr>
        <w:t>從91年第1季4.47</w:t>
      </w:r>
      <w:r w:rsidR="009B1F04" w:rsidRPr="007319CD">
        <w:rPr>
          <w:rFonts w:hAnsi="標楷體" w:hint="eastAsia"/>
        </w:rPr>
        <w:t>倍</w:t>
      </w:r>
      <w:r w:rsidRPr="007319CD">
        <w:rPr>
          <w:rFonts w:hAnsi="標楷體"/>
        </w:rPr>
        <w:t>至106年第2季房價所得比為9.46</w:t>
      </w:r>
      <w:r w:rsidR="00897AB5" w:rsidRPr="007319CD">
        <w:rPr>
          <w:rFonts w:hAnsi="標楷體"/>
        </w:rPr>
        <w:t>倍（附表十二</w:t>
      </w:r>
      <w:r w:rsidRPr="007319CD">
        <w:rPr>
          <w:rFonts w:hAnsi="標楷體"/>
        </w:rPr>
        <w:t>），足見家庭就房屋支出占比提高。而高所得者前1%(支配階級，dominant class)、前5%(富裕階級，well-to-do class)、前10%(上層階級，upper class)占比，</w:t>
      </w:r>
      <w:r w:rsidR="0097791A" w:rsidRPr="007319CD">
        <w:rPr>
          <w:rFonts w:hAnsi="標楷體"/>
        </w:rPr>
        <w:t>從70年5.93%、15.63%、</w:t>
      </w:r>
      <w:r w:rsidR="00AA30DE" w:rsidRPr="007319CD">
        <w:rPr>
          <w:rFonts w:hAnsi="標楷體" w:hint="eastAsia"/>
        </w:rPr>
        <w:t>23.64</w:t>
      </w:r>
      <w:r w:rsidR="0097791A" w:rsidRPr="007319CD">
        <w:rPr>
          <w:rFonts w:hAnsi="標楷體"/>
        </w:rPr>
        <w:t>%上升至102年10.68%、25.25%、</w:t>
      </w:r>
      <w:r w:rsidR="00AA30DE" w:rsidRPr="007319CD">
        <w:rPr>
          <w:rFonts w:hAnsi="標楷體" w:hint="eastAsia"/>
        </w:rPr>
        <w:t>36.39</w:t>
      </w:r>
      <w:r w:rsidR="0097791A" w:rsidRPr="007319CD">
        <w:rPr>
          <w:rFonts w:hAnsi="標楷體"/>
        </w:rPr>
        <w:t>%</w:t>
      </w:r>
      <w:r w:rsidR="00F14CE5" w:rsidRPr="007319CD">
        <w:rPr>
          <w:rFonts w:hAnsi="標楷體"/>
        </w:rPr>
        <w:t>（附表十三</w:t>
      </w:r>
      <w:r w:rsidRPr="007319CD">
        <w:rPr>
          <w:rFonts w:hAnsi="標楷體"/>
        </w:rPr>
        <w:t>）。我國消費者物價指數（CPI）</w:t>
      </w:r>
      <w:r w:rsidR="00347F34" w:rsidRPr="007319CD">
        <w:rPr>
          <w:rFonts w:hAnsi="標楷體"/>
        </w:rPr>
        <w:t>原始值</w:t>
      </w:r>
      <w:r w:rsidRPr="007319CD">
        <w:rPr>
          <w:rFonts w:hAnsi="標楷體"/>
        </w:rPr>
        <w:t>自1991</w:t>
      </w:r>
      <w:r w:rsidR="009560A9" w:rsidRPr="007319CD">
        <w:rPr>
          <w:rFonts w:hAnsi="標楷體" w:hint="eastAsia"/>
        </w:rPr>
        <w:t>年</w:t>
      </w:r>
      <w:r w:rsidRPr="007319CD">
        <w:rPr>
          <w:rFonts w:hAnsi="標楷體"/>
        </w:rPr>
        <w:t>至2016年</w:t>
      </w:r>
      <w:r w:rsidR="00347F34" w:rsidRPr="007319CD">
        <w:rPr>
          <w:rFonts w:hAnsi="標楷體" w:hint="eastAsia"/>
        </w:rPr>
        <w:t>，</w:t>
      </w:r>
      <w:r w:rsidRPr="007319CD">
        <w:rPr>
          <w:rFonts w:hAnsi="標楷體"/>
        </w:rPr>
        <w:t>從72.15至105.10</w:t>
      </w:r>
      <w:r w:rsidR="00347F34" w:rsidRPr="007319CD">
        <w:rPr>
          <w:rFonts w:hAnsi="標楷體" w:hint="eastAsia"/>
        </w:rPr>
        <w:t>，</w:t>
      </w:r>
      <w:r w:rsidR="00F14CE5" w:rsidRPr="007319CD">
        <w:rPr>
          <w:rFonts w:hAnsi="標楷體"/>
        </w:rPr>
        <w:t>呈現上漲趨勢（附表十四</w:t>
      </w:r>
      <w:r w:rsidRPr="007319CD">
        <w:rPr>
          <w:rFonts w:hAnsi="標楷體"/>
        </w:rPr>
        <w:t>）；而基本工資則從80年11</w:t>
      </w:r>
      <w:r w:rsidR="00994690" w:rsidRPr="007319CD">
        <w:rPr>
          <w:rFonts w:hAnsi="標楷體"/>
        </w:rPr>
        <w:t>,</w:t>
      </w:r>
      <w:r w:rsidRPr="007319CD">
        <w:rPr>
          <w:rFonts w:hAnsi="標楷體"/>
        </w:rPr>
        <w:t>040</w:t>
      </w:r>
      <w:r w:rsidR="00994690" w:rsidRPr="007319CD">
        <w:rPr>
          <w:rFonts w:hAnsi="標楷體"/>
        </w:rPr>
        <w:t>元</w:t>
      </w:r>
      <w:r w:rsidRPr="007319CD">
        <w:rPr>
          <w:rFonts w:hAnsi="標楷體"/>
        </w:rPr>
        <w:t>至107年22</w:t>
      </w:r>
      <w:r w:rsidR="00994690" w:rsidRPr="007319CD">
        <w:rPr>
          <w:rFonts w:hAnsi="標楷體"/>
        </w:rPr>
        <w:t>,</w:t>
      </w:r>
      <w:r w:rsidRPr="007319CD">
        <w:rPr>
          <w:rFonts w:hAnsi="標楷體"/>
        </w:rPr>
        <w:t>000</w:t>
      </w:r>
      <w:r w:rsidR="00994690" w:rsidRPr="007319CD">
        <w:rPr>
          <w:rFonts w:hAnsi="標楷體"/>
        </w:rPr>
        <w:t>元</w:t>
      </w:r>
      <w:r w:rsidRPr="007319CD">
        <w:rPr>
          <w:rFonts w:hAnsi="標楷體"/>
        </w:rPr>
        <w:t>調漲幅度5.3</w:t>
      </w:r>
      <w:r w:rsidR="00504389" w:rsidRPr="007319CD">
        <w:rPr>
          <w:rFonts w:hAnsi="標楷體"/>
        </w:rPr>
        <w:t>%</w:t>
      </w:r>
      <w:r w:rsidR="00994690" w:rsidRPr="007319CD">
        <w:rPr>
          <w:rFonts w:hAnsi="標楷體"/>
        </w:rPr>
        <w:t>（附表</w:t>
      </w:r>
      <w:r w:rsidR="00F14CE5" w:rsidRPr="007319CD">
        <w:rPr>
          <w:rFonts w:hAnsi="標楷體"/>
        </w:rPr>
        <w:t>十五</w:t>
      </w:r>
      <w:r w:rsidRPr="007319CD">
        <w:rPr>
          <w:rFonts w:hAnsi="標楷體"/>
        </w:rPr>
        <w:t>），由上開數據分析，在臺灣雖經濟成長率趨緩，然國民收入與國民總財富呈現上升趨勢，薪資成長則落後物價膨脹速度，106年第2季全國房價所得比卻高達9.46倍，吉尼係數亦從0.308倍擴增至0.336倍，高所得者前1%(支配階級，dominant class)占比從70年5.93</w:t>
      </w:r>
      <w:r w:rsidR="00CA4FFA" w:rsidRPr="007319CD">
        <w:rPr>
          <w:rFonts w:hAnsi="標楷體"/>
        </w:rPr>
        <w:t>%</w:t>
      </w:r>
      <w:r w:rsidRPr="007319CD">
        <w:rPr>
          <w:rFonts w:hAnsi="標楷體"/>
        </w:rPr>
        <w:t>上升至102年10.68</w:t>
      </w:r>
      <w:r w:rsidR="00CA4FFA" w:rsidRPr="007319CD">
        <w:rPr>
          <w:rFonts w:hAnsi="標楷體"/>
        </w:rPr>
        <w:t>%</w:t>
      </w:r>
      <w:r w:rsidRPr="007319CD">
        <w:rPr>
          <w:rFonts w:hAnsi="標楷體"/>
        </w:rPr>
        <w:t>。足見「臺灣正邁向『M型社會』！」社會分流下，貧</w:t>
      </w:r>
      <w:proofErr w:type="gramStart"/>
      <w:r w:rsidRPr="007319CD">
        <w:rPr>
          <w:rFonts w:hAnsi="標楷體"/>
        </w:rPr>
        <w:t>者越貧</w:t>
      </w:r>
      <w:proofErr w:type="gramEnd"/>
      <w:r w:rsidRPr="007319CD">
        <w:rPr>
          <w:rFonts w:hAnsi="標楷體"/>
        </w:rPr>
        <w:t>，富者越富，中產階級卻逐漸向上下移動，而其中大多流向低收入的底層，形成左右兩端高峰、中間低落的「M型社會」，造成對於執政者</w:t>
      </w:r>
      <w:proofErr w:type="gramStart"/>
      <w:r w:rsidRPr="007319CD">
        <w:rPr>
          <w:rFonts w:hAnsi="標楷體"/>
        </w:rPr>
        <w:t>不滿，</w:t>
      </w:r>
      <w:proofErr w:type="gramEnd"/>
      <w:r w:rsidR="008A5B65" w:rsidRPr="007319CD">
        <w:rPr>
          <w:rFonts w:hAnsi="標楷體"/>
        </w:rPr>
        <w:t>然執政者因站在資本家一方，背離憲法民生主義的理念，而將同為</w:t>
      </w:r>
      <w:r w:rsidR="000453BA" w:rsidRPr="007319CD">
        <w:rPr>
          <w:rFonts w:hAnsi="標楷體"/>
        </w:rPr>
        <w:t>受</w:t>
      </w:r>
      <w:proofErr w:type="gramStart"/>
      <w:r w:rsidR="000453BA" w:rsidRPr="007319CD">
        <w:rPr>
          <w:rFonts w:hAnsi="標楷體"/>
        </w:rPr>
        <w:t>僱</w:t>
      </w:r>
      <w:proofErr w:type="gramEnd"/>
      <w:r w:rsidR="008A5B65" w:rsidRPr="007319CD">
        <w:rPr>
          <w:rFonts w:hAnsi="標楷體"/>
        </w:rPr>
        <w:t>者之</w:t>
      </w:r>
      <w:r w:rsidRPr="007319CD">
        <w:rPr>
          <w:rFonts w:hAnsi="標楷體"/>
        </w:rPr>
        <w:t>公務員退休給付作為「中產階級身分收入」</w:t>
      </w:r>
      <w:r w:rsidR="009560A9" w:rsidRPr="007319CD">
        <w:rPr>
          <w:rFonts w:hAnsi="標楷體" w:hint="eastAsia"/>
        </w:rPr>
        <w:t>，</w:t>
      </w:r>
      <w:r w:rsidRPr="007319CD">
        <w:rPr>
          <w:rFonts w:hAnsi="標楷體"/>
        </w:rPr>
        <w:t>成為政府施政重點</w:t>
      </w:r>
      <w:r w:rsidR="008A5B65" w:rsidRPr="007319CD">
        <w:rPr>
          <w:rFonts w:hAnsi="標楷體"/>
        </w:rPr>
        <w:lastRenderedPageBreak/>
        <w:t>與改革</w:t>
      </w:r>
      <w:r w:rsidR="00133A66" w:rsidRPr="007319CD">
        <w:rPr>
          <w:rFonts w:hAnsi="標楷體"/>
        </w:rPr>
        <w:t>重點</w:t>
      </w:r>
      <w:r w:rsidRPr="007319CD">
        <w:rPr>
          <w:rFonts w:hAnsi="標楷體"/>
        </w:rPr>
        <w:t>，</w:t>
      </w:r>
      <w:r w:rsidR="00133A66" w:rsidRPr="007319CD">
        <w:rPr>
          <w:rFonts w:hAnsi="標楷體"/>
        </w:rPr>
        <w:t>試圖</w:t>
      </w:r>
      <w:r w:rsidRPr="007319CD">
        <w:rPr>
          <w:rFonts w:hAnsi="標楷體"/>
        </w:rPr>
        <w:t>掩飾經濟發展所得分配不均之現象。</w:t>
      </w:r>
    </w:p>
    <w:p w:rsidR="00707A26" w:rsidRPr="007319CD" w:rsidRDefault="00707A26" w:rsidP="009D3142">
      <w:pPr>
        <w:pStyle w:val="4"/>
        <w:rPr>
          <w:rFonts w:hAnsi="標楷體"/>
        </w:rPr>
      </w:pPr>
      <w:r w:rsidRPr="007319CD">
        <w:rPr>
          <w:rFonts w:hAnsi="標楷體"/>
        </w:rPr>
        <w:t>公務員退休給付並非僅為社會保險，而係國家對待給付，應依其「退休公務員俸給與職等</w:t>
      </w:r>
      <w:r w:rsidR="00076433" w:rsidRPr="007319CD">
        <w:rPr>
          <w:rFonts w:hAnsi="標楷體"/>
        </w:rPr>
        <w:t>身分</w:t>
      </w:r>
      <w:r w:rsidRPr="007319CD">
        <w:rPr>
          <w:rFonts w:hAnsi="標楷體"/>
        </w:rPr>
        <w:t>」之價金，其最低標準應合乎中產階級生活標準。</w:t>
      </w:r>
    </w:p>
    <w:p w:rsidR="00707A26" w:rsidRPr="007319CD" w:rsidRDefault="00707A26" w:rsidP="009D3142">
      <w:pPr>
        <w:pStyle w:val="42"/>
        <w:ind w:left="1701" w:firstLine="680"/>
        <w:rPr>
          <w:rFonts w:hAnsi="標楷體"/>
        </w:rPr>
      </w:pPr>
      <w:r w:rsidRPr="007319CD">
        <w:rPr>
          <w:rFonts w:hAnsi="標楷體"/>
        </w:rPr>
        <w:t>中產階級（middle class）是在現代國家作為資產階級的階層，通常係指具有一定程度的經濟獨立，例如有安定、較高薪</w:t>
      </w:r>
      <w:proofErr w:type="gramStart"/>
      <w:r w:rsidRPr="007319CD">
        <w:rPr>
          <w:rFonts w:hAnsi="標楷體"/>
        </w:rPr>
        <w:t>酬</w:t>
      </w:r>
      <w:proofErr w:type="gramEnd"/>
      <w:r w:rsidRPr="007319CD">
        <w:rPr>
          <w:rFonts w:hAnsi="標楷體"/>
        </w:rPr>
        <w:t>工作，並支持現代社會的發展和穩定，也可被稱作小康階級，常用於專業人士、學者、知識分子，或大企業、公營機構、政府部門公務員，或中小型企業老闆，中學、小學、幼稚園校長、教師、社工和護士等。馬克思將此階層稱為「小資產階級」，既不同富裕階層享有巨大財富，又不像低收入戶之貧窮，</w:t>
      </w:r>
      <w:proofErr w:type="gramStart"/>
      <w:r w:rsidRPr="007319CD">
        <w:rPr>
          <w:rFonts w:hAnsi="標楷體"/>
        </w:rPr>
        <w:t>社會通念之</w:t>
      </w:r>
      <w:proofErr w:type="gramEnd"/>
      <w:r w:rsidRPr="007319CD">
        <w:rPr>
          <w:rFonts w:hAnsi="標楷體"/>
        </w:rPr>
        <w:t>其他因素則包括教育、專業地位、擁有住屋或文化等。例如擁有大學學位的人，多數可躋身中產階級的行列。而擁有自置物業及私家車，亦是中產階級的象徵，但實際判斷標準應以收入及擁有資產作界定，</w:t>
      </w:r>
      <w:r w:rsidR="0016378C" w:rsidRPr="007319CD">
        <w:rPr>
          <w:rFonts w:hAnsi="標楷體"/>
        </w:rPr>
        <w:t>最低標準為</w:t>
      </w:r>
      <w:r w:rsidRPr="007319CD">
        <w:rPr>
          <w:rFonts w:hAnsi="標楷體"/>
        </w:rPr>
        <w:t>「所得收入者中位數所得」</w:t>
      </w:r>
      <w:r w:rsidRPr="007319CD">
        <w:rPr>
          <w:rFonts w:hAnsi="標楷體"/>
          <w:vertAlign w:val="superscript"/>
        </w:rPr>
        <w:footnoteReference w:id="54"/>
      </w:r>
      <w:r w:rsidRPr="007319CD">
        <w:rPr>
          <w:rFonts w:hAnsi="標楷體"/>
        </w:rPr>
        <w:t>，例如10</w:t>
      </w:r>
      <w:r w:rsidR="004C1646" w:rsidRPr="007319CD">
        <w:rPr>
          <w:rFonts w:hAnsi="標楷體"/>
        </w:rPr>
        <w:t>5</w:t>
      </w:r>
      <w:r w:rsidRPr="007319CD">
        <w:rPr>
          <w:rFonts w:hAnsi="標楷體"/>
        </w:rPr>
        <w:t>年全體所得收入者</w:t>
      </w:r>
      <w:r w:rsidR="00347F34" w:rsidRPr="007319CD">
        <w:rPr>
          <w:rFonts w:hAnsi="標楷體" w:hint="eastAsia"/>
        </w:rPr>
        <w:t>之平均每人可支配所得</w:t>
      </w:r>
      <w:r w:rsidRPr="007319CD">
        <w:rPr>
          <w:rFonts w:hAnsi="標楷體"/>
        </w:rPr>
        <w:t>為</w:t>
      </w:r>
      <w:r w:rsidR="004C1646" w:rsidRPr="007319CD">
        <w:rPr>
          <w:rFonts w:hAnsi="標楷體"/>
        </w:rPr>
        <w:t>525</w:t>
      </w:r>
      <w:r w:rsidRPr="007319CD">
        <w:rPr>
          <w:rFonts w:hAnsi="標楷體"/>
        </w:rPr>
        <w:t>,</w:t>
      </w:r>
      <w:r w:rsidR="004C1646" w:rsidRPr="007319CD">
        <w:rPr>
          <w:rFonts w:hAnsi="標楷體"/>
        </w:rPr>
        <w:t>285元</w:t>
      </w:r>
      <w:r w:rsidRPr="007319CD">
        <w:rPr>
          <w:rFonts w:hAnsi="標楷體"/>
          <w:vertAlign w:val="superscript"/>
        </w:rPr>
        <w:footnoteReference w:id="55"/>
      </w:r>
      <w:r w:rsidRPr="007319CD">
        <w:rPr>
          <w:rFonts w:hAnsi="標楷體"/>
        </w:rPr>
        <w:t>；</w:t>
      </w:r>
      <w:r w:rsidR="004C1646" w:rsidRPr="007319CD">
        <w:rPr>
          <w:rFonts w:hAnsi="標楷體"/>
        </w:rPr>
        <w:t>專業人員之</w:t>
      </w:r>
      <w:r w:rsidR="004C1646" w:rsidRPr="007319CD">
        <w:rPr>
          <w:rFonts w:hAnsi="標楷體"/>
        </w:rPr>
        <w:lastRenderedPageBreak/>
        <w:t>所得</w:t>
      </w:r>
      <w:r w:rsidRPr="007319CD">
        <w:rPr>
          <w:rFonts w:hAnsi="標楷體"/>
        </w:rPr>
        <w:t>中位數</w:t>
      </w:r>
      <w:r w:rsidR="004C1646" w:rsidRPr="007319CD">
        <w:rPr>
          <w:rFonts w:hAnsi="標楷體"/>
        </w:rPr>
        <w:t>為7</w:t>
      </w:r>
      <w:r w:rsidR="00347F34" w:rsidRPr="007319CD">
        <w:rPr>
          <w:rFonts w:hAnsi="標楷體" w:hint="eastAsia"/>
        </w:rPr>
        <w:t>03,503</w:t>
      </w:r>
      <w:r w:rsidR="004C1646" w:rsidRPr="007319CD">
        <w:rPr>
          <w:rFonts w:hAnsi="標楷體"/>
        </w:rPr>
        <w:t>元</w:t>
      </w:r>
      <w:r w:rsidR="00AF2C70" w:rsidRPr="007319CD">
        <w:rPr>
          <w:rFonts w:hAnsi="標楷體"/>
        </w:rPr>
        <w:t>，可資參考</w:t>
      </w:r>
      <w:r w:rsidR="00994690" w:rsidRPr="007319CD">
        <w:rPr>
          <w:rFonts w:hAnsi="標楷體"/>
        </w:rPr>
        <w:t>（附表十</w:t>
      </w:r>
      <w:r w:rsidR="00FA4F62" w:rsidRPr="007319CD">
        <w:rPr>
          <w:rFonts w:hAnsi="標楷體"/>
        </w:rPr>
        <w:t>六</w:t>
      </w:r>
      <w:r w:rsidR="00994690" w:rsidRPr="007319CD">
        <w:rPr>
          <w:rFonts w:hAnsi="標楷體"/>
        </w:rPr>
        <w:t>）</w:t>
      </w:r>
      <w:r w:rsidRPr="007319CD">
        <w:rPr>
          <w:rFonts w:hAnsi="標楷體"/>
        </w:rPr>
        <w:t>。</w:t>
      </w:r>
    </w:p>
    <w:p w:rsidR="00707A26" w:rsidRPr="007319CD" w:rsidRDefault="00707A26" w:rsidP="00AF2C70">
      <w:pPr>
        <w:pStyle w:val="4"/>
        <w:rPr>
          <w:rFonts w:hAnsi="標楷體"/>
        </w:rPr>
      </w:pPr>
      <w:r w:rsidRPr="007319CD">
        <w:rPr>
          <w:rFonts w:hAnsi="標楷體"/>
        </w:rPr>
        <w:t>臺灣公務員在職薪資</w:t>
      </w:r>
      <w:proofErr w:type="gramStart"/>
      <w:r w:rsidR="00CA4FFA" w:rsidRPr="007319CD">
        <w:rPr>
          <w:rFonts w:hAnsi="標楷體"/>
        </w:rPr>
        <w:t>俸</w:t>
      </w:r>
      <w:r w:rsidRPr="007319CD">
        <w:rPr>
          <w:rFonts w:hAnsi="標楷體"/>
        </w:rPr>
        <w:t>距僅</w:t>
      </w:r>
      <w:proofErr w:type="gramEnd"/>
      <w:r w:rsidRPr="007319CD">
        <w:rPr>
          <w:rFonts w:hAnsi="標楷體"/>
        </w:rPr>
        <w:t>為3.26倍，</w:t>
      </w:r>
      <w:r w:rsidR="00AF2C70" w:rsidRPr="007319CD">
        <w:rPr>
          <w:rFonts w:hAnsi="標楷體"/>
        </w:rPr>
        <w:t>中高階公務員薪資除不及其他地區應有薪資標準外，亦低於企業薪資水平，然較企業豐厚退休給付，而有所衡平。然新法修正</w:t>
      </w:r>
      <w:r w:rsidR="00CA4FFA" w:rsidRPr="007319CD">
        <w:rPr>
          <w:rFonts w:hAnsi="標楷體"/>
        </w:rPr>
        <w:t>降低</w:t>
      </w:r>
      <w:r w:rsidR="00AF2C70" w:rsidRPr="007319CD">
        <w:rPr>
          <w:rFonts w:hAnsi="標楷體"/>
        </w:rPr>
        <w:t>所得替代率，違反平等原則係</w:t>
      </w:r>
      <w:proofErr w:type="gramStart"/>
      <w:r w:rsidR="00AF2C70" w:rsidRPr="007319CD">
        <w:rPr>
          <w:rFonts w:hAnsi="標楷體"/>
        </w:rPr>
        <w:t>屬齊頭式假</w:t>
      </w:r>
      <w:proofErr w:type="gramEnd"/>
      <w:r w:rsidR="00AF2C70" w:rsidRPr="007319CD">
        <w:rPr>
          <w:rFonts w:hAnsi="標楷體"/>
        </w:rPr>
        <w:t>平等，以不「符合公務員</w:t>
      </w:r>
      <w:r w:rsidR="005A408E" w:rsidRPr="007319CD">
        <w:rPr>
          <w:rFonts w:hAnsi="標楷體"/>
        </w:rPr>
        <w:t>職等身分</w:t>
      </w:r>
      <w:r w:rsidR="00AF2C70" w:rsidRPr="007319CD">
        <w:rPr>
          <w:rFonts w:hAnsi="標楷體"/>
        </w:rPr>
        <w:t>」之給付報酬，將嚴重影響公務人員於職</w:t>
      </w:r>
      <w:proofErr w:type="gramStart"/>
      <w:r w:rsidR="00AF2C70" w:rsidRPr="007319CD">
        <w:rPr>
          <w:rFonts w:hAnsi="標楷體"/>
        </w:rPr>
        <w:t>涯</w:t>
      </w:r>
      <w:proofErr w:type="gramEnd"/>
      <w:r w:rsidR="00AF2C70" w:rsidRPr="007319CD">
        <w:rPr>
          <w:rFonts w:hAnsi="標楷體"/>
        </w:rPr>
        <w:t>工作士氣與行政效率；且新法訂有退休所得替代率上限及下限規定，而與相關退休給付及費率</w:t>
      </w:r>
      <w:proofErr w:type="gramStart"/>
      <w:r w:rsidR="00AF2C70" w:rsidRPr="007319CD">
        <w:rPr>
          <w:rFonts w:hAnsi="標楷體"/>
        </w:rPr>
        <w:t>提撥</w:t>
      </w:r>
      <w:proofErr w:type="gramEnd"/>
      <w:r w:rsidR="00AF2C70" w:rsidRPr="007319CD">
        <w:rPr>
          <w:rFonts w:hAnsi="標楷體"/>
        </w:rPr>
        <w:t>計算方式有間，有失繳費之權利義務對等原則，亦違反平等原則。</w:t>
      </w:r>
    </w:p>
    <w:p w:rsidR="00707A26" w:rsidRPr="007319CD" w:rsidRDefault="00B13980" w:rsidP="009D3142">
      <w:pPr>
        <w:pStyle w:val="5"/>
        <w:rPr>
          <w:rFonts w:hAnsi="標楷體"/>
        </w:rPr>
      </w:pPr>
      <w:r w:rsidRPr="007319CD">
        <w:rPr>
          <w:rFonts w:hAnsi="標楷體"/>
        </w:rPr>
        <w:t>黃茂榮</w:t>
      </w:r>
      <w:r w:rsidR="00707A26" w:rsidRPr="007319CD">
        <w:rPr>
          <w:rFonts w:hAnsi="標楷體"/>
        </w:rPr>
        <w:t>大法官在司法院釋字第717號</w:t>
      </w:r>
      <w:r w:rsidR="00E8119E" w:rsidRPr="007319CD">
        <w:rPr>
          <w:rFonts w:hAnsi="標楷體"/>
        </w:rPr>
        <w:t>解釋</w:t>
      </w:r>
      <w:r w:rsidR="00707A26" w:rsidRPr="007319CD">
        <w:rPr>
          <w:rFonts w:hAnsi="標楷體"/>
        </w:rPr>
        <w:t>協同意見書稱：「待遇結構，除薪資外，在規範上雖無包含退休給付的必然要求，</w:t>
      </w:r>
      <w:r w:rsidR="00707A26" w:rsidRPr="007319CD">
        <w:rPr>
          <w:rFonts w:hAnsi="標楷體"/>
          <w:b/>
        </w:rPr>
        <w:t>但因薪資給付與退休給付互有『朝三暮四</w:t>
      </w:r>
      <w:proofErr w:type="gramStart"/>
      <w:r w:rsidR="00707A26" w:rsidRPr="007319CD">
        <w:rPr>
          <w:rFonts w:hAnsi="標楷體"/>
          <w:b/>
        </w:rPr>
        <w:t>或朝四暮</w:t>
      </w:r>
      <w:proofErr w:type="gramEnd"/>
      <w:r w:rsidR="00707A26" w:rsidRPr="007319CD">
        <w:rPr>
          <w:rFonts w:hAnsi="標楷體"/>
          <w:b/>
        </w:rPr>
        <w:t>三之消長的關連』。所以只要有退休給付之規定，不論其存在於強行規定或任意規定，皆構成契約中勞務債權人所負對待給付內容之重要部分</w:t>
      </w:r>
      <w:r w:rsidR="00707A26" w:rsidRPr="007319CD">
        <w:rPr>
          <w:rFonts w:hAnsi="標楷體"/>
        </w:rPr>
        <w:t>。」亦同於本文前述見解，由此觀之，公務員退休給付應從整體公務員待遇結構考量，檢視其有無違反必要性原則（過度侵害禁止原則）</w:t>
      </w:r>
      <w:r w:rsidR="00E8119E" w:rsidRPr="007319CD">
        <w:rPr>
          <w:rFonts w:hAnsi="標楷體"/>
        </w:rPr>
        <w:t>。</w:t>
      </w:r>
    </w:p>
    <w:p w:rsidR="00707A26" w:rsidRPr="007319CD" w:rsidRDefault="00707A26" w:rsidP="0060677A">
      <w:pPr>
        <w:pStyle w:val="5"/>
        <w:rPr>
          <w:rFonts w:hAnsi="標楷體"/>
        </w:rPr>
      </w:pPr>
      <w:r w:rsidRPr="007319CD">
        <w:rPr>
          <w:rFonts w:hAnsi="標楷體"/>
        </w:rPr>
        <w:t>查公務員俸給法第3條規定：「公務人員之俸給，分本</w:t>
      </w:r>
      <w:proofErr w:type="gramStart"/>
      <w:r w:rsidRPr="007319CD">
        <w:rPr>
          <w:rFonts w:hAnsi="標楷體"/>
        </w:rPr>
        <w:t>俸</w:t>
      </w:r>
      <w:proofErr w:type="gramEnd"/>
      <w:r w:rsidRPr="007319CD">
        <w:rPr>
          <w:rFonts w:hAnsi="標楷體"/>
        </w:rPr>
        <w:t>（年功</w:t>
      </w:r>
      <w:proofErr w:type="gramStart"/>
      <w:r w:rsidRPr="007319CD">
        <w:rPr>
          <w:rFonts w:hAnsi="標楷體"/>
        </w:rPr>
        <w:t>俸</w:t>
      </w:r>
      <w:proofErr w:type="gramEnd"/>
      <w:r w:rsidRPr="007319CD">
        <w:rPr>
          <w:rFonts w:hAnsi="標楷體"/>
        </w:rPr>
        <w:t>）及加給，</w:t>
      </w:r>
      <w:proofErr w:type="gramStart"/>
      <w:r w:rsidRPr="007319CD">
        <w:rPr>
          <w:rFonts w:hAnsi="標楷體"/>
        </w:rPr>
        <w:t>均以月</w:t>
      </w:r>
      <w:proofErr w:type="gramEnd"/>
      <w:r w:rsidRPr="007319CD">
        <w:rPr>
          <w:rFonts w:hAnsi="標楷體"/>
        </w:rPr>
        <w:t>計之。」公務員俸給簡任14職等</w:t>
      </w:r>
      <w:proofErr w:type="gramStart"/>
      <w:r w:rsidRPr="007319CD">
        <w:rPr>
          <w:rFonts w:hAnsi="標楷體"/>
        </w:rPr>
        <w:t>（</w:t>
      </w:r>
      <w:proofErr w:type="gramEnd"/>
      <w:r w:rsidRPr="007319CD">
        <w:rPr>
          <w:rFonts w:hAnsi="標楷體"/>
        </w:rPr>
        <w:t>800</w:t>
      </w:r>
      <w:proofErr w:type="gramStart"/>
      <w:r w:rsidRPr="007319CD">
        <w:rPr>
          <w:rFonts w:hAnsi="標楷體"/>
        </w:rPr>
        <w:t>俸</w:t>
      </w:r>
      <w:proofErr w:type="gramEnd"/>
      <w:r w:rsidRPr="007319CD">
        <w:rPr>
          <w:rFonts w:hAnsi="標楷體"/>
        </w:rPr>
        <w:t>點：俸給為56</w:t>
      </w:r>
      <w:r w:rsidR="00E8119E" w:rsidRPr="007319CD">
        <w:rPr>
          <w:rFonts w:hAnsi="標楷體"/>
        </w:rPr>
        <w:t>,</w:t>
      </w:r>
      <w:r w:rsidRPr="007319CD">
        <w:rPr>
          <w:rFonts w:hAnsi="標楷體"/>
        </w:rPr>
        <w:t>930元，專業加給為41</w:t>
      </w:r>
      <w:r w:rsidR="00E8119E" w:rsidRPr="007319CD">
        <w:rPr>
          <w:rFonts w:hAnsi="標楷體"/>
        </w:rPr>
        <w:t>,</w:t>
      </w:r>
      <w:r w:rsidRPr="007319CD">
        <w:rPr>
          <w:rFonts w:hAnsi="標楷體"/>
        </w:rPr>
        <w:t>850元，主管加給37</w:t>
      </w:r>
      <w:r w:rsidR="00E8119E" w:rsidRPr="007319CD">
        <w:rPr>
          <w:rFonts w:hAnsi="標楷體"/>
        </w:rPr>
        <w:t>,</w:t>
      </w:r>
      <w:r w:rsidRPr="007319CD">
        <w:rPr>
          <w:rFonts w:hAnsi="標楷體"/>
        </w:rPr>
        <w:t>350</w:t>
      </w:r>
      <w:proofErr w:type="gramStart"/>
      <w:r w:rsidRPr="007319CD">
        <w:rPr>
          <w:rFonts w:hAnsi="標楷體"/>
        </w:rPr>
        <w:t>）</w:t>
      </w:r>
      <w:proofErr w:type="gramEnd"/>
      <w:r w:rsidRPr="007319CD">
        <w:rPr>
          <w:rFonts w:hAnsi="標楷體"/>
        </w:rPr>
        <w:t>薪給為98</w:t>
      </w:r>
      <w:r w:rsidR="00BE131E" w:rsidRPr="007319CD">
        <w:rPr>
          <w:rFonts w:hAnsi="標楷體"/>
        </w:rPr>
        <w:t>,</w:t>
      </w:r>
      <w:r w:rsidRPr="007319CD">
        <w:rPr>
          <w:rFonts w:hAnsi="標楷體"/>
        </w:rPr>
        <w:t>7</w:t>
      </w:r>
      <w:r w:rsidR="0060677A" w:rsidRPr="007319CD">
        <w:rPr>
          <w:rFonts w:hAnsi="標楷體" w:hint="eastAsia"/>
        </w:rPr>
        <w:t>8</w:t>
      </w:r>
      <w:r w:rsidRPr="007319CD">
        <w:rPr>
          <w:rFonts w:hAnsi="標楷體"/>
        </w:rPr>
        <w:t>0元（含主管加給為136</w:t>
      </w:r>
      <w:r w:rsidR="00E8119E" w:rsidRPr="007319CD">
        <w:rPr>
          <w:rFonts w:hAnsi="標楷體"/>
        </w:rPr>
        <w:t>,</w:t>
      </w:r>
      <w:r w:rsidR="0060677A" w:rsidRPr="007319CD">
        <w:rPr>
          <w:rFonts w:hAnsi="標楷體" w:hint="eastAsia"/>
        </w:rPr>
        <w:t>130</w:t>
      </w:r>
      <w:r w:rsidRPr="007319CD">
        <w:rPr>
          <w:rFonts w:hAnsi="標楷體"/>
        </w:rPr>
        <w:t>元）委任</w:t>
      </w:r>
      <w:r w:rsidR="006852C0" w:rsidRPr="007319CD">
        <w:rPr>
          <w:rFonts w:hAnsi="標楷體" w:hint="eastAsia"/>
        </w:rPr>
        <w:t>1</w:t>
      </w:r>
      <w:r w:rsidRPr="007319CD">
        <w:rPr>
          <w:rFonts w:hAnsi="標楷體"/>
        </w:rPr>
        <w:t>職等</w:t>
      </w:r>
      <w:proofErr w:type="gramStart"/>
      <w:r w:rsidRPr="007319CD">
        <w:rPr>
          <w:rFonts w:hAnsi="標楷體"/>
        </w:rPr>
        <w:t>（</w:t>
      </w:r>
      <w:proofErr w:type="gramEnd"/>
      <w:r w:rsidRPr="007319CD">
        <w:rPr>
          <w:rFonts w:hAnsi="標楷體"/>
        </w:rPr>
        <w:t>160</w:t>
      </w:r>
      <w:proofErr w:type="gramStart"/>
      <w:r w:rsidRPr="007319CD">
        <w:rPr>
          <w:rFonts w:hAnsi="標楷體"/>
        </w:rPr>
        <w:t>俸</w:t>
      </w:r>
      <w:proofErr w:type="gramEnd"/>
      <w:r w:rsidRPr="007319CD">
        <w:rPr>
          <w:rFonts w:hAnsi="標楷體"/>
        </w:rPr>
        <w:t>點：11</w:t>
      </w:r>
      <w:r w:rsidR="00E8119E" w:rsidRPr="007319CD">
        <w:rPr>
          <w:rFonts w:hAnsi="標楷體"/>
        </w:rPr>
        <w:t>,</w:t>
      </w:r>
      <w:r w:rsidRPr="007319CD">
        <w:rPr>
          <w:rFonts w:hAnsi="標楷體"/>
        </w:rPr>
        <w:t>985元，專業加給為18</w:t>
      </w:r>
      <w:r w:rsidR="003D7A61" w:rsidRPr="007319CD">
        <w:rPr>
          <w:rFonts w:hAnsi="標楷體" w:hint="eastAsia"/>
        </w:rPr>
        <w:t>,</w:t>
      </w:r>
      <w:r w:rsidRPr="007319CD">
        <w:rPr>
          <w:rFonts w:hAnsi="標楷體"/>
        </w:rPr>
        <w:t>250元</w:t>
      </w:r>
      <w:proofErr w:type="gramStart"/>
      <w:r w:rsidRPr="007319CD">
        <w:rPr>
          <w:rFonts w:hAnsi="標楷體"/>
        </w:rPr>
        <w:t>）</w:t>
      </w:r>
      <w:proofErr w:type="gramEnd"/>
      <w:r w:rsidRPr="007319CD">
        <w:rPr>
          <w:rFonts w:hAnsi="標楷體"/>
        </w:rPr>
        <w:t>薪給為30</w:t>
      </w:r>
      <w:r w:rsidR="00E8119E" w:rsidRPr="007319CD">
        <w:rPr>
          <w:rFonts w:hAnsi="標楷體"/>
        </w:rPr>
        <w:t>,</w:t>
      </w:r>
      <w:r w:rsidRPr="007319CD">
        <w:rPr>
          <w:rFonts w:hAnsi="標楷體"/>
        </w:rPr>
        <w:t>235元，薪資</w:t>
      </w:r>
      <w:r w:rsidRPr="007319CD">
        <w:rPr>
          <w:rFonts w:hAnsi="標楷體"/>
        </w:rPr>
        <w:lastRenderedPageBreak/>
        <w:t>級距為3.26倍（</w:t>
      </w:r>
      <w:r w:rsidR="0060677A" w:rsidRPr="007319CD">
        <w:rPr>
          <w:rFonts w:hAnsi="標楷體"/>
        </w:rPr>
        <w:t>含主管加給</w:t>
      </w:r>
      <w:r w:rsidR="0060677A" w:rsidRPr="007319CD">
        <w:rPr>
          <w:rFonts w:hAnsi="標楷體" w:hint="eastAsia"/>
        </w:rPr>
        <w:t>為</w:t>
      </w:r>
      <w:r w:rsidRPr="007319CD">
        <w:rPr>
          <w:rFonts w:hAnsi="標楷體"/>
        </w:rPr>
        <w:t>4.5</w:t>
      </w:r>
      <w:r w:rsidR="0060677A" w:rsidRPr="007319CD">
        <w:rPr>
          <w:rFonts w:hAnsi="標楷體" w:hint="eastAsia"/>
        </w:rPr>
        <w:t>0</w:t>
      </w:r>
      <w:r w:rsidRPr="007319CD">
        <w:rPr>
          <w:rFonts w:hAnsi="標楷體"/>
        </w:rPr>
        <w:t>倍）；香港公務員</w:t>
      </w:r>
      <w:proofErr w:type="gramStart"/>
      <w:r w:rsidRPr="007319CD">
        <w:rPr>
          <w:rFonts w:hAnsi="標楷體"/>
        </w:rPr>
        <w:t>總薪級表</w:t>
      </w:r>
      <w:r w:rsidR="003D7A61" w:rsidRPr="007319CD">
        <w:rPr>
          <w:rFonts w:hAnsi="標楷體"/>
        </w:rPr>
        <w:t>最</w:t>
      </w:r>
      <w:proofErr w:type="gramEnd"/>
      <w:r w:rsidR="003D7A61" w:rsidRPr="007319CD">
        <w:rPr>
          <w:rFonts w:hAnsi="標楷體"/>
        </w:rPr>
        <w:t>低薪</w:t>
      </w:r>
      <w:r w:rsidRPr="007319CD">
        <w:rPr>
          <w:rFonts w:hAnsi="標楷體"/>
        </w:rPr>
        <w:t>第0點的10,885</w:t>
      </w:r>
      <w:r w:rsidR="0060677A" w:rsidRPr="007319CD">
        <w:rPr>
          <w:rFonts w:hAnsi="標楷體"/>
        </w:rPr>
        <w:t>港</w:t>
      </w:r>
      <w:r w:rsidR="0060677A" w:rsidRPr="007319CD">
        <w:rPr>
          <w:rFonts w:hAnsi="標楷體" w:hint="eastAsia"/>
        </w:rPr>
        <w:t>幣</w:t>
      </w:r>
      <w:r w:rsidR="003D7A61" w:rsidRPr="007319CD">
        <w:rPr>
          <w:rFonts w:hAnsi="標楷體" w:hint="eastAsia"/>
        </w:rPr>
        <w:t>，</w:t>
      </w:r>
      <w:r w:rsidRPr="007319CD">
        <w:rPr>
          <w:rFonts w:hAnsi="標楷體"/>
        </w:rPr>
        <w:t>與</w:t>
      </w:r>
      <w:proofErr w:type="gramStart"/>
      <w:r w:rsidRPr="007319CD">
        <w:rPr>
          <w:rFonts w:hAnsi="標楷體"/>
        </w:rPr>
        <w:t>最</w:t>
      </w:r>
      <w:proofErr w:type="gramEnd"/>
      <w:r w:rsidRPr="007319CD">
        <w:rPr>
          <w:rFonts w:hAnsi="標楷體"/>
        </w:rPr>
        <w:t>高薪的首長級第8點的262,700港</w:t>
      </w:r>
      <w:r w:rsidR="0060677A" w:rsidRPr="007319CD">
        <w:rPr>
          <w:rFonts w:hAnsi="標楷體" w:hint="eastAsia"/>
        </w:rPr>
        <w:t>幣</w:t>
      </w:r>
      <w:r w:rsidRPr="007319CD">
        <w:rPr>
          <w:rFonts w:hAnsi="標楷體"/>
        </w:rPr>
        <w:t>，差距相差高達24.1倍</w:t>
      </w:r>
      <w:r w:rsidR="00BE131E" w:rsidRPr="007319CD">
        <w:rPr>
          <w:rFonts w:hAnsi="標楷體"/>
        </w:rPr>
        <w:t>；</w:t>
      </w:r>
      <w:r w:rsidRPr="007319CD">
        <w:rPr>
          <w:rFonts w:hAnsi="標楷體"/>
        </w:rPr>
        <w:t>澳門</w:t>
      </w:r>
      <w:proofErr w:type="gramStart"/>
      <w:r w:rsidRPr="007319CD">
        <w:rPr>
          <w:rFonts w:hAnsi="標楷體"/>
        </w:rPr>
        <w:t>最低職程</w:t>
      </w:r>
      <w:proofErr w:type="gramEnd"/>
      <w:r w:rsidRPr="007319CD">
        <w:rPr>
          <w:rFonts w:hAnsi="標楷體"/>
        </w:rPr>
        <w:t>110薪點（8,690澳門</w:t>
      </w:r>
      <w:r w:rsidR="0060677A" w:rsidRPr="007319CD">
        <w:rPr>
          <w:rFonts w:hAnsi="標楷體" w:hint="eastAsia"/>
        </w:rPr>
        <w:t>幣</w:t>
      </w:r>
      <w:r w:rsidRPr="007319CD">
        <w:rPr>
          <w:rFonts w:hAnsi="標楷體"/>
        </w:rPr>
        <w:t>），而位於</w:t>
      </w:r>
      <w:proofErr w:type="gramStart"/>
      <w:r w:rsidRPr="007319CD">
        <w:rPr>
          <w:rFonts w:hAnsi="標楷體"/>
        </w:rPr>
        <w:t>最</w:t>
      </w:r>
      <w:proofErr w:type="gramEnd"/>
      <w:r w:rsidRPr="007319CD">
        <w:rPr>
          <w:rFonts w:hAnsi="標楷體"/>
        </w:rPr>
        <w:t>高職程、屬公務員領導層的局長有1</w:t>
      </w:r>
      <w:r w:rsidR="006852C0" w:rsidRPr="007319CD">
        <w:rPr>
          <w:rFonts w:hAnsi="標楷體" w:hint="eastAsia"/>
        </w:rPr>
        <w:t>,</w:t>
      </w:r>
      <w:r w:rsidRPr="007319CD">
        <w:rPr>
          <w:rFonts w:hAnsi="標楷體"/>
        </w:rPr>
        <w:t>100薪點（86,900澳門</w:t>
      </w:r>
      <w:r w:rsidR="0060677A" w:rsidRPr="007319CD">
        <w:rPr>
          <w:rFonts w:hAnsi="標楷體" w:hint="eastAsia"/>
        </w:rPr>
        <w:t>幣</w:t>
      </w:r>
      <w:r w:rsidRPr="007319CD">
        <w:rPr>
          <w:rFonts w:hAnsi="標楷體"/>
        </w:rPr>
        <w:t>），</w:t>
      </w:r>
      <w:r w:rsidR="0060677A" w:rsidRPr="007319CD">
        <w:rPr>
          <w:rFonts w:hAnsi="標楷體"/>
        </w:rPr>
        <w:t>最高職位</w:t>
      </w:r>
      <w:r w:rsidR="0060677A" w:rsidRPr="007319CD">
        <w:rPr>
          <w:rFonts w:hAnsi="標楷體" w:hint="eastAsia"/>
        </w:rPr>
        <w:t>者</w:t>
      </w:r>
      <w:r w:rsidR="0060677A" w:rsidRPr="007319CD">
        <w:rPr>
          <w:rFonts w:hAnsi="標楷體"/>
        </w:rPr>
        <w:t>是最低職位者的10倍</w:t>
      </w:r>
      <w:r w:rsidR="003D7A61" w:rsidRPr="007319CD">
        <w:rPr>
          <w:rStyle w:val="aff1"/>
          <w:rFonts w:hAnsi="標楷體"/>
        </w:rPr>
        <w:footnoteReference w:id="56"/>
      </w:r>
      <w:r w:rsidRPr="007319CD">
        <w:rPr>
          <w:rFonts w:hAnsi="標楷體"/>
        </w:rPr>
        <w:t>。法國公務人員</w:t>
      </w:r>
      <w:proofErr w:type="gramStart"/>
      <w:r w:rsidRPr="007319CD">
        <w:rPr>
          <w:rFonts w:hAnsi="標楷體"/>
        </w:rPr>
        <w:t>俸</w:t>
      </w:r>
      <w:proofErr w:type="gramEnd"/>
      <w:r w:rsidRPr="007319CD">
        <w:rPr>
          <w:rFonts w:hAnsi="標楷體"/>
        </w:rPr>
        <w:t>表包括一般</w:t>
      </w:r>
      <w:proofErr w:type="gramStart"/>
      <w:r w:rsidRPr="007319CD">
        <w:rPr>
          <w:rFonts w:hAnsi="標楷體"/>
        </w:rPr>
        <w:t>俸</w:t>
      </w:r>
      <w:proofErr w:type="gramEnd"/>
      <w:r w:rsidRPr="007319CD">
        <w:rPr>
          <w:rFonts w:hAnsi="標楷體"/>
        </w:rPr>
        <w:t>表(A、B、C類)與特別</w:t>
      </w:r>
      <w:proofErr w:type="gramStart"/>
      <w:r w:rsidRPr="007319CD">
        <w:rPr>
          <w:rFonts w:hAnsi="標楷體"/>
        </w:rPr>
        <w:t>俸</w:t>
      </w:r>
      <w:proofErr w:type="gramEnd"/>
      <w:r w:rsidRPr="007319CD">
        <w:rPr>
          <w:rFonts w:hAnsi="標楷體"/>
        </w:rPr>
        <w:t>表(政務官與高級行政主管)，</w:t>
      </w:r>
      <w:proofErr w:type="gramStart"/>
      <w:r w:rsidRPr="007319CD">
        <w:rPr>
          <w:rFonts w:hAnsi="標楷體"/>
        </w:rPr>
        <w:t>俸</w:t>
      </w:r>
      <w:proofErr w:type="gramEnd"/>
      <w:r w:rsidRPr="007319CD">
        <w:rPr>
          <w:rFonts w:hAnsi="標楷體"/>
        </w:rPr>
        <w:t>表內容則包含本</w:t>
      </w:r>
      <w:proofErr w:type="gramStart"/>
      <w:r w:rsidRPr="007319CD">
        <w:rPr>
          <w:rFonts w:hAnsi="標楷體"/>
        </w:rPr>
        <w:t>俸</w:t>
      </w:r>
      <w:proofErr w:type="gramEnd"/>
      <w:r w:rsidRPr="007319CD">
        <w:rPr>
          <w:rFonts w:hAnsi="標楷體"/>
        </w:rPr>
        <w:t>與加給(包括職務加給、扶養津貼、房租津貼與超時津貼等)，俸給之高低差距約為</w:t>
      </w:r>
      <w:r w:rsidR="009C3F33" w:rsidRPr="007319CD">
        <w:rPr>
          <w:rFonts w:hAnsi="標楷體"/>
        </w:rPr>
        <w:t>7</w:t>
      </w:r>
      <w:r w:rsidR="009B1F04" w:rsidRPr="007319CD">
        <w:rPr>
          <w:rFonts w:hAnsi="標楷體" w:hint="eastAsia"/>
        </w:rPr>
        <w:t>倍</w:t>
      </w:r>
      <w:r w:rsidR="009C3F33" w:rsidRPr="007319CD">
        <w:rPr>
          <w:rFonts w:hAnsi="標楷體" w:hint="eastAsia"/>
        </w:rPr>
        <w:t>至</w:t>
      </w:r>
      <w:r w:rsidRPr="007319CD">
        <w:rPr>
          <w:rFonts w:hAnsi="標楷體"/>
        </w:rPr>
        <w:t>9倍(以2005年為例)</w:t>
      </w:r>
      <w:r w:rsidRPr="007319CD">
        <w:rPr>
          <w:rFonts w:hAnsi="標楷體"/>
          <w:vertAlign w:val="superscript"/>
        </w:rPr>
        <w:footnoteReference w:id="57"/>
      </w:r>
      <w:r w:rsidRPr="007319CD">
        <w:rPr>
          <w:rFonts w:hAnsi="標楷體"/>
        </w:rPr>
        <w:t>，足見我國中高階公務員在職俸給遠低於其他地區應有薪資標準。退而言之，以臺灣中高階公務員（科長以上）排除電子業、外商等高薪企業外，若</w:t>
      </w:r>
      <w:r w:rsidR="00DE328E" w:rsidRPr="007319CD">
        <w:rPr>
          <w:rFonts w:hAnsi="標楷體"/>
        </w:rPr>
        <w:t>以</w:t>
      </w:r>
      <w:r w:rsidRPr="007319CD">
        <w:rPr>
          <w:rFonts w:hAnsi="標楷體"/>
        </w:rPr>
        <w:t>平均數-製造業中高階人員而論，如</w:t>
      </w:r>
      <w:r w:rsidR="00B7703D" w:rsidRPr="007319CD">
        <w:rPr>
          <w:rFonts w:hAnsi="標楷體" w:hint="eastAsia"/>
        </w:rPr>
        <w:t>國內</w:t>
      </w:r>
      <w:proofErr w:type="gramStart"/>
      <w:r w:rsidR="00B7703D" w:rsidRPr="007319CD">
        <w:rPr>
          <w:rFonts w:hAnsi="標楷體" w:hint="eastAsia"/>
        </w:rPr>
        <w:t>某傳產</w:t>
      </w:r>
      <w:proofErr w:type="gramEnd"/>
      <w:r w:rsidR="00B7703D" w:rsidRPr="007319CD">
        <w:rPr>
          <w:rFonts w:hAnsi="標楷體" w:hint="eastAsia"/>
        </w:rPr>
        <w:t>龍頭</w:t>
      </w:r>
      <w:r w:rsidRPr="007319CD">
        <w:rPr>
          <w:rFonts w:hAnsi="標楷體"/>
        </w:rPr>
        <w:t>企業專員/高級工程師/高級管理師/課長(二級主管)年薪約</w:t>
      </w:r>
      <w:r w:rsidR="009C3F33" w:rsidRPr="007319CD">
        <w:rPr>
          <w:rFonts w:hAnsi="標楷體"/>
        </w:rPr>
        <w:t>110</w:t>
      </w:r>
      <w:r w:rsidR="00935EDA" w:rsidRPr="007319CD">
        <w:rPr>
          <w:rFonts w:hAnsi="標楷體"/>
        </w:rPr>
        <w:t>萬</w:t>
      </w:r>
      <w:r w:rsidR="00935EDA" w:rsidRPr="007319CD">
        <w:rPr>
          <w:rFonts w:hAnsi="標楷體" w:hint="eastAsia"/>
        </w:rPr>
        <w:t>元</w:t>
      </w:r>
      <w:r w:rsidR="009C3F33" w:rsidRPr="007319CD">
        <w:rPr>
          <w:rFonts w:hAnsi="標楷體" w:hint="eastAsia"/>
        </w:rPr>
        <w:t>至</w:t>
      </w:r>
      <w:r w:rsidRPr="007319CD">
        <w:rPr>
          <w:rFonts w:hAnsi="標楷體"/>
        </w:rPr>
        <w:t>130萬</w:t>
      </w:r>
      <w:r w:rsidR="009C3F33" w:rsidRPr="007319CD">
        <w:rPr>
          <w:rFonts w:hAnsi="標楷體" w:hint="eastAsia"/>
        </w:rPr>
        <w:t>元</w:t>
      </w:r>
      <w:r w:rsidRPr="007319CD">
        <w:rPr>
          <w:rFonts w:hAnsi="標楷體"/>
        </w:rPr>
        <w:t>、高專/資深工程師/資深管理師/廠處長(一級主管)年薪約200</w:t>
      </w:r>
      <w:r w:rsidR="009C3F33" w:rsidRPr="007319CD">
        <w:rPr>
          <w:rFonts w:hAnsi="標楷體" w:hint="eastAsia"/>
        </w:rPr>
        <w:t>至</w:t>
      </w:r>
      <w:r w:rsidRPr="007319CD">
        <w:rPr>
          <w:rFonts w:hAnsi="標楷體"/>
        </w:rPr>
        <w:t>220萬</w:t>
      </w:r>
      <w:r w:rsidR="009C3F33" w:rsidRPr="007319CD">
        <w:rPr>
          <w:rFonts w:hAnsi="標楷體" w:hint="eastAsia"/>
        </w:rPr>
        <w:t>元</w:t>
      </w:r>
      <w:r w:rsidRPr="007319CD">
        <w:rPr>
          <w:rFonts w:hAnsi="標楷體"/>
        </w:rPr>
        <w:t>、協理年薪約250</w:t>
      </w:r>
      <w:r w:rsidR="00935EDA" w:rsidRPr="007319CD">
        <w:rPr>
          <w:rFonts w:hAnsi="標楷體"/>
        </w:rPr>
        <w:t>萬</w:t>
      </w:r>
      <w:r w:rsidR="00935EDA" w:rsidRPr="007319CD">
        <w:rPr>
          <w:rFonts w:hAnsi="標楷體" w:hint="eastAsia"/>
        </w:rPr>
        <w:t>元</w:t>
      </w:r>
      <w:r w:rsidR="009C3F33" w:rsidRPr="007319CD">
        <w:rPr>
          <w:rFonts w:hAnsi="標楷體" w:hint="eastAsia"/>
        </w:rPr>
        <w:t>至</w:t>
      </w:r>
      <w:r w:rsidRPr="007319CD">
        <w:rPr>
          <w:rFonts w:hAnsi="標楷體"/>
        </w:rPr>
        <w:t>300萬</w:t>
      </w:r>
      <w:r w:rsidR="009C3F33" w:rsidRPr="007319CD">
        <w:rPr>
          <w:rFonts w:hAnsi="標楷體" w:hint="eastAsia"/>
        </w:rPr>
        <w:t>元</w:t>
      </w:r>
      <w:r w:rsidRPr="007319CD">
        <w:rPr>
          <w:rFonts w:hAnsi="標楷體"/>
        </w:rPr>
        <w:t>、副總(經營主管)年薪約300</w:t>
      </w:r>
      <w:r w:rsidR="00935EDA" w:rsidRPr="007319CD">
        <w:rPr>
          <w:rFonts w:hAnsi="標楷體"/>
        </w:rPr>
        <w:t>萬</w:t>
      </w:r>
      <w:r w:rsidR="00935EDA" w:rsidRPr="007319CD">
        <w:rPr>
          <w:rFonts w:hAnsi="標楷體" w:hint="eastAsia"/>
        </w:rPr>
        <w:t>元</w:t>
      </w:r>
      <w:r w:rsidR="009C3F33" w:rsidRPr="007319CD">
        <w:rPr>
          <w:rFonts w:hAnsi="標楷體" w:hint="eastAsia"/>
        </w:rPr>
        <w:t>至</w:t>
      </w:r>
      <w:r w:rsidRPr="007319CD">
        <w:rPr>
          <w:rFonts w:hAnsi="標楷體"/>
        </w:rPr>
        <w:t>350萬</w:t>
      </w:r>
      <w:r w:rsidR="009C3F33" w:rsidRPr="007319CD">
        <w:rPr>
          <w:rFonts w:hAnsi="標楷體" w:hint="eastAsia"/>
        </w:rPr>
        <w:t>元</w:t>
      </w:r>
      <w:r w:rsidRPr="007319CD">
        <w:rPr>
          <w:rFonts w:hAnsi="標楷體"/>
        </w:rPr>
        <w:t>。而文官常務次長現行年收約為197萬</w:t>
      </w:r>
      <w:r w:rsidR="009C3F33" w:rsidRPr="007319CD">
        <w:rPr>
          <w:rFonts w:hAnsi="標楷體" w:hint="eastAsia"/>
        </w:rPr>
        <w:t>元</w:t>
      </w:r>
      <w:r w:rsidRPr="007319CD">
        <w:rPr>
          <w:rFonts w:hAnsi="標楷體"/>
        </w:rPr>
        <w:t>（136</w:t>
      </w:r>
      <w:r w:rsidR="00E8119E" w:rsidRPr="007319CD">
        <w:rPr>
          <w:rFonts w:hAnsi="標楷體"/>
        </w:rPr>
        <w:t>,</w:t>
      </w:r>
      <w:r w:rsidR="008C0E52" w:rsidRPr="007319CD">
        <w:rPr>
          <w:rFonts w:hAnsi="標楷體" w:hint="eastAsia"/>
        </w:rPr>
        <w:t>130</w:t>
      </w:r>
      <w:r w:rsidRPr="007319CD">
        <w:rPr>
          <w:rFonts w:hAnsi="標楷體"/>
        </w:rPr>
        <w:t>元</w:t>
      </w:r>
      <w:r w:rsidR="008C0E52" w:rsidRPr="007319CD">
        <w:rPr>
          <w:rStyle w:val="st1"/>
          <w:rFonts w:hAnsi="標楷體" w:cs="Arial"/>
        </w:rPr>
        <w:t>×</w:t>
      </w:r>
      <w:r w:rsidRPr="007319CD">
        <w:rPr>
          <w:rFonts w:hAnsi="標楷體"/>
        </w:rPr>
        <w:t>14.5</w:t>
      </w:r>
      <w:r w:rsidR="008C0E52" w:rsidRPr="007319CD">
        <w:rPr>
          <w:rFonts w:hAnsi="標楷體" w:hint="eastAsia"/>
        </w:rPr>
        <w:t>個</w:t>
      </w:r>
      <w:r w:rsidRPr="007319CD">
        <w:rPr>
          <w:rFonts w:hAnsi="標楷體"/>
        </w:rPr>
        <w:t>月），遠</w:t>
      </w:r>
      <w:proofErr w:type="gramStart"/>
      <w:r w:rsidRPr="007319CD">
        <w:rPr>
          <w:rFonts w:hAnsi="標楷體"/>
        </w:rPr>
        <w:t>不</w:t>
      </w:r>
      <w:proofErr w:type="gramEnd"/>
      <w:r w:rsidRPr="007319CD">
        <w:rPr>
          <w:rFonts w:hAnsi="標楷體"/>
        </w:rPr>
        <w:t>及於企業薪資水平，然因正如黃茂榮</w:t>
      </w:r>
      <w:r w:rsidR="009C3F33" w:rsidRPr="007319CD">
        <w:rPr>
          <w:rFonts w:hAnsi="標楷體"/>
        </w:rPr>
        <w:t>大法官</w:t>
      </w:r>
      <w:r w:rsidRPr="007319CD">
        <w:rPr>
          <w:rFonts w:hAnsi="標楷體"/>
        </w:rPr>
        <w:t>所稱，薪資給付與退休給付互有『朝三暮四</w:t>
      </w:r>
      <w:proofErr w:type="gramStart"/>
      <w:r w:rsidRPr="007319CD">
        <w:rPr>
          <w:rFonts w:hAnsi="標楷體"/>
        </w:rPr>
        <w:t>或朝四暮</w:t>
      </w:r>
      <w:proofErr w:type="gramEnd"/>
      <w:r w:rsidRPr="007319CD">
        <w:rPr>
          <w:rFonts w:hAnsi="標楷體"/>
        </w:rPr>
        <w:t>三之消長的關連』，雖有『朝三』之低薪，但有『</w:t>
      </w:r>
      <w:proofErr w:type="gramStart"/>
      <w:r w:rsidRPr="007319CD">
        <w:rPr>
          <w:rFonts w:hAnsi="標楷體"/>
        </w:rPr>
        <w:t>暮</w:t>
      </w:r>
      <w:proofErr w:type="gramEnd"/>
      <w:r w:rsidRPr="007319CD">
        <w:rPr>
          <w:rFonts w:hAnsi="標楷體"/>
        </w:rPr>
        <w:t>四』較企業豐厚退休給付，而有所衡</w:t>
      </w:r>
      <w:r w:rsidRPr="007319CD">
        <w:rPr>
          <w:rFonts w:hAnsi="標楷體"/>
        </w:rPr>
        <w:lastRenderedPageBreak/>
        <w:t>平。然新法修正所得替代率降低為60%，以最高退休給付簡任12職等年功4級800</w:t>
      </w:r>
      <w:proofErr w:type="gramStart"/>
      <w:r w:rsidRPr="007319CD">
        <w:rPr>
          <w:rFonts w:hAnsi="標楷體"/>
        </w:rPr>
        <w:t>俸</w:t>
      </w:r>
      <w:proofErr w:type="gramEnd"/>
      <w:r w:rsidRPr="007319CD">
        <w:rPr>
          <w:rFonts w:hAnsi="標楷體"/>
        </w:rPr>
        <w:t>點任職35年，降為63</w:t>
      </w:r>
      <w:r w:rsidR="00E8119E" w:rsidRPr="007319CD">
        <w:rPr>
          <w:rFonts w:hAnsi="標楷體"/>
        </w:rPr>
        <w:t>,</w:t>
      </w:r>
      <w:r w:rsidRPr="007319CD">
        <w:rPr>
          <w:rFonts w:hAnsi="標楷體"/>
        </w:rPr>
        <w:t>690元，與最低保障金額32,160元，</w:t>
      </w:r>
      <w:proofErr w:type="gramStart"/>
      <w:r w:rsidRPr="007319CD">
        <w:rPr>
          <w:rFonts w:hAnsi="標楷體"/>
        </w:rPr>
        <w:t>級距僅為</w:t>
      </w:r>
      <w:proofErr w:type="gramEnd"/>
      <w:r w:rsidRPr="007319CD">
        <w:rPr>
          <w:rFonts w:hAnsi="標楷體"/>
        </w:rPr>
        <w:t>1.98</w:t>
      </w:r>
      <w:r w:rsidR="00BE131E" w:rsidRPr="007319CD">
        <w:rPr>
          <w:rFonts w:hAnsi="標楷體"/>
        </w:rPr>
        <w:t>倍，並非</w:t>
      </w:r>
      <w:r w:rsidRPr="007319CD">
        <w:rPr>
          <w:rFonts w:hAnsi="標楷體"/>
        </w:rPr>
        <w:t>「符合公務員</w:t>
      </w:r>
      <w:r w:rsidR="005A408E" w:rsidRPr="007319CD">
        <w:rPr>
          <w:rFonts w:hAnsi="標楷體"/>
        </w:rPr>
        <w:t>職等身分</w:t>
      </w:r>
      <w:r w:rsidRPr="007319CD">
        <w:rPr>
          <w:rFonts w:hAnsi="標楷體"/>
        </w:rPr>
        <w:t>」之待遇，違反平等原則</w:t>
      </w:r>
      <w:r w:rsidR="00390F8C" w:rsidRPr="007319CD">
        <w:rPr>
          <w:rFonts w:hAnsi="標楷體" w:hint="eastAsia"/>
        </w:rPr>
        <w:t>，</w:t>
      </w:r>
      <w:r w:rsidRPr="007319CD">
        <w:rPr>
          <w:rFonts w:hAnsi="標楷體"/>
        </w:rPr>
        <w:t>係屬</w:t>
      </w:r>
      <w:proofErr w:type="gramStart"/>
      <w:r w:rsidRPr="007319CD">
        <w:rPr>
          <w:rFonts w:hAnsi="標楷體"/>
        </w:rPr>
        <w:t>齊頭式假平等</w:t>
      </w:r>
      <w:proofErr w:type="gramEnd"/>
      <w:r w:rsidRPr="007319CD">
        <w:rPr>
          <w:rFonts w:hAnsi="標楷體"/>
          <w:vertAlign w:val="superscript"/>
        </w:rPr>
        <w:footnoteReference w:id="58"/>
      </w:r>
      <w:r w:rsidR="00BE131E" w:rsidRPr="007319CD">
        <w:rPr>
          <w:rFonts w:hAnsi="標楷體"/>
        </w:rPr>
        <w:t>，</w:t>
      </w:r>
      <w:r w:rsidR="00BE131E" w:rsidRPr="007319CD">
        <w:rPr>
          <w:rFonts w:hAnsi="標楷體"/>
        </w:rPr>
        <w:lastRenderedPageBreak/>
        <w:t>嚴重影響公務人員</w:t>
      </w:r>
      <w:r w:rsidRPr="007319CD">
        <w:rPr>
          <w:rFonts w:hAnsi="標楷體"/>
        </w:rPr>
        <w:t>職</w:t>
      </w:r>
      <w:proofErr w:type="gramStart"/>
      <w:r w:rsidRPr="007319CD">
        <w:rPr>
          <w:rFonts w:hAnsi="標楷體"/>
        </w:rPr>
        <w:t>涯</w:t>
      </w:r>
      <w:proofErr w:type="gramEnd"/>
      <w:r w:rsidRPr="007319CD">
        <w:rPr>
          <w:rFonts w:hAnsi="標楷體"/>
        </w:rPr>
        <w:t>工作士氣與行政效率。</w:t>
      </w:r>
    </w:p>
    <w:p w:rsidR="00707A26" w:rsidRPr="007319CD" w:rsidRDefault="00707A26" w:rsidP="009D3142">
      <w:pPr>
        <w:pStyle w:val="5"/>
        <w:rPr>
          <w:rFonts w:hAnsi="標楷體"/>
        </w:rPr>
      </w:pPr>
      <w:r w:rsidRPr="007319CD">
        <w:rPr>
          <w:rFonts w:hAnsi="標楷體"/>
        </w:rPr>
        <w:t>依新法規定，因訂有退休所得替代率上限及下限規定，而與相關退休給付及費率</w:t>
      </w:r>
      <w:proofErr w:type="gramStart"/>
      <w:r w:rsidRPr="007319CD">
        <w:rPr>
          <w:rFonts w:hAnsi="標楷體"/>
        </w:rPr>
        <w:t>提撥</w:t>
      </w:r>
      <w:proofErr w:type="gramEnd"/>
      <w:r w:rsidRPr="007319CD">
        <w:rPr>
          <w:rFonts w:hAnsi="標楷體"/>
        </w:rPr>
        <w:t>計算方式有間，有失繳費之權利義務對等原則，違反平等原則</w:t>
      </w:r>
      <w:r w:rsidR="00390F8C" w:rsidRPr="007319CD">
        <w:rPr>
          <w:rFonts w:hAnsi="標楷體" w:hint="eastAsia"/>
        </w:rPr>
        <w:t>。</w:t>
      </w:r>
    </w:p>
    <w:p w:rsidR="00707A26" w:rsidRPr="007319CD" w:rsidRDefault="00707A26" w:rsidP="009D3142">
      <w:pPr>
        <w:pStyle w:val="6"/>
        <w:rPr>
          <w:rFonts w:hAnsi="標楷體"/>
        </w:rPr>
      </w:pPr>
      <w:r w:rsidRPr="007319CD">
        <w:rPr>
          <w:rFonts w:hAnsi="標楷體"/>
        </w:rPr>
        <w:t>依</w:t>
      </w:r>
      <w:r w:rsidR="009315F3" w:rsidRPr="007319CD">
        <w:rPr>
          <w:rFonts w:hAnsi="標楷體"/>
        </w:rPr>
        <w:t>公務人員退撫法（新法）</w:t>
      </w:r>
      <w:r w:rsidRPr="007319CD">
        <w:rPr>
          <w:rFonts w:hAnsi="標楷體"/>
        </w:rPr>
        <w:t>第6條及第7條，與</w:t>
      </w:r>
      <w:r w:rsidR="00914E2B" w:rsidRPr="007319CD">
        <w:rPr>
          <w:rFonts w:hAnsi="標楷體"/>
        </w:rPr>
        <w:t>公立學校教職員退撫條例</w:t>
      </w:r>
      <w:r w:rsidRPr="007319CD">
        <w:rPr>
          <w:rFonts w:hAnsi="標楷體"/>
        </w:rPr>
        <w:t>第6條及第8條規定，</w:t>
      </w:r>
      <w:r w:rsidR="00E428E3" w:rsidRPr="007319CD">
        <w:rPr>
          <w:rFonts w:hAnsi="標楷體"/>
        </w:rPr>
        <w:t>公務人員退休撫</w:t>
      </w:r>
      <w:proofErr w:type="gramStart"/>
      <w:r w:rsidR="00E428E3" w:rsidRPr="007319CD">
        <w:rPr>
          <w:rFonts w:hAnsi="標楷體"/>
        </w:rPr>
        <w:t>卹</w:t>
      </w:r>
      <w:proofErr w:type="gramEnd"/>
      <w:r w:rsidR="00E428E3" w:rsidRPr="007319CD">
        <w:rPr>
          <w:rFonts w:hAnsi="標楷體"/>
        </w:rPr>
        <w:t>基金</w:t>
      </w:r>
      <w:r w:rsidR="005C715E" w:rsidRPr="007319CD">
        <w:rPr>
          <w:rFonts w:hAnsi="標楷體"/>
        </w:rPr>
        <w:t>（下稱退撫基金）</w:t>
      </w:r>
      <w:r w:rsidRPr="007319CD">
        <w:rPr>
          <w:rFonts w:hAnsi="標楷體"/>
        </w:rPr>
        <w:t>資金</w:t>
      </w:r>
      <w:proofErr w:type="gramStart"/>
      <w:r w:rsidRPr="007319CD">
        <w:rPr>
          <w:rFonts w:hAnsi="標楷體"/>
        </w:rPr>
        <w:t>提撥</w:t>
      </w:r>
      <w:proofErr w:type="gramEnd"/>
      <w:r w:rsidRPr="007319CD">
        <w:rPr>
          <w:rFonts w:hAnsi="標楷體"/>
        </w:rPr>
        <w:t>來源，係以公教人員在職時之本（年功）</w:t>
      </w:r>
      <w:proofErr w:type="gramStart"/>
      <w:r w:rsidRPr="007319CD">
        <w:rPr>
          <w:rFonts w:hAnsi="標楷體"/>
        </w:rPr>
        <w:t>俸</w:t>
      </w:r>
      <w:proofErr w:type="gramEnd"/>
      <w:r w:rsidRPr="007319CD">
        <w:rPr>
          <w:rFonts w:hAnsi="標楷體"/>
        </w:rPr>
        <w:t>（薪）額加1倍為基數，依12</w:t>
      </w:r>
      <w:r w:rsidR="00B330B8" w:rsidRPr="007319CD">
        <w:rPr>
          <w:rFonts w:hAnsi="標楷體"/>
        </w:rPr>
        <w:t>%</w:t>
      </w:r>
      <w:r w:rsidRPr="007319CD">
        <w:rPr>
          <w:rFonts w:hAnsi="標楷體"/>
        </w:rPr>
        <w:t>至18</w:t>
      </w:r>
      <w:r w:rsidR="00B330B8" w:rsidRPr="007319CD">
        <w:rPr>
          <w:rFonts w:hAnsi="標楷體"/>
        </w:rPr>
        <w:t>%</w:t>
      </w:r>
      <w:r w:rsidRPr="007319CD">
        <w:rPr>
          <w:rFonts w:hAnsi="標楷體"/>
        </w:rPr>
        <w:t>之</w:t>
      </w:r>
      <w:proofErr w:type="gramStart"/>
      <w:r w:rsidRPr="007319CD">
        <w:rPr>
          <w:rFonts w:hAnsi="標楷體"/>
        </w:rPr>
        <w:t>提撥</w:t>
      </w:r>
      <w:proofErr w:type="gramEnd"/>
      <w:r w:rsidRPr="007319CD">
        <w:rPr>
          <w:rFonts w:hAnsi="標楷體"/>
        </w:rPr>
        <w:t>費率，按月由政府</w:t>
      </w:r>
      <w:proofErr w:type="gramStart"/>
      <w:r w:rsidRPr="007319CD">
        <w:rPr>
          <w:rFonts w:hAnsi="標楷體"/>
        </w:rPr>
        <w:t>撥繳65﹪</w:t>
      </w:r>
      <w:proofErr w:type="gramEnd"/>
      <w:r w:rsidRPr="007319CD">
        <w:rPr>
          <w:rFonts w:hAnsi="標楷體"/>
        </w:rPr>
        <w:t>；公教人員自行繳付35</w:t>
      </w:r>
      <w:proofErr w:type="gramStart"/>
      <w:r w:rsidRPr="007319CD">
        <w:rPr>
          <w:rFonts w:hAnsi="標楷體"/>
        </w:rPr>
        <w:t>﹪</w:t>
      </w:r>
      <w:proofErr w:type="gramEnd"/>
      <w:r w:rsidRPr="007319CD">
        <w:rPr>
          <w:rFonts w:hAnsi="標楷體"/>
        </w:rPr>
        <w:t>，前揭公教人員自負退撫費</w:t>
      </w:r>
      <w:r w:rsidRPr="007319CD">
        <w:rPr>
          <w:rFonts w:hAnsi="標楷體"/>
        </w:rPr>
        <w:lastRenderedPageBreak/>
        <w:t>用比率，並未因服務年資之長短而有差異，</w:t>
      </w:r>
      <w:proofErr w:type="gramStart"/>
      <w:r w:rsidRPr="007319CD">
        <w:rPr>
          <w:rFonts w:hAnsi="標楷體"/>
        </w:rPr>
        <w:t>合先敘</w:t>
      </w:r>
      <w:proofErr w:type="gramEnd"/>
      <w:r w:rsidRPr="007319CD">
        <w:rPr>
          <w:rFonts w:hAnsi="標楷體"/>
        </w:rPr>
        <w:t>明。</w:t>
      </w:r>
    </w:p>
    <w:p w:rsidR="00707A26" w:rsidRPr="007319CD" w:rsidRDefault="00707A26" w:rsidP="009D3142">
      <w:pPr>
        <w:pStyle w:val="6"/>
        <w:rPr>
          <w:rFonts w:hAnsi="標楷體"/>
        </w:rPr>
      </w:pPr>
      <w:r w:rsidRPr="007319CD">
        <w:rPr>
          <w:rFonts w:hAnsi="標楷體"/>
        </w:rPr>
        <w:t>年資超過35年部分，每年退休所得給付率相較其他年資為低</w:t>
      </w:r>
    </w:p>
    <w:p w:rsidR="00707A26" w:rsidRPr="007319CD" w:rsidRDefault="00707A26" w:rsidP="009D3142">
      <w:pPr>
        <w:pStyle w:val="7"/>
        <w:rPr>
          <w:rFonts w:hAnsi="標楷體"/>
        </w:rPr>
      </w:pPr>
      <w:r w:rsidRPr="007319CD">
        <w:rPr>
          <w:rFonts w:hAnsi="標楷體"/>
        </w:rPr>
        <w:t>依</w:t>
      </w:r>
      <w:r w:rsidR="009315F3" w:rsidRPr="007319CD">
        <w:rPr>
          <w:rFonts w:hAnsi="標楷體"/>
        </w:rPr>
        <w:t>公務人員退撫法（新法）</w:t>
      </w:r>
      <w:r w:rsidRPr="007319CD">
        <w:rPr>
          <w:rFonts w:hAnsi="標楷體"/>
        </w:rPr>
        <w:t>第38條規定，在該法施行後退休生效者之每月退休所得，不得超過依替代率上限計算，任職滿15年至第35年者，</w:t>
      </w:r>
      <w:proofErr w:type="gramStart"/>
      <w:r w:rsidRPr="007319CD">
        <w:rPr>
          <w:rFonts w:hAnsi="標楷體"/>
        </w:rPr>
        <w:t>照同法</w:t>
      </w:r>
      <w:proofErr w:type="gramEnd"/>
      <w:r w:rsidRPr="007319CD">
        <w:rPr>
          <w:rFonts w:hAnsi="標楷體"/>
        </w:rPr>
        <w:t>第37條第2項規定辦理，即年資每增加1年，所得替代率增給1.5</w:t>
      </w:r>
      <w:proofErr w:type="gramStart"/>
      <w:r w:rsidRPr="007319CD">
        <w:rPr>
          <w:rFonts w:hAnsi="標楷體"/>
        </w:rPr>
        <w:t>﹪</w:t>
      </w:r>
      <w:proofErr w:type="gramEnd"/>
      <w:r w:rsidRPr="007319CD">
        <w:rPr>
          <w:rFonts w:hAnsi="標楷體"/>
        </w:rPr>
        <w:t>；超過第35年者，每增加1年，增給0.5</w:t>
      </w:r>
      <w:proofErr w:type="gramStart"/>
      <w:r w:rsidRPr="007319CD">
        <w:rPr>
          <w:rFonts w:hAnsi="標楷體"/>
        </w:rPr>
        <w:t>﹪</w:t>
      </w:r>
      <w:proofErr w:type="gramEnd"/>
      <w:r w:rsidRPr="007319CD">
        <w:rPr>
          <w:rFonts w:hAnsi="標楷體"/>
        </w:rPr>
        <w:t>，最高增至40年止，亦即年資40年者，至118年1月1日所得替代率為62.5</w:t>
      </w:r>
      <w:proofErr w:type="gramStart"/>
      <w:r w:rsidRPr="007319CD">
        <w:rPr>
          <w:rFonts w:hAnsi="標楷體"/>
        </w:rPr>
        <w:t>﹪</w:t>
      </w:r>
      <w:proofErr w:type="gramEnd"/>
      <w:r w:rsidRPr="007319CD">
        <w:rPr>
          <w:rFonts w:hAnsi="標楷體"/>
        </w:rPr>
        <w:t>。前揭超過35年在職年資增給退休金比率僅及在職年資15年至35年部分之1/3，惟公教人員於超過35年資部分之自負</w:t>
      </w:r>
      <w:proofErr w:type="gramStart"/>
      <w:r w:rsidRPr="007319CD">
        <w:rPr>
          <w:rFonts w:hAnsi="標楷體"/>
        </w:rPr>
        <w:t>提撥</w:t>
      </w:r>
      <w:proofErr w:type="gramEnd"/>
      <w:r w:rsidRPr="007319CD">
        <w:rPr>
          <w:rFonts w:hAnsi="標楷體"/>
        </w:rPr>
        <w:t xml:space="preserve">費用義務，並未減輕。 </w:t>
      </w:r>
    </w:p>
    <w:p w:rsidR="00707A26" w:rsidRPr="007319CD" w:rsidRDefault="00707A26" w:rsidP="009D3142">
      <w:pPr>
        <w:pStyle w:val="6"/>
        <w:rPr>
          <w:rFonts w:hAnsi="標楷體"/>
        </w:rPr>
      </w:pPr>
      <w:r w:rsidRPr="007319CD">
        <w:rPr>
          <w:rFonts w:hAnsi="標楷體"/>
        </w:rPr>
        <w:t>月退休所得最低保障金額設計，發生在職繳付</w:t>
      </w:r>
      <w:proofErr w:type="gramStart"/>
      <w:r w:rsidRPr="007319CD">
        <w:rPr>
          <w:rFonts w:hAnsi="標楷體"/>
        </w:rPr>
        <w:t>提撥</w:t>
      </w:r>
      <w:proofErr w:type="gramEnd"/>
      <w:r w:rsidRPr="007319CD">
        <w:rPr>
          <w:rFonts w:hAnsi="標楷體"/>
        </w:rPr>
        <w:t>金額較高者與繳付金額較低者，其後所領得之月退金額相同情形</w:t>
      </w:r>
    </w:p>
    <w:p w:rsidR="00707A26" w:rsidRPr="007319CD" w:rsidRDefault="00707A26" w:rsidP="009D3142">
      <w:pPr>
        <w:pStyle w:val="7"/>
        <w:rPr>
          <w:rFonts w:hAnsi="標楷體"/>
        </w:rPr>
      </w:pPr>
      <w:r w:rsidRPr="007319CD">
        <w:rPr>
          <w:rFonts w:hAnsi="標楷體"/>
        </w:rPr>
        <w:t>依</w:t>
      </w:r>
      <w:r w:rsidR="009315F3" w:rsidRPr="007319CD">
        <w:rPr>
          <w:rFonts w:hAnsi="標楷體"/>
        </w:rPr>
        <w:t>公務人員退撫法（新法）</w:t>
      </w:r>
      <w:r w:rsidRPr="007319CD">
        <w:rPr>
          <w:rFonts w:hAnsi="標楷體"/>
        </w:rPr>
        <w:t>第4條第1項第6款定有公務人員月退所得最低保障金額。主要係參照司法院釋字第280號解釋（認定退休所得如低於「委任第</w:t>
      </w:r>
      <w:r w:rsidR="00831A07" w:rsidRPr="007319CD">
        <w:rPr>
          <w:rFonts w:hAnsi="標楷體" w:hint="eastAsia"/>
        </w:rPr>
        <w:t>1</w:t>
      </w:r>
      <w:r w:rsidRPr="007319CD">
        <w:rPr>
          <w:rFonts w:hAnsi="標楷體"/>
        </w:rPr>
        <w:t>職等本</w:t>
      </w:r>
      <w:proofErr w:type="gramStart"/>
      <w:r w:rsidRPr="007319CD">
        <w:rPr>
          <w:rFonts w:hAnsi="標楷體"/>
        </w:rPr>
        <w:t>俸</w:t>
      </w:r>
      <w:proofErr w:type="gramEnd"/>
      <w:r w:rsidRPr="007319CD">
        <w:rPr>
          <w:rFonts w:hAnsi="標楷體"/>
        </w:rPr>
        <w:t>最高級之本</w:t>
      </w:r>
      <w:proofErr w:type="gramStart"/>
      <w:r w:rsidRPr="007319CD">
        <w:rPr>
          <w:rFonts w:hAnsi="標楷體"/>
        </w:rPr>
        <w:t>俸</w:t>
      </w:r>
      <w:proofErr w:type="gramEnd"/>
      <w:r w:rsidRPr="007319CD">
        <w:rPr>
          <w:rFonts w:hAnsi="標楷體"/>
        </w:rPr>
        <w:t>額及專業加給合計數額」即難以維持退休人員基本生活）訂定。該金額以</w:t>
      </w:r>
      <w:proofErr w:type="gramStart"/>
      <w:r w:rsidRPr="007319CD">
        <w:rPr>
          <w:rFonts w:hAnsi="標楷體"/>
        </w:rPr>
        <w:t>106</w:t>
      </w:r>
      <w:proofErr w:type="gramEnd"/>
      <w:r w:rsidRPr="007319CD">
        <w:rPr>
          <w:rFonts w:hAnsi="標楷體"/>
        </w:rPr>
        <w:t>年度待遇標準計算，委任第</w:t>
      </w:r>
      <w:r w:rsidR="00831A07" w:rsidRPr="007319CD">
        <w:rPr>
          <w:rFonts w:hAnsi="標楷體" w:hint="eastAsia"/>
        </w:rPr>
        <w:t>1</w:t>
      </w:r>
      <w:r w:rsidRPr="007319CD">
        <w:rPr>
          <w:rFonts w:hAnsi="標楷體"/>
        </w:rPr>
        <w:t>職等本</w:t>
      </w:r>
      <w:proofErr w:type="gramStart"/>
      <w:r w:rsidRPr="007319CD">
        <w:rPr>
          <w:rFonts w:hAnsi="標楷體"/>
        </w:rPr>
        <w:t>俸</w:t>
      </w:r>
      <w:proofErr w:type="gramEnd"/>
      <w:r w:rsidRPr="007319CD">
        <w:rPr>
          <w:rFonts w:hAnsi="標楷體"/>
        </w:rPr>
        <w:t>7級之</w:t>
      </w:r>
      <w:proofErr w:type="gramStart"/>
      <w:r w:rsidRPr="007319CD">
        <w:rPr>
          <w:rFonts w:hAnsi="標楷體"/>
        </w:rPr>
        <w:t>俸</w:t>
      </w:r>
      <w:proofErr w:type="gramEnd"/>
      <w:r w:rsidRPr="007319CD">
        <w:rPr>
          <w:rFonts w:hAnsi="標楷體"/>
        </w:rPr>
        <w:t>額為14,450元；一般公務人員第</w:t>
      </w:r>
      <w:r w:rsidR="00831A07" w:rsidRPr="007319CD">
        <w:rPr>
          <w:rFonts w:hAnsi="標楷體" w:hint="eastAsia"/>
        </w:rPr>
        <w:t>1</w:t>
      </w:r>
      <w:r w:rsidRPr="007319CD">
        <w:rPr>
          <w:rFonts w:hAnsi="標楷體"/>
        </w:rPr>
        <w:t>職等專業加給金額為17,710元；合計為32,160元。</w:t>
      </w:r>
    </w:p>
    <w:p w:rsidR="00707A26" w:rsidRPr="007319CD" w:rsidRDefault="00707A26" w:rsidP="009D3142">
      <w:pPr>
        <w:pStyle w:val="7"/>
        <w:rPr>
          <w:rFonts w:hAnsi="標楷體"/>
        </w:rPr>
      </w:pPr>
      <w:r w:rsidRPr="007319CD">
        <w:rPr>
          <w:rFonts w:hAnsi="標楷體"/>
        </w:rPr>
        <w:t>前揭規定立法意旨</w:t>
      </w:r>
      <w:r w:rsidR="005F48A3" w:rsidRPr="007319CD">
        <w:rPr>
          <w:rFonts w:hAnsi="標楷體"/>
        </w:rPr>
        <w:t>，</w:t>
      </w:r>
      <w:r w:rsidRPr="007319CD">
        <w:rPr>
          <w:rFonts w:hAnsi="標楷體"/>
        </w:rPr>
        <w:t>在於維持退休人員退</w:t>
      </w:r>
      <w:r w:rsidRPr="007319CD">
        <w:rPr>
          <w:rFonts w:hAnsi="標楷體"/>
        </w:rPr>
        <w:lastRenderedPageBreak/>
        <w:t>休後基本生活，故不論在職繳付退撫基金金額之高低，均一體適用，固然立意良善。</w:t>
      </w:r>
      <w:proofErr w:type="gramStart"/>
      <w:r w:rsidRPr="007319CD">
        <w:rPr>
          <w:rFonts w:hAnsi="標楷體"/>
        </w:rPr>
        <w:t>惟查確</w:t>
      </w:r>
      <w:proofErr w:type="gramEnd"/>
      <w:r w:rsidRPr="007319CD">
        <w:rPr>
          <w:rFonts w:hAnsi="標楷體"/>
        </w:rPr>
        <w:t>有發生在職繳付</w:t>
      </w:r>
      <w:proofErr w:type="gramStart"/>
      <w:r w:rsidRPr="007319CD">
        <w:rPr>
          <w:rFonts w:hAnsi="標楷體"/>
        </w:rPr>
        <w:t>提撥</w:t>
      </w:r>
      <w:proofErr w:type="gramEnd"/>
      <w:r w:rsidRPr="007319CD">
        <w:rPr>
          <w:rFonts w:hAnsi="標楷體"/>
        </w:rPr>
        <w:t>費用金額較高者與繳付金額較低者，其後所領得之月退金額相同情形，</w:t>
      </w:r>
      <w:proofErr w:type="gramStart"/>
      <w:r w:rsidRPr="007319CD">
        <w:rPr>
          <w:rFonts w:hAnsi="標楷體"/>
        </w:rPr>
        <w:t>茲敘如下</w:t>
      </w:r>
      <w:proofErr w:type="gramEnd"/>
      <w:r w:rsidRPr="007319CD">
        <w:rPr>
          <w:rFonts w:hAnsi="標楷體"/>
        </w:rPr>
        <w:t>：（1）公務人員：退休人員間可能發生在職繳付退撫基金費用不同者，所領月退休</w:t>
      </w:r>
      <w:proofErr w:type="gramStart"/>
      <w:r w:rsidRPr="007319CD">
        <w:rPr>
          <w:rFonts w:hAnsi="標楷體"/>
        </w:rPr>
        <w:t>金額均按相同</w:t>
      </w:r>
      <w:proofErr w:type="gramEnd"/>
      <w:r w:rsidRPr="007319CD">
        <w:rPr>
          <w:rFonts w:hAnsi="標楷體"/>
        </w:rPr>
        <w:t>之最低保障金額支領情形之案例，有退休年資25年之委任第5職</w:t>
      </w:r>
      <w:proofErr w:type="gramStart"/>
      <w:r w:rsidRPr="007319CD">
        <w:rPr>
          <w:rFonts w:hAnsi="標楷體"/>
        </w:rPr>
        <w:t>等及薦任</w:t>
      </w:r>
      <w:proofErr w:type="gramEnd"/>
      <w:r w:rsidRPr="007319CD">
        <w:rPr>
          <w:rFonts w:hAnsi="標楷體"/>
        </w:rPr>
        <w:t>第6職等人員（包括僅具舊制年資84年7月1日退休、兼具新舊制年資105年7月1日退休與僅具新制年資將於109年7月1日退休之</w:t>
      </w:r>
      <w:r w:rsidR="00831A07" w:rsidRPr="007319CD">
        <w:rPr>
          <w:rFonts w:hAnsi="標楷體"/>
          <w:szCs w:val="32"/>
        </w:rPr>
        <w:t>委任5</w:t>
      </w:r>
      <w:r w:rsidR="00831A07" w:rsidRPr="007319CD">
        <w:rPr>
          <w:rFonts w:hAnsi="標楷體" w:hint="eastAsia"/>
          <w:szCs w:val="32"/>
        </w:rPr>
        <w:t>職</w:t>
      </w:r>
      <w:r w:rsidR="00831A07" w:rsidRPr="007319CD">
        <w:rPr>
          <w:rFonts w:hAnsi="標楷體"/>
          <w:szCs w:val="32"/>
        </w:rPr>
        <w:t>等年功10級520</w:t>
      </w:r>
      <w:proofErr w:type="gramStart"/>
      <w:r w:rsidR="00831A07" w:rsidRPr="007319CD">
        <w:rPr>
          <w:rFonts w:hAnsi="標楷體"/>
          <w:szCs w:val="32"/>
        </w:rPr>
        <w:t>俸</w:t>
      </w:r>
      <w:proofErr w:type="gramEnd"/>
      <w:r w:rsidR="00831A07" w:rsidRPr="007319CD">
        <w:rPr>
          <w:rFonts w:hAnsi="標楷體"/>
          <w:szCs w:val="32"/>
        </w:rPr>
        <w:t>點及薦任</w:t>
      </w:r>
      <w:r w:rsidR="00831A07" w:rsidRPr="007319CD">
        <w:rPr>
          <w:rFonts w:hAnsi="標楷體" w:hint="eastAsia"/>
          <w:szCs w:val="32"/>
        </w:rPr>
        <w:t>6職等</w:t>
      </w:r>
      <w:r w:rsidR="00831A07" w:rsidRPr="007319CD">
        <w:rPr>
          <w:rFonts w:hAnsi="標楷體"/>
          <w:szCs w:val="32"/>
        </w:rPr>
        <w:t>年功</w:t>
      </w:r>
      <w:r w:rsidR="00831A07" w:rsidRPr="007319CD">
        <w:rPr>
          <w:rFonts w:hAnsi="標楷體" w:hint="eastAsia"/>
          <w:szCs w:val="32"/>
        </w:rPr>
        <w:t>6</w:t>
      </w:r>
      <w:r w:rsidR="00831A07" w:rsidRPr="007319CD">
        <w:rPr>
          <w:rFonts w:hAnsi="標楷體"/>
          <w:szCs w:val="32"/>
        </w:rPr>
        <w:t>級5</w:t>
      </w:r>
      <w:r w:rsidR="00831A07" w:rsidRPr="007319CD">
        <w:rPr>
          <w:rFonts w:hAnsi="標楷體" w:hint="eastAsia"/>
          <w:szCs w:val="32"/>
        </w:rPr>
        <w:t>35</w:t>
      </w:r>
      <w:proofErr w:type="gramStart"/>
      <w:r w:rsidR="00831A07" w:rsidRPr="007319CD">
        <w:rPr>
          <w:rFonts w:hAnsi="標楷體"/>
          <w:szCs w:val="32"/>
        </w:rPr>
        <w:t>俸</w:t>
      </w:r>
      <w:proofErr w:type="gramEnd"/>
      <w:r w:rsidR="00831A07" w:rsidRPr="007319CD">
        <w:rPr>
          <w:rFonts w:hAnsi="標楷體"/>
          <w:szCs w:val="32"/>
        </w:rPr>
        <w:t>點</w:t>
      </w:r>
      <w:r w:rsidRPr="007319CD">
        <w:rPr>
          <w:rFonts w:hAnsi="標楷體"/>
        </w:rPr>
        <w:t>者），於118年以後之月退休</w:t>
      </w:r>
      <w:proofErr w:type="gramStart"/>
      <w:r w:rsidRPr="007319CD">
        <w:rPr>
          <w:rFonts w:hAnsi="標楷體"/>
        </w:rPr>
        <w:t>所得均為最低</w:t>
      </w:r>
      <w:proofErr w:type="gramEnd"/>
      <w:r w:rsidRPr="007319CD">
        <w:rPr>
          <w:rFonts w:hAnsi="標楷體"/>
        </w:rPr>
        <w:t>保障金額（32,160元）。（2）教育人員：退休人員間可能發生在職繳付退撫基金費用不同者，所領月退休</w:t>
      </w:r>
      <w:proofErr w:type="gramStart"/>
      <w:r w:rsidRPr="007319CD">
        <w:rPr>
          <w:rFonts w:hAnsi="標楷體"/>
        </w:rPr>
        <w:t>金額均按相同</w:t>
      </w:r>
      <w:proofErr w:type="gramEnd"/>
      <w:r w:rsidRPr="007319CD">
        <w:rPr>
          <w:rFonts w:hAnsi="標楷體"/>
        </w:rPr>
        <w:t>之最低保障金額支領情形之案例，有退休年資15年之625薪點中小學教師及770薪點教授（兼具新舊制年資90年2月1日退休），於118年以後退休所得</w:t>
      </w:r>
      <w:proofErr w:type="gramStart"/>
      <w:r w:rsidRPr="007319CD">
        <w:rPr>
          <w:rFonts w:hAnsi="標楷體"/>
        </w:rPr>
        <w:t>亦均為最低</w:t>
      </w:r>
      <w:proofErr w:type="gramEnd"/>
      <w:r w:rsidRPr="007319CD">
        <w:rPr>
          <w:rFonts w:hAnsi="標楷體"/>
        </w:rPr>
        <w:t>保障金額</w:t>
      </w:r>
      <w:r w:rsidR="00074D92" w:rsidRPr="007319CD">
        <w:rPr>
          <w:rFonts w:hAnsi="標楷體"/>
        </w:rPr>
        <w:t>（32,160元）</w:t>
      </w:r>
      <w:r w:rsidRPr="007319CD">
        <w:rPr>
          <w:rFonts w:hAnsi="標楷體"/>
        </w:rPr>
        <w:t>。</w:t>
      </w:r>
    </w:p>
    <w:p w:rsidR="00707A26" w:rsidRPr="007319CD" w:rsidRDefault="00707A26" w:rsidP="009D3142">
      <w:pPr>
        <w:pStyle w:val="6"/>
        <w:rPr>
          <w:rFonts w:hAnsi="標楷體"/>
        </w:rPr>
      </w:pPr>
      <w:r w:rsidRPr="007319CD">
        <w:rPr>
          <w:rFonts w:hAnsi="標楷體"/>
        </w:rPr>
        <w:t>綜上，退撫給付改</w:t>
      </w:r>
      <w:proofErr w:type="gramStart"/>
      <w:r w:rsidRPr="007319CD">
        <w:rPr>
          <w:rFonts w:hAnsi="標楷體"/>
        </w:rPr>
        <w:t>採</w:t>
      </w:r>
      <w:proofErr w:type="gramEnd"/>
      <w:r w:rsidRPr="007319CD">
        <w:rPr>
          <w:rFonts w:hAnsi="標楷體"/>
        </w:rPr>
        <w:t>儲金制，強調繳費之權利義務對等原則，惟新修正公布之</w:t>
      </w:r>
      <w:r w:rsidR="009315F3" w:rsidRPr="007319CD">
        <w:rPr>
          <w:rFonts w:hAnsi="標楷體"/>
        </w:rPr>
        <w:t>公務人員退撫法（新法）</w:t>
      </w:r>
      <w:r w:rsidRPr="007319CD">
        <w:rPr>
          <w:rFonts w:hAnsi="標楷體"/>
        </w:rPr>
        <w:t>及</w:t>
      </w:r>
      <w:r w:rsidR="00914E2B" w:rsidRPr="007319CD">
        <w:rPr>
          <w:rFonts w:hAnsi="標楷體"/>
        </w:rPr>
        <w:t>公立學校教職員退撫條例</w:t>
      </w:r>
      <w:r w:rsidRPr="007319CD">
        <w:rPr>
          <w:rFonts w:hAnsi="標楷體"/>
        </w:rPr>
        <w:t>，卻</w:t>
      </w:r>
      <w:r w:rsidR="00BE131E" w:rsidRPr="007319CD">
        <w:rPr>
          <w:rFonts w:hAnsi="標楷體"/>
        </w:rPr>
        <w:t>有</w:t>
      </w:r>
      <w:r w:rsidRPr="007319CD">
        <w:rPr>
          <w:rFonts w:hAnsi="標楷體"/>
        </w:rPr>
        <w:t>前揭繳費義務與退休所得不相稱之現象，違反平等原則。</w:t>
      </w:r>
    </w:p>
    <w:p w:rsidR="00707A26" w:rsidRPr="007319CD" w:rsidRDefault="00707A26" w:rsidP="00D30CF7">
      <w:pPr>
        <w:pStyle w:val="3"/>
        <w:rPr>
          <w:rFonts w:hAnsi="標楷體"/>
          <w:b/>
        </w:rPr>
      </w:pPr>
      <w:r w:rsidRPr="007319CD">
        <w:rPr>
          <w:rFonts w:hAnsi="標楷體"/>
          <w:b/>
        </w:rPr>
        <w:t>新法修正不符老年生活最低生活保障，違反必要原則（最小侵害原則）</w:t>
      </w:r>
      <w:r w:rsidR="00CF0D22" w:rsidRPr="007319CD">
        <w:rPr>
          <w:rFonts w:hAnsi="標楷體" w:hint="eastAsia"/>
          <w:b/>
        </w:rPr>
        <w:t>。</w:t>
      </w:r>
    </w:p>
    <w:p w:rsidR="00707A26" w:rsidRPr="007319CD" w:rsidRDefault="00707A26" w:rsidP="00D30CF7">
      <w:pPr>
        <w:pStyle w:val="4"/>
        <w:rPr>
          <w:rFonts w:hAnsi="標楷體"/>
        </w:rPr>
      </w:pPr>
      <w:r w:rsidRPr="007319CD">
        <w:rPr>
          <w:rFonts w:hAnsi="標楷體"/>
        </w:rPr>
        <w:t>依據內政部統計</w:t>
      </w:r>
      <w:r w:rsidR="005F48A3" w:rsidRPr="007319CD">
        <w:rPr>
          <w:rFonts w:hAnsi="標楷體"/>
        </w:rPr>
        <w:t>，</w:t>
      </w:r>
      <w:r w:rsidRPr="007319CD">
        <w:rPr>
          <w:rFonts w:hAnsi="標楷體"/>
        </w:rPr>
        <w:t>105年國人的平均壽命為80.0</w:t>
      </w:r>
      <w:r w:rsidRPr="007319CD">
        <w:rPr>
          <w:rFonts w:hAnsi="標楷體"/>
        </w:rPr>
        <w:lastRenderedPageBreak/>
        <w:t>歲，其中男性76.8歲、女性83.4歲，衛</w:t>
      </w:r>
      <w:r w:rsidR="00703481" w:rsidRPr="007319CD">
        <w:rPr>
          <w:rFonts w:hAnsi="標楷體" w:hint="eastAsia"/>
        </w:rPr>
        <w:t>生</w:t>
      </w:r>
      <w:r w:rsidRPr="007319CD">
        <w:rPr>
          <w:rFonts w:hAnsi="標楷體"/>
        </w:rPr>
        <w:t>福</w:t>
      </w:r>
      <w:r w:rsidR="00703481" w:rsidRPr="007319CD">
        <w:rPr>
          <w:rFonts w:hAnsi="標楷體" w:hint="eastAsia"/>
        </w:rPr>
        <w:t>利</w:t>
      </w:r>
      <w:r w:rsidRPr="007319CD">
        <w:rPr>
          <w:rFonts w:hAnsi="標楷體"/>
        </w:rPr>
        <w:t>部統計「國人的平均壽命和疾病型態等變數推估，國人一生中的長期照護需求時段約為7.3年」，本院為瞭解國人平均餘年所需基本開支情形，向主管機關調閱相關資料，並無相關統計資料可資參照，僅得依據老人福利機構收費初步推估各種基本開支情形，說明如下：</w:t>
      </w:r>
    </w:p>
    <w:p w:rsidR="00707A26" w:rsidRPr="007319CD" w:rsidRDefault="00707A26" w:rsidP="00D30CF7">
      <w:pPr>
        <w:pStyle w:val="5"/>
        <w:rPr>
          <w:rFonts w:hAnsi="標楷體"/>
        </w:rPr>
      </w:pPr>
      <w:r w:rsidRPr="007319CD">
        <w:rPr>
          <w:rFonts w:hAnsi="標楷體"/>
        </w:rPr>
        <w:t>按老人福利法第1條規定：「為維護老人尊嚴與健康，延緩老人失能，安定老人生活，保障老人權益，增進老人福利，特制定本法。」第 2條規定：「本法所稱老人，指年滿</w:t>
      </w:r>
      <w:r w:rsidR="00F94F45" w:rsidRPr="007319CD">
        <w:rPr>
          <w:rFonts w:hAnsi="標楷體" w:hint="eastAsia"/>
        </w:rPr>
        <w:t>65</w:t>
      </w:r>
      <w:r w:rsidRPr="007319CD">
        <w:rPr>
          <w:rFonts w:hAnsi="標楷體"/>
        </w:rPr>
        <w:t>歲以上之人。」第34條規定：「主管機關應依老人需要自行或結合民間資源辦理下列老人福利機構：一、長期照顧機構。二、安養機構。三、其他老人福利機構。」實務上，機構式服務依不同的服務對象可分為下列</w:t>
      </w:r>
      <w:r w:rsidR="00363938" w:rsidRPr="007319CD">
        <w:rPr>
          <w:rFonts w:hAnsi="標楷體" w:hint="eastAsia"/>
        </w:rPr>
        <w:t>5</w:t>
      </w:r>
      <w:r w:rsidRPr="007319CD">
        <w:rPr>
          <w:rFonts w:hAnsi="標楷體"/>
        </w:rPr>
        <w:t>大類機構型態：1、長期照顧機構</w:t>
      </w:r>
      <w:r w:rsidR="005F48A3" w:rsidRPr="007319CD">
        <w:rPr>
          <w:rStyle w:val="aff1"/>
          <w:rFonts w:hAnsi="標楷體"/>
        </w:rPr>
        <w:footnoteReference w:id="59"/>
      </w:r>
      <w:r w:rsidR="00FF0395" w:rsidRPr="007319CD">
        <w:rPr>
          <w:rFonts w:hAnsi="標楷體"/>
        </w:rPr>
        <w:t>。</w:t>
      </w:r>
      <w:r w:rsidRPr="007319CD">
        <w:rPr>
          <w:rFonts w:hAnsi="標楷體"/>
        </w:rPr>
        <w:t>2、安養機構：以日常生活能自理之老人為照顧對象。(即健康老人)3、護理之家：以照顧</w:t>
      </w:r>
      <w:proofErr w:type="gramStart"/>
      <w:r w:rsidRPr="007319CD">
        <w:rPr>
          <w:rFonts w:hAnsi="標楷體"/>
        </w:rPr>
        <w:t>罹</w:t>
      </w:r>
      <w:proofErr w:type="gramEnd"/>
      <w:r w:rsidRPr="007319CD">
        <w:rPr>
          <w:rFonts w:hAnsi="標楷體"/>
        </w:rPr>
        <w:t>患長期慢性疾病且需要醫護服務之病人。4、身心障礙福利機構：提供身心</w:t>
      </w:r>
      <w:proofErr w:type="gramStart"/>
      <w:r w:rsidRPr="007319CD">
        <w:rPr>
          <w:rFonts w:hAnsi="標楷體"/>
        </w:rPr>
        <w:t>障礙者托育養</w:t>
      </w:r>
      <w:proofErr w:type="gramEnd"/>
      <w:r w:rsidRPr="007319CD">
        <w:rPr>
          <w:rFonts w:hAnsi="標楷體"/>
        </w:rPr>
        <w:t>護照顧。5、榮譽國民之家：提供榮民之安養、養護、失智症照顧。上開機構服務係分別針對</w:t>
      </w:r>
      <w:r w:rsidR="00FF0395" w:rsidRPr="007319CD">
        <w:rPr>
          <w:rFonts w:hAnsi="標楷體"/>
        </w:rPr>
        <w:t>：1.</w:t>
      </w:r>
      <w:r w:rsidRPr="007319CD">
        <w:rPr>
          <w:rFonts w:hAnsi="標楷體"/>
        </w:rPr>
        <w:t>日常生活能自理健康老人</w:t>
      </w:r>
      <w:r w:rsidR="00FF0395" w:rsidRPr="007319CD">
        <w:rPr>
          <w:rFonts w:hAnsi="標楷體"/>
        </w:rPr>
        <w:t>、</w:t>
      </w:r>
      <w:r w:rsidRPr="007319CD">
        <w:rPr>
          <w:rFonts w:hAnsi="標楷體"/>
        </w:rPr>
        <w:t>2. 生活自理能力缺損需他人照顧之老人</w:t>
      </w:r>
      <w:r w:rsidR="00FF0395" w:rsidRPr="007319CD">
        <w:rPr>
          <w:rFonts w:hAnsi="標楷體"/>
        </w:rPr>
        <w:t>、3.</w:t>
      </w:r>
      <w:r w:rsidRPr="007319CD">
        <w:rPr>
          <w:rFonts w:hAnsi="標楷體"/>
        </w:rPr>
        <w:t>以</w:t>
      </w:r>
      <w:proofErr w:type="gramStart"/>
      <w:r w:rsidRPr="007319CD">
        <w:rPr>
          <w:rFonts w:hAnsi="標楷體"/>
        </w:rPr>
        <w:t>罹</w:t>
      </w:r>
      <w:proofErr w:type="gramEnd"/>
      <w:r w:rsidRPr="007319CD">
        <w:rPr>
          <w:rFonts w:hAnsi="標楷體"/>
        </w:rPr>
        <w:t>患長期慢性病，且需要醫護服務之老人</w:t>
      </w:r>
      <w:r w:rsidR="00FF0395" w:rsidRPr="007319CD">
        <w:rPr>
          <w:rFonts w:hAnsi="標楷體"/>
        </w:rPr>
        <w:t>。</w:t>
      </w:r>
      <w:r w:rsidRPr="007319CD">
        <w:rPr>
          <w:rFonts w:hAnsi="標楷體"/>
        </w:rPr>
        <w:t>機構所需費用略述如下：</w:t>
      </w:r>
      <w:r w:rsidR="00CB0B31" w:rsidRPr="007319CD">
        <w:rPr>
          <w:rFonts w:hAnsi="標楷體"/>
        </w:rPr>
        <w:t>（</w:t>
      </w:r>
      <w:r w:rsidR="00FA4F62" w:rsidRPr="007319CD">
        <w:rPr>
          <w:rFonts w:hAnsi="標楷體"/>
        </w:rPr>
        <w:t>參見附表十七至十九</w:t>
      </w:r>
      <w:r w:rsidR="00FF0395" w:rsidRPr="007319CD">
        <w:rPr>
          <w:rFonts w:hAnsi="標楷體"/>
        </w:rPr>
        <w:t>）</w:t>
      </w:r>
    </w:p>
    <w:p w:rsidR="00707A26" w:rsidRPr="007319CD" w:rsidRDefault="00FF0395" w:rsidP="00FF0395">
      <w:pPr>
        <w:pStyle w:val="6"/>
        <w:rPr>
          <w:rFonts w:hAnsi="標楷體"/>
        </w:rPr>
      </w:pPr>
      <w:r w:rsidRPr="007319CD">
        <w:rPr>
          <w:rFonts w:hAnsi="標楷體"/>
        </w:rPr>
        <w:lastRenderedPageBreak/>
        <w:t>健康老人</w:t>
      </w:r>
      <w:r w:rsidR="00707A26" w:rsidRPr="007319CD">
        <w:rPr>
          <w:rFonts w:hAnsi="標楷體"/>
        </w:rPr>
        <w:t>（</w:t>
      </w:r>
      <w:r w:rsidRPr="007319CD">
        <w:rPr>
          <w:rFonts w:hAnsi="標楷體"/>
        </w:rPr>
        <w:t>長期照顧機構</w:t>
      </w:r>
      <w:r w:rsidR="00707A26" w:rsidRPr="007319CD">
        <w:rPr>
          <w:rFonts w:hAnsi="標楷體"/>
        </w:rPr>
        <w:t>）每月入住費用：</w:t>
      </w:r>
    </w:p>
    <w:p w:rsidR="00707A26" w:rsidRPr="007319CD" w:rsidRDefault="00BE131E" w:rsidP="00D30CF7">
      <w:pPr>
        <w:pStyle w:val="7"/>
        <w:rPr>
          <w:rFonts w:hAnsi="標楷體"/>
        </w:rPr>
      </w:pPr>
      <w:r w:rsidRPr="007319CD">
        <w:rPr>
          <w:rFonts w:hAnsi="標楷體"/>
        </w:rPr>
        <w:t>公立機構（數量極少，</w:t>
      </w:r>
      <w:proofErr w:type="gramStart"/>
      <w:r w:rsidRPr="007319CD">
        <w:rPr>
          <w:rFonts w:hAnsi="標楷體"/>
        </w:rPr>
        <w:t>採</w:t>
      </w:r>
      <w:proofErr w:type="gramEnd"/>
      <w:r w:rsidRPr="007319CD">
        <w:rPr>
          <w:rFonts w:hAnsi="標楷體"/>
        </w:rPr>
        <w:t>抽籤制度）：服務及維護費外加伙食費，</w:t>
      </w:r>
      <w:r w:rsidR="00707A26" w:rsidRPr="007319CD">
        <w:rPr>
          <w:rFonts w:hAnsi="標楷體"/>
        </w:rPr>
        <w:t>約1</w:t>
      </w:r>
      <w:r w:rsidRPr="007319CD">
        <w:rPr>
          <w:rFonts w:hAnsi="標楷體"/>
        </w:rPr>
        <w:t>0,000</w:t>
      </w:r>
      <w:r w:rsidR="00FF0395" w:rsidRPr="007319CD">
        <w:rPr>
          <w:rFonts w:hAnsi="標楷體"/>
        </w:rPr>
        <w:t>元</w:t>
      </w:r>
      <w:r w:rsidR="0040377B" w:rsidRPr="007319CD">
        <w:rPr>
          <w:rFonts w:hAnsi="標楷體"/>
        </w:rPr>
        <w:t>。</w:t>
      </w:r>
    </w:p>
    <w:p w:rsidR="00707A26" w:rsidRPr="007319CD" w:rsidRDefault="00707A26" w:rsidP="00D30CF7">
      <w:pPr>
        <w:pStyle w:val="7"/>
        <w:rPr>
          <w:rFonts w:hAnsi="標楷體"/>
        </w:rPr>
      </w:pPr>
      <w:r w:rsidRPr="007319CD">
        <w:rPr>
          <w:rFonts w:hAnsi="標楷體"/>
        </w:rPr>
        <w:t>私立機構：不含伙食費平均14</w:t>
      </w:r>
      <w:r w:rsidR="00BE131E" w:rsidRPr="007319CD">
        <w:rPr>
          <w:rFonts w:hAnsi="標楷體"/>
        </w:rPr>
        <w:t>,</w:t>
      </w:r>
      <w:r w:rsidRPr="007319CD">
        <w:rPr>
          <w:rFonts w:hAnsi="標楷體"/>
        </w:rPr>
        <w:t>000</w:t>
      </w:r>
      <w:r w:rsidR="00BE131E" w:rsidRPr="007319CD">
        <w:rPr>
          <w:rFonts w:hAnsi="標楷體"/>
        </w:rPr>
        <w:t>元</w:t>
      </w:r>
      <w:r w:rsidR="00F94F45" w:rsidRPr="007319CD">
        <w:rPr>
          <w:rFonts w:hAnsi="標楷體" w:hint="eastAsia"/>
        </w:rPr>
        <w:t>至</w:t>
      </w:r>
      <w:r w:rsidRPr="007319CD">
        <w:rPr>
          <w:rFonts w:hAnsi="標楷體"/>
        </w:rPr>
        <w:t>25</w:t>
      </w:r>
      <w:r w:rsidR="00BE131E" w:rsidRPr="007319CD">
        <w:rPr>
          <w:rFonts w:hAnsi="標楷體"/>
        </w:rPr>
        <w:t>,</w:t>
      </w:r>
      <w:r w:rsidRPr="007319CD">
        <w:rPr>
          <w:rFonts w:hAnsi="標楷體"/>
        </w:rPr>
        <w:t>000元（長庚養生村大約25</w:t>
      </w:r>
      <w:r w:rsidR="00DD0D3B" w:rsidRPr="007319CD">
        <w:rPr>
          <w:rFonts w:hAnsi="標楷體" w:hint="eastAsia"/>
        </w:rPr>
        <w:t>,</w:t>
      </w:r>
      <w:r w:rsidRPr="007319CD">
        <w:rPr>
          <w:rFonts w:hAnsi="標楷體"/>
        </w:rPr>
        <w:t>000</w:t>
      </w:r>
      <w:r w:rsidR="00BE131E" w:rsidRPr="007319CD">
        <w:rPr>
          <w:rFonts w:hAnsi="標楷體"/>
        </w:rPr>
        <w:t>元</w:t>
      </w:r>
      <w:r w:rsidR="00626108" w:rsidRPr="007319CD">
        <w:rPr>
          <w:rStyle w:val="aff1"/>
          <w:rFonts w:hAnsi="標楷體"/>
        </w:rPr>
        <w:footnoteReference w:id="60"/>
      </w:r>
      <w:r w:rsidR="00BE131E" w:rsidRPr="007319CD">
        <w:rPr>
          <w:rFonts w:hAnsi="標楷體"/>
        </w:rPr>
        <w:t>）；若伙食費與其他費用</w:t>
      </w:r>
      <w:proofErr w:type="gramStart"/>
      <w:r w:rsidR="00BE131E" w:rsidRPr="007319CD">
        <w:rPr>
          <w:rFonts w:hAnsi="標楷體"/>
        </w:rPr>
        <w:t>採</w:t>
      </w:r>
      <w:proofErr w:type="gramEnd"/>
      <w:r w:rsidR="00BE131E" w:rsidRPr="007319CD">
        <w:rPr>
          <w:rFonts w:hAnsi="標楷體"/>
        </w:rPr>
        <w:t>10,000</w:t>
      </w:r>
      <w:r w:rsidRPr="007319CD">
        <w:rPr>
          <w:rFonts w:hAnsi="標楷體"/>
        </w:rPr>
        <w:t>元標準，機構平均費用為24</w:t>
      </w:r>
      <w:r w:rsidR="0040377B" w:rsidRPr="007319CD">
        <w:rPr>
          <w:rFonts w:hAnsi="標楷體"/>
        </w:rPr>
        <w:t>,</w:t>
      </w:r>
      <w:r w:rsidRPr="007319CD">
        <w:rPr>
          <w:rFonts w:hAnsi="標楷體"/>
        </w:rPr>
        <w:t>000</w:t>
      </w:r>
      <w:r w:rsidR="00BE131E" w:rsidRPr="007319CD">
        <w:rPr>
          <w:rFonts w:hAnsi="標楷體"/>
        </w:rPr>
        <w:t>元</w:t>
      </w:r>
      <w:r w:rsidR="00B44A00" w:rsidRPr="007319CD">
        <w:rPr>
          <w:rFonts w:hAnsi="標楷體" w:hint="eastAsia"/>
        </w:rPr>
        <w:t>至</w:t>
      </w:r>
      <w:r w:rsidRPr="007319CD">
        <w:rPr>
          <w:rFonts w:hAnsi="標楷體"/>
        </w:rPr>
        <w:t>35</w:t>
      </w:r>
      <w:r w:rsidR="0040377B" w:rsidRPr="007319CD">
        <w:rPr>
          <w:rFonts w:hAnsi="標楷體"/>
        </w:rPr>
        <w:t>,</w:t>
      </w:r>
      <w:r w:rsidRPr="007319CD">
        <w:rPr>
          <w:rFonts w:hAnsi="標楷體"/>
        </w:rPr>
        <w:t>000元。</w:t>
      </w:r>
    </w:p>
    <w:p w:rsidR="00707A26" w:rsidRPr="007319CD" w:rsidRDefault="00707A26" w:rsidP="00D30CF7">
      <w:pPr>
        <w:pStyle w:val="6"/>
        <w:rPr>
          <w:rFonts w:hAnsi="標楷體"/>
        </w:rPr>
      </w:pPr>
      <w:r w:rsidRPr="007319CD">
        <w:rPr>
          <w:rFonts w:hAnsi="標楷體"/>
        </w:rPr>
        <w:t>生活自理能力欠缺（養護機構）：</w:t>
      </w:r>
      <w:proofErr w:type="gramStart"/>
      <w:r w:rsidRPr="007319CD">
        <w:rPr>
          <w:rFonts w:hAnsi="標楷體"/>
        </w:rPr>
        <w:t>入住月費</w:t>
      </w:r>
      <w:proofErr w:type="gramEnd"/>
      <w:r w:rsidRPr="007319CD">
        <w:rPr>
          <w:rFonts w:hAnsi="標楷體"/>
        </w:rPr>
        <w:t>約17,000元</w:t>
      </w:r>
      <w:r w:rsidR="00F94F45" w:rsidRPr="007319CD">
        <w:rPr>
          <w:rFonts w:hAnsi="標楷體" w:hint="eastAsia"/>
        </w:rPr>
        <w:t>至</w:t>
      </w:r>
      <w:r w:rsidRPr="007319CD">
        <w:rPr>
          <w:rFonts w:hAnsi="標楷體"/>
        </w:rPr>
        <w:t>35,000</w:t>
      </w:r>
      <w:r w:rsidR="00BE131E" w:rsidRPr="007319CD">
        <w:rPr>
          <w:rFonts w:hAnsi="標楷體"/>
        </w:rPr>
        <w:t>元（不含伙食或其他材料費）若伙食費與其他費用</w:t>
      </w:r>
      <w:proofErr w:type="gramStart"/>
      <w:r w:rsidR="00BE131E" w:rsidRPr="007319CD">
        <w:rPr>
          <w:rFonts w:hAnsi="標楷體"/>
        </w:rPr>
        <w:t>採</w:t>
      </w:r>
      <w:proofErr w:type="gramEnd"/>
      <w:r w:rsidR="00BE131E" w:rsidRPr="007319CD">
        <w:rPr>
          <w:rFonts w:hAnsi="標楷體"/>
        </w:rPr>
        <w:t>10,000</w:t>
      </w:r>
      <w:r w:rsidRPr="007319CD">
        <w:rPr>
          <w:rFonts w:hAnsi="標楷體"/>
        </w:rPr>
        <w:t>元標準，機構平均費用為27,000元</w:t>
      </w:r>
      <w:r w:rsidR="00F94F45" w:rsidRPr="007319CD">
        <w:rPr>
          <w:rFonts w:hAnsi="標楷體" w:hint="eastAsia"/>
        </w:rPr>
        <w:t>至</w:t>
      </w:r>
      <w:r w:rsidRPr="007319CD">
        <w:rPr>
          <w:rFonts w:hAnsi="標楷體"/>
        </w:rPr>
        <w:t>45,000元。</w:t>
      </w:r>
    </w:p>
    <w:p w:rsidR="00707A26" w:rsidRPr="007319CD" w:rsidRDefault="00707A26" w:rsidP="007E1276">
      <w:pPr>
        <w:pStyle w:val="6"/>
        <w:rPr>
          <w:rFonts w:hAnsi="標楷體"/>
        </w:rPr>
      </w:pPr>
      <w:r w:rsidRPr="007319CD">
        <w:rPr>
          <w:rFonts w:hAnsi="標楷體"/>
        </w:rPr>
        <w:t>需要醫護服務（長期照護型機構）</w:t>
      </w:r>
      <w:proofErr w:type="gramStart"/>
      <w:r w:rsidRPr="007319CD">
        <w:rPr>
          <w:rFonts w:hAnsi="標楷體"/>
        </w:rPr>
        <w:t>入住月費</w:t>
      </w:r>
      <w:proofErr w:type="gramEnd"/>
      <w:r w:rsidRPr="007319CD">
        <w:rPr>
          <w:rFonts w:hAnsi="標楷體"/>
        </w:rPr>
        <w:t>約20,000</w:t>
      </w:r>
      <w:r w:rsidR="00BE131E" w:rsidRPr="007319CD">
        <w:rPr>
          <w:rFonts w:hAnsi="標楷體"/>
        </w:rPr>
        <w:t>元</w:t>
      </w:r>
      <w:r w:rsidR="00363938" w:rsidRPr="007319CD">
        <w:rPr>
          <w:rFonts w:hAnsi="標楷體" w:hint="eastAsia"/>
        </w:rPr>
        <w:t>至</w:t>
      </w:r>
      <w:r w:rsidRPr="007319CD">
        <w:rPr>
          <w:rFonts w:hAnsi="標楷體"/>
        </w:rPr>
        <w:t>35,000元（多人房）；若以台北市而論</w:t>
      </w:r>
      <w:r w:rsidR="00DD0D3B" w:rsidRPr="007319CD">
        <w:rPr>
          <w:rFonts w:hAnsi="標楷體" w:hint="eastAsia"/>
        </w:rPr>
        <w:t>，</w:t>
      </w:r>
      <w:r w:rsidRPr="007319CD">
        <w:rPr>
          <w:rFonts w:hAnsi="標楷體"/>
        </w:rPr>
        <w:t>市立醫院附設護理機構為3</w:t>
      </w:r>
      <w:r w:rsidR="00BE131E" w:rsidRPr="007319CD">
        <w:rPr>
          <w:rFonts w:hAnsi="標楷體"/>
        </w:rPr>
        <w:t>6,000元</w:t>
      </w:r>
      <w:r w:rsidR="00363938" w:rsidRPr="007319CD">
        <w:rPr>
          <w:rFonts w:hAnsi="標楷體" w:hint="eastAsia"/>
        </w:rPr>
        <w:t>至</w:t>
      </w:r>
      <w:r w:rsidRPr="007319CD">
        <w:rPr>
          <w:rFonts w:hAnsi="標楷體"/>
        </w:rPr>
        <w:t>6</w:t>
      </w:r>
      <w:r w:rsidR="00BE131E" w:rsidRPr="007319CD">
        <w:rPr>
          <w:rFonts w:hAnsi="標楷體"/>
        </w:rPr>
        <w:t>0,000元</w:t>
      </w:r>
      <w:r w:rsidRPr="007319CD">
        <w:rPr>
          <w:rFonts w:hAnsi="標楷體"/>
        </w:rPr>
        <w:t>（視房型，不含材料費）；若其他費用</w:t>
      </w:r>
      <w:proofErr w:type="gramStart"/>
      <w:r w:rsidRPr="007319CD">
        <w:rPr>
          <w:rFonts w:hAnsi="標楷體"/>
        </w:rPr>
        <w:t>採</w:t>
      </w:r>
      <w:proofErr w:type="gramEnd"/>
      <w:r w:rsidR="002D46CC" w:rsidRPr="007319CD">
        <w:rPr>
          <w:rFonts w:hAnsi="標楷體"/>
        </w:rPr>
        <w:t>10,000元</w:t>
      </w:r>
      <w:r w:rsidRPr="007319CD">
        <w:rPr>
          <w:rFonts w:hAnsi="標楷體"/>
        </w:rPr>
        <w:t>標準，機構平均為30,000</w:t>
      </w:r>
      <w:r w:rsidR="00BE131E" w:rsidRPr="007319CD">
        <w:rPr>
          <w:rFonts w:hAnsi="標楷體"/>
        </w:rPr>
        <w:t>元</w:t>
      </w:r>
      <w:r w:rsidR="00363938" w:rsidRPr="007319CD">
        <w:rPr>
          <w:rFonts w:hAnsi="標楷體" w:hint="eastAsia"/>
        </w:rPr>
        <w:t>至</w:t>
      </w:r>
      <w:r w:rsidRPr="007319CD">
        <w:rPr>
          <w:rFonts w:hAnsi="標楷體"/>
        </w:rPr>
        <w:t>45,000元。</w:t>
      </w:r>
    </w:p>
    <w:p w:rsidR="00707A26" w:rsidRPr="007319CD" w:rsidRDefault="00707A26" w:rsidP="00D30CF7">
      <w:pPr>
        <w:pStyle w:val="4"/>
        <w:rPr>
          <w:rFonts w:hAnsi="標楷體"/>
        </w:rPr>
      </w:pPr>
      <w:r w:rsidRPr="007319CD">
        <w:rPr>
          <w:rFonts w:hAnsi="標楷體"/>
        </w:rPr>
        <w:t>上開機構費用，若單就最低保障金額32,160</w:t>
      </w:r>
      <w:r w:rsidR="00FF0395" w:rsidRPr="007319CD">
        <w:rPr>
          <w:rFonts w:hAnsi="標楷體"/>
        </w:rPr>
        <w:t>元而論，健康老人在非大</w:t>
      </w:r>
      <w:proofErr w:type="gramStart"/>
      <w:r w:rsidR="00FF0395" w:rsidRPr="007319CD">
        <w:rPr>
          <w:rFonts w:hAnsi="標楷體"/>
        </w:rPr>
        <w:t>臺</w:t>
      </w:r>
      <w:proofErr w:type="gramEnd"/>
      <w:r w:rsidR="00FF0395" w:rsidRPr="007319CD">
        <w:rPr>
          <w:rFonts w:hAnsi="標楷體"/>
        </w:rPr>
        <w:t>北地區，機構費用加上其他零用花費，或</w:t>
      </w:r>
      <w:proofErr w:type="gramStart"/>
      <w:r w:rsidR="00FF0395" w:rsidRPr="007319CD">
        <w:rPr>
          <w:rFonts w:hAnsi="標楷體"/>
        </w:rPr>
        <w:t>勉</w:t>
      </w:r>
      <w:proofErr w:type="gramEnd"/>
      <w:r w:rsidR="00FF0395" w:rsidRPr="007319CD">
        <w:rPr>
          <w:rFonts w:hAnsi="標楷體"/>
        </w:rPr>
        <w:t>為支應，大</w:t>
      </w:r>
      <w:proofErr w:type="gramStart"/>
      <w:r w:rsidR="00FF0395" w:rsidRPr="007319CD">
        <w:rPr>
          <w:rFonts w:hAnsi="標楷體"/>
        </w:rPr>
        <w:t>臺</w:t>
      </w:r>
      <w:proofErr w:type="gramEnd"/>
      <w:r w:rsidRPr="007319CD">
        <w:rPr>
          <w:rFonts w:hAnsi="標楷體"/>
        </w:rPr>
        <w:t>北地區，則嫌不足；至於生活自理能力欠缺（養護機構）與需要醫護服務（長期照護型機構）均無法支應；</w:t>
      </w:r>
      <w:proofErr w:type="gramStart"/>
      <w:r w:rsidRPr="007319CD">
        <w:rPr>
          <w:rFonts w:hAnsi="標楷體"/>
        </w:rPr>
        <w:t>縱若65歲</w:t>
      </w:r>
      <w:proofErr w:type="gramEnd"/>
      <w:r w:rsidRPr="007319CD">
        <w:rPr>
          <w:rFonts w:hAnsi="標楷體"/>
        </w:rPr>
        <w:t>退休簡任12職等以上，</w:t>
      </w:r>
      <w:proofErr w:type="gramStart"/>
      <w:r w:rsidRPr="007319CD">
        <w:rPr>
          <w:rFonts w:hAnsi="標楷體"/>
        </w:rPr>
        <w:t>俸</w:t>
      </w:r>
      <w:proofErr w:type="gramEnd"/>
      <w:r w:rsidRPr="007319CD">
        <w:rPr>
          <w:rFonts w:hAnsi="標楷體"/>
        </w:rPr>
        <w:t>點800點滿15年（50歲能800點幾希）最高金額為63</w:t>
      </w:r>
      <w:r w:rsidR="00FF0395" w:rsidRPr="007319CD">
        <w:rPr>
          <w:rFonts w:hAnsi="標楷體"/>
        </w:rPr>
        <w:t>,</w:t>
      </w:r>
      <w:r w:rsidRPr="007319CD">
        <w:rPr>
          <w:rFonts w:hAnsi="標楷體"/>
        </w:rPr>
        <w:t>690元，距離平均</w:t>
      </w:r>
      <w:r w:rsidR="00F14846" w:rsidRPr="007319CD">
        <w:rPr>
          <w:rFonts w:hAnsi="標楷體"/>
        </w:rPr>
        <w:t>壽命</w:t>
      </w:r>
      <w:r w:rsidRPr="007319CD">
        <w:rPr>
          <w:rFonts w:hAnsi="標楷體"/>
        </w:rPr>
        <w:t>80歲，亦僅剩</w:t>
      </w:r>
      <w:proofErr w:type="gramStart"/>
      <w:r w:rsidRPr="007319CD">
        <w:rPr>
          <w:rFonts w:hAnsi="標楷體"/>
        </w:rPr>
        <w:t>15年餘命</w:t>
      </w:r>
      <w:proofErr w:type="gramEnd"/>
      <w:r w:rsidRPr="007319CD">
        <w:rPr>
          <w:rFonts w:hAnsi="標楷體"/>
        </w:rPr>
        <w:t>，若不幸該當國人長期照護需求時段約為7.3年，亦將陷入</w:t>
      </w:r>
      <w:proofErr w:type="gramStart"/>
      <w:r w:rsidRPr="007319CD">
        <w:rPr>
          <w:rFonts w:hAnsi="標楷體"/>
        </w:rPr>
        <w:t>貧病老死</w:t>
      </w:r>
      <w:proofErr w:type="gramEnd"/>
      <w:r w:rsidRPr="007319CD">
        <w:rPr>
          <w:rFonts w:hAnsi="標楷體"/>
        </w:rPr>
        <w:t>交迫的窘境，新法規定單以財務考量，致公務員無法安度餘生，除前述破壞公務員制度性保障</w:t>
      </w:r>
      <w:r w:rsidRPr="007319CD">
        <w:rPr>
          <w:rFonts w:hAnsi="標楷體"/>
        </w:rPr>
        <w:lastRenderedPageBreak/>
        <w:t>外，更造成對公務員生存權造成最大侵害，正如孟子所稱：「今</w:t>
      </w:r>
      <w:proofErr w:type="gramStart"/>
      <w:r w:rsidRPr="007319CD">
        <w:rPr>
          <w:rFonts w:hAnsi="標楷體"/>
        </w:rPr>
        <w:t>也制民之</w:t>
      </w:r>
      <w:proofErr w:type="gramEnd"/>
      <w:r w:rsidRPr="007319CD">
        <w:rPr>
          <w:rFonts w:hAnsi="標楷體"/>
        </w:rPr>
        <w:t>產，仰不足以事父母，俯不</w:t>
      </w:r>
      <w:proofErr w:type="gramStart"/>
      <w:r w:rsidRPr="007319CD">
        <w:rPr>
          <w:rFonts w:hAnsi="標楷體"/>
        </w:rPr>
        <w:t>足以畜</w:t>
      </w:r>
      <w:proofErr w:type="gramEnd"/>
      <w:r w:rsidRPr="007319CD">
        <w:rPr>
          <w:rFonts w:hAnsi="標楷體"/>
        </w:rPr>
        <w:t>妻子；</w:t>
      </w:r>
      <w:proofErr w:type="gramStart"/>
      <w:r w:rsidR="00FF0395" w:rsidRPr="007319CD">
        <w:rPr>
          <w:rFonts w:hAnsi="標楷體"/>
        </w:rPr>
        <w:t>樂歲終身</w:t>
      </w:r>
      <w:proofErr w:type="gramEnd"/>
      <w:r w:rsidR="00FF0395" w:rsidRPr="007319CD">
        <w:rPr>
          <w:rFonts w:hAnsi="標楷體"/>
        </w:rPr>
        <w:t>苦，凶年不免於死亡。</w:t>
      </w:r>
      <w:proofErr w:type="gramStart"/>
      <w:r w:rsidR="00FF0395" w:rsidRPr="007319CD">
        <w:rPr>
          <w:rFonts w:hAnsi="標楷體"/>
        </w:rPr>
        <w:t>此惟救</w:t>
      </w:r>
      <w:proofErr w:type="gramEnd"/>
      <w:r w:rsidR="00FF0395" w:rsidRPr="007319CD">
        <w:rPr>
          <w:rFonts w:hAnsi="標楷體"/>
        </w:rPr>
        <w:t>死而恐不</w:t>
      </w:r>
      <w:proofErr w:type="gramStart"/>
      <w:r w:rsidR="00FF0395" w:rsidRPr="007319CD">
        <w:rPr>
          <w:rFonts w:hAnsi="標楷體"/>
        </w:rPr>
        <w:t>贍</w:t>
      </w:r>
      <w:proofErr w:type="gramEnd"/>
      <w:r w:rsidR="00FF0395" w:rsidRPr="007319CD">
        <w:rPr>
          <w:rFonts w:hAnsi="標楷體"/>
        </w:rPr>
        <w:t>，</w:t>
      </w:r>
      <w:proofErr w:type="gramStart"/>
      <w:r w:rsidR="00FF0395" w:rsidRPr="007319CD">
        <w:rPr>
          <w:rFonts w:hAnsi="標楷體"/>
        </w:rPr>
        <w:t>奚暇</w:t>
      </w:r>
      <w:proofErr w:type="gramEnd"/>
      <w:r w:rsidR="00FF0395" w:rsidRPr="007319CD">
        <w:rPr>
          <w:rFonts w:hAnsi="標楷體"/>
        </w:rPr>
        <w:t>治</w:t>
      </w:r>
      <w:proofErr w:type="gramStart"/>
      <w:r w:rsidR="00FF0395" w:rsidRPr="007319CD">
        <w:rPr>
          <w:rFonts w:hAnsi="標楷體"/>
        </w:rPr>
        <w:t>禮義哉</w:t>
      </w:r>
      <w:proofErr w:type="gramEnd"/>
      <w:r w:rsidR="00FF0395" w:rsidRPr="007319CD">
        <w:rPr>
          <w:rFonts w:hAnsi="標楷體"/>
        </w:rPr>
        <w:t>！」</w:t>
      </w:r>
      <w:r w:rsidR="00DA4FB3" w:rsidRPr="007319CD">
        <w:rPr>
          <w:rFonts w:hAnsi="標楷體"/>
        </w:rPr>
        <w:t>國家</w:t>
      </w:r>
      <w:r w:rsidRPr="007319CD">
        <w:rPr>
          <w:rFonts w:hAnsi="標楷體"/>
        </w:rPr>
        <w:t>制訂此種嚴重背離比例原則之法律，而要求公務員謹慎勤勉，</w:t>
      </w:r>
      <w:proofErr w:type="gramStart"/>
      <w:r w:rsidRPr="007319CD">
        <w:rPr>
          <w:rFonts w:hAnsi="標楷體"/>
        </w:rPr>
        <w:t>守法奉公</w:t>
      </w:r>
      <w:proofErr w:type="gramEnd"/>
      <w:r w:rsidRPr="007319CD">
        <w:rPr>
          <w:rFonts w:hAnsi="標楷體"/>
        </w:rPr>
        <w:t>，難矣。</w:t>
      </w:r>
    </w:p>
    <w:p w:rsidR="00A2772B" w:rsidRPr="007319CD" w:rsidRDefault="00A2772B" w:rsidP="00A2772B">
      <w:pPr>
        <w:pStyle w:val="3"/>
        <w:rPr>
          <w:rFonts w:hAnsi="標楷體"/>
          <w:b/>
        </w:rPr>
      </w:pPr>
      <w:r w:rsidRPr="007319CD">
        <w:rPr>
          <w:rFonts w:hAnsi="標楷體" w:hint="eastAsia"/>
          <w:b/>
        </w:rPr>
        <w:t>新法僅基於財務政策公益之考量（即國庫利益之考量），而</w:t>
      </w:r>
      <w:proofErr w:type="gramStart"/>
      <w:r w:rsidRPr="007319CD">
        <w:rPr>
          <w:rFonts w:hAnsi="標楷體" w:hint="eastAsia"/>
          <w:b/>
        </w:rPr>
        <w:t>遽</w:t>
      </w:r>
      <w:proofErr w:type="gramEnd"/>
      <w:r w:rsidRPr="007319CD">
        <w:rPr>
          <w:rFonts w:hAnsi="標楷體" w:hint="eastAsia"/>
          <w:b/>
        </w:rPr>
        <w:t>行摧毀公務員制度性保障或</w:t>
      </w:r>
      <w:r w:rsidR="00ED7459" w:rsidRPr="007319CD">
        <w:rPr>
          <w:rFonts w:hAnsi="標楷體" w:hint="eastAsia"/>
          <w:b/>
        </w:rPr>
        <w:t>減損具有效能（具吸引力）的文官制度，並未遵守</w:t>
      </w:r>
      <w:r w:rsidR="008B0C99" w:rsidRPr="007319CD">
        <w:rPr>
          <w:rFonts w:hAnsi="標楷體" w:hint="eastAsia"/>
          <w:b/>
        </w:rPr>
        <w:t>退撫基金管理條例</w:t>
      </w:r>
      <w:r w:rsidR="00ED7459" w:rsidRPr="007319CD">
        <w:rPr>
          <w:rFonts w:hAnsi="標楷體" w:hint="eastAsia"/>
          <w:b/>
        </w:rPr>
        <w:t>調整</w:t>
      </w:r>
      <w:proofErr w:type="gramStart"/>
      <w:r w:rsidR="00ED7459" w:rsidRPr="007319CD">
        <w:rPr>
          <w:rFonts w:hAnsi="標楷體" w:hint="eastAsia"/>
          <w:b/>
        </w:rPr>
        <w:t>提撥</w:t>
      </w:r>
      <w:proofErr w:type="gramEnd"/>
      <w:r w:rsidRPr="007319CD">
        <w:rPr>
          <w:rFonts w:hAnsi="標楷體" w:hint="eastAsia"/>
          <w:b/>
        </w:rPr>
        <w:t>費率，或由政府撥款（</w:t>
      </w:r>
      <w:r w:rsidR="00272351" w:rsidRPr="007319CD">
        <w:rPr>
          <w:rFonts w:hAnsi="標楷體" w:hint="eastAsia"/>
          <w:b/>
        </w:rPr>
        <w:t>本案調查意見五</w:t>
      </w:r>
      <w:r w:rsidRPr="007319CD">
        <w:rPr>
          <w:rFonts w:hAnsi="標楷體" w:hint="eastAsia"/>
          <w:b/>
        </w:rPr>
        <w:t>），反以違反法治國原則下之法律</w:t>
      </w:r>
      <w:proofErr w:type="gramStart"/>
      <w:r w:rsidRPr="007319CD">
        <w:rPr>
          <w:rFonts w:hAnsi="標楷體" w:hint="eastAsia"/>
          <w:b/>
        </w:rPr>
        <w:t>不</w:t>
      </w:r>
      <w:proofErr w:type="gramEnd"/>
      <w:r w:rsidRPr="007319CD">
        <w:rPr>
          <w:rFonts w:hAnsi="標楷體" w:hint="eastAsia"/>
          <w:b/>
        </w:rPr>
        <w:t>溯及既往原則、信賴保護原則、比例原則、誠信原則</w:t>
      </w:r>
      <w:r w:rsidR="00CD7658" w:rsidRPr="007319CD">
        <w:rPr>
          <w:rFonts w:hAnsi="標楷體" w:hint="eastAsia"/>
          <w:b/>
        </w:rPr>
        <w:t>與</w:t>
      </w:r>
      <w:r w:rsidRPr="007319CD">
        <w:rPr>
          <w:rFonts w:hAnsi="標楷體" w:hint="eastAsia"/>
          <w:b/>
        </w:rPr>
        <w:t>平等原則，並侵害公務員財產權與生存權之方式，達成所謂減輕國家財政負擔目的，其亦僅能延長公教人員退撫基金收支平衡16年或17年，與延後基金免於</w:t>
      </w:r>
      <w:proofErr w:type="gramStart"/>
      <w:r w:rsidRPr="007319CD">
        <w:rPr>
          <w:rFonts w:hAnsi="標楷體" w:hint="eastAsia"/>
          <w:b/>
        </w:rPr>
        <w:t>用罄約20年</w:t>
      </w:r>
      <w:proofErr w:type="gramEnd"/>
      <w:r w:rsidRPr="007319CD">
        <w:rPr>
          <w:rFonts w:hAnsi="標楷體" w:hint="eastAsia"/>
          <w:b/>
        </w:rPr>
        <w:t>，對於基金</w:t>
      </w:r>
      <w:proofErr w:type="gramStart"/>
      <w:r w:rsidRPr="007319CD">
        <w:rPr>
          <w:rFonts w:hAnsi="標楷體" w:hint="eastAsia"/>
          <w:b/>
        </w:rPr>
        <w:t>得否永續</w:t>
      </w:r>
      <w:proofErr w:type="gramEnd"/>
      <w:r w:rsidRPr="007319CD">
        <w:rPr>
          <w:rFonts w:hAnsi="標楷體" w:hint="eastAsia"/>
          <w:b/>
        </w:rPr>
        <w:t>經營無法解決，除與「適合原則」未盡相符外，顯違反狹義之比例原則，自屬違憲</w:t>
      </w:r>
      <w:r w:rsidR="00967CAC" w:rsidRPr="007319CD">
        <w:rPr>
          <w:rFonts w:hAnsi="標楷體" w:hint="eastAsia"/>
          <w:b/>
        </w:rPr>
        <w:t>法律。</w:t>
      </w:r>
    </w:p>
    <w:p w:rsidR="00CD1C50" w:rsidRPr="007319CD" w:rsidRDefault="00B23E7C" w:rsidP="00E61559">
      <w:pPr>
        <w:pStyle w:val="4"/>
        <w:tabs>
          <w:tab w:val="left" w:pos="7371"/>
        </w:tabs>
        <w:rPr>
          <w:rFonts w:hAnsi="標楷體"/>
        </w:rPr>
      </w:pPr>
      <w:r w:rsidRPr="007319CD">
        <w:rPr>
          <w:rFonts w:hAnsi="標楷體" w:hint="eastAsia"/>
        </w:rPr>
        <w:t>按</w:t>
      </w:r>
      <w:r w:rsidR="006B6EC5" w:rsidRPr="007319CD">
        <w:rPr>
          <w:rFonts w:hAnsi="標楷體" w:hint="eastAsia"/>
        </w:rPr>
        <w:t>公務人員退撫法（新法）之政策目的</w:t>
      </w:r>
      <w:r w:rsidR="00F575A8" w:rsidRPr="007319CD">
        <w:rPr>
          <w:rFonts w:hAnsi="標楷體" w:hint="eastAsia"/>
        </w:rPr>
        <w:t>，依據該法草案立法說明</w:t>
      </w:r>
      <w:r w:rsidRPr="007319CD">
        <w:rPr>
          <w:rFonts w:hAnsi="標楷體" w:hint="eastAsia"/>
        </w:rPr>
        <w:t>稱：「</w:t>
      </w:r>
      <w:r w:rsidRPr="007319CD">
        <w:rPr>
          <w:rFonts w:hAnsi="標楷體"/>
        </w:rPr>
        <w:t>現行公務人員退休及撫</w:t>
      </w:r>
      <w:proofErr w:type="gramStart"/>
      <w:r w:rsidRPr="007319CD">
        <w:rPr>
          <w:rFonts w:hAnsi="標楷體"/>
        </w:rPr>
        <w:t>卹</w:t>
      </w:r>
      <w:proofErr w:type="gramEnd"/>
      <w:r w:rsidRPr="007319CD">
        <w:rPr>
          <w:rFonts w:hAnsi="標楷體"/>
        </w:rPr>
        <w:t>制度自</w:t>
      </w:r>
      <w:r w:rsidR="005C715E" w:rsidRPr="007319CD">
        <w:rPr>
          <w:rFonts w:hAnsi="標楷體" w:hint="eastAsia"/>
        </w:rPr>
        <w:t>84</w:t>
      </w:r>
      <w:r w:rsidRPr="007319CD">
        <w:rPr>
          <w:rFonts w:hAnsi="標楷體"/>
        </w:rPr>
        <w:t>年</w:t>
      </w:r>
      <w:r w:rsidR="005C715E" w:rsidRPr="007319CD">
        <w:rPr>
          <w:rFonts w:hAnsi="標楷體" w:hint="eastAsia"/>
        </w:rPr>
        <w:t>7</w:t>
      </w:r>
      <w:r w:rsidRPr="007319CD">
        <w:rPr>
          <w:rFonts w:hAnsi="標楷體"/>
        </w:rPr>
        <w:t>月</w:t>
      </w:r>
      <w:r w:rsidR="005C715E" w:rsidRPr="007319CD">
        <w:rPr>
          <w:rFonts w:hAnsi="標楷體" w:hint="eastAsia"/>
        </w:rPr>
        <w:t>1</w:t>
      </w:r>
      <w:r w:rsidRPr="007319CD">
        <w:rPr>
          <w:rFonts w:hAnsi="標楷體"/>
        </w:rPr>
        <w:t>日起，退休金準備責任制度</w:t>
      </w:r>
      <w:proofErr w:type="gramStart"/>
      <w:r w:rsidRPr="007319CD">
        <w:rPr>
          <w:rFonts w:hAnsi="標楷體"/>
        </w:rPr>
        <w:t>已從恩給</w:t>
      </w:r>
      <w:proofErr w:type="gramEnd"/>
      <w:r w:rsidRPr="007319CD">
        <w:rPr>
          <w:rFonts w:hAnsi="標楷體"/>
        </w:rPr>
        <w:t>制轉換為儲金制（</w:t>
      </w:r>
      <w:r w:rsidR="00E61559" w:rsidRPr="007319CD">
        <w:rPr>
          <w:rFonts w:hAnsi="標楷體"/>
        </w:rPr>
        <w:t>下稱</w:t>
      </w:r>
      <w:r w:rsidRPr="007319CD">
        <w:rPr>
          <w:rFonts w:hAnsi="標楷體"/>
        </w:rPr>
        <w:t>退撫新制），並由政府與公務人員共同成立退撫基金支應退撫經費。該制度實施迄今</w:t>
      </w:r>
      <w:r w:rsidR="00E61559" w:rsidRPr="007319CD">
        <w:rPr>
          <w:rFonts w:hAnsi="標楷體" w:hint="eastAsia"/>
        </w:rPr>
        <w:t>21</w:t>
      </w:r>
      <w:r w:rsidRPr="007319CD">
        <w:rPr>
          <w:rFonts w:hAnsi="標楷體"/>
        </w:rPr>
        <w:t>餘年來，由於客觀情境已</w:t>
      </w:r>
      <w:proofErr w:type="gramStart"/>
      <w:r w:rsidRPr="007319CD">
        <w:rPr>
          <w:rFonts w:hAnsi="標楷體"/>
        </w:rPr>
        <w:t>迥</w:t>
      </w:r>
      <w:proofErr w:type="gramEnd"/>
      <w:r w:rsidRPr="007319CD">
        <w:rPr>
          <w:rFonts w:hAnsi="標楷體"/>
        </w:rPr>
        <w:t>異於退撫新制建制之初，以致政府對於公務人員退撫經費之籌措，日益困窘；退撫基金所需退撫財務支出亦年復一年增加。是政府基於國家整體施政優先順序之考量，不得不就公務人員退撫制度重加檢討並力謀改善。</w:t>
      </w:r>
      <w:r w:rsidRPr="007319CD">
        <w:rPr>
          <w:rFonts w:hAnsi="標楷體" w:hint="eastAsia"/>
        </w:rPr>
        <w:t>」亦即</w:t>
      </w:r>
      <w:r w:rsidR="006B6EC5" w:rsidRPr="007319CD">
        <w:rPr>
          <w:rFonts w:hAnsi="標楷體" w:hint="eastAsia"/>
        </w:rPr>
        <w:t>在於</w:t>
      </w:r>
      <w:r w:rsidR="00CD1C50" w:rsidRPr="007319CD">
        <w:rPr>
          <w:rFonts w:hAnsi="標楷體" w:hint="eastAsia"/>
        </w:rPr>
        <w:t>減輕國家財政負擔之公益（即所謂的國庫之窮困</w:t>
      </w:r>
      <w:proofErr w:type="gramStart"/>
      <w:r w:rsidR="00CD1C50" w:rsidRPr="007319CD">
        <w:rPr>
          <w:rFonts w:hAnsi="標楷體" w:hint="eastAsia"/>
        </w:rPr>
        <w:t>抗辨</w:t>
      </w:r>
      <w:proofErr w:type="gramEnd"/>
      <w:r w:rsidR="00CD1C50" w:rsidRPr="007319CD">
        <w:rPr>
          <w:rFonts w:hAnsi="標楷體" w:hint="eastAsia"/>
        </w:rPr>
        <w:t>）</w:t>
      </w:r>
      <w:r w:rsidR="00A826EA" w:rsidRPr="007319CD">
        <w:rPr>
          <w:rFonts w:hAnsi="標楷體" w:hint="eastAsia"/>
        </w:rPr>
        <w:t>目</w:t>
      </w:r>
      <w:r w:rsidR="00A826EA" w:rsidRPr="007319CD">
        <w:rPr>
          <w:rFonts w:hAnsi="標楷體" w:hint="eastAsia"/>
        </w:rPr>
        <w:lastRenderedPageBreak/>
        <w:t>的</w:t>
      </w:r>
      <w:r w:rsidR="00CD1C50" w:rsidRPr="007319CD">
        <w:rPr>
          <w:rFonts w:hAnsi="標楷體" w:hint="eastAsia"/>
        </w:rPr>
        <w:t>，</w:t>
      </w:r>
      <w:r w:rsidR="00A826EA" w:rsidRPr="007319CD">
        <w:rPr>
          <w:rFonts w:hAnsi="標楷體" w:hint="eastAsia"/>
        </w:rPr>
        <w:t>然同時涉及侵害公務員（含現職及退休公務員）信賴利益之保護，</w:t>
      </w:r>
      <w:r w:rsidR="00CD1C50" w:rsidRPr="007319CD">
        <w:rPr>
          <w:rFonts w:hAnsi="標楷體" w:hint="eastAsia"/>
        </w:rPr>
        <w:t>影響個</w:t>
      </w:r>
      <w:r w:rsidR="00A826EA" w:rsidRPr="007319CD">
        <w:rPr>
          <w:rFonts w:hAnsi="標楷體" w:hint="eastAsia"/>
        </w:rPr>
        <w:t>別公務員法律地位，破壞公務員制度性保障（含教師），將使特別法律關係失其正當性</w:t>
      </w:r>
      <w:r w:rsidR="00E065B9" w:rsidRPr="007319CD">
        <w:rPr>
          <w:rFonts w:hAnsi="標楷體" w:hint="eastAsia"/>
        </w:rPr>
        <w:t>，造成</w:t>
      </w:r>
      <w:r w:rsidR="00A826EA" w:rsidRPr="007319CD">
        <w:rPr>
          <w:rFonts w:hAnsi="標楷體" w:hint="eastAsia"/>
        </w:rPr>
        <w:t>年輕菁英無人願</w:t>
      </w:r>
      <w:r w:rsidR="00E61559" w:rsidRPr="007319CD">
        <w:rPr>
          <w:rFonts w:hAnsi="標楷體" w:hint="eastAsia"/>
        </w:rPr>
        <w:t>意</w:t>
      </w:r>
      <w:r w:rsidR="00A826EA" w:rsidRPr="007319CD">
        <w:rPr>
          <w:rFonts w:hAnsi="標楷體" w:hint="eastAsia"/>
        </w:rPr>
        <w:t>進</w:t>
      </w:r>
      <w:r w:rsidR="00E61559" w:rsidRPr="007319CD">
        <w:rPr>
          <w:rFonts w:hAnsi="標楷體" w:hint="eastAsia"/>
        </w:rPr>
        <w:t>入</w:t>
      </w:r>
      <w:r w:rsidR="00A826EA" w:rsidRPr="007319CD">
        <w:rPr>
          <w:rFonts w:hAnsi="標楷體" w:hint="eastAsia"/>
        </w:rPr>
        <w:t>公務體</w:t>
      </w:r>
      <w:r w:rsidR="00E065B9" w:rsidRPr="007319CD">
        <w:rPr>
          <w:rFonts w:hAnsi="標楷體" w:hint="eastAsia"/>
        </w:rPr>
        <w:t>系，公共服務品質與國家整體競爭力必將下降，嚴重影響常任文官制度，並</w:t>
      </w:r>
      <w:r w:rsidR="00CD1C50" w:rsidRPr="007319CD">
        <w:rPr>
          <w:rFonts w:hAnsi="標楷體" w:hint="eastAsia"/>
        </w:rPr>
        <w:t>非</w:t>
      </w:r>
      <w:r w:rsidR="00E065B9" w:rsidRPr="007319CD">
        <w:rPr>
          <w:rFonts w:hAnsi="標楷體" w:hint="eastAsia"/>
        </w:rPr>
        <w:t>僅為</w:t>
      </w:r>
      <w:r w:rsidR="00CD1C50" w:rsidRPr="007319CD">
        <w:rPr>
          <w:rFonts w:hAnsi="標楷體" w:hint="eastAsia"/>
        </w:rPr>
        <w:t>純粹公益與私</w:t>
      </w:r>
      <w:proofErr w:type="gramStart"/>
      <w:r w:rsidR="00CD1C50" w:rsidRPr="007319CD">
        <w:rPr>
          <w:rFonts w:hAnsi="標楷體" w:hint="eastAsia"/>
        </w:rPr>
        <w:t>益之衡酌</w:t>
      </w:r>
      <w:proofErr w:type="gramEnd"/>
      <w:r w:rsidR="00CD1C50" w:rsidRPr="007319CD">
        <w:rPr>
          <w:rFonts w:hAnsi="標楷體" w:hint="eastAsia"/>
        </w:rPr>
        <w:t>而已；申言之，此種基礎法律（即公務人員退休撫</w:t>
      </w:r>
      <w:proofErr w:type="gramStart"/>
      <w:r w:rsidR="00CD1C50" w:rsidRPr="007319CD">
        <w:rPr>
          <w:rFonts w:hAnsi="標楷體" w:hint="eastAsia"/>
        </w:rPr>
        <w:t>卹</w:t>
      </w:r>
      <w:proofErr w:type="gramEnd"/>
      <w:r w:rsidR="00CD1C50" w:rsidRPr="007319CD">
        <w:rPr>
          <w:rFonts w:hAnsi="標楷體" w:hint="eastAsia"/>
        </w:rPr>
        <w:t>法）之變動或廢止，乃涉及複雜的公益（國庫利益）與私益加上公益（即文官制度的制度性保障功能減損或喪失）的相互衡酌，</w:t>
      </w:r>
      <w:r w:rsidR="00A9344F" w:rsidRPr="007319CD">
        <w:rPr>
          <w:rFonts w:hAnsi="標楷體" w:hint="eastAsia"/>
        </w:rPr>
        <w:t>僅因財務政策公益之考量（即國庫利益之考量），而</w:t>
      </w:r>
      <w:proofErr w:type="gramStart"/>
      <w:r w:rsidR="00A9344F" w:rsidRPr="007319CD">
        <w:rPr>
          <w:rFonts w:hAnsi="標楷體" w:hint="eastAsia"/>
        </w:rPr>
        <w:t>遽</w:t>
      </w:r>
      <w:proofErr w:type="gramEnd"/>
      <w:r w:rsidR="00A9344F" w:rsidRPr="007319CD">
        <w:rPr>
          <w:rFonts w:hAnsi="標楷體" w:hint="eastAsia"/>
        </w:rPr>
        <w:t>行摧毀公務員制度性保障或減損具有</w:t>
      </w:r>
      <w:r w:rsidR="00CD1C50" w:rsidRPr="007319CD">
        <w:rPr>
          <w:rFonts w:hAnsi="標楷體" w:hint="eastAsia"/>
        </w:rPr>
        <w:t>效能（具吸引力）的文官制度</w:t>
      </w:r>
      <w:r w:rsidR="00A861CC" w:rsidRPr="007319CD">
        <w:rPr>
          <w:rStyle w:val="aff1"/>
          <w:rFonts w:hAnsi="標楷體"/>
        </w:rPr>
        <w:footnoteReference w:id="61"/>
      </w:r>
      <w:r w:rsidR="00CD1C50" w:rsidRPr="007319CD">
        <w:rPr>
          <w:rFonts w:hAnsi="標楷體" w:hint="eastAsia"/>
        </w:rPr>
        <w:t>，</w:t>
      </w:r>
      <w:r w:rsidR="00A9344F" w:rsidRPr="007319CD">
        <w:rPr>
          <w:rFonts w:hAnsi="標楷體" w:hint="eastAsia"/>
        </w:rPr>
        <w:t>此種相互矛盾</w:t>
      </w:r>
      <w:r w:rsidR="00CD1C50" w:rsidRPr="007319CD">
        <w:rPr>
          <w:rFonts w:hAnsi="標楷體" w:hint="eastAsia"/>
        </w:rPr>
        <w:t>法律改革</w:t>
      </w:r>
      <w:r w:rsidR="00A9344F" w:rsidRPr="007319CD">
        <w:rPr>
          <w:rFonts w:hAnsi="標楷體" w:hint="eastAsia"/>
        </w:rPr>
        <w:t>，涉有違反狹義比例原則之虞</w:t>
      </w:r>
      <w:r w:rsidR="00CD1C50" w:rsidRPr="007319CD">
        <w:rPr>
          <w:rFonts w:hAnsi="標楷體" w:hint="eastAsia"/>
        </w:rPr>
        <w:t>。</w:t>
      </w:r>
    </w:p>
    <w:p w:rsidR="00F83CA6" w:rsidRPr="007319CD" w:rsidRDefault="00DE0CED" w:rsidP="0006281E">
      <w:pPr>
        <w:pStyle w:val="4"/>
        <w:rPr>
          <w:rFonts w:hAnsi="標楷體"/>
        </w:rPr>
      </w:pPr>
      <w:r w:rsidRPr="007319CD">
        <w:rPr>
          <w:rFonts w:hAnsi="標楷體" w:hint="eastAsia"/>
        </w:rPr>
        <w:t>退</w:t>
      </w:r>
      <w:proofErr w:type="gramStart"/>
      <w:r w:rsidRPr="007319CD">
        <w:rPr>
          <w:rFonts w:hAnsi="標楷體" w:hint="eastAsia"/>
        </w:rPr>
        <w:t>萬步言，縱將</w:t>
      </w:r>
      <w:proofErr w:type="gramEnd"/>
      <w:r w:rsidRPr="007319CD">
        <w:rPr>
          <w:rFonts w:hAnsi="標楷體" w:hint="eastAsia"/>
        </w:rPr>
        <w:t>公教退撫的「年金給付」，</w:t>
      </w:r>
      <w:r w:rsidR="00742B48" w:rsidRPr="007319CD">
        <w:rPr>
          <w:rFonts w:hAnsi="標楷體" w:hint="eastAsia"/>
        </w:rPr>
        <w:t>變相</w:t>
      </w:r>
      <w:r w:rsidRPr="007319CD">
        <w:rPr>
          <w:rFonts w:hAnsi="標楷體" w:hint="eastAsia"/>
        </w:rPr>
        <w:t>視為「社會保險」，</w:t>
      </w:r>
      <w:r w:rsidR="00742B48" w:rsidRPr="007319CD">
        <w:rPr>
          <w:rFonts w:hAnsi="標楷體" w:hint="eastAsia"/>
        </w:rPr>
        <w:t>亦</w:t>
      </w:r>
      <w:r w:rsidRPr="007319CD">
        <w:rPr>
          <w:rFonts w:hAnsi="標楷體" w:hint="eastAsia"/>
        </w:rPr>
        <w:t>與</w:t>
      </w:r>
      <w:r w:rsidR="00A9344F" w:rsidRPr="007319CD">
        <w:rPr>
          <w:rFonts w:hAnsi="標楷體" w:hint="eastAsia"/>
        </w:rPr>
        <w:t>「商業保險」</w:t>
      </w:r>
      <w:r w:rsidRPr="007319CD">
        <w:rPr>
          <w:rFonts w:hAnsi="標楷體" w:hint="eastAsia"/>
        </w:rPr>
        <w:t>不同。「商業保險」</w:t>
      </w:r>
      <w:r w:rsidR="00A9344F" w:rsidRPr="007319CD">
        <w:rPr>
          <w:rFonts w:hAnsi="標楷體" w:hint="eastAsia"/>
        </w:rPr>
        <w:t>係市場經濟體系</w:t>
      </w:r>
      <w:r w:rsidRPr="007319CD">
        <w:rPr>
          <w:rFonts w:hAnsi="標楷體" w:hint="eastAsia"/>
        </w:rPr>
        <w:t>產物，</w:t>
      </w:r>
      <w:proofErr w:type="gramStart"/>
      <w:r w:rsidRPr="007319CD">
        <w:rPr>
          <w:rFonts w:hAnsi="標楷體" w:hint="eastAsia"/>
        </w:rPr>
        <w:t>採</w:t>
      </w:r>
      <w:proofErr w:type="gramEnd"/>
      <w:r w:rsidR="00A9344F" w:rsidRPr="007319CD">
        <w:rPr>
          <w:rFonts w:hAnsi="標楷體" w:hint="eastAsia"/>
        </w:rPr>
        <w:t>自願參加</w:t>
      </w:r>
      <w:r w:rsidRPr="007319CD">
        <w:rPr>
          <w:rFonts w:hAnsi="標楷體" w:hint="eastAsia"/>
        </w:rPr>
        <w:t>制度，</w:t>
      </w:r>
      <w:r w:rsidR="00A9344F" w:rsidRPr="007319CD">
        <w:rPr>
          <w:rFonts w:hAnsi="標楷體" w:hint="eastAsia"/>
        </w:rPr>
        <w:t>除有</w:t>
      </w:r>
      <w:r w:rsidRPr="007319CD">
        <w:rPr>
          <w:rFonts w:hAnsi="標楷體" w:hint="eastAsia"/>
        </w:rPr>
        <w:t>一定</w:t>
      </w:r>
      <w:r w:rsidR="00A9344F" w:rsidRPr="007319CD">
        <w:rPr>
          <w:rFonts w:hAnsi="標楷體" w:hint="eastAsia"/>
        </w:rPr>
        <w:t>能力負擔保險費者</w:t>
      </w:r>
      <w:r w:rsidRPr="007319CD">
        <w:rPr>
          <w:rFonts w:hAnsi="標楷體" w:hint="eastAsia"/>
        </w:rPr>
        <w:t>具有資格</w:t>
      </w:r>
      <w:r w:rsidR="00A9344F" w:rsidRPr="007319CD">
        <w:rPr>
          <w:rFonts w:hAnsi="標楷體" w:hint="eastAsia"/>
        </w:rPr>
        <w:t>外，</w:t>
      </w:r>
      <w:r w:rsidRPr="007319CD">
        <w:rPr>
          <w:rFonts w:hAnsi="標楷體" w:hint="eastAsia"/>
        </w:rPr>
        <w:t>其保險費</w:t>
      </w:r>
      <w:r w:rsidR="00A9344F" w:rsidRPr="007319CD">
        <w:rPr>
          <w:rFonts w:hAnsi="標楷體" w:hint="eastAsia"/>
        </w:rPr>
        <w:t>計算</w:t>
      </w:r>
      <w:r w:rsidRPr="007319CD">
        <w:rPr>
          <w:rFonts w:hAnsi="標楷體" w:hint="eastAsia"/>
        </w:rPr>
        <w:t>取決</w:t>
      </w:r>
      <w:r w:rsidR="00A9344F" w:rsidRPr="007319CD">
        <w:rPr>
          <w:rFonts w:hAnsi="標楷體" w:hint="eastAsia"/>
        </w:rPr>
        <w:t>於被保險人風險大小，和保險事故發生時之補償金額的高低，具有「等價報償」（quid-pro-quo）的關係，</w:t>
      </w:r>
      <w:r w:rsidRPr="007319CD">
        <w:rPr>
          <w:rFonts w:hAnsi="標楷體" w:hint="eastAsia"/>
        </w:rPr>
        <w:t>其費率</w:t>
      </w:r>
      <w:r w:rsidR="00A9344F" w:rsidRPr="007319CD">
        <w:rPr>
          <w:rFonts w:hAnsi="標楷體" w:hint="eastAsia"/>
        </w:rPr>
        <w:t>經「精算」</w:t>
      </w:r>
      <w:r w:rsidRPr="007319CD">
        <w:rPr>
          <w:rFonts w:hAnsi="標楷體" w:hint="eastAsia"/>
        </w:rPr>
        <w:t>後，</w:t>
      </w:r>
      <w:r w:rsidR="00A9344F" w:rsidRPr="007319CD">
        <w:rPr>
          <w:rFonts w:hAnsi="標楷體" w:hint="eastAsia"/>
        </w:rPr>
        <w:t>不至</w:t>
      </w:r>
      <w:r w:rsidRPr="007319CD">
        <w:rPr>
          <w:rFonts w:hAnsi="標楷體" w:hint="eastAsia"/>
        </w:rPr>
        <w:t>發生</w:t>
      </w:r>
      <w:r w:rsidR="00A9344F" w:rsidRPr="007319CD">
        <w:rPr>
          <w:rFonts w:hAnsi="標楷體" w:hint="eastAsia"/>
        </w:rPr>
        <w:t>逆選擇（adverse selection）的問題</w:t>
      </w:r>
      <w:r w:rsidR="00742B48" w:rsidRPr="007319CD">
        <w:rPr>
          <w:rFonts w:hAnsi="標楷體" w:hint="eastAsia"/>
        </w:rPr>
        <w:t>，然而</w:t>
      </w:r>
      <w:r w:rsidR="00A9344F" w:rsidRPr="007319CD">
        <w:rPr>
          <w:rFonts w:hAnsi="標楷體" w:hint="eastAsia"/>
        </w:rPr>
        <w:t>其係自願參加，為維持財務之穩定，需有高額的安全準備</w:t>
      </w:r>
      <w:r w:rsidR="00742B48" w:rsidRPr="007319CD">
        <w:rPr>
          <w:rFonts w:hAnsi="標楷體" w:hint="eastAsia"/>
        </w:rPr>
        <w:t>，達成</w:t>
      </w:r>
      <w:r w:rsidR="00A9344F" w:rsidRPr="007319CD">
        <w:rPr>
          <w:rFonts w:hAnsi="標楷體" w:hint="eastAsia"/>
        </w:rPr>
        <w:t>「財務平衡」</w:t>
      </w:r>
      <w:r w:rsidR="00742B48" w:rsidRPr="007319CD">
        <w:rPr>
          <w:rFonts w:hAnsi="標楷體" w:hint="eastAsia"/>
        </w:rPr>
        <w:t>；而社會保險</w:t>
      </w:r>
      <w:r w:rsidR="00742B48" w:rsidRPr="007319CD">
        <w:rPr>
          <w:rFonts w:hAnsi="標楷體" w:hint="eastAsia"/>
        </w:rPr>
        <w:lastRenderedPageBreak/>
        <w:t>具有重分配與強制性，</w:t>
      </w:r>
      <w:r w:rsidR="00A9344F" w:rsidRPr="007319CD">
        <w:rPr>
          <w:rFonts w:hAnsi="標楷體" w:hint="eastAsia"/>
        </w:rPr>
        <w:t>稱為「保險」</w:t>
      </w:r>
      <w:r w:rsidR="00742B48" w:rsidRPr="007319CD">
        <w:rPr>
          <w:rFonts w:hAnsi="標楷體" w:hint="eastAsia"/>
        </w:rPr>
        <w:t>僅</w:t>
      </w:r>
      <w:r w:rsidR="002F572A" w:rsidRPr="007319CD">
        <w:rPr>
          <w:rFonts w:hAnsi="標楷體" w:hint="eastAsia"/>
        </w:rPr>
        <w:t>係</w:t>
      </w:r>
      <w:r w:rsidR="00A9344F" w:rsidRPr="007319CD">
        <w:rPr>
          <w:rFonts w:hAnsi="標楷體" w:hint="eastAsia"/>
        </w:rPr>
        <w:t>運用保險之集</w:t>
      </w:r>
      <w:r w:rsidR="002F572A" w:rsidRPr="007319CD">
        <w:rPr>
          <w:rFonts w:hAnsi="標楷體" w:hint="eastAsia"/>
        </w:rPr>
        <w:t>體保障、風險分攤之</w:t>
      </w:r>
      <w:r w:rsidR="00742B48" w:rsidRPr="007319CD">
        <w:rPr>
          <w:rFonts w:hAnsi="標楷體" w:hint="eastAsia"/>
        </w:rPr>
        <w:t>原理，但就財務</w:t>
      </w:r>
      <w:r w:rsidR="00A9344F" w:rsidRPr="007319CD">
        <w:rPr>
          <w:rFonts w:hAnsi="標楷體" w:hint="eastAsia"/>
        </w:rPr>
        <w:t>操作</w:t>
      </w:r>
      <w:r w:rsidR="00742B48" w:rsidRPr="007319CD">
        <w:rPr>
          <w:rFonts w:hAnsi="標楷體" w:hint="eastAsia"/>
        </w:rPr>
        <w:t>，全然</w:t>
      </w:r>
      <w:r w:rsidR="00A9344F" w:rsidRPr="007319CD">
        <w:rPr>
          <w:rFonts w:hAnsi="標楷體" w:hint="eastAsia"/>
        </w:rPr>
        <w:t>與商業保險不同</w:t>
      </w:r>
      <w:r w:rsidR="00742B48" w:rsidRPr="007319CD">
        <w:rPr>
          <w:rFonts w:hAnsi="標楷體" w:hint="eastAsia"/>
        </w:rPr>
        <w:t>，就個別</w:t>
      </w:r>
      <w:r w:rsidR="00A9344F" w:rsidRPr="007319CD">
        <w:rPr>
          <w:rFonts w:hAnsi="標楷體" w:hint="eastAsia"/>
        </w:rPr>
        <w:t>被保險人而言，其保費費率的高低與發生保險事故時，</w:t>
      </w:r>
      <w:r w:rsidR="00742B48" w:rsidRPr="007319CD">
        <w:rPr>
          <w:rFonts w:hAnsi="標楷體" w:hint="eastAsia"/>
        </w:rPr>
        <w:t>所能獲得補償，無等價關係；同時，因</w:t>
      </w:r>
      <w:r w:rsidR="00A9344F" w:rsidRPr="007319CD">
        <w:rPr>
          <w:rFonts w:hAnsi="標楷體" w:hint="eastAsia"/>
        </w:rPr>
        <w:t>為強制納保，</w:t>
      </w:r>
      <w:r w:rsidR="00742B48" w:rsidRPr="007319CD">
        <w:rPr>
          <w:rFonts w:hAnsi="標楷體" w:hint="eastAsia"/>
        </w:rPr>
        <w:t>無從產生</w:t>
      </w:r>
      <w:r w:rsidR="00B610EA" w:rsidRPr="007319CD">
        <w:rPr>
          <w:rFonts w:hAnsi="標楷體" w:hint="eastAsia"/>
        </w:rPr>
        <w:t>逆選擇的問題，另方面，無庸有高額</w:t>
      </w:r>
      <w:r w:rsidR="00A9344F" w:rsidRPr="007319CD">
        <w:rPr>
          <w:rFonts w:hAnsi="標楷體" w:hint="eastAsia"/>
        </w:rPr>
        <w:t>安全準備</w:t>
      </w:r>
      <w:r w:rsidR="00B610EA" w:rsidRPr="007319CD">
        <w:rPr>
          <w:rFonts w:hAnsi="標楷體" w:hint="eastAsia"/>
        </w:rPr>
        <w:t>金，所以</w:t>
      </w:r>
      <w:r w:rsidR="00A9344F" w:rsidRPr="007319CD">
        <w:rPr>
          <w:rFonts w:hAnsi="標楷體" w:hint="eastAsia"/>
        </w:rPr>
        <w:t>社會保險之保險費的性質</w:t>
      </w:r>
      <w:r w:rsidR="002F572A" w:rsidRPr="007319CD">
        <w:rPr>
          <w:rFonts w:hAnsi="標楷體" w:hint="eastAsia"/>
        </w:rPr>
        <w:t>類同</w:t>
      </w:r>
      <w:r w:rsidR="00A9344F" w:rsidRPr="007319CD">
        <w:rPr>
          <w:rFonts w:hAnsi="標楷體" w:hint="eastAsia"/>
        </w:rPr>
        <w:t>指定用途稅</w:t>
      </w:r>
      <w:r w:rsidR="00B610EA" w:rsidRPr="007319CD">
        <w:rPr>
          <w:rFonts w:hAnsi="標楷體" w:hint="eastAsia"/>
        </w:rPr>
        <w:t>，此外</w:t>
      </w:r>
      <w:r w:rsidR="00A9344F" w:rsidRPr="007319CD">
        <w:rPr>
          <w:rFonts w:hAnsi="標楷體" w:hint="eastAsia"/>
        </w:rPr>
        <w:t>社會保險具有重分配之功能，</w:t>
      </w:r>
      <w:r w:rsidR="00B610EA" w:rsidRPr="007319CD">
        <w:rPr>
          <w:rFonts w:hAnsi="標楷體" w:hint="eastAsia"/>
        </w:rPr>
        <w:t>藉以</w:t>
      </w:r>
      <w:r w:rsidR="00A9344F" w:rsidRPr="007319CD">
        <w:rPr>
          <w:rFonts w:hAnsi="標楷體" w:hint="eastAsia"/>
        </w:rPr>
        <w:t>保障低所得者，亦能享有一定水準之經濟安全的保障</w:t>
      </w:r>
      <w:r w:rsidRPr="007319CD">
        <w:rPr>
          <w:rStyle w:val="aff1"/>
          <w:rFonts w:hAnsi="標楷體"/>
        </w:rPr>
        <w:footnoteReference w:id="62"/>
      </w:r>
      <w:r w:rsidR="002F572A" w:rsidRPr="007319CD">
        <w:rPr>
          <w:rFonts w:hAnsi="標楷體" w:hint="eastAsia"/>
        </w:rPr>
        <w:t>，</w:t>
      </w:r>
      <w:proofErr w:type="gramStart"/>
      <w:r w:rsidR="002F572A" w:rsidRPr="007319CD">
        <w:rPr>
          <w:rFonts w:hAnsi="標楷體" w:hint="eastAsia"/>
        </w:rPr>
        <w:t>然查</w:t>
      </w:r>
      <w:proofErr w:type="gramEnd"/>
      <w:r w:rsidR="002F572A" w:rsidRPr="007319CD">
        <w:rPr>
          <w:rFonts w:hAnsi="標楷體" w:hint="eastAsia"/>
        </w:rPr>
        <w:t>，本次年金改革</w:t>
      </w:r>
      <w:r w:rsidR="00920F38" w:rsidRPr="007319CD">
        <w:rPr>
          <w:rFonts w:hAnsi="標楷體" w:hint="eastAsia"/>
        </w:rPr>
        <w:t>所持</w:t>
      </w:r>
      <w:r w:rsidR="00393258" w:rsidRPr="007319CD">
        <w:rPr>
          <w:rFonts w:hAnsi="標楷體" w:hint="eastAsia"/>
        </w:rPr>
        <w:t>退撫</w:t>
      </w:r>
      <w:r w:rsidR="00920F38" w:rsidRPr="007319CD">
        <w:rPr>
          <w:rFonts w:hAnsi="標楷體" w:hint="eastAsia"/>
        </w:rPr>
        <w:t>基金破產之見解</w:t>
      </w:r>
      <w:r w:rsidR="00593358" w:rsidRPr="007319CD">
        <w:rPr>
          <w:rFonts w:hAnsi="標楷體" w:hint="eastAsia"/>
        </w:rPr>
        <w:t>係</w:t>
      </w:r>
      <w:r w:rsidR="00920F38" w:rsidRPr="007319CD">
        <w:rPr>
          <w:rFonts w:hAnsi="標楷體" w:hint="eastAsia"/>
        </w:rPr>
        <w:t>以</w:t>
      </w:r>
      <w:r w:rsidR="00393258" w:rsidRPr="007319CD">
        <w:rPr>
          <w:rFonts w:hAnsi="標楷體" w:hint="eastAsia"/>
        </w:rPr>
        <w:t>第6次精算報告</w:t>
      </w:r>
      <w:r w:rsidR="008B1EFD" w:rsidRPr="007319CD">
        <w:rPr>
          <w:rFonts w:hAnsi="標楷體" w:hint="eastAsia"/>
        </w:rPr>
        <w:t>參照</w:t>
      </w:r>
      <w:r w:rsidR="00615033" w:rsidRPr="007319CD">
        <w:rPr>
          <w:rFonts w:hAnsi="標楷體" w:hint="eastAsia"/>
        </w:rPr>
        <w:t>「社會</w:t>
      </w:r>
      <w:r w:rsidR="00920F38" w:rsidRPr="007319CD">
        <w:rPr>
          <w:rFonts w:hAnsi="標楷體" w:hint="eastAsia"/>
        </w:rPr>
        <w:t>保險」的精算模式為據，</w:t>
      </w:r>
      <w:r w:rsidR="00593358" w:rsidRPr="007319CD">
        <w:rPr>
          <w:rFonts w:hAnsi="標楷體" w:hint="eastAsia"/>
        </w:rPr>
        <w:t>其</w:t>
      </w:r>
      <w:r w:rsidR="009E16FA" w:rsidRPr="007319CD">
        <w:rPr>
          <w:rFonts w:hAnsi="標楷體" w:hint="eastAsia"/>
        </w:rPr>
        <w:t>在</w:t>
      </w:r>
      <w:proofErr w:type="gramStart"/>
      <w:r w:rsidR="009E16FA" w:rsidRPr="007319CD">
        <w:rPr>
          <w:rFonts w:hAnsi="標楷體" w:hint="eastAsia"/>
        </w:rPr>
        <w:t>一</w:t>
      </w:r>
      <w:proofErr w:type="gramEnd"/>
      <w:r w:rsidR="009E16FA" w:rsidRPr="007319CD">
        <w:rPr>
          <w:rFonts w:hAnsi="標楷體" w:hint="eastAsia"/>
        </w:rPr>
        <w:t>特定的</w:t>
      </w:r>
      <w:proofErr w:type="gramStart"/>
      <w:r w:rsidR="009E16FA" w:rsidRPr="007319CD">
        <w:rPr>
          <w:rFonts w:hAnsi="標楷體" w:hint="eastAsia"/>
        </w:rPr>
        <w:t>衡量日下評估</w:t>
      </w:r>
      <w:proofErr w:type="gramEnd"/>
      <w:r w:rsidR="009E16FA" w:rsidRPr="007319CD">
        <w:rPr>
          <w:rFonts w:hAnsi="標楷體" w:hint="eastAsia"/>
        </w:rPr>
        <w:t>「</w:t>
      </w:r>
      <w:proofErr w:type="gramStart"/>
      <w:r w:rsidR="009E16FA" w:rsidRPr="007319CD">
        <w:rPr>
          <w:rFonts w:hAnsi="標楷體" w:hint="eastAsia"/>
        </w:rPr>
        <w:t>精算應計</w:t>
      </w:r>
      <w:proofErr w:type="gramEnd"/>
      <w:r w:rsidR="009E16FA" w:rsidRPr="007319CD">
        <w:rPr>
          <w:rFonts w:hAnsi="標楷體" w:hint="eastAsia"/>
        </w:rPr>
        <w:t>負債」</w:t>
      </w:r>
      <w:r w:rsidR="00615033" w:rsidRPr="007319CD">
        <w:rPr>
          <w:rFonts w:hAnsi="標楷體" w:hint="eastAsia"/>
        </w:rPr>
        <w:t>(</w:t>
      </w:r>
      <w:r w:rsidR="009E16FA" w:rsidRPr="007319CD">
        <w:rPr>
          <w:rFonts w:hAnsi="標楷體"/>
        </w:rPr>
        <w:t>Actuarial Accrued Liability</w:t>
      </w:r>
      <w:r w:rsidR="000D1828" w:rsidRPr="007319CD">
        <w:rPr>
          <w:rFonts w:hAnsi="標楷體" w:hint="eastAsia"/>
        </w:rPr>
        <w:t>，又稱</w:t>
      </w:r>
      <w:r w:rsidR="009E16FA" w:rsidRPr="007319CD">
        <w:rPr>
          <w:rFonts w:hAnsi="標楷體"/>
        </w:rPr>
        <w:t>AL</w:t>
      </w:r>
      <w:r w:rsidR="002E7D73" w:rsidRPr="007319CD">
        <w:rPr>
          <w:rFonts w:hAnsi="標楷體" w:hint="eastAsia"/>
        </w:rPr>
        <w:t>)</w:t>
      </w:r>
      <w:r w:rsidR="009E16FA" w:rsidRPr="007319CD">
        <w:rPr>
          <w:rFonts w:hAnsi="標楷體" w:hint="eastAsia"/>
        </w:rPr>
        <w:t>與</w:t>
      </w:r>
      <w:r w:rsidR="00920F38" w:rsidRPr="007319CD">
        <w:rPr>
          <w:rFonts w:hAnsi="標楷體" w:hint="eastAsia"/>
        </w:rPr>
        <w:t>「</w:t>
      </w:r>
      <w:r w:rsidR="003534B9" w:rsidRPr="007319CD">
        <w:rPr>
          <w:rFonts w:hAnsi="標楷體" w:hint="eastAsia"/>
        </w:rPr>
        <w:t>基金資產</w:t>
      </w:r>
      <w:r w:rsidR="00920F38" w:rsidRPr="007319CD">
        <w:rPr>
          <w:rFonts w:hAnsi="標楷體" w:hint="eastAsia"/>
        </w:rPr>
        <w:t>」</w:t>
      </w:r>
      <w:r w:rsidR="002E7D73" w:rsidRPr="007319CD">
        <w:rPr>
          <w:rFonts w:hAnsi="標楷體" w:hint="eastAsia"/>
        </w:rPr>
        <w:t>(</w:t>
      </w:r>
      <w:r w:rsidR="000D1828" w:rsidRPr="007319CD">
        <w:rPr>
          <w:rFonts w:hAnsi="標楷體" w:hint="eastAsia"/>
        </w:rPr>
        <w:t>基金累積餘額，又稱</w:t>
      </w:r>
      <w:r w:rsidR="002E7D73" w:rsidRPr="007319CD">
        <w:rPr>
          <w:rFonts w:hAnsi="標楷體" w:hint="eastAsia"/>
        </w:rPr>
        <w:t>Fund)</w:t>
      </w:r>
      <w:r w:rsidR="00615033" w:rsidRPr="007319CD">
        <w:rPr>
          <w:rFonts w:hAnsi="標楷體" w:hint="eastAsia"/>
        </w:rPr>
        <w:t>，而</w:t>
      </w:r>
      <w:proofErr w:type="gramStart"/>
      <w:r w:rsidR="002E7D73" w:rsidRPr="007319CD">
        <w:rPr>
          <w:rFonts w:hAnsi="標楷體" w:hint="eastAsia"/>
        </w:rPr>
        <w:t>精算應計</w:t>
      </w:r>
      <w:proofErr w:type="gramEnd"/>
      <w:r w:rsidR="002E7D73" w:rsidRPr="007319CD">
        <w:rPr>
          <w:rFonts w:hAnsi="標楷體" w:hint="eastAsia"/>
        </w:rPr>
        <w:t>負債</w:t>
      </w:r>
      <w:r w:rsidR="00615033" w:rsidRPr="007319CD">
        <w:rPr>
          <w:rFonts w:hAnsi="標楷體" w:hint="eastAsia"/>
        </w:rPr>
        <w:t>(AL)</w:t>
      </w:r>
      <w:r w:rsidR="00AD618D" w:rsidRPr="007319CD">
        <w:rPr>
          <w:rFonts w:hAnsi="標楷體" w:hint="eastAsia"/>
        </w:rPr>
        <w:t>公式</w:t>
      </w:r>
      <w:r w:rsidR="00615033" w:rsidRPr="007319CD">
        <w:rPr>
          <w:rFonts w:hAnsi="標楷體" w:hint="eastAsia"/>
        </w:rPr>
        <w:t>為</w:t>
      </w:r>
      <w:r w:rsidR="000D1828" w:rsidRPr="007319CD">
        <w:rPr>
          <w:rFonts w:hAnsi="標楷體" w:hint="eastAsia"/>
        </w:rPr>
        <w:t>AL=</w:t>
      </w:r>
      <w:r w:rsidR="00593358" w:rsidRPr="007319CD">
        <w:rPr>
          <w:rFonts w:hAnsi="標楷體" w:hint="eastAsia"/>
        </w:rPr>
        <w:t>Σ(PVFB</w:t>
      </w:r>
      <w:r w:rsidR="0006281E" w:rsidRPr="007319CD">
        <w:rPr>
          <w:rFonts w:hAnsi="標楷體" w:hint="eastAsia"/>
        </w:rPr>
        <w:t>-</w:t>
      </w:r>
      <w:r w:rsidR="00593358" w:rsidRPr="007319CD">
        <w:rPr>
          <w:rFonts w:hAnsi="標楷體" w:hint="eastAsia"/>
        </w:rPr>
        <w:t>NCe</w:t>
      </w:r>
      <w:r w:rsidR="00593358" w:rsidRPr="007319CD">
        <w:rPr>
          <w:rFonts w:hAnsi="標楷體"/>
        </w:rPr>
        <w:t>×PVFS</w:t>
      </w:r>
      <w:r w:rsidR="00593358" w:rsidRPr="007319CD">
        <w:rPr>
          <w:rFonts w:hAnsi="標楷體" w:hint="eastAsia"/>
        </w:rPr>
        <w:t>)；</w:t>
      </w:r>
      <w:r w:rsidR="00AD618D" w:rsidRPr="007319CD">
        <w:rPr>
          <w:rFonts w:hAnsi="標楷體" w:hint="eastAsia"/>
        </w:rPr>
        <w:t>其中，</w:t>
      </w:r>
      <w:r w:rsidR="00AD618D" w:rsidRPr="007319CD">
        <w:rPr>
          <w:rFonts w:hAnsi="標楷體"/>
        </w:rPr>
        <w:t>PVFB</w:t>
      </w:r>
      <w:r w:rsidR="00AD618D" w:rsidRPr="007319CD">
        <w:rPr>
          <w:rFonts w:hAnsi="標楷體" w:hint="eastAsia"/>
        </w:rPr>
        <w:t>為未來預計給付現值</w:t>
      </w:r>
      <w:r w:rsidR="00AD618D" w:rsidRPr="007319CD">
        <w:rPr>
          <w:rFonts w:hAnsi="標楷體"/>
        </w:rPr>
        <w:t>(Present value of future benefit)</w:t>
      </w:r>
      <w:r w:rsidR="00AD618D" w:rsidRPr="007319CD">
        <w:rPr>
          <w:rFonts w:hAnsi="標楷體" w:hint="eastAsia"/>
        </w:rPr>
        <w:t>、</w:t>
      </w:r>
      <w:r w:rsidR="00AD618D" w:rsidRPr="007319CD">
        <w:rPr>
          <w:rFonts w:hAnsi="標楷體"/>
        </w:rPr>
        <w:t>PVFS</w:t>
      </w:r>
      <w:r w:rsidR="00AD618D" w:rsidRPr="007319CD">
        <w:rPr>
          <w:rFonts w:hAnsi="標楷體" w:hint="eastAsia"/>
        </w:rPr>
        <w:t>為未來涵蓋薪資現值</w:t>
      </w:r>
      <w:r w:rsidR="00AD618D" w:rsidRPr="007319CD">
        <w:rPr>
          <w:rFonts w:hAnsi="標楷體"/>
        </w:rPr>
        <w:t>(Present value of future salary)</w:t>
      </w:r>
      <w:r w:rsidR="00AD618D" w:rsidRPr="007319CD">
        <w:rPr>
          <w:rFonts w:hAnsi="標楷體" w:hint="eastAsia"/>
        </w:rPr>
        <w:t>、NCe</w:t>
      </w:r>
      <w:r w:rsidR="009E7D3E" w:rsidRPr="007319CD">
        <w:rPr>
          <w:rFonts w:hAnsi="標楷體" w:hint="eastAsia"/>
        </w:rPr>
        <w:t>（</w:t>
      </w:r>
      <w:r w:rsidR="002E7D73" w:rsidRPr="007319CD">
        <w:rPr>
          <w:rFonts w:hAnsi="標楷體" w:hint="eastAsia"/>
        </w:rPr>
        <w:t>=</w:t>
      </w:r>
      <w:r w:rsidR="009E7D3E" w:rsidRPr="007319CD">
        <w:rPr>
          <w:rFonts w:hAnsi="標楷體"/>
        </w:rPr>
        <w:t>PVFB</w:t>
      </w:r>
      <w:r w:rsidR="009E7D3E" w:rsidRPr="007319CD">
        <w:rPr>
          <w:rFonts w:hAnsi="標楷體" w:hint="eastAsia"/>
        </w:rPr>
        <w:t>e</w:t>
      </w:r>
      <w:r w:rsidR="002E7D73" w:rsidRPr="007319CD">
        <w:rPr>
          <w:rFonts w:hAnsi="標楷體"/>
        </w:rPr>
        <w:t>÷</w:t>
      </w:r>
      <w:r w:rsidR="009E7D3E" w:rsidRPr="007319CD">
        <w:rPr>
          <w:rFonts w:hAnsi="標楷體"/>
        </w:rPr>
        <w:t>PVFS</w:t>
      </w:r>
      <w:r w:rsidR="009E7D3E" w:rsidRPr="007319CD">
        <w:rPr>
          <w:rFonts w:hAnsi="標楷體" w:hint="eastAsia"/>
        </w:rPr>
        <w:t>e）</w:t>
      </w:r>
      <w:r w:rsidR="00AD618D" w:rsidRPr="007319CD">
        <w:rPr>
          <w:rFonts w:hAnsi="標楷體" w:hint="eastAsia"/>
        </w:rPr>
        <w:t>為依個人計算之加入基金年齡</w:t>
      </w:r>
      <w:r w:rsidR="00593358" w:rsidRPr="007319CD">
        <w:rPr>
          <w:rFonts w:hAnsi="標楷體" w:hint="eastAsia"/>
        </w:rPr>
        <w:t>(e)</w:t>
      </w:r>
      <w:r w:rsidR="002E7D73" w:rsidRPr="007319CD">
        <w:rPr>
          <w:rFonts w:hAnsi="標楷體" w:hint="eastAsia"/>
        </w:rPr>
        <w:t>時之平衡費率。</w:t>
      </w:r>
      <w:proofErr w:type="gramStart"/>
      <w:r w:rsidR="00176DEC" w:rsidRPr="007319CD">
        <w:rPr>
          <w:rFonts w:hAnsi="標楷體" w:hint="eastAsia"/>
        </w:rPr>
        <w:t>當精算應</w:t>
      </w:r>
      <w:proofErr w:type="gramEnd"/>
      <w:r w:rsidR="00176DEC" w:rsidRPr="007319CD">
        <w:rPr>
          <w:rFonts w:hAnsi="標楷體" w:hint="eastAsia"/>
        </w:rPr>
        <w:t>計負債數額大於基金資產，代表提存不足，產生未提</w:t>
      </w:r>
      <w:proofErr w:type="gramStart"/>
      <w:r w:rsidR="00176DEC" w:rsidRPr="007319CD">
        <w:rPr>
          <w:rFonts w:hAnsi="標楷體" w:hint="eastAsia"/>
        </w:rPr>
        <w:t>存精算應</w:t>
      </w:r>
      <w:proofErr w:type="gramEnd"/>
      <w:r w:rsidR="00176DEC" w:rsidRPr="007319CD">
        <w:rPr>
          <w:rFonts w:hAnsi="標楷體" w:hint="eastAsia"/>
        </w:rPr>
        <w:t>計負債</w:t>
      </w:r>
      <w:r w:rsidR="000D1828" w:rsidRPr="007319CD">
        <w:rPr>
          <w:rFonts w:hAnsi="標楷體" w:hint="eastAsia"/>
        </w:rPr>
        <w:t>(</w:t>
      </w:r>
      <w:r w:rsidR="00176DEC" w:rsidRPr="007319CD">
        <w:rPr>
          <w:rFonts w:hAnsi="標楷體"/>
        </w:rPr>
        <w:t>Unfunded Actuarial Accrued Liability</w:t>
      </w:r>
      <w:r w:rsidR="0006281E" w:rsidRPr="007319CD">
        <w:rPr>
          <w:rFonts w:hAnsi="標楷體" w:hint="eastAsia"/>
        </w:rPr>
        <w:t>，又稱</w:t>
      </w:r>
      <w:r w:rsidR="000D1828" w:rsidRPr="007319CD">
        <w:rPr>
          <w:rFonts w:hAnsi="標楷體"/>
        </w:rPr>
        <w:t>UAL</w:t>
      </w:r>
      <w:r w:rsidR="000D1828" w:rsidRPr="007319CD">
        <w:rPr>
          <w:rFonts w:hAnsi="標楷體" w:hint="eastAsia"/>
        </w:rPr>
        <w:t>)</w:t>
      </w:r>
      <w:r w:rsidR="00176DEC" w:rsidRPr="007319CD">
        <w:rPr>
          <w:rFonts w:hAnsi="標楷體" w:hint="eastAsia"/>
        </w:rPr>
        <w:t>，才會影響基金未來的償付能力及財務的永續發展。</w:t>
      </w:r>
      <w:r w:rsidR="009E16FA" w:rsidRPr="007319CD">
        <w:rPr>
          <w:rFonts w:hAnsi="標楷體" w:hint="eastAsia"/>
        </w:rPr>
        <w:t>目前行政院主計總處定期公布的</w:t>
      </w:r>
      <w:r w:rsidR="0006281E" w:rsidRPr="007319CD">
        <w:rPr>
          <w:rFonts w:hAnsi="標楷體" w:hint="eastAsia"/>
        </w:rPr>
        <w:t>「</w:t>
      </w:r>
      <w:r w:rsidR="009E16FA" w:rsidRPr="007319CD">
        <w:rPr>
          <w:rFonts w:hAnsi="標楷體" w:hint="eastAsia"/>
        </w:rPr>
        <w:t>潛藏負債</w:t>
      </w:r>
      <w:r w:rsidR="0006281E" w:rsidRPr="007319CD">
        <w:rPr>
          <w:rFonts w:hAnsi="標楷體" w:hint="eastAsia"/>
        </w:rPr>
        <w:t>」</w:t>
      </w:r>
      <w:r w:rsidR="009E16FA" w:rsidRPr="007319CD">
        <w:rPr>
          <w:rFonts w:hAnsi="標楷體" w:hint="eastAsia"/>
        </w:rPr>
        <w:t>，即為未提</w:t>
      </w:r>
      <w:proofErr w:type="gramStart"/>
      <w:r w:rsidR="009E16FA" w:rsidRPr="007319CD">
        <w:rPr>
          <w:rFonts w:hAnsi="標楷體" w:hint="eastAsia"/>
        </w:rPr>
        <w:t>存精算應</w:t>
      </w:r>
      <w:proofErr w:type="gramEnd"/>
      <w:r w:rsidR="009E16FA" w:rsidRPr="007319CD">
        <w:rPr>
          <w:rFonts w:hAnsi="標楷體" w:hint="eastAsia"/>
        </w:rPr>
        <w:t>計負債</w:t>
      </w:r>
      <w:r w:rsidR="000D1828" w:rsidRPr="007319CD">
        <w:rPr>
          <w:rFonts w:hAnsi="標楷體" w:hint="eastAsia"/>
        </w:rPr>
        <w:t>(UAL)</w:t>
      </w:r>
      <w:r w:rsidR="009E16FA" w:rsidRPr="007319CD">
        <w:rPr>
          <w:rFonts w:hAnsi="標楷體" w:hint="eastAsia"/>
        </w:rPr>
        <w:t>，</w:t>
      </w:r>
      <w:r w:rsidR="00E428E3" w:rsidRPr="007319CD">
        <w:rPr>
          <w:rFonts w:hAnsi="標楷體" w:hint="eastAsia"/>
        </w:rPr>
        <w:t>然而，潛藏負債並非實際負債，</w:t>
      </w:r>
      <w:r w:rsidR="009E16FA" w:rsidRPr="007319CD">
        <w:rPr>
          <w:rFonts w:hAnsi="標楷體" w:hint="eastAsia"/>
        </w:rPr>
        <w:t>係指將</w:t>
      </w:r>
      <w:proofErr w:type="gramStart"/>
      <w:r w:rsidR="009E16FA" w:rsidRPr="007319CD">
        <w:rPr>
          <w:rFonts w:hAnsi="標楷體" w:hint="eastAsia"/>
        </w:rPr>
        <w:t>精算應計</w:t>
      </w:r>
      <w:proofErr w:type="gramEnd"/>
      <w:r w:rsidR="009E16FA" w:rsidRPr="007319CD">
        <w:rPr>
          <w:rFonts w:hAnsi="標楷體" w:hint="eastAsia"/>
        </w:rPr>
        <w:t>負債扣除已提存基金資產後之金額</w:t>
      </w:r>
      <w:r w:rsidR="00E428E3" w:rsidRPr="007319CD">
        <w:rPr>
          <w:rFonts w:hAnsi="標楷體" w:hint="eastAsia"/>
        </w:rPr>
        <w:t>，</w:t>
      </w:r>
      <w:r w:rsidR="009E16FA" w:rsidRPr="007319CD">
        <w:rPr>
          <w:rFonts w:hAnsi="標楷體" w:hint="eastAsia"/>
        </w:rPr>
        <w:t>隨著時間推移而呈現的隱藏性負債，</w:t>
      </w:r>
      <w:r w:rsidR="009E16FA" w:rsidRPr="007319CD">
        <w:rPr>
          <w:rFonts w:hAnsi="標楷體" w:hint="eastAsia"/>
        </w:rPr>
        <w:lastRenderedPageBreak/>
        <w:t>未來會轉化成財政支出的一部分</w:t>
      </w:r>
      <w:r w:rsidR="0006281E" w:rsidRPr="007319CD">
        <w:rPr>
          <w:rFonts w:hAnsi="標楷體" w:hint="eastAsia"/>
        </w:rPr>
        <w:t>，</w:t>
      </w:r>
      <w:r w:rsidR="00E428E3" w:rsidRPr="007319CD">
        <w:rPr>
          <w:rFonts w:hAnsi="標楷體" w:hint="eastAsia"/>
        </w:rPr>
        <w:t>潛藏負債</w:t>
      </w:r>
      <w:r w:rsidR="009E16FA" w:rsidRPr="007319CD">
        <w:rPr>
          <w:rFonts w:hAnsi="標楷體" w:hint="eastAsia"/>
        </w:rPr>
        <w:t>公式</w:t>
      </w:r>
      <w:r w:rsidR="000D1828" w:rsidRPr="007319CD">
        <w:rPr>
          <w:rFonts w:hAnsi="標楷體" w:hint="eastAsia"/>
        </w:rPr>
        <w:t>為</w:t>
      </w:r>
      <w:r w:rsidR="009E16FA" w:rsidRPr="007319CD">
        <w:rPr>
          <w:rFonts w:hAnsi="標楷體"/>
        </w:rPr>
        <w:t>UAL</w:t>
      </w:r>
      <w:r w:rsidR="0006281E" w:rsidRPr="007319CD">
        <w:rPr>
          <w:rFonts w:hAnsi="標楷體" w:hint="eastAsia"/>
        </w:rPr>
        <w:t>=</w:t>
      </w:r>
      <w:r w:rsidR="009E16FA" w:rsidRPr="007319CD">
        <w:rPr>
          <w:rFonts w:hAnsi="標楷體"/>
        </w:rPr>
        <w:t>AL</w:t>
      </w:r>
      <w:r w:rsidR="0006281E" w:rsidRPr="007319CD">
        <w:rPr>
          <w:rFonts w:hAnsi="標楷體" w:hint="eastAsia"/>
        </w:rPr>
        <w:t>-</w:t>
      </w:r>
      <w:r w:rsidR="009E16FA" w:rsidRPr="007319CD">
        <w:rPr>
          <w:rFonts w:hAnsi="標楷體"/>
        </w:rPr>
        <w:t>Fund</w:t>
      </w:r>
      <w:r w:rsidR="00E428E3" w:rsidRPr="007319CD">
        <w:rPr>
          <w:rFonts w:hAnsi="標楷體" w:hint="eastAsia"/>
        </w:rPr>
        <w:t>。</w:t>
      </w:r>
      <w:r w:rsidR="0006281E" w:rsidRPr="007319CD">
        <w:rPr>
          <w:rFonts w:hAnsi="標楷體" w:hint="eastAsia"/>
        </w:rPr>
        <w:t>退撫新制實施初期，未按照當時經委託精算之正常成本（13.55%），先以法定最低</w:t>
      </w:r>
      <w:proofErr w:type="gramStart"/>
      <w:r w:rsidR="0006281E" w:rsidRPr="007319CD">
        <w:rPr>
          <w:rFonts w:hAnsi="標楷體" w:hint="eastAsia"/>
        </w:rPr>
        <w:t>提撥</w:t>
      </w:r>
      <w:proofErr w:type="gramEnd"/>
      <w:r w:rsidR="0006281E" w:rsidRPr="007319CD">
        <w:rPr>
          <w:rFonts w:hAnsi="標楷體" w:hint="eastAsia"/>
        </w:rPr>
        <w:t>費率8%開始施行（即</w:t>
      </w:r>
      <w:proofErr w:type="gramStart"/>
      <w:r w:rsidR="0006281E" w:rsidRPr="007319CD">
        <w:rPr>
          <w:rFonts w:hAnsi="標楷體" w:hint="eastAsia"/>
        </w:rPr>
        <w:t>採不</w:t>
      </w:r>
      <w:proofErr w:type="gramEnd"/>
      <w:r w:rsidR="0006281E" w:rsidRPr="007319CD">
        <w:rPr>
          <w:rFonts w:hAnsi="標楷體" w:hint="eastAsia"/>
        </w:rPr>
        <w:t>足額</w:t>
      </w:r>
      <w:proofErr w:type="gramStart"/>
      <w:r w:rsidR="0006281E" w:rsidRPr="007319CD">
        <w:rPr>
          <w:rFonts w:hAnsi="標楷體" w:hint="eastAsia"/>
        </w:rPr>
        <w:t>提撥</w:t>
      </w:r>
      <w:proofErr w:type="gramEnd"/>
      <w:r w:rsidR="0006281E" w:rsidRPr="007319CD">
        <w:rPr>
          <w:rFonts w:hAnsi="標楷體" w:hint="eastAsia"/>
        </w:rPr>
        <w:t>）。上開實際</w:t>
      </w:r>
      <w:proofErr w:type="gramStart"/>
      <w:r w:rsidR="0006281E" w:rsidRPr="007319CD">
        <w:rPr>
          <w:rFonts w:hAnsi="標楷體" w:hint="eastAsia"/>
        </w:rPr>
        <w:t>採</w:t>
      </w:r>
      <w:proofErr w:type="gramEnd"/>
      <w:r w:rsidR="0006281E" w:rsidRPr="007319CD">
        <w:rPr>
          <w:rFonts w:hAnsi="標楷體" w:hint="eastAsia"/>
        </w:rPr>
        <w:t>行</w:t>
      </w:r>
      <w:proofErr w:type="gramStart"/>
      <w:r w:rsidR="0006281E" w:rsidRPr="007319CD">
        <w:rPr>
          <w:rFonts w:hAnsi="標楷體" w:hint="eastAsia"/>
        </w:rPr>
        <w:t>提撥</w:t>
      </w:r>
      <w:proofErr w:type="gramEnd"/>
      <w:r w:rsidR="0006281E" w:rsidRPr="007319CD">
        <w:rPr>
          <w:rFonts w:hAnsi="標楷體" w:hint="eastAsia"/>
        </w:rPr>
        <w:t>費率（8%）與正常成本費率（13.55%）之差距，即已造成潛藏負債發生，其後辦理6次精算作業，由第1次精算之15.50%，提高為第6次精算之36.98%；教育人員部分之</w:t>
      </w:r>
      <w:proofErr w:type="gramStart"/>
      <w:r w:rsidR="0006281E" w:rsidRPr="007319CD">
        <w:rPr>
          <w:rFonts w:hAnsi="標楷體" w:hint="eastAsia"/>
        </w:rPr>
        <w:t>最</w:t>
      </w:r>
      <w:proofErr w:type="gramEnd"/>
      <w:r w:rsidR="0006281E" w:rsidRPr="007319CD">
        <w:rPr>
          <w:rFonts w:hAnsi="標楷體" w:hint="eastAsia"/>
        </w:rPr>
        <w:t>適</w:t>
      </w:r>
      <w:proofErr w:type="gramStart"/>
      <w:r w:rsidR="0006281E" w:rsidRPr="007319CD">
        <w:rPr>
          <w:rFonts w:hAnsi="標楷體" w:hint="eastAsia"/>
        </w:rPr>
        <w:t>提撥</w:t>
      </w:r>
      <w:proofErr w:type="gramEnd"/>
      <w:r w:rsidR="0006281E" w:rsidRPr="007319CD">
        <w:rPr>
          <w:rFonts w:hAnsi="標楷體" w:hint="eastAsia"/>
        </w:rPr>
        <w:t>費率由第1次精算之17.90%，提高為第6次精算之41.18%，</w:t>
      </w:r>
      <w:proofErr w:type="gramStart"/>
      <w:r w:rsidR="0006281E" w:rsidRPr="007319CD">
        <w:rPr>
          <w:rFonts w:hAnsi="標楷體" w:hint="eastAsia"/>
        </w:rPr>
        <w:t>但均未達最</w:t>
      </w:r>
      <w:proofErr w:type="gramEnd"/>
      <w:r w:rsidR="0006281E" w:rsidRPr="007319CD">
        <w:rPr>
          <w:rFonts w:hAnsi="標楷體" w:hint="eastAsia"/>
        </w:rPr>
        <w:t>適</w:t>
      </w:r>
      <w:proofErr w:type="gramStart"/>
      <w:r w:rsidR="0006281E" w:rsidRPr="007319CD">
        <w:rPr>
          <w:rFonts w:hAnsi="標楷體" w:hint="eastAsia"/>
        </w:rPr>
        <w:t>提撥</w:t>
      </w:r>
      <w:proofErr w:type="gramEnd"/>
      <w:r w:rsidR="0006281E" w:rsidRPr="007319CD">
        <w:rPr>
          <w:rFonts w:hAnsi="標楷體" w:hint="eastAsia"/>
        </w:rPr>
        <w:t>費率，長期</w:t>
      </w:r>
      <w:proofErr w:type="gramStart"/>
      <w:r w:rsidR="0006281E" w:rsidRPr="007319CD">
        <w:rPr>
          <w:rFonts w:hAnsi="標楷體" w:hint="eastAsia"/>
        </w:rPr>
        <w:t>不</w:t>
      </w:r>
      <w:proofErr w:type="gramEnd"/>
      <w:r w:rsidR="0006281E" w:rsidRPr="007319CD">
        <w:rPr>
          <w:rFonts w:hAnsi="標楷體" w:hint="eastAsia"/>
        </w:rPr>
        <w:t>足額</w:t>
      </w:r>
      <w:proofErr w:type="gramStart"/>
      <w:r w:rsidR="0006281E" w:rsidRPr="007319CD">
        <w:rPr>
          <w:rFonts w:hAnsi="標楷體" w:hint="eastAsia"/>
        </w:rPr>
        <w:t>提撥</w:t>
      </w:r>
      <w:proofErr w:type="gramEnd"/>
      <w:r w:rsidR="0006281E" w:rsidRPr="007319CD">
        <w:rPr>
          <w:rFonts w:hAnsi="標楷體" w:hint="eastAsia"/>
        </w:rPr>
        <w:t>，潛藏負債自不斷加大。要言之，</w:t>
      </w:r>
      <w:r w:rsidR="00593358" w:rsidRPr="007319CD">
        <w:rPr>
          <w:rFonts w:hAnsi="標楷體" w:hint="eastAsia"/>
        </w:rPr>
        <w:t>退撫基金整個制度設計到執行，即不以收支平衡的保險制度精神為出發，而是扮演恩給制精神、退休福利或薪資補貼角色，</w:t>
      </w:r>
      <w:r w:rsidR="0006281E" w:rsidRPr="007319CD">
        <w:rPr>
          <w:rFonts w:hAnsi="標楷體" w:hint="eastAsia"/>
        </w:rPr>
        <w:t>此</w:t>
      </w:r>
      <w:r w:rsidR="00593358" w:rsidRPr="007319CD">
        <w:rPr>
          <w:rFonts w:hAnsi="標楷體" w:hint="eastAsia"/>
        </w:rPr>
        <w:t>就是產生龐大</w:t>
      </w:r>
      <w:r w:rsidR="0006281E" w:rsidRPr="007319CD">
        <w:rPr>
          <w:rFonts w:hAnsi="標楷體" w:hint="eastAsia"/>
        </w:rPr>
        <w:t>「潛藏負債」</w:t>
      </w:r>
      <w:r w:rsidR="00593358" w:rsidRPr="007319CD">
        <w:rPr>
          <w:rFonts w:hAnsi="標楷體" w:hint="eastAsia"/>
        </w:rPr>
        <w:t>的主要原因之一</w:t>
      </w:r>
      <w:r w:rsidR="00E56595" w:rsidRPr="007319CD">
        <w:rPr>
          <w:rFonts w:hAnsi="標楷體" w:hint="eastAsia"/>
        </w:rPr>
        <w:t>，故所謂「國庫之窮困</w:t>
      </w:r>
      <w:proofErr w:type="gramStart"/>
      <w:r w:rsidR="00E56595" w:rsidRPr="007319CD">
        <w:rPr>
          <w:rFonts w:hAnsi="標楷體" w:hint="eastAsia"/>
        </w:rPr>
        <w:t>抗辨</w:t>
      </w:r>
      <w:proofErr w:type="gramEnd"/>
      <w:r w:rsidR="00E56595" w:rsidRPr="007319CD">
        <w:rPr>
          <w:rFonts w:hAnsi="標楷體" w:hint="eastAsia"/>
        </w:rPr>
        <w:t>」並非無疑</w:t>
      </w:r>
      <w:r w:rsidR="00E56595" w:rsidRPr="007319CD">
        <w:rPr>
          <w:rStyle w:val="aff1"/>
          <w:rFonts w:hAnsi="標楷體"/>
        </w:rPr>
        <w:footnoteReference w:id="63"/>
      </w:r>
      <w:r w:rsidR="000C1FDE" w:rsidRPr="007319CD">
        <w:rPr>
          <w:rFonts w:hAnsi="標楷體" w:hint="eastAsia"/>
        </w:rPr>
        <w:t>。</w:t>
      </w:r>
    </w:p>
    <w:p w:rsidR="00AE62EA" w:rsidRPr="007319CD" w:rsidRDefault="00E56595" w:rsidP="00DF2F3F">
      <w:pPr>
        <w:pStyle w:val="4"/>
        <w:rPr>
          <w:rFonts w:hAnsi="標楷體"/>
        </w:rPr>
      </w:pPr>
      <w:r w:rsidRPr="007319CD">
        <w:rPr>
          <w:rFonts w:hAnsi="標楷體" w:hint="eastAsia"/>
        </w:rPr>
        <w:lastRenderedPageBreak/>
        <w:t>再按</w:t>
      </w:r>
      <w:r w:rsidR="00E70E45" w:rsidRPr="007319CD">
        <w:rPr>
          <w:rFonts w:hAnsi="標楷體" w:hint="eastAsia"/>
        </w:rPr>
        <w:t>退撫基金</w:t>
      </w:r>
      <w:r w:rsidR="00D57029" w:rsidRPr="007319CD">
        <w:rPr>
          <w:rFonts w:hAnsi="標楷體" w:hint="eastAsia"/>
        </w:rPr>
        <w:t>管理條例第5條第3項規定：「本基金之運用，其</w:t>
      </w:r>
      <w:r w:rsidR="00716943" w:rsidRPr="007319CD">
        <w:rPr>
          <w:rFonts w:hAnsi="標楷體" w:hint="eastAsia"/>
        </w:rPr>
        <w:t>3</w:t>
      </w:r>
      <w:r w:rsidR="00D57029" w:rsidRPr="007319CD">
        <w:rPr>
          <w:rFonts w:hAnsi="標楷體" w:hint="eastAsia"/>
        </w:rPr>
        <w:t>年內平均最低年收益不得低於臺灣銀行</w:t>
      </w:r>
      <w:r w:rsidR="00716943" w:rsidRPr="007319CD">
        <w:rPr>
          <w:rFonts w:hAnsi="標楷體" w:hint="eastAsia"/>
        </w:rPr>
        <w:t>2</w:t>
      </w:r>
      <w:r w:rsidR="00D57029" w:rsidRPr="007319CD">
        <w:rPr>
          <w:rFonts w:hAnsi="標楷體" w:hint="eastAsia"/>
        </w:rPr>
        <w:t>年期定期存款利率計算之收益。如運用所得未達規定之最低收益者，由國庫補足其差額。」第8條規定：「本基金</w:t>
      </w:r>
      <w:proofErr w:type="gramStart"/>
      <w:r w:rsidR="00D57029" w:rsidRPr="007319CD">
        <w:rPr>
          <w:rFonts w:hAnsi="標楷體" w:hint="eastAsia"/>
        </w:rPr>
        <w:t>採</w:t>
      </w:r>
      <w:proofErr w:type="gramEnd"/>
      <w:r w:rsidR="00D57029" w:rsidRPr="007319CD">
        <w:rPr>
          <w:rFonts w:hAnsi="標楷體" w:hint="eastAsia"/>
        </w:rPr>
        <w:t>統一管理，按政府別、身分別，</w:t>
      </w:r>
      <w:proofErr w:type="gramStart"/>
      <w:r w:rsidR="00D57029" w:rsidRPr="007319CD">
        <w:rPr>
          <w:rFonts w:hAnsi="標楷體" w:hint="eastAsia"/>
        </w:rPr>
        <w:t>分戶設帳</w:t>
      </w:r>
      <w:proofErr w:type="gramEnd"/>
      <w:r w:rsidR="00D57029" w:rsidRPr="007319CD">
        <w:rPr>
          <w:rFonts w:hAnsi="標楷體" w:hint="eastAsia"/>
        </w:rPr>
        <w:t>，分別以收支平衡為原則，年度決算如有賸餘，全數撥為基金。如基金不足支付時，應由基金檢討調整繳費費率，或由政府撥款補助，並由政府負最後支付責任。」</w:t>
      </w:r>
      <w:r w:rsidR="00E70E45" w:rsidRPr="007319CD">
        <w:rPr>
          <w:rFonts w:hAnsi="標楷體" w:hint="eastAsia"/>
        </w:rPr>
        <w:t>退撫基金</w:t>
      </w:r>
      <w:r w:rsidR="00D57029" w:rsidRPr="007319CD">
        <w:rPr>
          <w:rFonts w:hAnsi="標楷體" w:hint="eastAsia"/>
        </w:rPr>
        <w:t>管理條例施行細則第</w:t>
      </w:r>
      <w:r w:rsidR="008B1EFD" w:rsidRPr="007319CD">
        <w:rPr>
          <w:rFonts w:hAnsi="標楷體" w:hint="eastAsia"/>
        </w:rPr>
        <w:t>5</w:t>
      </w:r>
      <w:r w:rsidR="00D57029" w:rsidRPr="007319CD">
        <w:rPr>
          <w:rFonts w:hAnsi="標楷體" w:hint="eastAsia"/>
        </w:rPr>
        <w:t>條規定：「本條例第</w:t>
      </w:r>
      <w:r w:rsidR="0045394E" w:rsidRPr="007319CD">
        <w:rPr>
          <w:rFonts w:hAnsi="標楷體" w:hint="eastAsia"/>
        </w:rPr>
        <w:t>3</w:t>
      </w:r>
      <w:r w:rsidR="00D57029" w:rsidRPr="007319CD">
        <w:rPr>
          <w:rFonts w:hAnsi="標楷體" w:hint="eastAsia"/>
        </w:rPr>
        <w:t>條第</w:t>
      </w:r>
      <w:r w:rsidR="0045394E" w:rsidRPr="007319CD">
        <w:rPr>
          <w:rFonts w:hAnsi="標楷體" w:hint="eastAsia"/>
        </w:rPr>
        <w:t>1</w:t>
      </w:r>
      <w:r w:rsidR="00D57029" w:rsidRPr="007319CD">
        <w:rPr>
          <w:rFonts w:hAnsi="標楷體" w:hint="eastAsia"/>
        </w:rPr>
        <w:t>項第</w:t>
      </w:r>
      <w:r w:rsidR="0045394E" w:rsidRPr="007319CD">
        <w:rPr>
          <w:rFonts w:hAnsi="標楷體" w:hint="eastAsia"/>
        </w:rPr>
        <w:t>4</w:t>
      </w:r>
      <w:r w:rsidR="00D57029" w:rsidRPr="007319CD">
        <w:rPr>
          <w:rFonts w:hAnsi="標楷體" w:hint="eastAsia"/>
        </w:rPr>
        <w:t>款所稱經政府核定撥交之補助款項，係指下列各款：一、依本條例第</w:t>
      </w:r>
      <w:r w:rsidR="0045394E" w:rsidRPr="007319CD">
        <w:rPr>
          <w:rFonts w:hAnsi="標楷體" w:hint="eastAsia"/>
        </w:rPr>
        <w:t>5</w:t>
      </w:r>
      <w:r w:rsidR="00D57029" w:rsidRPr="007319CD">
        <w:rPr>
          <w:rFonts w:hAnsi="標楷體" w:hint="eastAsia"/>
        </w:rPr>
        <w:t>條第</w:t>
      </w:r>
      <w:r w:rsidR="0045394E" w:rsidRPr="007319CD">
        <w:rPr>
          <w:rFonts w:hAnsi="標楷體" w:hint="eastAsia"/>
        </w:rPr>
        <w:t>3</w:t>
      </w:r>
      <w:r w:rsidR="00D57029" w:rsidRPr="007319CD">
        <w:rPr>
          <w:rFonts w:hAnsi="標楷體" w:hint="eastAsia"/>
        </w:rPr>
        <w:t>項規定，由國庫撥款補足之差額。二、依本條例第</w:t>
      </w:r>
      <w:r w:rsidR="0045394E" w:rsidRPr="007319CD">
        <w:rPr>
          <w:rFonts w:hAnsi="標楷體" w:hint="eastAsia"/>
        </w:rPr>
        <w:t>8</w:t>
      </w:r>
      <w:r w:rsidR="00D57029" w:rsidRPr="007319CD">
        <w:rPr>
          <w:rFonts w:hAnsi="標楷體" w:hint="eastAsia"/>
        </w:rPr>
        <w:t>條規定，基金不足支付時，由政府撥款之補助。三、其他由政府補助之款項。」第</w:t>
      </w:r>
      <w:r w:rsidR="0045394E" w:rsidRPr="007319CD">
        <w:rPr>
          <w:rFonts w:hAnsi="標楷體" w:hint="eastAsia"/>
        </w:rPr>
        <w:t>17</w:t>
      </w:r>
      <w:r w:rsidR="00D57029" w:rsidRPr="007319CD">
        <w:rPr>
          <w:rFonts w:hAnsi="標楷體" w:hint="eastAsia"/>
        </w:rPr>
        <w:t>條規定：「本基金財務管理以收支平衡為原則，基金管理會為評估基金財務負擔能力，應實施定期精算，精算頻率</w:t>
      </w:r>
      <w:proofErr w:type="gramStart"/>
      <w:r w:rsidR="00D57029" w:rsidRPr="007319CD">
        <w:rPr>
          <w:rFonts w:hAnsi="標楷體" w:hint="eastAsia"/>
        </w:rPr>
        <w:t>採</w:t>
      </w:r>
      <w:proofErr w:type="gramEnd"/>
      <w:r w:rsidR="0045394E" w:rsidRPr="007319CD">
        <w:rPr>
          <w:rFonts w:hAnsi="標楷體" w:hint="eastAsia"/>
        </w:rPr>
        <w:lastRenderedPageBreak/>
        <w:t>3</w:t>
      </w:r>
      <w:r w:rsidR="00D57029" w:rsidRPr="007319CD">
        <w:rPr>
          <w:rFonts w:hAnsi="標楷體" w:hint="eastAsia"/>
        </w:rPr>
        <w:t>年</w:t>
      </w:r>
      <w:r w:rsidR="0045394E" w:rsidRPr="007319CD">
        <w:rPr>
          <w:rFonts w:hAnsi="標楷體" w:hint="eastAsia"/>
        </w:rPr>
        <w:t>1</w:t>
      </w:r>
      <w:r w:rsidR="00D57029" w:rsidRPr="007319CD">
        <w:rPr>
          <w:rFonts w:hAnsi="標楷體" w:hint="eastAsia"/>
        </w:rPr>
        <w:t>次為原則。每次精算</w:t>
      </w:r>
      <w:r w:rsidR="0045394E" w:rsidRPr="007319CD">
        <w:rPr>
          <w:rFonts w:hAnsi="標楷體" w:hint="eastAsia"/>
        </w:rPr>
        <w:t>50</w:t>
      </w:r>
      <w:r w:rsidR="00D57029" w:rsidRPr="007319CD">
        <w:rPr>
          <w:rFonts w:hAnsi="標楷體" w:hint="eastAsia"/>
        </w:rPr>
        <w:t>年。」</w:t>
      </w:r>
      <w:r w:rsidR="00BB609C" w:rsidRPr="007319CD">
        <w:rPr>
          <w:rFonts w:hAnsi="標楷體" w:hint="eastAsia"/>
        </w:rPr>
        <w:t>依據上開法律規定</w:t>
      </w:r>
      <w:r w:rsidR="005400C7" w:rsidRPr="007319CD">
        <w:rPr>
          <w:rFonts w:hAnsi="標楷體" w:hint="eastAsia"/>
        </w:rPr>
        <w:t>之構成要件，未達規定之最低收益者，應由國庫補足其差額；而基金不足支付時，應</w:t>
      </w:r>
      <w:proofErr w:type="gramStart"/>
      <w:r w:rsidR="005400C7" w:rsidRPr="007319CD">
        <w:rPr>
          <w:rFonts w:hAnsi="標楷體" w:hint="eastAsia"/>
        </w:rPr>
        <w:t>採</w:t>
      </w:r>
      <w:proofErr w:type="gramEnd"/>
      <w:r w:rsidR="005400C7" w:rsidRPr="007319CD">
        <w:rPr>
          <w:rFonts w:hAnsi="標楷體" w:hint="eastAsia"/>
        </w:rPr>
        <w:t>下列手段</w:t>
      </w:r>
      <w:r w:rsidR="0045394E" w:rsidRPr="007319CD">
        <w:rPr>
          <w:rFonts w:hAnsi="標楷體" w:hint="eastAsia"/>
        </w:rPr>
        <w:t>：（</w:t>
      </w:r>
      <w:r w:rsidR="005400C7" w:rsidRPr="007319CD">
        <w:rPr>
          <w:rFonts w:hAnsi="標楷體" w:hint="eastAsia"/>
        </w:rPr>
        <w:t>1</w:t>
      </w:r>
      <w:r w:rsidR="0045394E" w:rsidRPr="007319CD">
        <w:rPr>
          <w:rFonts w:hAnsi="標楷體" w:hint="eastAsia"/>
        </w:rPr>
        <w:t>）</w:t>
      </w:r>
      <w:r w:rsidR="005400C7" w:rsidRPr="007319CD">
        <w:rPr>
          <w:rFonts w:hAnsi="標楷體" w:hint="eastAsia"/>
        </w:rPr>
        <w:t>調整繳費費率，或</w:t>
      </w:r>
      <w:r w:rsidR="0045394E" w:rsidRPr="007319CD">
        <w:rPr>
          <w:rFonts w:hAnsi="標楷體" w:hint="eastAsia"/>
        </w:rPr>
        <w:t>（2</w:t>
      </w:r>
      <w:r w:rsidR="0045394E" w:rsidRPr="007319CD">
        <w:rPr>
          <w:rFonts w:hAnsi="標楷體"/>
        </w:rPr>
        <w:t>）</w:t>
      </w:r>
      <w:r w:rsidR="005400C7" w:rsidRPr="007319CD">
        <w:rPr>
          <w:rFonts w:hAnsi="標楷體" w:hint="eastAsia"/>
        </w:rPr>
        <w:t>政府撥款補助。</w:t>
      </w:r>
      <w:proofErr w:type="gramStart"/>
      <w:r w:rsidR="005400C7" w:rsidRPr="007319CD">
        <w:rPr>
          <w:rFonts w:hAnsi="標楷體" w:hint="eastAsia"/>
        </w:rPr>
        <w:t>然查</w:t>
      </w:r>
      <w:r w:rsidR="009E67D7" w:rsidRPr="007319CD">
        <w:rPr>
          <w:rFonts w:hAnsi="標楷體" w:hint="eastAsia"/>
        </w:rPr>
        <w:t>退撫</w:t>
      </w:r>
      <w:proofErr w:type="gramEnd"/>
      <w:r w:rsidR="009E67D7" w:rsidRPr="007319CD">
        <w:rPr>
          <w:rFonts w:hAnsi="標楷體" w:hint="eastAsia"/>
        </w:rPr>
        <w:t>基金自成立以來，因</w:t>
      </w:r>
      <w:proofErr w:type="gramStart"/>
      <w:r w:rsidR="009E67D7" w:rsidRPr="007319CD">
        <w:rPr>
          <w:rFonts w:hAnsi="標楷體" w:hint="eastAsia"/>
        </w:rPr>
        <w:t>採不</w:t>
      </w:r>
      <w:proofErr w:type="gramEnd"/>
      <w:r w:rsidR="009E67D7" w:rsidRPr="007319CD">
        <w:rPr>
          <w:rFonts w:hAnsi="標楷體" w:hint="eastAsia"/>
        </w:rPr>
        <w:t>足額</w:t>
      </w:r>
      <w:proofErr w:type="gramStart"/>
      <w:r w:rsidR="009E67D7" w:rsidRPr="007319CD">
        <w:rPr>
          <w:rFonts w:hAnsi="標楷體" w:hint="eastAsia"/>
        </w:rPr>
        <w:t>提撥</w:t>
      </w:r>
      <w:proofErr w:type="gramEnd"/>
      <w:r w:rsidR="009E67D7" w:rsidRPr="007319CD">
        <w:rPr>
          <w:rFonts w:hAnsi="標楷體" w:hint="eastAsia"/>
        </w:rPr>
        <w:t>方式辦理，</w:t>
      </w:r>
      <w:proofErr w:type="gramStart"/>
      <w:r w:rsidR="009E67D7" w:rsidRPr="007319CD">
        <w:rPr>
          <w:rFonts w:hAnsi="標楷體" w:hint="eastAsia"/>
        </w:rPr>
        <w:t>嗣</w:t>
      </w:r>
      <w:proofErr w:type="gramEnd"/>
      <w:r w:rsidR="009E67D7" w:rsidRPr="007319CD">
        <w:rPr>
          <w:rFonts w:hAnsi="標楷體" w:hint="eastAsia"/>
        </w:rPr>
        <w:t>雖依精算</w:t>
      </w:r>
      <w:r w:rsidR="0045394E" w:rsidRPr="007319CD">
        <w:rPr>
          <w:rFonts w:hAnsi="標楷體" w:hint="eastAsia"/>
        </w:rPr>
        <w:t>報告</w:t>
      </w:r>
      <w:r w:rsidR="009E67D7" w:rsidRPr="007319CD">
        <w:rPr>
          <w:rFonts w:hAnsi="標楷體" w:hint="eastAsia"/>
        </w:rPr>
        <w:t>建議，4度提高</w:t>
      </w:r>
      <w:proofErr w:type="gramStart"/>
      <w:r w:rsidR="009E67D7" w:rsidRPr="007319CD">
        <w:rPr>
          <w:rFonts w:hAnsi="標楷體" w:hint="eastAsia"/>
        </w:rPr>
        <w:t>提撥</w:t>
      </w:r>
      <w:proofErr w:type="gramEnd"/>
      <w:r w:rsidR="009E67D7" w:rsidRPr="007319CD">
        <w:rPr>
          <w:rFonts w:hAnsi="標楷體" w:hint="eastAsia"/>
        </w:rPr>
        <w:t>費率，仍距離</w:t>
      </w:r>
      <w:proofErr w:type="gramStart"/>
      <w:r w:rsidR="009E67D7" w:rsidRPr="007319CD">
        <w:rPr>
          <w:rFonts w:hAnsi="標楷體" w:hint="eastAsia"/>
        </w:rPr>
        <w:t>最</w:t>
      </w:r>
      <w:proofErr w:type="gramEnd"/>
      <w:r w:rsidR="009E67D7" w:rsidRPr="007319CD">
        <w:rPr>
          <w:rFonts w:hAnsi="標楷體" w:hint="eastAsia"/>
        </w:rPr>
        <w:t>適</w:t>
      </w:r>
      <w:proofErr w:type="gramStart"/>
      <w:r w:rsidR="009E67D7" w:rsidRPr="007319CD">
        <w:rPr>
          <w:rFonts w:hAnsi="標楷體" w:hint="eastAsia"/>
        </w:rPr>
        <w:t>提撥</w:t>
      </w:r>
      <w:proofErr w:type="gramEnd"/>
      <w:r w:rsidR="009E67D7" w:rsidRPr="007319CD">
        <w:rPr>
          <w:rFonts w:hAnsi="標楷體" w:hint="eastAsia"/>
        </w:rPr>
        <w:t>費甚</w:t>
      </w:r>
      <w:proofErr w:type="gramStart"/>
      <w:r w:rsidR="009E67D7" w:rsidRPr="007319CD">
        <w:rPr>
          <w:rFonts w:hAnsi="標楷體" w:hint="eastAsia"/>
        </w:rPr>
        <w:t>鉅</w:t>
      </w:r>
      <w:proofErr w:type="gramEnd"/>
      <w:r w:rsidR="009E67D7" w:rsidRPr="007319CD">
        <w:rPr>
          <w:rFonts w:hAnsi="標楷體" w:hint="eastAsia"/>
        </w:rPr>
        <w:t>，</w:t>
      </w:r>
      <w:r w:rsidR="00B7287C" w:rsidRPr="007319CD">
        <w:rPr>
          <w:rFonts w:hAnsi="標楷體" w:hint="eastAsia"/>
        </w:rPr>
        <w:t>潛藏負債日益增加，</w:t>
      </w:r>
      <w:r w:rsidR="009E67D7" w:rsidRPr="007319CD">
        <w:rPr>
          <w:rFonts w:hAnsi="標楷體" w:hint="eastAsia"/>
        </w:rPr>
        <w:t>而基金收益不足以彌平收支，發生基金不足支付時，然政府亦未依法辦理撥補作為</w:t>
      </w:r>
      <w:r w:rsidR="00F15354" w:rsidRPr="007319CD">
        <w:rPr>
          <w:rFonts w:hAnsi="標楷體" w:hint="eastAsia"/>
        </w:rPr>
        <w:t>（</w:t>
      </w:r>
      <w:r w:rsidR="00272351" w:rsidRPr="007319CD">
        <w:rPr>
          <w:rFonts w:hAnsi="標楷體" w:hint="eastAsia"/>
        </w:rPr>
        <w:t>本案調查意見五</w:t>
      </w:r>
      <w:r w:rsidR="00F15354" w:rsidRPr="007319CD">
        <w:rPr>
          <w:rFonts w:hAnsi="標楷體" w:hint="eastAsia"/>
        </w:rPr>
        <w:t>）</w:t>
      </w:r>
      <w:r w:rsidR="002B1BBD" w:rsidRPr="007319CD">
        <w:rPr>
          <w:rFonts w:hAnsi="標楷體" w:hint="eastAsia"/>
        </w:rPr>
        <w:t>，</w:t>
      </w:r>
      <w:r w:rsidR="00393258" w:rsidRPr="007319CD">
        <w:rPr>
          <w:rFonts w:hAnsi="標楷體" w:hint="eastAsia"/>
        </w:rPr>
        <w:t>是政府不遵守</w:t>
      </w:r>
      <w:r w:rsidR="008B0C99" w:rsidRPr="007319CD">
        <w:rPr>
          <w:rFonts w:hAnsi="標楷體" w:hint="eastAsia"/>
        </w:rPr>
        <w:t>退撫基金管理條例</w:t>
      </w:r>
      <w:r w:rsidR="00393258" w:rsidRPr="007319CD">
        <w:rPr>
          <w:rFonts w:hAnsi="標楷體" w:hint="eastAsia"/>
        </w:rPr>
        <w:t>違法在先，然以</w:t>
      </w:r>
      <w:r w:rsidR="00D05C9B" w:rsidRPr="007319CD">
        <w:rPr>
          <w:rFonts w:hAnsi="標楷體" w:hint="eastAsia"/>
        </w:rPr>
        <w:t>新法改變請領資格，延後月</w:t>
      </w:r>
      <w:proofErr w:type="gramStart"/>
      <w:r w:rsidR="00D05C9B" w:rsidRPr="007319CD">
        <w:rPr>
          <w:rFonts w:hAnsi="標楷體" w:hint="eastAsia"/>
        </w:rPr>
        <w:t>退</w:t>
      </w:r>
      <w:r w:rsidR="008B031A" w:rsidRPr="007319CD">
        <w:rPr>
          <w:rFonts w:hAnsi="標楷體" w:hint="eastAsia"/>
        </w:rPr>
        <w:t>休金起支年齡</w:t>
      </w:r>
      <w:proofErr w:type="gramEnd"/>
      <w:r w:rsidR="008B031A" w:rsidRPr="007319CD">
        <w:rPr>
          <w:rFonts w:hAnsi="標楷體" w:hint="eastAsia"/>
        </w:rPr>
        <w:t>、調整退休金計算基準、調降退休所得、取消年資補償金，</w:t>
      </w:r>
      <w:r w:rsidR="00D05C9B" w:rsidRPr="007319CD">
        <w:rPr>
          <w:rFonts w:hAnsi="標楷體" w:hint="eastAsia"/>
        </w:rPr>
        <w:t>並規定</w:t>
      </w:r>
      <w:r w:rsidR="00DA4D6C" w:rsidRPr="007319CD">
        <w:rPr>
          <w:rFonts w:hAnsi="標楷體" w:hint="eastAsia"/>
        </w:rPr>
        <w:t>年金制度定期檢討機制</w:t>
      </w:r>
      <w:r w:rsidR="00D05C9B" w:rsidRPr="007319CD">
        <w:rPr>
          <w:rFonts w:hAnsi="標楷體" w:hint="eastAsia"/>
        </w:rPr>
        <w:t>，</w:t>
      </w:r>
      <w:r w:rsidR="008B031A" w:rsidRPr="007319CD">
        <w:rPr>
          <w:rFonts w:hAnsi="標楷體" w:hint="eastAsia"/>
        </w:rPr>
        <w:t>尤</w:t>
      </w:r>
      <w:r w:rsidR="00D05C9B" w:rsidRPr="007319CD">
        <w:rPr>
          <w:rFonts w:hAnsi="標楷體" w:hint="eastAsia"/>
        </w:rPr>
        <w:t>使退休給付債權永成不確定狀態等適用對象與範圍涵蓋已退休與未退休之所有公教人員，</w:t>
      </w:r>
      <w:r w:rsidR="009E67D7" w:rsidRPr="007319CD">
        <w:rPr>
          <w:rFonts w:hAnsi="標楷體" w:hint="eastAsia"/>
        </w:rPr>
        <w:t>然亦僅能延長公教人員退撫基金收支平衡16年或17年，與延後基金免於</w:t>
      </w:r>
      <w:proofErr w:type="gramStart"/>
      <w:r w:rsidR="009E67D7" w:rsidRPr="007319CD">
        <w:rPr>
          <w:rFonts w:hAnsi="標楷體" w:hint="eastAsia"/>
        </w:rPr>
        <w:t>用罄約20年</w:t>
      </w:r>
      <w:proofErr w:type="gramEnd"/>
      <w:r w:rsidR="009E67D7" w:rsidRPr="007319CD">
        <w:rPr>
          <w:rFonts w:hAnsi="標楷體" w:hint="eastAsia"/>
        </w:rPr>
        <w:t>，對於基金</w:t>
      </w:r>
      <w:proofErr w:type="gramStart"/>
      <w:r w:rsidR="009E67D7" w:rsidRPr="007319CD">
        <w:rPr>
          <w:rFonts w:hAnsi="標楷體" w:hint="eastAsia"/>
        </w:rPr>
        <w:t>得否永續</w:t>
      </w:r>
      <w:proofErr w:type="gramEnd"/>
      <w:r w:rsidR="009E67D7" w:rsidRPr="007319CD">
        <w:rPr>
          <w:rFonts w:hAnsi="標楷體" w:hint="eastAsia"/>
        </w:rPr>
        <w:t>經營</w:t>
      </w:r>
      <w:r w:rsidR="00D05C9B" w:rsidRPr="007319CD">
        <w:rPr>
          <w:rFonts w:hAnsi="標楷體" w:hint="eastAsia"/>
        </w:rPr>
        <w:t>無法解決</w:t>
      </w:r>
      <w:r w:rsidR="009E67D7" w:rsidRPr="007319CD">
        <w:rPr>
          <w:rFonts w:hAnsi="標楷體" w:hint="eastAsia"/>
        </w:rPr>
        <w:t>，</w:t>
      </w:r>
      <w:r w:rsidR="00DF2F3F" w:rsidRPr="007319CD">
        <w:rPr>
          <w:rFonts w:hAnsi="標楷體" w:hint="eastAsia"/>
        </w:rPr>
        <w:t>其與「適合原則」未盡相符，</w:t>
      </w:r>
      <w:proofErr w:type="gramStart"/>
      <w:r w:rsidR="00DF2F3F" w:rsidRPr="007319CD">
        <w:rPr>
          <w:rFonts w:hAnsi="標楷體" w:hint="eastAsia"/>
        </w:rPr>
        <w:t>反肇致</w:t>
      </w:r>
      <w:proofErr w:type="gramEnd"/>
      <w:r w:rsidR="00DF2F3F" w:rsidRPr="007319CD">
        <w:rPr>
          <w:rFonts w:hAnsi="標楷體" w:hint="eastAsia"/>
        </w:rPr>
        <w:t>公務</w:t>
      </w:r>
      <w:r w:rsidR="009E67D7" w:rsidRPr="007319CD">
        <w:rPr>
          <w:rFonts w:hAnsi="標楷體" w:hint="eastAsia"/>
        </w:rPr>
        <w:t>員</w:t>
      </w:r>
      <w:r w:rsidR="00DF2F3F" w:rsidRPr="007319CD">
        <w:rPr>
          <w:rFonts w:hAnsi="標楷體" w:hint="eastAsia"/>
        </w:rPr>
        <w:t>整體</w:t>
      </w:r>
      <w:r w:rsidR="009E67D7" w:rsidRPr="007319CD">
        <w:rPr>
          <w:rFonts w:hAnsi="標楷體" w:hint="eastAsia"/>
        </w:rPr>
        <w:t>惶惶不安</w:t>
      </w:r>
      <w:r w:rsidR="00DF2F3F" w:rsidRPr="007319CD">
        <w:rPr>
          <w:rFonts w:hAnsi="標楷體" w:hint="eastAsia"/>
        </w:rPr>
        <w:t>，破壞公務員制度性保障甚</w:t>
      </w:r>
      <w:proofErr w:type="gramStart"/>
      <w:r w:rsidR="00DF2F3F" w:rsidRPr="007319CD">
        <w:rPr>
          <w:rFonts w:hAnsi="標楷體" w:hint="eastAsia"/>
        </w:rPr>
        <w:t>鉅</w:t>
      </w:r>
      <w:proofErr w:type="gramEnd"/>
      <w:r w:rsidR="00DF2F3F" w:rsidRPr="007319CD">
        <w:rPr>
          <w:rFonts w:hAnsi="標楷體" w:hint="eastAsia"/>
        </w:rPr>
        <w:t>，文官制度將由此崩潰，並非不得依據</w:t>
      </w:r>
      <w:r w:rsidR="00E70E45" w:rsidRPr="007319CD">
        <w:rPr>
          <w:rFonts w:hAnsi="標楷體" w:hint="eastAsia"/>
        </w:rPr>
        <w:t>退撫基金</w:t>
      </w:r>
      <w:r w:rsidR="00DF2F3F" w:rsidRPr="007319CD">
        <w:rPr>
          <w:rFonts w:hAnsi="標楷體" w:hint="eastAsia"/>
        </w:rPr>
        <w:t>管理條例達成收支平衡，卻以違反法治國原則下之法律</w:t>
      </w:r>
      <w:proofErr w:type="gramStart"/>
      <w:r w:rsidR="00DF2F3F" w:rsidRPr="007319CD">
        <w:rPr>
          <w:rFonts w:hAnsi="標楷體" w:hint="eastAsia"/>
        </w:rPr>
        <w:t>不</w:t>
      </w:r>
      <w:proofErr w:type="gramEnd"/>
      <w:r w:rsidR="00DF2F3F" w:rsidRPr="007319CD">
        <w:rPr>
          <w:rFonts w:hAnsi="標楷體" w:hint="eastAsia"/>
        </w:rPr>
        <w:t>溯及既往原則、信賴保護原則、比例原則、誠信原則、平等原則，並侵害公務員財產權與生存權之方式，達成減輕國家財政負擔目的，顯違反狹義之比例原則，自屬違憲，無庸置疑。</w:t>
      </w:r>
    </w:p>
    <w:p w:rsidR="007423FA" w:rsidRPr="007319CD" w:rsidRDefault="007423FA" w:rsidP="007423FA">
      <w:pPr>
        <w:pStyle w:val="3"/>
        <w:rPr>
          <w:rFonts w:hAnsi="標楷體"/>
        </w:rPr>
      </w:pPr>
      <w:r w:rsidRPr="007319CD">
        <w:rPr>
          <w:rFonts w:hAnsi="標楷體" w:hint="eastAsia"/>
        </w:rPr>
        <w:t>綜上，公務人員退撫法（新法）第31條規定改變請領資格，延後月</w:t>
      </w:r>
      <w:proofErr w:type="gramStart"/>
      <w:r w:rsidRPr="007319CD">
        <w:rPr>
          <w:rFonts w:hAnsi="標楷體" w:hint="eastAsia"/>
        </w:rPr>
        <w:t>退休金起支年齡</w:t>
      </w:r>
      <w:proofErr w:type="gramEnd"/>
      <w:r w:rsidRPr="007319CD">
        <w:rPr>
          <w:rFonts w:hAnsi="標楷體" w:hint="eastAsia"/>
        </w:rPr>
        <w:t>、第27條調整退休金計算基準、第4條第4款及第37條至第39條規定調降退休所得、第34條取消年資補償金、第45條規定</w:t>
      </w:r>
      <w:r w:rsidRPr="007319CD">
        <w:rPr>
          <w:rFonts w:hAnsi="標楷體" w:hint="eastAsia"/>
        </w:rPr>
        <w:lastRenderedPageBreak/>
        <w:t>調整月撫慰金制度、第92條規定</w:t>
      </w:r>
      <w:r w:rsidR="00DA4D6C" w:rsidRPr="007319CD">
        <w:rPr>
          <w:rFonts w:hAnsi="標楷體" w:hint="eastAsia"/>
        </w:rPr>
        <w:t>年金制度定期檢討機制</w:t>
      </w:r>
      <w:r w:rsidRPr="007319CD">
        <w:rPr>
          <w:rFonts w:hAnsi="標楷體" w:hint="eastAsia"/>
        </w:rPr>
        <w:t>，使退休給付債權永成不確定狀態等；又</w:t>
      </w:r>
      <w:r w:rsidR="00914E2B" w:rsidRPr="007319CD">
        <w:rPr>
          <w:rFonts w:hAnsi="標楷體" w:hint="eastAsia"/>
        </w:rPr>
        <w:t>公立學校教職員退撫條例</w:t>
      </w:r>
      <w:r w:rsidRPr="007319CD">
        <w:rPr>
          <w:rFonts w:hAnsi="標楷體" w:hint="eastAsia"/>
        </w:rPr>
        <w:t>（新法）第32條規定改變請領資格，延後月</w:t>
      </w:r>
      <w:proofErr w:type="gramStart"/>
      <w:r w:rsidRPr="007319CD">
        <w:rPr>
          <w:rFonts w:hAnsi="標楷體" w:hint="eastAsia"/>
        </w:rPr>
        <w:t>退休金起支年齡</w:t>
      </w:r>
      <w:proofErr w:type="gramEnd"/>
      <w:r w:rsidRPr="007319CD">
        <w:rPr>
          <w:rFonts w:hAnsi="標楷體" w:hint="eastAsia"/>
        </w:rPr>
        <w:t>、第28條調整退休金計算基準、第4條第4款及第37條至第39條規定調降退休所得、第34條取消年資補償金、第45條規定調整月撫慰金制度、第97條規定</w:t>
      </w:r>
      <w:r w:rsidR="00DA4D6C" w:rsidRPr="007319CD">
        <w:rPr>
          <w:rFonts w:hAnsi="標楷體" w:hint="eastAsia"/>
        </w:rPr>
        <w:t>年金制度定期檢討機制</w:t>
      </w:r>
      <w:r w:rsidRPr="007319CD">
        <w:rPr>
          <w:rFonts w:hAnsi="標楷體" w:hint="eastAsia"/>
        </w:rPr>
        <w:t>，使退休給付債權永成不確定狀態等，其適用對象與範圍涵蓋已退休與未退休之所有公教人員，除侵害公務員財產權外，因該法設計係以國家作為第三人而非雇主身分，而生繳費義務與退休所得不相稱現象，違反平等原則，又拒絕給與符合「退休公務員俸給與職等身分」之價金，致公務員老年生活喪失安全保障，顯然違反最小侵害原則，自有違憲法第15條生存權與憲法第23條比例原則至明；</w:t>
      </w:r>
      <w:proofErr w:type="gramStart"/>
      <w:r w:rsidRPr="007319CD">
        <w:rPr>
          <w:rFonts w:hAnsi="標楷體" w:hint="eastAsia"/>
        </w:rPr>
        <w:t>再者，</w:t>
      </w:r>
      <w:proofErr w:type="gramEnd"/>
      <w:r w:rsidRPr="007319CD">
        <w:rPr>
          <w:rFonts w:hAnsi="標楷體" w:hint="eastAsia"/>
        </w:rPr>
        <w:t>新法僅基於財務政策公益之考量（即國庫利益之考量），而</w:t>
      </w:r>
      <w:proofErr w:type="gramStart"/>
      <w:r w:rsidRPr="007319CD">
        <w:rPr>
          <w:rFonts w:hAnsi="標楷體" w:hint="eastAsia"/>
        </w:rPr>
        <w:t>遽</w:t>
      </w:r>
      <w:proofErr w:type="gramEnd"/>
      <w:r w:rsidRPr="007319CD">
        <w:rPr>
          <w:rFonts w:hAnsi="標楷體" w:hint="eastAsia"/>
        </w:rPr>
        <w:t>行摧毀公務員制度性保障或減損具有效能（具吸引力）的文官制度，並未遵守</w:t>
      </w:r>
      <w:r w:rsidR="008B0C99" w:rsidRPr="007319CD">
        <w:rPr>
          <w:rFonts w:hAnsi="標楷體" w:hint="eastAsia"/>
        </w:rPr>
        <w:t>退撫基金管理條例</w:t>
      </w:r>
      <w:r w:rsidRPr="007319CD">
        <w:rPr>
          <w:rFonts w:hAnsi="標楷體" w:hint="eastAsia"/>
        </w:rPr>
        <w:t>調整繳費費率，或由政府撥款</w:t>
      </w:r>
      <w:r w:rsidR="00F15354" w:rsidRPr="007319CD">
        <w:rPr>
          <w:rFonts w:hAnsi="標楷體" w:hint="eastAsia"/>
        </w:rPr>
        <w:t>（本案調查</w:t>
      </w:r>
      <w:r w:rsidR="00272351" w:rsidRPr="007319CD">
        <w:rPr>
          <w:rFonts w:hAnsi="標楷體" w:hint="eastAsia"/>
        </w:rPr>
        <w:t>意見五</w:t>
      </w:r>
      <w:r w:rsidR="00F15354" w:rsidRPr="007319CD">
        <w:rPr>
          <w:rFonts w:hAnsi="標楷體" w:hint="eastAsia"/>
        </w:rPr>
        <w:t>）</w:t>
      </w:r>
      <w:r w:rsidRPr="007319CD">
        <w:rPr>
          <w:rFonts w:hAnsi="標楷體" w:hint="eastAsia"/>
        </w:rPr>
        <w:t>，反以違反法治國原則下之法律</w:t>
      </w:r>
      <w:proofErr w:type="gramStart"/>
      <w:r w:rsidRPr="007319CD">
        <w:rPr>
          <w:rFonts w:hAnsi="標楷體" w:hint="eastAsia"/>
        </w:rPr>
        <w:t>不</w:t>
      </w:r>
      <w:proofErr w:type="gramEnd"/>
      <w:r w:rsidRPr="007319CD">
        <w:rPr>
          <w:rFonts w:hAnsi="標楷體" w:hint="eastAsia"/>
        </w:rPr>
        <w:t>溯及既往原則、信賴保護原則、比例原則、誠信原則、平等原則，並侵害公務員財產權與生存權之方式，達成所謂減輕國家財政負擔目的，其亦僅能延長公教人員退撫基金收支平衡16年或17年，與延後基金免於</w:t>
      </w:r>
      <w:proofErr w:type="gramStart"/>
      <w:r w:rsidRPr="007319CD">
        <w:rPr>
          <w:rFonts w:hAnsi="標楷體" w:hint="eastAsia"/>
        </w:rPr>
        <w:t>用罄約20年</w:t>
      </w:r>
      <w:proofErr w:type="gramEnd"/>
      <w:r w:rsidRPr="007319CD">
        <w:rPr>
          <w:rFonts w:hAnsi="標楷體" w:hint="eastAsia"/>
        </w:rPr>
        <w:t>，對於基金</w:t>
      </w:r>
      <w:proofErr w:type="gramStart"/>
      <w:r w:rsidRPr="007319CD">
        <w:rPr>
          <w:rFonts w:hAnsi="標楷體" w:hint="eastAsia"/>
        </w:rPr>
        <w:t>得</w:t>
      </w:r>
      <w:r w:rsidR="004F68C0" w:rsidRPr="007319CD">
        <w:rPr>
          <w:rFonts w:hAnsi="標楷體" w:hint="eastAsia"/>
        </w:rPr>
        <w:t>否永續</w:t>
      </w:r>
      <w:proofErr w:type="gramEnd"/>
      <w:r w:rsidR="004F68C0" w:rsidRPr="007319CD">
        <w:rPr>
          <w:rFonts w:hAnsi="標楷體" w:hint="eastAsia"/>
        </w:rPr>
        <w:t>經營無法解決，除與「適合原則」未盡相符外，亦</w:t>
      </w:r>
      <w:r w:rsidRPr="007319CD">
        <w:rPr>
          <w:rFonts w:hAnsi="標楷體" w:hint="eastAsia"/>
        </w:rPr>
        <w:t>違反狹義之比例原則，</w:t>
      </w:r>
      <w:r w:rsidR="004F68C0" w:rsidRPr="007319CD">
        <w:rPr>
          <w:rFonts w:hAnsi="標楷體" w:hint="eastAsia"/>
        </w:rPr>
        <w:t>至為灼然</w:t>
      </w:r>
      <w:r w:rsidRPr="007319CD">
        <w:rPr>
          <w:rFonts w:hAnsi="標楷體" w:hint="eastAsia"/>
        </w:rPr>
        <w:t>。</w:t>
      </w:r>
    </w:p>
    <w:p w:rsidR="0089081F" w:rsidRPr="007319CD" w:rsidRDefault="009315F3" w:rsidP="00E71ECB">
      <w:pPr>
        <w:pStyle w:val="2"/>
        <w:rPr>
          <w:rFonts w:hAnsi="標楷體"/>
          <w:b/>
        </w:rPr>
      </w:pPr>
      <w:r w:rsidRPr="007319CD">
        <w:rPr>
          <w:rFonts w:hAnsi="標楷體"/>
          <w:b/>
        </w:rPr>
        <w:t>公務人員退撫法（新法）</w:t>
      </w:r>
      <w:r w:rsidR="0089081F" w:rsidRPr="007319CD">
        <w:rPr>
          <w:rFonts w:hAnsi="標楷體"/>
          <w:b/>
        </w:rPr>
        <w:t>第31條規定改變請領資格，延後月</w:t>
      </w:r>
      <w:proofErr w:type="gramStart"/>
      <w:r w:rsidR="0089081F" w:rsidRPr="007319CD">
        <w:rPr>
          <w:rFonts w:hAnsi="標楷體"/>
          <w:b/>
        </w:rPr>
        <w:t>退休金起支年齡</w:t>
      </w:r>
      <w:proofErr w:type="gramEnd"/>
      <w:r w:rsidR="0089081F" w:rsidRPr="007319CD">
        <w:rPr>
          <w:rFonts w:hAnsi="標楷體"/>
          <w:b/>
        </w:rPr>
        <w:t>、第27條調整退休金計算基準、第4條第4款及第37條至第39條規定調降退休所</w:t>
      </w:r>
      <w:r w:rsidR="0089081F" w:rsidRPr="007319CD">
        <w:rPr>
          <w:rFonts w:hAnsi="標楷體"/>
          <w:b/>
        </w:rPr>
        <w:lastRenderedPageBreak/>
        <w:t>得、第34條取消年資補償金、第45條規定調整月撫慰金制度</w:t>
      </w:r>
      <w:r w:rsidR="002C02B8" w:rsidRPr="007319CD">
        <w:rPr>
          <w:rFonts w:hAnsi="標楷體"/>
          <w:b/>
        </w:rPr>
        <w:t>、第92條規定</w:t>
      </w:r>
      <w:r w:rsidR="00DA4D6C" w:rsidRPr="007319CD">
        <w:rPr>
          <w:rFonts w:hAnsi="標楷體"/>
          <w:b/>
        </w:rPr>
        <w:t>年金制度定期檢討機制</w:t>
      </w:r>
      <w:r w:rsidR="002C02B8" w:rsidRPr="007319CD">
        <w:rPr>
          <w:rFonts w:hAnsi="標楷體"/>
          <w:b/>
        </w:rPr>
        <w:t>，使公務員退休給付債權永成不確定狀態</w:t>
      </w:r>
      <w:r w:rsidR="0089081F" w:rsidRPr="007319CD">
        <w:rPr>
          <w:rFonts w:hAnsi="標楷體"/>
          <w:b/>
        </w:rPr>
        <w:t>等</w:t>
      </w:r>
      <w:r w:rsidR="003E14B5" w:rsidRPr="007319CD">
        <w:rPr>
          <w:rFonts w:hAnsi="標楷體"/>
          <w:b/>
        </w:rPr>
        <w:t>；另</w:t>
      </w:r>
      <w:r w:rsidR="00914E2B" w:rsidRPr="007319CD">
        <w:rPr>
          <w:rFonts w:hAnsi="標楷體"/>
          <w:b/>
        </w:rPr>
        <w:t>公立學校教職員退撫條例</w:t>
      </w:r>
      <w:r w:rsidR="00C74E5E" w:rsidRPr="007319CD">
        <w:rPr>
          <w:rFonts w:hAnsi="標楷體"/>
          <w:b/>
        </w:rPr>
        <w:t>（新法）</w:t>
      </w:r>
      <w:r w:rsidR="003E14B5" w:rsidRPr="007319CD">
        <w:rPr>
          <w:rFonts w:hAnsi="標楷體"/>
          <w:b/>
        </w:rPr>
        <w:t>第32條規定改變請領資格，延後月</w:t>
      </w:r>
      <w:proofErr w:type="gramStart"/>
      <w:r w:rsidR="003E14B5" w:rsidRPr="007319CD">
        <w:rPr>
          <w:rFonts w:hAnsi="標楷體"/>
          <w:b/>
        </w:rPr>
        <w:t>退休金起支年齡</w:t>
      </w:r>
      <w:proofErr w:type="gramEnd"/>
      <w:r w:rsidR="003E14B5" w:rsidRPr="007319CD">
        <w:rPr>
          <w:rFonts w:hAnsi="標楷體"/>
          <w:b/>
        </w:rPr>
        <w:t>、第28條調整退休金計算基準、第4條第4款及第37條至第39條規定調降退休所得、第34條取消年資補償金、第45條規定調整月撫慰金制度</w:t>
      </w:r>
      <w:r w:rsidR="002C02B8" w:rsidRPr="007319CD">
        <w:rPr>
          <w:rFonts w:hAnsi="標楷體"/>
          <w:b/>
        </w:rPr>
        <w:t>、第97條規定</w:t>
      </w:r>
      <w:r w:rsidR="00DA4D6C" w:rsidRPr="007319CD">
        <w:rPr>
          <w:rFonts w:hAnsi="標楷體"/>
          <w:b/>
        </w:rPr>
        <w:t>年金制度定期檢討機制</w:t>
      </w:r>
      <w:r w:rsidR="002C02B8" w:rsidRPr="007319CD">
        <w:rPr>
          <w:rFonts w:hAnsi="標楷體"/>
          <w:b/>
        </w:rPr>
        <w:t>，使退休給付債權永成不確定狀態</w:t>
      </w:r>
      <w:r w:rsidR="003E14B5" w:rsidRPr="007319CD">
        <w:rPr>
          <w:rFonts w:hAnsi="標楷體"/>
          <w:b/>
        </w:rPr>
        <w:t>等，</w:t>
      </w:r>
      <w:r w:rsidR="0089081F" w:rsidRPr="007319CD">
        <w:rPr>
          <w:rFonts w:hAnsi="標楷體"/>
          <w:b/>
        </w:rPr>
        <w:t>其適用對象與範圍涵蓋已退休與未退休之所有公</w:t>
      </w:r>
      <w:r w:rsidR="00E71ECB" w:rsidRPr="007319CD">
        <w:rPr>
          <w:rFonts w:hAnsi="標楷體"/>
          <w:b/>
        </w:rPr>
        <w:t>教人</w:t>
      </w:r>
      <w:r w:rsidR="0089081F" w:rsidRPr="007319CD">
        <w:rPr>
          <w:rFonts w:hAnsi="標楷體"/>
          <w:b/>
        </w:rPr>
        <w:t>員，</w:t>
      </w:r>
      <w:r w:rsidR="003E14B5" w:rsidRPr="007319CD">
        <w:rPr>
          <w:rFonts w:hAnsi="標楷體"/>
          <w:b/>
        </w:rPr>
        <w:t>有</w:t>
      </w:r>
      <w:r w:rsidR="0089081F" w:rsidRPr="007319CD">
        <w:rPr>
          <w:rFonts w:hAnsi="標楷體"/>
          <w:b/>
        </w:rPr>
        <w:t>違信賴保護原則。</w:t>
      </w:r>
    </w:p>
    <w:p w:rsidR="00082CC6" w:rsidRPr="007319CD" w:rsidRDefault="006736F6" w:rsidP="00082CC6">
      <w:pPr>
        <w:pStyle w:val="3"/>
        <w:rPr>
          <w:rFonts w:hAnsi="標楷體"/>
          <w:b/>
        </w:rPr>
      </w:pPr>
      <w:r w:rsidRPr="007319CD">
        <w:rPr>
          <w:rFonts w:hAnsi="標楷體" w:hint="eastAsia"/>
          <w:b/>
        </w:rPr>
        <w:t>信賴保護原則係屬憲法原則，係屬法治國原則之基本內涵</w:t>
      </w:r>
      <w:r w:rsidR="00082CC6" w:rsidRPr="007319CD">
        <w:rPr>
          <w:rFonts w:hAnsi="標楷體" w:hint="eastAsia"/>
          <w:b/>
        </w:rPr>
        <w:t>，授予人民經濟利益之法規，應予較高程度之信賴保護，客觀上可使規範對象預期將繼續施行，並通常可據為生活或經營之安排，且其信賴值得保護時，須基於公益之必要始得變動。凡因公益之必要而變動法規者，仍應與規範對象應受保護之信賴利益相權衡，除應避免將全部給付</w:t>
      </w:r>
      <w:proofErr w:type="gramStart"/>
      <w:r w:rsidR="00082CC6" w:rsidRPr="007319CD">
        <w:rPr>
          <w:rFonts w:hAnsi="標楷體" w:hint="eastAsia"/>
          <w:b/>
        </w:rPr>
        <w:t>逕</w:t>
      </w:r>
      <w:proofErr w:type="gramEnd"/>
      <w:r w:rsidR="00082CC6" w:rsidRPr="007319CD">
        <w:rPr>
          <w:rFonts w:hAnsi="標楷體" w:hint="eastAsia"/>
          <w:b/>
        </w:rPr>
        <w:t>予終止外，</w:t>
      </w:r>
      <w:proofErr w:type="gramStart"/>
      <w:r w:rsidR="00082CC6" w:rsidRPr="007319CD">
        <w:rPr>
          <w:rFonts w:hAnsi="標楷體" w:hint="eastAsia"/>
          <w:b/>
        </w:rPr>
        <w:t>於審酌減</w:t>
      </w:r>
      <w:proofErr w:type="gramEnd"/>
      <w:r w:rsidR="00082CC6" w:rsidRPr="007319CD">
        <w:rPr>
          <w:rFonts w:hAnsi="標楷體" w:hint="eastAsia"/>
          <w:b/>
        </w:rPr>
        <w:t>少給付程度時，並應考量是否分階段實施及規範對象承受能力之差異，</w:t>
      </w:r>
      <w:proofErr w:type="gramStart"/>
      <w:r w:rsidR="00082CC6" w:rsidRPr="007319CD">
        <w:rPr>
          <w:rFonts w:hAnsi="標楷體" w:hint="eastAsia"/>
          <w:b/>
        </w:rPr>
        <w:t>俾</w:t>
      </w:r>
      <w:proofErr w:type="gramEnd"/>
      <w:r w:rsidR="00082CC6" w:rsidRPr="007319CD">
        <w:rPr>
          <w:rFonts w:hAnsi="標楷體" w:hint="eastAsia"/>
          <w:b/>
        </w:rPr>
        <w:t>避免其可得預期之利益遭受過度之減損。</w:t>
      </w:r>
    </w:p>
    <w:p w:rsidR="00C408AC" w:rsidRPr="007319CD" w:rsidRDefault="006736F6" w:rsidP="00082CC6">
      <w:pPr>
        <w:pStyle w:val="4"/>
        <w:rPr>
          <w:rFonts w:hAnsi="標楷體"/>
          <w:b/>
        </w:rPr>
      </w:pPr>
      <w:r w:rsidRPr="007319CD">
        <w:rPr>
          <w:rFonts w:hAnsi="標楷體" w:hint="eastAsia"/>
          <w:b/>
        </w:rPr>
        <w:t>信賴保護原則為戰後在西德發展成功之原則，最先適用於授益性質行政處分之撤銷(或廢止)，蓋相對人因此類處分獲有利益，一經撤銷自將遭受損害，故行政機關撤銷授益處分時，應考慮補償相對人信賴處分有效存續之利益。其後此項原則經</w:t>
      </w:r>
      <w:r w:rsidR="00EC1E16" w:rsidRPr="007319CD">
        <w:rPr>
          <w:rFonts w:hAnsi="標楷體" w:hint="eastAsia"/>
          <w:b/>
        </w:rPr>
        <w:t>德國</w:t>
      </w:r>
      <w:r w:rsidRPr="007319CD">
        <w:rPr>
          <w:rFonts w:hAnsi="標楷體" w:hint="eastAsia"/>
          <w:b/>
        </w:rPr>
        <w:t>憲法法院之不斷引用，且逐漸成為憲法層次之法則，不僅拘束行政部門，對立法及司法部門亦有拘束力，故制定法規或適用法規均不得溯</w:t>
      </w:r>
      <w:r w:rsidRPr="007319CD">
        <w:rPr>
          <w:rFonts w:hAnsi="標楷體" w:hint="eastAsia"/>
          <w:b/>
        </w:rPr>
        <w:lastRenderedPageBreak/>
        <w:t>及既往發生效力，使人民更為不利</w:t>
      </w:r>
      <w:r w:rsidR="00974DBE" w:rsidRPr="007319CD">
        <w:rPr>
          <w:rStyle w:val="aff1"/>
          <w:rFonts w:hAnsi="標楷體"/>
          <w:b/>
        </w:rPr>
        <w:footnoteReference w:id="64"/>
      </w:r>
      <w:r w:rsidRPr="007319CD">
        <w:rPr>
          <w:rFonts w:hAnsi="標楷體" w:hint="eastAsia"/>
          <w:b/>
        </w:rPr>
        <w:t>。</w:t>
      </w:r>
      <w:proofErr w:type="gramStart"/>
      <w:r w:rsidRPr="007319CD">
        <w:rPr>
          <w:rFonts w:hAnsi="標楷體" w:hint="eastAsia"/>
          <w:b/>
        </w:rPr>
        <w:t>法規為溯及</w:t>
      </w:r>
      <w:proofErr w:type="gramEnd"/>
      <w:r w:rsidRPr="007319CD">
        <w:rPr>
          <w:rFonts w:hAnsi="標楷體" w:hint="eastAsia"/>
          <w:b/>
        </w:rPr>
        <w:t>既往之規定，可能出自該法規之明白規定，也可能出自該法規之法律要件，而其適用之結果，溯及於該法規生效前所終結之事實或法律關係，背離信賴保護原則，法規內容當然</w:t>
      </w:r>
      <w:proofErr w:type="gramStart"/>
      <w:r w:rsidRPr="007319CD">
        <w:rPr>
          <w:rFonts w:hAnsi="標楷體" w:hint="eastAsia"/>
          <w:b/>
        </w:rPr>
        <w:t>不得為溯及</w:t>
      </w:r>
      <w:proofErr w:type="gramEnd"/>
      <w:r w:rsidRPr="007319CD">
        <w:rPr>
          <w:rFonts w:hAnsi="標楷體" w:hint="eastAsia"/>
          <w:b/>
        </w:rPr>
        <w:t>既往之規定。由於信賴保護係法治國家之內涵，則任何信賴國家所制定之法規之人，原則上均應受保護，此不論係法規變更或廢止有溯及效力或僅將來發生效力，</w:t>
      </w:r>
      <w:proofErr w:type="gramStart"/>
      <w:r w:rsidRPr="007319CD">
        <w:rPr>
          <w:rFonts w:hAnsi="標楷體" w:hint="eastAsia"/>
          <w:b/>
        </w:rPr>
        <w:t>均屬如此</w:t>
      </w:r>
      <w:proofErr w:type="gramEnd"/>
      <w:r w:rsidRPr="007319CD">
        <w:rPr>
          <w:rFonts w:hAnsi="標楷體" w:hint="eastAsia"/>
          <w:b/>
        </w:rPr>
        <w:t>。</w:t>
      </w:r>
      <w:proofErr w:type="gramStart"/>
      <w:r w:rsidRPr="007319CD">
        <w:rPr>
          <w:rFonts w:hAnsi="標楷體" w:hint="eastAsia"/>
          <w:b/>
        </w:rPr>
        <w:t>從而，</w:t>
      </w:r>
      <w:proofErr w:type="gramEnd"/>
      <w:r w:rsidRPr="007319CD">
        <w:rPr>
          <w:rFonts w:hAnsi="標楷體" w:hint="eastAsia"/>
          <w:b/>
        </w:rPr>
        <w:t>依此推論，立法者應遵行法治國家原則，不得公布具有溯及效力之法規。倘若法律規定溯及既往，其是否合乎憲法，憲法機關應就具體之事實狀態及有關法規，而為審查。其關鍵問題端在於</w:t>
      </w:r>
      <w:proofErr w:type="gramStart"/>
      <w:r w:rsidRPr="007319CD">
        <w:rPr>
          <w:rFonts w:hAnsi="標楷體" w:hint="eastAsia"/>
          <w:b/>
        </w:rPr>
        <w:t>法律之溯及</w:t>
      </w:r>
      <w:proofErr w:type="gramEnd"/>
      <w:r w:rsidRPr="007319CD">
        <w:rPr>
          <w:rFonts w:hAnsi="標楷體" w:hint="eastAsia"/>
          <w:b/>
        </w:rPr>
        <w:t>效力，是否與關係人對現存有效法律規定之信賴互相對立。其決定性審查基準，則在於透過對信賴人之利益（即因信賴舊法致遭受侵害之程度）與新法之立法意旨（即公共福扯）間之利益衡量之結果，人民之信賴是否較具優越價值而定。</w:t>
      </w:r>
      <w:proofErr w:type="gramStart"/>
      <w:r w:rsidRPr="007319CD">
        <w:rPr>
          <w:rFonts w:hAnsi="標楷體" w:hint="eastAsia"/>
          <w:b/>
        </w:rPr>
        <w:t>從而，</w:t>
      </w:r>
      <w:proofErr w:type="gramEnd"/>
      <w:r w:rsidRPr="007319CD">
        <w:rPr>
          <w:rFonts w:hAnsi="標楷體" w:hint="eastAsia"/>
          <w:b/>
        </w:rPr>
        <w:t>原則上，僅限於人民對現存法規之繼續存在之信賴係值得保護；也就是說，人民對於法規之變更事先無從預計，</w:t>
      </w:r>
      <w:r w:rsidR="008662F6" w:rsidRPr="007319CD">
        <w:rPr>
          <w:rFonts w:hAnsi="標楷體" w:hint="eastAsia"/>
          <w:b/>
        </w:rPr>
        <w:t>且新法所</w:t>
      </w:r>
      <w:r w:rsidRPr="007319CD">
        <w:rPr>
          <w:rFonts w:hAnsi="標楷體" w:hint="eastAsia"/>
          <w:b/>
        </w:rPr>
        <w:t>欲達成之公益較之信賴保護並不具優越之價值；禁止溯及既往限於「負擔性之法規」</w:t>
      </w:r>
      <w:proofErr w:type="gramStart"/>
      <w:r w:rsidRPr="007319CD">
        <w:rPr>
          <w:rFonts w:hAnsi="標楷體" w:hint="eastAsia"/>
          <w:b/>
        </w:rPr>
        <w:t>（</w:t>
      </w:r>
      <w:proofErr w:type="gramEnd"/>
      <w:r w:rsidRPr="007319CD">
        <w:rPr>
          <w:rFonts w:hAnsi="標楷體" w:hint="eastAsia"/>
          <w:b/>
        </w:rPr>
        <w:t>belastende Rechtsnormen)(按即法規內容係課人民以負擔)</w:t>
      </w:r>
      <w:r w:rsidR="004213E4" w:rsidRPr="007319CD">
        <w:rPr>
          <w:rFonts w:hAnsi="標楷體" w:hint="eastAsia"/>
          <w:b/>
        </w:rPr>
        <w:t>，始有其適用。信賴保護原則之適用，必須具備3</w:t>
      </w:r>
      <w:r w:rsidRPr="007319CD">
        <w:rPr>
          <w:rFonts w:hAnsi="標楷體" w:hint="eastAsia"/>
          <w:b/>
        </w:rPr>
        <w:t>個條件：信賴保護乃行政法極為重要之原則。有關信賴保護原則之要件</w:t>
      </w:r>
      <w:proofErr w:type="gramStart"/>
      <w:r w:rsidRPr="007319CD">
        <w:rPr>
          <w:rFonts w:hAnsi="標楷體" w:hint="eastAsia"/>
          <w:b/>
        </w:rPr>
        <w:t>﹕</w:t>
      </w:r>
      <w:proofErr w:type="gramEnd"/>
      <w:r w:rsidR="004213E4" w:rsidRPr="007319CD">
        <w:rPr>
          <w:rFonts w:hAnsi="標楷體" w:hint="eastAsia"/>
          <w:b/>
        </w:rPr>
        <w:t>（1）</w:t>
      </w:r>
      <w:r w:rsidRPr="007319CD">
        <w:rPr>
          <w:rFonts w:hAnsi="標楷體" w:hint="eastAsia"/>
          <w:b/>
        </w:rPr>
        <w:t>信賴基礎</w:t>
      </w:r>
      <w:proofErr w:type="gramStart"/>
      <w:r w:rsidRPr="007319CD">
        <w:rPr>
          <w:rFonts w:hAnsi="標楷體" w:hint="eastAsia"/>
          <w:b/>
        </w:rPr>
        <w:t>﹕</w:t>
      </w:r>
      <w:proofErr w:type="gramEnd"/>
      <w:r w:rsidRPr="007319CD">
        <w:rPr>
          <w:rFonts w:hAnsi="標楷體" w:hint="eastAsia"/>
          <w:b/>
        </w:rPr>
        <w:t>即令人民產生信賴之法規、行政處分等；</w:t>
      </w:r>
      <w:r w:rsidR="004213E4" w:rsidRPr="007319CD">
        <w:rPr>
          <w:rFonts w:hAnsi="標楷體" w:hint="eastAsia"/>
          <w:b/>
        </w:rPr>
        <w:t>(2)</w:t>
      </w:r>
      <w:r w:rsidRPr="007319CD">
        <w:rPr>
          <w:rFonts w:hAnsi="標楷體" w:hint="eastAsia"/>
          <w:b/>
        </w:rPr>
        <w:t>信</w:t>
      </w:r>
      <w:r w:rsidRPr="007319CD">
        <w:rPr>
          <w:rFonts w:hAnsi="標楷體" w:hint="eastAsia"/>
          <w:b/>
        </w:rPr>
        <w:lastRenderedPageBreak/>
        <w:t>賴表現</w:t>
      </w:r>
      <w:proofErr w:type="gramStart"/>
      <w:r w:rsidRPr="007319CD">
        <w:rPr>
          <w:rFonts w:hAnsi="標楷體" w:hint="eastAsia"/>
          <w:b/>
        </w:rPr>
        <w:t>﹕</w:t>
      </w:r>
      <w:proofErr w:type="gramEnd"/>
      <w:r w:rsidRPr="007319CD">
        <w:rPr>
          <w:rFonts w:hAnsi="標楷體" w:hint="eastAsia"/>
          <w:b/>
        </w:rPr>
        <w:t>人民須有客觀上有對信賴基礎之表現行為，換言之，表現行為應與信賴</w:t>
      </w:r>
      <w:proofErr w:type="gramStart"/>
      <w:r w:rsidRPr="007319CD">
        <w:rPr>
          <w:rFonts w:hAnsi="標楷體" w:hint="eastAsia"/>
          <w:b/>
        </w:rPr>
        <w:t>基礎間有因果關係</w:t>
      </w:r>
      <w:proofErr w:type="gramEnd"/>
      <w:r w:rsidRPr="007319CD">
        <w:rPr>
          <w:rFonts w:hAnsi="標楷體" w:hint="eastAsia"/>
          <w:b/>
        </w:rPr>
        <w:t>；</w:t>
      </w:r>
      <w:r w:rsidR="004213E4" w:rsidRPr="007319CD">
        <w:rPr>
          <w:rFonts w:hAnsi="標楷體" w:hint="eastAsia"/>
          <w:b/>
        </w:rPr>
        <w:t>（3）</w:t>
      </w:r>
      <w:r w:rsidRPr="007319CD">
        <w:rPr>
          <w:rFonts w:hAnsi="標楷體" w:hint="eastAsia"/>
          <w:b/>
        </w:rPr>
        <w:t>值得保護之信賴利益基於信賴保護原則，法規制定或修正時，該法規內容原則固</w:t>
      </w:r>
      <w:proofErr w:type="gramStart"/>
      <w:r w:rsidRPr="007319CD">
        <w:rPr>
          <w:rFonts w:hAnsi="標楷體" w:hint="eastAsia"/>
          <w:b/>
        </w:rPr>
        <w:t>不得為溯及</w:t>
      </w:r>
      <w:proofErr w:type="gramEnd"/>
      <w:r w:rsidRPr="007319CD">
        <w:rPr>
          <w:rFonts w:hAnsi="標楷體" w:hint="eastAsia"/>
          <w:b/>
        </w:rPr>
        <w:t>既往之規定</w:t>
      </w:r>
      <w:r w:rsidRPr="007319CD">
        <w:rPr>
          <w:rStyle w:val="aff1"/>
          <w:rFonts w:hAnsi="標楷體"/>
          <w:b/>
        </w:rPr>
        <w:footnoteReference w:id="65"/>
      </w:r>
      <w:r w:rsidR="00786D8E" w:rsidRPr="007319CD">
        <w:rPr>
          <w:rFonts w:hAnsi="標楷體"/>
          <w:b/>
        </w:rPr>
        <w:t>。</w:t>
      </w:r>
    </w:p>
    <w:p w:rsidR="00707A26" w:rsidRPr="007319CD" w:rsidRDefault="0089081F" w:rsidP="006736F6">
      <w:pPr>
        <w:pStyle w:val="4"/>
        <w:rPr>
          <w:rFonts w:hAnsi="標楷體"/>
          <w:b/>
        </w:rPr>
      </w:pPr>
      <w:r w:rsidRPr="007319CD">
        <w:rPr>
          <w:rFonts w:hAnsi="標楷體"/>
          <w:b/>
        </w:rPr>
        <w:t>信賴保護原則涉及法秩序安定與國家行為可預期性，屬法治國原理重要內涵，其作用非僅在保障人民權益，</w:t>
      </w:r>
      <w:proofErr w:type="gramStart"/>
      <w:r w:rsidRPr="007319CD">
        <w:rPr>
          <w:rFonts w:hAnsi="標楷體"/>
          <w:b/>
        </w:rPr>
        <w:t>更寓有</w:t>
      </w:r>
      <w:proofErr w:type="gramEnd"/>
      <w:r w:rsidRPr="007319CD">
        <w:rPr>
          <w:rFonts w:hAnsi="標楷體"/>
          <w:b/>
        </w:rPr>
        <w:t>藉以實現公益之目的。人民對依法規而取得之有利法律地位或可合理預期取得之利益，於客觀上有表現其信賴之事實，而非純為願望或期待，並具有值得保護之價值者</w:t>
      </w:r>
      <w:r w:rsidR="00C408AC" w:rsidRPr="007319CD">
        <w:rPr>
          <w:rFonts w:hAnsi="標楷體"/>
          <w:b/>
        </w:rPr>
        <w:t>（司法院釋字第525號解釋參照）</w:t>
      </w:r>
      <w:r w:rsidRPr="007319CD">
        <w:rPr>
          <w:rFonts w:hAnsi="標楷體"/>
          <w:b/>
        </w:rPr>
        <w:t>，其信賴之利益即應加以保護。法規變動（制定、修正或廢止）時，在無涉禁止法律溯及既往原則之情形，對於人民既存之有利法律地位</w:t>
      </w:r>
      <w:r w:rsidR="00C408AC" w:rsidRPr="007319CD">
        <w:rPr>
          <w:rFonts w:hAnsi="標楷體"/>
          <w:b/>
        </w:rPr>
        <w:t>（司法院釋字第529號解釋參照）</w:t>
      </w:r>
      <w:r w:rsidRPr="007319CD">
        <w:rPr>
          <w:rFonts w:hAnsi="標楷體"/>
          <w:b/>
        </w:rPr>
        <w:t>或可得預期之利益</w:t>
      </w:r>
      <w:r w:rsidR="00C408AC" w:rsidRPr="007319CD">
        <w:rPr>
          <w:rFonts w:hAnsi="標楷體"/>
          <w:b/>
        </w:rPr>
        <w:t>（司法院釋字第605號解釋參照）</w:t>
      </w:r>
      <w:r w:rsidRPr="007319CD">
        <w:rPr>
          <w:rFonts w:hAnsi="標楷體"/>
          <w:b/>
        </w:rPr>
        <w:t>，國家除因有憲政制度之特殊考量外</w:t>
      </w:r>
      <w:r w:rsidR="00C408AC" w:rsidRPr="007319CD">
        <w:rPr>
          <w:rFonts w:hAnsi="標楷體"/>
          <w:b/>
        </w:rPr>
        <w:t>（司法院釋字第589號解釋參照）</w:t>
      </w:r>
      <w:r w:rsidRPr="007319CD">
        <w:rPr>
          <w:rFonts w:hAnsi="標楷體"/>
          <w:b/>
        </w:rPr>
        <w:t>，原則上固有決定是否予以維持以及如何維持之形成空間，惟仍應注意人民對於舊法有無值得保護之信賴及是否符合比例原則。授予人民經濟利益之法規預先定有施行期間者，在該期間內即應予較高程度之信賴保護，非有極為重要之公益，不得加以限制；若於期間屆滿後發布新規定，則不生信賴保護之問題。</w:t>
      </w:r>
      <w:r w:rsidRPr="007319CD">
        <w:rPr>
          <w:rFonts w:hAnsi="標楷體"/>
          <w:b/>
          <w:u w:val="single"/>
        </w:rPr>
        <w:t>其未定有施行期間者，如客觀上可使規範對象預期將繼續施行，並通常可據為生活或經營之安排，且其信賴值得保護時，須基於公益之必要始得變動。凡因公益之必要而變動法規</w:t>
      </w:r>
      <w:r w:rsidRPr="007319CD">
        <w:rPr>
          <w:rFonts w:hAnsi="標楷體"/>
          <w:b/>
          <w:u w:val="single"/>
        </w:rPr>
        <w:lastRenderedPageBreak/>
        <w:t>者，仍應與規範對象應受保護之信賴利益相權衡，除應避免將全部給付</w:t>
      </w:r>
      <w:proofErr w:type="gramStart"/>
      <w:r w:rsidRPr="007319CD">
        <w:rPr>
          <w:rFonts w:hAnsi="標楷體"/>
          <w:b/>
          <w:u w:val="single"/>
        </w:rPr>
        <w:t>逕</w:t>
      </w:r>
      <w:proofErr w:type="gramEnd"/>
      <w:r w:rsidRPr="007319CD">
        <w:rPr>
          <w:rFonts w:hAnsi="標楷體"/>
          <w:b/>
          <w:u w:val="single"/>
        </w:rPr>
        <w:t>予終止外，</w:t>
      </w:r>
      <w:proofErr w:type="gramStart"/>
      <w:r w:rsidRPr="007319CD">
        <w:rPr>
          <w:rFonts w:hAnsi="標楷體"/>
          <w:b/>
          <w:u w:val="single"/>
        </w:rPr>
        <w:t>於審酌減</w:t>
      </w:r>
      <w:proofErr w:type="gramEnd"/>
      <w:r w:rsidRPr="007319CD">
        <w:rPr>
          <w:rFonts w:hAnsi="標楷體"/>
          <w:b/>
          <w:u w:val="single"/>
        </w:rPr>
        <w:t>少給付程度時，並應考量是否分階段實施及規範對象承受能力之差異，</w:t>
      </w:r>
      <w:proofErr w:type="gramStart"/>
      <w:r w:rsidRPr="007319CD">
        <w:rPr>
          <w:rFonts w:hAnsi="標楷體"/>
          <w:b/>
          <w:u w:val="single"/>
        </w:rPr>
        <w:t>俾</w:t>
      </w:r>
      <w:proofErr w:type="gramEnd"/>
      <w:r w:rsidRPr="007319CD">
        <w:rPr>
          <w:rFonts w:hAnsi="標楷體"/>
          <w:b/>
          <w:u w:val="single"/>
        </w:rPr>
        <w:t>避免其可得預期之利益遭受過度之減損</w:t>
      </w:r>
      <w:r w:rsidRPr="007319CD">
        <w:rPr>
          <w:rFonts w:hAnsi="標楷體"/>
          <w:b/>
        </w:rPr>
        <w:t>（司法院釋字第717號解釋</w:t>
      </w:r>
      <w:r w:rsidR="00C408AC" w:rsidRPr="007319CD">
        <w:rPr>
          <w:rFonts w:hAnsi="標楷體"/>
          <w:b/>
        </w:rPr>
        <w:t>理由書</w:t>
      </w:r>
      <w:r w:rsidRPr="007319CD">
        <w:rPr>
          <w:rFonts w:hAnsi="標楷體"/>
          <w:b/>
        </w:rPr>
        <w:t>參照）。</w:t>
      </w:r>
    </w:p>
    <w:p w:rsidR="00346D0A" w:rsidRPr="007319CD" w:rsidRDefault="00346D0A" w:rsidP="00346D0A">
      <w:pPr>
        <w:pStyle w:val="3"/>
        <w:rPr>
          <w:rFonts w:hAnsi="標楷體"/>
          <w:b/>
        </w:rPr>
      </w:pPr>
      <w:r w:rsidRPr="007319CD">
        <w:rPr>
          <w:rFonts w:hAnsi="標楷體"/>
          <w:b/>
        </w:rPr>
        <w:t>有關信賴保護原則，</w:t>
      </w:r>
      <w:r w:rsidR="000B6144" w:rsidRPr="007319CD">
        <w:rPr>
          <w:rFonts w:hAnsi="標楷體"/>
          <w:b/>
        </w:rPr>
        <w:t>司法院釋字第717號解釋</w:t>
      </w:r>
      <w:r w:rsidR="00F8462E" w:rsidRPr="007319CD">
        <w:rPr>
          <w:rFonts w:hAnsi="標楷體"/>
          <w:b/>
        </w:rPr>
        <w:t>，大法官</w:t>
      </w:r>
      <w:r w:rsidR="000B6144" w:rsidRPr="007319CD">
        <w:rPr>
          <w:rFonts w:hAnsi="標楷體"/>
          <w:b/>
        </w:rPr>
        <w:t>相關</w:t>
      </w:r>
      <w:r w:rsidR="00F8462E" w:rsidRPr="007319CD">
        <w:rPr>
          <w:rFonts w:hAnsi="標楷體"/>
          <w:b/>
        </w:rPr>
        <w:t>法律</w:t>
      </w:r>
      <w:r w:rsidRPr="007319CD">
        <w:rPr>
          <w:rFonts w:hAnsi="標楷體"/>
          <w:b/>
        </w:rPr>
        <w:t>見解</w:t>
      </w:r>
      <w:proofErr w:type="gramStart"/>
      <w:r w:rsidRPr="007319CD">
        <w:rPr>
          <w:rFonts w:hAnsi="標楷體"/>
          <w:b/>
        </w:rPr>
        <w:t>﹕</w:t>
      </w:r>
      <w:proofErr w:type="gramEnd"/>
      <w:r w:rsidR="00FF0395" w:rsidRPr="007319CD">
        <w:rPr>
          <w:rFonts w:hAnsi="標楷體"/>
          <w:b/>
        </w:rPr>
        <w:t>（以下摘錄原文）</w:t>
      </w:r>
    </w:p>
    <w:p w:rsidR="0004065A" w:rsidRPr="007319CD" w:rsidRDefault="00F94F45" w:rsidP="000B6144">
      <w:pPr>
        <w:pStyle w:val="4"/>
        <w:rPr>
          <w:rFonts w:hAnsi="標楷體"/>
          <w:b/>
        </w:rPr>
      </w:pPr>
      <w:r w:rsidRPr="007319CD">
        <w:rPr>
          <w:rFonts w:hAnsi="標楷體"/>
          <w:b/>
        </w:rPr>
        <w:t>蘇永欽大法官</w:t>
      </w:r>
    </w:p>
    <w:p w:rsidR="00346D0A" w:rsidRPr="007319CD" w:rsidRDefault="0089722D" w:rsidP="0004065A">
      <w:pPr>
        <w:pStyle w:val="62"/>
        <w:ind w:leftChars="500" w:left="1701" w:firstLine="680"/>
        <w:rPr>
          <w:rFonts w:hAnsi="標楷體"/>
        </w:rPr>
      </w:pPr>
      <w:r w:rsidRPr="007319CD">
        <w:rPr>
          <w:rFonts w:hAnsi="標楷體"/>
        </w:rPr>
        <w:t>信賴保護應通過緩衝措施來落實。</w:t>
      </w:r>
      <w:r w:rsidR="00ED4183" w:rsidRPr="007319CD">
        <w:rPr>
          <w:rFonts w:hAnsi="標楷體"/>
        </w:rPr>
        <w:t>…</w:t>
      </w:r>
      <w:proofErr w:type="gramStart"/>
      <w:r w:rsidR="00ED4183" w:rsidRPr="007319CD">
        <w:rPr>
          <w:rFonts w:hAnsi="標楷體"/>
        </w:rPr>
        <w:t>…</w:t>
      </w:r>
      <w:proofErr w:type="gramEnd"/>
      <w:r w:rsidRPr="007319CD">
        <w:rPr>
          <w:rFonts w:hAnsi="標楷體"/>
        </w:rPr>
        <w:t>最後有關緩衝措施的審查，雖認定既非從全有到全無的急遽變動，且在設定退休所得的所得替代率作為優惠存款利息上限時，也已「納入高低職等承受變動能力之差異，</w:t>
      </w:r>
      <w:proofErr w:type="gramStart"/>
      <w:r w:rsidRPr="007319CD">
        <w:rPr>
          <w:rFonts w:hAnsi="標楷體"/>
        </w:rPr>
        <w:t>暨酌參</w:t>
      </w:r>
      <w:proofErr w:type="gramEnd"/>
      <w:r w:rsidRPr="007319CD">
        <w:rPr>
          <w:rFonts w:hAnsi="標楷體"/>
        </w:rPr>
        <w:t>國際勞工組織」宣示所得替代率的標準，而未違反信賴保護原則及比例原則。不過還是語重心長的指出：「在衡量公教人員退休所得</w:t>
      </w:r>
      <w:proofErr w:type="gramStart"/>
      <w:r w:rsidRPr="007319CD">
        <w:rPr>
          <w:rFonts w:hAnsi="標楷體"/>
        </w:rPr>
        <w:t>合理性時</w:t>
      </w:r>
      <w:proofErr w:type="gramEnd"/>
      <w:r w:rsidRPr="007319CD">
        <w:rPr>
          <w:rFonts w:hAnsi="標楷體"/>
        </w:rPr>
        <w:t>，對較低階或情況特殊之退休公教人員，應通過更細緻之計算方式，以減緩其退休後生活與財務規劃所受之衝擊。」此部分</w:t>
      </w:r>
      <w:proofErr w:type="gramStart"/>
      <w:r w:rsidRPr="007319CD">
        <w:rPr>
          <w:rFonts w:hAnsi="標楷體"/>
        </w:rPr>
        <w:t>諭知實</w:t>
      </w:r>
      <w:proofErr w:type="gramEnd"/>
      <w:r w:rsidRPr="007319CD">
        <w:rPr>
          <w:rFonts w:hAnsi="標楷體"/>
        </w:rPr>
        <w:t>已不能只從信賴保護原則去理解，而點出了本號解釋針對所涉人員為國家公務人員，憲法上應有的特別考量，下面再作簡單的補充。公職退休保障作為補充審查基礎</w:t>
      </w:r>
      <w:r w:rsidR="00FF0395" w:rsidRPr="007319CD">
        <w:rPr>
          <w:rFonts w:hAnsi="標楷體"/>
        </w:rPr>
        <w:t>，</w:t>
      </w:r>
      <w:r w:rsidRPr="007319CD">
        <w:rPr>
          <w:rFonts w:hAnsi="標楷體"/>
        </w:rPr>
        <w:t>憲法第</w:t>
      </w:r>
      <w:r w:rsidR="00E97002" w:rsidRPr="007319CD">
        <w:rPr>
          <w:rFonts w:hAnsi="標楷體"/>
        </w:rPr>
        <w:t>18</w:t>
      </w:r>
      <w:r w:rsidRPr="007319CD">
        <w:rPr>
          <w:rFonts w:hAnsi="標楷體"/>
        </w:rPr>
        <w:t>條規定的人民服公職權，配合考</w:t>
      </w:r>
      <w:proofErr w:type="gramStart"/>
      <w:r w:rsidRPr="007319CD">
        <w:rPr>
          <w:rFonts w:hAnsi="標楷體"/>
        </w:rPr>
        <w:t>銓</w:t>
      </w:r>
      <w:proofErr w:type="gramEnd"/>
      <w:r w:rsidRPr="007319CD">
        <w:rPr>
          <w:rFonts w:hAnsi="標楷體"/>
        </w:rPr>
        <w:t>制度的完整規定，顯示我國制憲者有意建立現代化、中立而有效能的公務體系，憲法增修條文第</w:t>
      </w:r>
      <w:r w:rsidR="00E97002" w:rsidRPr="007319CD">
        <w:rPr>
          <w:rFonts w:hAnsi="標楷體"/>
        </w:rPr>
        <w:t>6</w:t>
      </w:r>
      <w:r w:rsidRPr="007319CD">
        <w:rPr>
          <w:rFonts w:hAnsi="標楷體"/>
        </w:rPr>
        <w:t>條第</w:t>
      </w:r>
      <w:r w:rsidR="00E97002" w:rsidRPr="007319CD">
        <w:rPr>
          <w:rFonts w:hAnsi="標楷體"/>
        </w:rPr>
        <w:t>1</w:t>
      </w:r>
      <w:r w:rsidRPr="007319CD">
        <w:rPr>
          <w:rFonts w:hAnsi="標楷體"/>
        </w:rPr>
        <w:t>項特別把公務人員退休明定為</w:t>
      </w:r>
      <w:proofErr w:type="gramStart"/>
      <w:r w:rsidRPr="007319CD">
        <w:rPr>
          <w:rFonts w:hAnsi="標楷體"/>
        </w:rPr>
        <w:t>考試院掌理事</w:t>
      </w:r>
      <w:proofErr w:type="gramEnd"/>
      <w:r w:rsidRPr="007319CD">
        <w:rPr>
          <w:rFonts w:hAnsi="標楷體"/>
        </w:rPr>
        <w:t>項，正是本件解釋在最後所作闡明的憲法基礎：「公教人員退休制度，目的在保障退休公教人員之生活條件與尊嚴，</w:t>
      </w:r>
      <w:proofErr w:type="gramStart"/>
      <w:r w:rsidRPr="007319CD">
        <w:rPr>
          <w:rFonts w:hAnsi="標楷體"/>
        </w:rPr>
        <w:t>俾</w:t>
      </w:r>
      <w:proofErr w:type="gramEnd"/>
      <w:r w:rsidRPr="007319CD">
        <w:rPr>
          <w:rFonts w:hAnsi="標楷體"/>
        </w:rPr>
        <w:t>使其於在職時得以無後顧之憂，而戮</w:t>
      </w:r>
      <w:r w:rsidRPr="007319CD">
        <w:rPr>
          <w:rFonts w:hAnsi="標楷體"/>
        </w:rPr>
        <w:lastRenderedPageBreak/>
        <w:t>力從公。相關機關檢討退休人員優惠存款之規定時，除應符合本解釋意旨外，亦應避免使其退休所得降低至影響生活尊嚴之程度。」優惠存款利息減少對退休公務員造成衝擊的大小，不能只從數字來看，高低階公務員的退休所得不同，其承受能力必然不同，</w:t>
      </w:r>
      <w:proofErr w:type="gramStart"/>
      <w:r w:rsidRPr="007319CD">
        <w:rPr>
          <w:rFonts w:hAnsi="標楷體"/>
        </w:rPr>
        <w:t>說到生活</w:t>
      </w:r>
      <w:proofErr w:type="gramEnd"/>
      <w:r w:rsidRPr="007319CD">
        <w:rPr>
          <w:rFonts w:hAnsi="標楷體"/>
        </w:rPr>
        <w:t>條件與尊嚴的底線，如果不在緩衝措施上特別留意而只作形式平等的處理，低階公務員的底線恐怕很快就會衝破，此</w:t>
      </w:r>
      <w:proofErr w:type="gramStart"/>
      <w:r w:rsidRPr="007319CD">
        <w:rPr>
          <w:rFonts w:hAnsi="標楷體"/>
        </w:rPr>
        <w:t>所以系</w:t>
      </w:r>
      <w:proofErr w:type="gramEnd"/>
      <w:r w:rsidRPr="007319CD">
        <w:rPr>
          <w:rFonts w:hAnsi="標楷體"/>
        </w:rPr>
        <w:t>爭規定在設定退休所得上限，以計算優惠存款範疇時，因為已把高低官職等納入考量，才被認定符合比例。但這裡所做的區別，實際上因為不同職務所得待遇差異甚大，在計算所得上限時</w:t>
      </w:r>
      <w:r w:rsidR="00ED4183" w:rsidRPr="007319CD">
        <w:rPr>
          <w:rFonts w:hAnsi="標楷體"/>
        </w:rPr>
        <w:t>，</w:t>
      </w:r>
      <w:r w:rsidRPr="007319CD">
        <w:rPr>
          <w:rFonts w:hAnsi="標楷體"/>
        </w:rPr>
        <w:t>高階主管的主管職務加給計入分母的結果，往往使得高階主管退休所得實際的減少反而低於低階公務人員，而隱藏了更大的不公平。</w:t>
      </w:r>
    </w:p>
    <w:p w:rsidR="0004065A" w:rsidRPr="007319CD" w:rsidRDefault="00F94F45" w:rsidP="0093091D">
      <w:pPr>
        <w:pStyle w:val="4"/>
        <w:rPr>
          <w:rFonts w:hAnsi="標楷體"/>
          <w:b/>
        </w:rPr>
      </w:pPr>
      <w:r w:rsidRPr="007319CD">
        <w:rPr>
          <w:rFonts w:hAnsi="標楷體"/>
          <w:b/>
        </w:rPr>
        <w:t>林錫堯大法官</w:t>
      </w:r>
    </w:p>
    <w:p w:rsidR="0093091D" w:rsidRPr="007319CD" w:rsidRDefault="0020187E" w:rsidP="0004065A">
      <w:pPr>
        <w:pStyle w:val="62"/>
        <w:ind w:leftChars="500" w:left="1701" w:firstLine="680"/>
        <w:rPr>
          <w:rFonts w:hAnsi="標楷體"/>
        </w:rPr>
      </w:pPr>
      <w:r w:rsidRPr="007319CD">
        <w:rPr>
          <w:rFonts w:hAnsi="標楷體"/>
        </w:rPr>
        <w:t>新法規通過第一層次審查者（即法規變動具優越公益性、必要性），雖於憲法上容許此一「</w:t>
      </w:r>
      <w:proofErr w:type="gramStart"/>
      <w:r w:rsidRPr="007319CD">
        <w:rPr>
          <w:rFonts w:hAnsi="標楷體"/>
        </w:rPr>
        <w:t>不</w:t>
      </w:r>
      <w:proofErr w:type="gramEnd"/>
      <w:r w:rsidRPr="007319CD">
        <w:rPr>
          <w:rFonts w:hAnsi="標楷體"/>
        </w:rPr>
        <w:t>真正溯及既往」之規定，但仍應依信賴保護原則審查立法者是否有另定過渡條款或其他合理之補救措施之立法義務？</w:t>
      </w:r>
      <w:r w:rsidR="00ED4183" w:rsidRPr="007319CD">
        <w:rPr>
          <w:rFonts w:hAnsi="標楷體"/>
        </w:rPr>
        <w:t>…</w:t>
      </w:r>
      <w:proofErr w:type="gramStart"/>
      <w:r w:rsidR="00ED4183" w:rsidRPr="007319CD">
        <w:rPr>
          <w:rFonts w:hAnsi="標楷體"/>
        </w:rPr>
        <w:t>…</w:t>
      </w:r>
      <w:proofErr w:type="gramEnd"/>
      <w:r w:rsidR="0093091D" w:rsidRPr="007319CD">
        <w:rPr>
          <w:rFonts w:hAnsi="標楷體"/>
        </w:rPr>
        <w:t>誠如</w:t>
      </w:r>
      <w:r w:rsidR="00ED4183" w:rsidRPr="007319CD">
        <w:rPr>
          <w:rFonts w:hAnsi="標楷體"/>
        </w:rPr>
        <w:t>司法</w:t>
      </w:r>
      <w:r w:rsidR="0093091D" w:rsidRPr="007319CD">
        <w:rPr>
          <w:rFonts w:hAnsi="標楷體"/>
        </w:rPr>
        <w:t>院釋字第605號解釋理由書所示：「任何行政法規皆不能預期其永久實施，然行政法規發布施行後，訂定或發布法規之機關依法定程序予以修改，應兼顧規範對象信賴利益之保護。其因公益之必要修正法規之內容，如人民因信賴舊法規而有客觀上具體表現信賴之行為，並因法規修正，使其依舊法規已取得之權益，與依舊法規預期可以取得之利益受損害者，應針對人民該利益所受之損害，採取合理之補救措施，或訂定合理之過渡條款，</w:t>
      </w:r>
      <w:proofErr w:type="gramStart"/>
      <w:r w:rsidR="0093091D" w:rsidRPr="007319CD">
        <w:rPr>
          <w:rFonts w:hAnsi="標楷體"/>
        </w:rPr>
        <w:t>俾</w:t>
      </w:r>
      <w:proofErr w:type="gramEnd"/>
      <w:r w:rsidR="0093091D" w:rsidRPr="007319CD">
        <w:rPr>
          <w:rFonts w:hAnsi="標楷體"/>
        </w:rPr>
        <w:t>減</w:t>
      </w:r>
      <w:r w:rsidR="0093091D" w:rsidRPr="007319CD">
        <w:rPr>
          <w:rFonts w:hAnsi="標楷體"/>
        </w:rPr>
        <w:lastRenderedPageBreak/>
        <w:t>輕損害，以符憲法保障人民權利意旨。」</w:t>
      </w:r>
      <w:proofErr w:type="gramStart"/>
      <w:r w:rsidR="0093091D" w:rsidRPr="007319CD">
        <w:rPr>
          <w:rFonts w:hAnsi="標楷體"/>
        </w:rPr>
        <w:t>又釋字</w:t>
      </w:r>
      <w:proofErr w:type="gramEnd"/>
      <w:r w:rsidR="0093091D" w:rsidRPr="007319CD">
        <w:rPr>
          <w:rFonts w:hAnsi="標楷體"/>
        </w:rPr>
        <w:t>第620號解釋理由書指出：「任何法規皆非永久不能改變，立法者為因應時代變遷與當前社會環境之需求，而為法律之制定、修正或廢止，難免影響人民既存之有利法律地位。對於人民既存之有利法律地位，</w:t>
      </w:r>
      <w:proofErr w:type="gramStart"/>
      <w:r w:rsidR="0093091D" w:rsidRPr="007319CD">
        <w:rPr>
          <w:rFonts w:hAnsi="標楷體"/>
        </w:rPr>
        <w:t>立法者審酌</w:t>
      </w:r>
      <w:proofErr w:type="gramEnd"/>
      <w:r w:rsidR="0093091D" w:rsidRPr="007319CD">
        <w:rPr>
          <w:rFonts w:hAnsi="標楷體"/>
        </w:rPr>
        <w:t>法律制定、修正或廢止之目的，原則上固有決定是否予以維持以及如何維持之形成空間。惟如根據信賴保護原則有特別保護之必要者，立法者即有義務另定特別規定，以限制新法於生效後之適用範圍，例</w:t>
      </w:r>
      <w:r w:rsidR="00ED4183" w:rsidRPr="007319CD">
        <w:rPr>
          <w:rFonts w:hAnsi="標楷體"/>
        </w:rPr>
        <w:t>如明定過渡條款，於新法生效施行後，適度排除或延緩新法對之適用（司法</w:t>
      </w:r>
      <w:r w:rsidR="0093091D" w:rsidRPr="007319CD">
        <w:rPr>
          <w:rFonts w:hAnsi="標楷體"/>
        </w:rPr>
        <w:t>院釋字第577號解釋理由書參照），或採取其他合理之補救措施，如以法律明定新、舊法律應分段適用於同一構成要件事實等，惟其內容仍應符合比例原則與平等原則」。</w:t>
      </w:r>
    </w:p>
    <w:p w:rsidR="0004065A" w:rsidRPr="007319CD" w:rsidRDefault="00F94F45" w:rsidP="009B14A8">
      <w:pPr>
        <w:pStyle w:val="4"/>
        <w:rPr>
          <w:rFonts w:hAnsi="標楷體"/>
          <w:b/>
        </w:rPr>
      </w:pPr>
      <w:r w:rsidRPr="007319CD">
        <w:rPr>
          <w:rFonts w:hAnsi="標楷體"/>
          <w:b/>
        </w:rPr>
        <w:t>陳新民大法官</w:t>
      </w:r>
    </w:p>
    <w:p w:rsidR="009B14A8" w:rsidRPr="007319CD" w:rsidRDefault="0093091D" w:rsidP="0004065A">
      <w:pPr>
        <w:pStyle w:val="62"/>
        <w:ind w:leftChars="500" w:left="1701" w:firstLine="680"/>
        <w:rPr>
          <w:rFonts w:hAnsi="標楷體"/>
        </w:rPr>
      </w:pPr>
      <w:r w:rsidRPr="007319CD">
        <w:rPr>
          <w:rFonts w:hAnsi="標楷體"/>
        </w:rPr>
        <w:t>本號解釋認定系爭規定並不會過度剝奪退休公教人員的退休金。卻也無法保證這種改革風潮</w:t>
      </w:r>
      <w:proofErr w:type="gramStart"/>
      <w:r w:rsidRPr="007319CD">
        <w:rPr>
          <w:rFonts w:hAnsi="標楷體"/>
        </w:rPr>
        <w:t>會否越演</w:t>
      </w:r>
      <w:proofErr w:type="gramEnd"/>
      <w:r w:rsidRPr="007319CD">
        <w:rPr>
          <w:rFonts w:hAnsi="標楷體"/>
        </w:rPr>
        <w:t>越烈，因此有必要在「講法理」之外</w:t>
      </w:r>
      <w:proofErr w:type="gramStart"/>
      <w:r w:rsidRPr="007319CD">
        <w:rPr>
          <w:rFonts w:hAnsi="標楷體"/>
        </w:rPr>
        <w:t>—</w:t>
      </w:r>
      <w:proofErr w:type="gramEnd"/>
      <w:r w:rsidRPr="007319CD">
        <w:rPr>
          <w:rFonts w:hAnsi="標楷體"/>
        </w:rPr>
        <w:t>的確優惠存款制度是由最低位階法規範所創設的權益，本身不屬於法定俸給，而屬於政策補貼之性質；優惠存款利率自始至終都沒有固定，</w:t>
      </w:r>
      <w:proofErr w:type="gramStart"/>
      <w:r w:rsidRPr="007319CD">
        <w:rPr>
          <w:rFonts w:hAnsi="標楷體"/>
        </w:rPr>
        <w:t>繫</w:t>
      </w:r>
      <w:proofErr w:type="gramEnd"/>
      <w:r w:rsidRPr="007319CD">
        <w:rPr>
          <w:rFonts w:hAnsi="標楷體"/>
        </w:rPr>
        <w:t>乎主管機關視當時國家財政能力而調整，也是公教人員所能預見之事；系爭規定對優惠存款制度的改革，屬於信賴利益保護密度較低的不純粹溯及既往類型</w:t>
      </w:r>
      <w:r w:rsidR="00F94F45" w:rsidRPr="007319CD">
        <w:rPr>
          <w:rFonts w:hAnsi="標楷體"/>
        </w:rPr>
        <w:t>…</w:t>
      </w:r>
      <w:r w:rsidRPr="007319CD">
        <w:rPr>
          <w:rFonts w:hAnsi="標楷體"/>
        </w:rPr>
        <w:t>等，都導出不利於退休公教人員的結論。然在這些冷冷冰冰的法理敘述之後，吾人仍要講</w:t>
      </w:r>
      <w:proofErr w:type="gramStart"/>
      <w:r w:rsidRPr="007319CD">
        <w:rPr>
          <w:rFonts w:hAnsi="標楷體"/>
        </w:rPr>
        <w:t>一</w:t>
      </w:r>
      <w:proofErr w:type="gramEnd"/>
      <w:r w:rsidRPr="007319CD">
        <w:rPr>
          <w:rFonts w:hAnsi="標楷體"/>
        </w:rPr>
        <w:t>講情理問題。究竟國家與公教人員之間不僅僅只是靠法律關係來連結，而是要靠深厚、具倫理性質的道義感來維繫乎？</w:t>
      </w:r>
      <w:r w:rsidR="009B14A8" w:rsidRPr="007319CD">
        <w:rPr>
          <w:rFonts w:hAnsi="標楷體"/>
        </w:rPr>
        <w:t>德國大文學家</w:t>
      </w:r>
      <w:r w:rsidR="009B14A8" w:rsidRPr="007319CD">
        <w:rPr>
          <w:rFonts w:hAnsi="標楷體"/>
        </w:rPr>
        <w:lastRenderedPageBreak/>
        <w:t>歌德在其曠世</w:t>
      </w:r>
      <w:proofErr w:type="gramStart"/>
      <w:r w:rsidR="009B14A8" w:rsidRPr="007319CD">
        <w:rPr>
          <w:rFonts w:hAnsi="標楷體"/>
        </w:rPr>
        <w:t>鉅</w:t>
      </w:r>
      <w:proofErr w:type="gramEnd"/>
      <w:r w:rsidR="009B14A8" w:rsidRPr="007319CD">
        <w:rPr>
          <w:rFonts w:hAnsi="標楷體"/>
        </w:rPr>
        <w:t>作「浮士德」中的最後一幕有一段魔鬼梅菲斯特的獨白：「我還能向誰申訴？誰能替我</w:t>
      </w:r>
      <w:proofErr w:type="gramStart"/>
      <w:r w:rsidR="009B14A8" w:rsidRPr="007319CD">
        <w:rPr>
          <w:rFonts w:hAnsi="標楷體"/>
        </w:rPr>
        <w:t>掙回既得</w:t>
      </w:r>
      <w:proofErr w:type="gramEnd"/>
      <w:r w:rsidR="009B14A8" w:rsidRPr="007319CD">
        <w:rPr>
          <w:rFonts w:hAnsi="標楷體"/>
        </w:rPr>
        <w:t>之權</w:t>
      </w:r>
      <w:r w:rsidR="00ED4183" w:rsidRPr="007319CD">
        <w:rPr>
          <w:rFonts w:hAnsi="標楷體"/>
        </w:rPr>
        <w:t>利？你在老年時還遭到這種欺騙，真是自作自受，倒楣透頂</w:t>
      </w:r>
      <w:r w:rsidR="009B14A8" w:rsidRPr="007319CD">
        <w:rPr>
          <w:rFonts w:hAnsi="標楷體"/>
        </w:rPr>
        <w:t>！」這段著名的獨白裡，梅菲斯特自怨自艾地說出了「</w:t>
      </w:r>
      <w:proofErr w:type="gramStart"/>
      <w:r w:rsidR="009B14A8" w:rsidRPr="007319CD">
        <w:rPr>
          <w:rFonts w:hAnsi="標楷體"/>
        </w:rPr>
        <w:t>瞎忙一場</w:t>
      </w:r>
      <w:proofErr w:type="gramEnd"/>
      <w:r w:rsidR="009B14A8" w:rsidRPr="007319CD">
        <w:rPr>
          <w:rFonts w:hAnsi="標楷體"/>
        </w:rPr>
        <w:t>，到老成空」的無奈。誠然有信賴感在前，方會有「被騙」的感覺在後。</w:t>
      </w:r>
      <w:r w:rsidR="00ED4183" w:rsidRPr="007319CD">
        <w:rPr>
          <w:rFonts w:hAnsi="標楷體"/>
        </w:rPr>
        <w:t>…</w:t>
      </w:r>
      <w:proofErr w:type="gramStart"/>
      <w:r w:rsidR="00ED4183" w:rsidRPr="007319CD">
        <w:rPr>
          <w:rFonts w:hAnsi="標楷體"/>
        </w:rPr>
        <w:t>…</w:t>
      </w:r>
      <w:proofErr w:type="gramEnd"/>
      <w:r w:rsidRPr="007319CD">
        <w:rPr>
          <w:rFonts w:hAnsi="標楷體"/>
        </w:rPr>
        <w:t>本號解釋多數意見雖然肯</w:t>
      </w:r>
      <w:proofErr w:type="gramStart"/>
      <w:r w:rsidRPr="007319CD">
        <w:rPr>
          <w:rFonts w:hAnsi="標楷體"/>
        </w:rPr>
        <w:t>認被系</w:t>
      </w:r>
      <w:proofErr w:type="gramEnd"/>
      <w:r w:rsidRPr="007319CD">
        <w:rPr>
          <w:rFonts w:hAnsi="標楷體"/>
        </w:rPr>
        <w:t>爭規定所更改之舊制「不合憲法意旨」（即過高的退休所得替代率），是所謂的「天花板條款」，然究竟「合理」所得替代率如何?所得替代率多低方不至於影響退休公教人員的生活尊嚴？則只在解釋理由書第</w:t>
      </w:r>
      <w:r w:rsidR="00A3113D" w:rsidRPr="007319CD">
        <w:rPr>
          <w:rFonts w:hAnsi="標楷體" w:hint="eastAsia"/>
        </w:rPr>
        <w:t>7</w:t>
      </w:r>
      <w:r w:rsidRPr="007319CD">
        <w:rPr>
          <w:rFonts w:hAnsi="標楷體"/>
        </w:rPr>
        <w:t>段中要求相關機關特別注意之，亦即沒有最低標準的「地板條款」。這有待相關機關將優惠存款制度及相關退撫制度重新全盤檢討，並形成法律條文。須知：沒有堅固的天花板與地板，所蓋的房子將不會長久。將退休公教人員的退休金給付制度加以比擬，亦不至於引</w:t>
      </w:r>
      <w:proofErr w:type="gramStart"/>
      <w:r w:rsidRPr="007319CD">
        <w:rPr>
          <w:rFonts w:hAnsi="標楷體"/>
        </w:rPr>
        <w:t>喻失義</w:t>
      </w:r>
      <w:proofErr w:type="gramEnd"/>
      <w:r w:rsidRPr="007319CD">
        <w:rPr>
          <w:rFonts w:hAnsi="標楷體"/>
        </w:rPr>
        <w:t>也！本席認為，國家今後對所有退撫制度的改革所涉及的退休或在職公教人員，務必給予尊嚴，並以「</w:t>
      </w:r>
      <w:proofErr w:type="gramStart"/>
      <w:r w:rsidRPr="007319CD">
        <w:rPr>
          <w:rFonts w:hAnsi="標楷體"/>
        </w:rPr>
        <w:t>國士待之</w:t>
      </w:r>
      <w:proofErr w:type="gramEnd"/>
      <w:r w:rsidRPr="007319CD">
        <w:rPr>
          <w:rFonts w:hAnsi="標楷體"/>
        </w:rPr>
        <w:t>」，不可抱著「</w:t>
      </w:r>
      <w:proofErr w:type="gramStart"/>
      <w:r w:rsidRPr="007319CD">
        <w:rPr>
          <w:rFonts w:hAnsi="標楷體"/>
        </w:rPr>
        <w:t>趙孟之所貴</w:t>
      </w:r>
      <w:proofErr w:type="gramEnd"/>
      <w:r w:rsidRPr="007319CD">
        <w:rPr>
          <w:rFonts w:hAnsi="標楷體"/>
        </w:rPr>
        <w:t>，趙孟能賤之」的施恩者心態。國之興亡，</w:t>
      </w:r>
      <w:proofErr w:type="gramStart"/>
      <w:r w:rsidRPr="007319CD">
        <w:rPr>
          <w:rFonts w:hAnsi="標楷體"/>
        </w:rPr>
        <w:t>繫</w:t>
      </w:r>
      <w:proofErr w:type="gramEnd"/>
      <w:r w:rsidRPr="007319CD">
        <w:rPr>
          <w:rFonts w:hAnsi="標楷體"/>
        </w:rPr>
        <w:t>乎民心，當一國的公教人員對國家的向心力，早於民心而喪失時，國家還能富強興旺，簡直天方夜譚！</w:t>
      </w:r>
    </w:p>
    <w:p w:rsidR="0004065A" w:rsidRPr="007319CD" w:rsidRDefault="009B14A8" w:rsidP="009B14A8">
      <w:pPr>
        <w:pStyle w:val="4"/>
        <w:rPr>
          <w:rFonts w:hAnsi="標楷體"/>
          <w:b/>
        </w:rPr>
      </w:pPr>
      <w:r w:rsidRPr="007319CD">
        <w:rPr>
          <w:rFonts w:hAnsi="標楷體"/>
          <w:b/>
        </w:rPr>
        <w:t>陳碧玉</w:t>
      </w:r>
      <w:r w:rsidR="00F94F45" w:rsidRPr="007319CD">
        <w:rPr>
          <w:rFonts w:hAnsi="標楷體"/>
          <w:b/>
        </w:rPr>
        <w:t>大法官</w:t>
      </w:r>
    </w:p>
    <w:p w:rsidR="00194B41" w:rsidRPr="007319CD" w:rsidRDefault="009B14A8" w:rsidP="0004065A">
      <w:pPr>
        <w:pStyle w:val="62"/>
        <w:ind w:leftChars="500" w:left="1701" w:firstLine="680"/>
        <w:rPr>
          <w:rFonts w:hAnsi="標楷體"/>
        </w:rPr>
      </w:pPr>
      <w:r w:rsidRPr="007319CD">
        <w:rPr>
          <w:rFonts w:hAnsi="標楷體"/>
        </w:rPr>
        <w:t>公務人員依法退休時，國家應給付法定退休金</w:t>
      </w:r>
      <w:r w:rsidR="00ED4183" w:rsidRPr="007319CD">
        <w:rPr>
          <w:rFonts w:hAnsi="標楷體"/>
        </w:rPr>
        <w:t>，此權利受憲法制度性之保障（司法</w:t>
      </w:r>
      <w:r w:rsidRPr="007319CD">
        <w:rPr>
          <w:rFonts w:hAnsi="標楷體"/>
        </w:rPr>
        <w:t>院釋字第605號解釋參照）。退休所得替代率雖非恆定，然應有其長期性，替代率確定後，依此計算之法定退休金，即應受憲法制度性之保障，非有極重大</w:t>
      </w:r>
      <w:r w:rsidRPr="007319CD">
        <w:rPr>
          <w:rFonts w:hAnsi="標楷體"/>
        </w:rPr>
        <w:lastRenderedPageBreak/>
        <w:t>公益，不得以法規</w:t>
      </w:r>
      <w:proofErr w:type="gramStart"/>
      <w:r w:rsidRPr="007319CD">
        <w:rPr>
          <w:rFonts w:hAnsi="標楷體"/>
        </w:rPr>
        <w:t>變動更異</w:t>
      </w:r>
      <w:proofErr w:type="gramEnd"/>
      <w:r w:rsidRPr="007319CD">
        <w:rPr>
          <w:rFonts w:hAnsi="標楷體"/>
        </w:rPr>
        <w:t>。是以足額之</w:t>
      </w:r>
      <w:proofErr w:type="gramStart"/>
      <w:r w:rsidRPr="007319CD">
        <w:rPr>
          <w:rFonts w:hAnsi="標楷體"/>
        </w:rPr>
        <w:t>提撥</w:t>
      </w:r>
      <w:proofErr w:type="gramEnd"/>
      <w:r w:rsidRPr="007319CD">
        <w:rPr>
          <w:rFonts w:hAnsi="標楷體"/>
        </w:rPr>
        <w:t>及確定之給付為國家對於公教人員法定退休金所負責任內容。退撫新制實施後，將原由政府編列預算支給退休金之恩給制，改為政府與公務人員共同撥繳費用籌措財源之基金制度。新退撫制度，基金之準備</w:t>
      </w:r>
      <w:proofErr w:type="gramStart"/>
      <w:r w:rsidRPr="007319CD">
        <w:rPr>
          <w:rFonts w:hAnsi="標楷體"/>
        </w:rPr>
        <w:t>採</w:t>
      </w:r>
      <w:proofErr w:type="gramEnd"/>
      <w:r w:rsidRPr="007319CD">
        <w:rPr>
          <w:rFonts w:hAnsi="標楷體"/>
        </w:rPr>
        <w:t>共同</w:t>
      </w:r>
      <w:proofErr w:type="gramStart"/>
      <w:r w:rsidRPr="007319CD">
        <w:rPr>
          <w:rFonts w:hAnsi="標楷體"/>
        </w:rPr>
        <w:t>提撥</w:t>
      </w:r>
      <w:proofErr w:type="gramEnd"/>
      <w:r w:rsidRPr="007319CD">
        <w:rPr>
          <w:rFonts w:hAnsi="標楷體"/>
        </w:rPr>
        <w:t>制，基金之管理由政府負責，則確定給付合乎</w:t>
      </w:r>
      <w:proofErr w:type="gramStart"/>
      <w:r w:rsidRPr="007319CD">
        <w:rPr>
          <w:rFonts w:hAnsi="標楷體"/>
        </w:rPr>
        <w:t>提撥</w:t>
      </w:r>
      <w:proofErr w:type="gramEnd"/>
      <w:r w:rsidRPr="007319CD">
        <w:rPr>
          <w:rFonts w:hAnsi="標楷體"/>
        </w:rPr>
        <w:t>比例計算之退休金（vested）應為政府之責任，而不得成為調降之對象。</w:t>
      </w:r>
    </w:p>
    <w:p w:rsidR="0004065A" w:rsidRPr="007319CD" w:rsidRDefault="00194B41" w:rsidP="00194B41">
      <w:pPr>
        <w:pStyle w:val="4"/>
        <w:rPr>
          <w:rFonts w:hAnsi="標楷體"/>
          <w:b/>
        </w:rPr>
      </w:pPr>
      <w:r w:rsidRPr="007319CD">
        <w:rPr>
          <w:rFonts w:hAnsi="標楷體"/>
          <w:b/>
        </w:rPr>
        <w:t>羅昌發</w:t>
      </w:r>
      <w:r w:rsidR="00F94F45" w:rsidRPr="007319CD">
        <w:rPr>
          <w:rFonts w:hAnsi="標楷體"/>
          <w:b/>
        </w:rPr>
        <w:t>大法官</w:t>
      </w:r>
    </w:p>
    <w:p w:rsidR="00194B41" w:rsidRPr="007319CD" w:rsidRDefault="00194B41" w:rsidP="0004065A">
      <w:pPr>
        <w:pStyle w:val="62"/>
        <w:ind w:leftChars="500" w:left="1701" w:firstLine="680"/>
        <w:rPr>
          <w:rFonts w:hAnsi="標楷體"/>
        </w:rPr>
      </w:pPr>
      <w:r w:rsidRPr="007319CD">
        <w:rPr>
          <w:rFonts w:hAnsi="標楷體"/>
        </w:rPr>
        <w:t>公教人員長期任職直到退休，奉獻其人生</w:t>
      </w:r>
      <w:proofErr w:type="gramStart"/>
      <w:r w:rsidRPr="007319CD">
        <w:rPr>
          <w:rFonts w:hAnsi="標楷體"/>
        </w:rPr>
        <w:t>最</w:t>
      </w:r>
      <w:proofErr w:type="gramEnd"/>
      <w:r w:rsidRPr="007319CD">
        <w:rPr>
          <w:rFonts w:hAnsi="標楷體"/>
        </w:rPr>
        <w:t>精華歲月，對國家社會確有重要貢獻。其退休後之待遇，國家自應給予完整之制度性保障。然現今國家財政日趨困難亦屬事實。財政資源雖可能因開源及適當管理而增加，但亦非可無窮盡使用。且國家不同事務之支出亦有相互排擠作用。如非節制利用，導致國家財政枯竭，甚至舉債用於非生產性支出，使後代子孫背負巨額財政負擔，</w:t>
      </w:r>
      <w:proofErr w:type="gramStart"/>
      <w:r w:rsidRPr="007319CD">
        <w:rPr>
          <w:rFonts w:hAnsi="標楷體"/>
        </w:rPr>
        <w:t>均非現今</w:t>
      </w:r>
      <w:proofErr w:type="gramEnd"/>
      <w:r w:rsidRPr="007319CD">
        <w:rPr>
          <w:rFonts w:hAnsi="標楷體"/>
        </w:rPr>
        <w:t>世代所應為。財政困窘而未嚴格</w:t>
      </w:r>
      <w:proofErr w:type="gramStart"/>
      <w:r w:rsidRPr="007319CD">
        <w:rPr>
          <w:rFonts w:hAnsi="標楷體"/>
        </w:rPr>
        <w:t>採</w:t>
      </w:r>
      <w:proofErr w:type="gramEnd"/>
      <w:r w:rsidRPr="007319CD">
        <w:rPr>
          <w:rFonts w:hAnsi="標楷體"/>
        </w:rPr>
        <w:t>行節流措施，亦與公益不符。本席認為主管機關有關國家財政困難及</w:t>
      </w:r>
      <w:proofErr w:type="gramStart"/>
      <w:r w:rsidRPr="007319CD">
        <w:rPr>
          <w:rFonts w:hAnsi="標楷體"/>
        </w:rPr>
        <w:t>代際間</w:t>
      </w:r>
      <w:proofErr w:type="gramEnd"/>
      <w:r w:rsidRPr="007319CD">
        <w:rPr>
          <w:rFonts w:hAnsi="標楷體"/>
        </w:rPr>
        <w:t>權益平衡之論述，有其說服力。且本席以為，此種論述，在憲法上亦可獲得支持。此為本席認為系爭規定並未違反法律</w:t>
      </w:r>
      <w:proofErr w:type="gramStart"/>
      <w:r w:rsidRPr="007319CD">
        <w:rPr>
          <w:rFonts w:hAnsi="標楷體"/>
        </w:rPr>
        <w:t>不</w:t>
      </w:r>
      <w:proofErr w:type="gramEnd"/>
      <w:r w:rsidRPr="007319CD">
        <w:rPr>
          <w:rFonts w:hAnsi="標楷體"/>
        </w:rPr>
        <w:t>溯既往原則以及信賴保護原則之最重要理由。在考量系爭規定並未完全取消具有新舊制年資公教人員之優惠存款，而僅以有限的程度限制其得存款之額度等因素下，本席同意系爭規定並未違反憲法法律</w:t>
      </w:r>
      <w:proofErr w:type="gramStart"/>
      <w:r w:rsidRPr="007319CD">
        <w:rPr>
          <w:rFonts w:hAnsi="標楷體"/>
        </w:rPr>
        <w:t>不</w:t>
      </w:r>
      <w:proofErr w:type="gramEnd"/>
      <w:r w:rsidRPr="007319CD">
        <w:rPr>
          <w:rFonts w:hAnsi="標楷體"/>
        </w:rPr>
        <w:t>溯既往及信賴保護原則。</w:t>
      </w:r>
    </w:p>
    <w:p w:rsidR="0004065A" w:rsidRPr="007319CD" w:rsidRDefault="00194B41" w:rsidP="0004065A">
      <w:pPr>
        <w:pStyle w:val="4"/>
        <w:rPr>
          <w:rFonts w:hAnsi="標楷體"/>
          <w:b/>
        </w:rPr>
      </w:pPr>
      <w:r w:rsidRPr="007319CD">
        <w:rPr>
          <w:rFonts w:hAnsi="標楷體"/>
          <w:b/>
        </w:rPr>
        <w:t>黃璽君</w:t>
      </w:r>
      <w:r w:rsidR="00F94F45" w:rsidRPr="007319CD">
        <w:rPr>
          <w:rFonts w:hAnsi="標楷體"/>
          <w:b/>
        </w:rPr>
        <w:t>大法官</w:t>
      </w:r>
    </w:p>
    <w:p w:rsidR="00E97002" w:rsidRPr="007319CD" w:rsidRDefault="00194B41" w:rsidP="0004065A">
      <w:pPr>
        <w:pStyle w:val="62"/>
        <w:ind w:leftChars="500" w:left="1701" w:firstLine="680"/>
        <w:rPr>
          <w:rFonts w:hAnsi="標楷體"/>
        </w:rPr>
      </w:pPr>
      <w:r w:rsidRPr="007319CD">
        <w:rPr>
          <w:rFonts w:hAnsi="標楷體"/>
        </w:rPr>
        <w:t>基於法治國之法安定性原則及信賴保護原</w:t>
      </w:r>
      <w:r w:rsidRPr="007319CD">
        <w:rPr>
          <w:rFonts w:hAnsi="標楷體"/>
        </w:rPr>
        <w:lastRenderedPageBreak/>
        <w:t>則，立法者制定新法規、修正或廢止舊法規時，原則上不得適用於新法規生效前業已終結之事實或法律關係。對於新法規生效前已終結之事實或法律關係，原則上不得溯及適用，此為禁止法律溯及既往原則。至事實或法律關係於新法規生效前雖已發生，而尚未終結者，自無涉禁止法律溯及既往原則。</w:t>
      </w:r>
      <w:r w:rsidR="00ED4183" w:rsidRPr="007319CD">
        <w:rPr>
          <w:rFonts w:hAnsi="標楷體"/>
        </w:rPr>
        <w:t>…</w:t>
      </w:r>
      <w:proofErr w:type="gramStart"/>
      <w:r w:rsidR="00ED4183" w:rsidRPr="007319CD">
        <w:rPr>
          <w:rFonts w:hAnsi="標楷體"/>
        </w:rPr>
        <w:t>…</w:t>
      </w:r>
      <w:r w:rsidR="002E7EAD" w:rsidRPr="007319CD">
        <w:rPr>
          <w:rFonts w:hAnsi="標楷體"/>
        </w:rPr>
        <w:t>上開溯及</w:t>
      </w:r>
      <w:proofErr w:type="gramEnd"/>
      <w:r w:rsidR="002E7EAD" w:rsidRPr="007319CD">
        <w:rPr>
          <w:rFonts w:hAnsi="標楷體"/>
        </w:rPr>
        <w:t>規定，過度侵害退休公務人員之信賴保護及法安定，嚴重影響政府誠信</w:t>
      </w:r>
      <w:proofErr w:type="gramStart"/>
      <w:r w:rsidR="002E7EAD" w:rsidRPr="007319CD">
        <w:rPr>
          <w:rFonts w:hAnsi="標楷體"/>
        </w:rPr>
        <w:t>﹕</w:t>
      </w:r>
      <w:proofErr w:type="gramEnd"/>
      <w:r w:rsidR="002E7EAD" w:rsidRPr="007319CD">
        <w:rPr>
          <w:rFonts w:hAnsi="標楷體"/>
        </w:rPr>
        <w:t>對已退休者而言，已完成提供服務而退休，其依退休時規定所得退休給與為生活規劃，</w:t>
      </w:r>
      <w:proofErr w:type="gramStart"/>
      <w:r w:rsidR="002E7EAD" w:rsidRPr="007319CD">
        <w:rPr>
          <w:rFonts w:hAnsi="標楷體"/>
        </w:rPr>
        <w:t>嗣</w:t>
      </w:r>
      <w:proofErr w:type="gramEnd"/>
      <w:r w:rsidR="002E7EAD" w:rsidRPr="007319CD">
        <w:rPr>
          <w:rFonts w:hAnsi="標楷體"/>
        </w:rPr>
        <w:t>因</w:t>
      </w:r>
      <w:proofErr w:type="gramStart"/>
      <w:r w:rsidR="002E7EAD" w:rsidRPr="007319CD">
        <w:rPr>
          <w:rFonts w:hAnsi="標楷體"/>
        </w:rPr>
        <w:t>上開溯及</w:t>
      </w:r>
      <w:proofErr w:type="gramEnd"/>
      <w:r w:rsidR="002E7EAD" w:rsidRPr="007319CD">
        <w:rPr>
          <w:rFonts w:hAnsi="標楷體"/>
        </w:rPr>
        <w:t>規定而減少其每月所得後，難於另為生活規劃（未能如在職者選擇是否提前離開公職從事其他工作、選擇領取月退休金或一次退休金等），</w:t>
      </w:r>
      <w:proofErr w:type="gramStart"/>
      <w:r w:rsidR="002E7EAD" w:rsidRPr="007319CD">
        <w:rPr>
          <w:rFonts w:hAnsi="標楷體"/>
        </w:rPr>
        <w:t>對屆齡退休</w:t>
      </w:r>
      <w:proofErr w:type="gramEnd"/>
      <w:r w:rsidR="002E7EAD" w:rsidRPr="007319CD">
        <w:rPr>
          <w:rFonts w:hAnsi="標楷體"/>
        </w:rPr>
        <w:t>者尤其明顯，此過度侵害退休者之信賴保護及法安定性。而政府將隨時變更退休給與，嚴重影響政府誠信，除已退休者外，</w:t>
      </w:r>
      <w:proofErr w:type="gramStart"/>
      <w:r w:rsidR="002E7EAD" w:rsidRPr="007319CD">
        <w:rPr>
          <w:rFonts w:hAnsi="標楷體"/>
        </w:rPr>
        <w:t>在職者亦慮及</w:t>
      </w:r>
      <w:proofErr w:type="gramEnd"/>
      <w:r w:rsidR="002E7EAD" w:rsidRPr="007319CD">
        <w:rPr>
          <w:rFonts w:hAnsi="標楷體"/>
        </w:rPr>
        <w:t>將來退休之保障不足，可能提前退休，領取一次退休金，以防嗣後政府變更規定，其衝擊非小，不可不慎。</w:t>
      </w:r>
    </w:p>
    <w:p w:rsidR="00717E92" w:rsidRPr="007319CD" w:rsidRDefault="00717E92" w:rsidP="00717E92">
      <w:pPr>
        <w:pStyle w:val="3"/>
        <w:rPr>
          <w:rFonts w:hAnsi="標楷體"/>
          <w:b/>
        </w:rPr>
      </w:pPr>
      <w:r w:rsidRPr="007319CD">
        <w:rPr>
          <w:rFonts w:hAnsi="標楷體"/>
          <w:b/>
        </w:rPr>
        <w:t>有關</w:t>
      </w:r>
      <w:r w:rsidR="00F94F45" w:rsidRPr="007319CD">
        <w:rPr>
          <w:rFonts w:hAnsi="標楷體"/>
          <w:b/>
        </w:rPr>
        <w:t>公務人員退撫法</w:t>
      </w:r>
      <w:r w:rsidRPr="007319CD">
        <w:rPr>
          <w:rFonts w:hAnsi="標楷體"/>
          <w:b/>
        </w:rPr>
        <w:t>及</w:t>
      </w:r>
      <w:r w:rsidR="00914E2B" w:rsidRPr="007319CD">
        <w:rPr>
          <w:rFonts w:hAnsi="標楷體"/>
          <w:b/>
        </w:rPr>
        <w:t>公立學校教職員退撫條例</w:t>
      </w:r>
      <w:r w:rsidR="00CF0D22" w:rsidRPr="007319CD">
        <w:rPr>
          <w:rFonts w:hAnsi="標楷體"/>
          <w:b/>
        </w:rPr>
        <w:t>等新法修正，是否違反信賴保護原則，本院諮詢相關學者見解</w:t>
      </w:r>
      <w:r w:rsidR="00CF0D22" w:rsidRPr="007319CD">
        <w:rPr>
          <w:rFonts w:hAnsi="標楷體" w:hint="eastAsia"/>
          <w:b/>
        </w:rPr>
        <w:t>：</w:t>
      </w:r>
    </w:p>
    <w:p w:rsidR="00E97002" w:rsidRPr="007319CD" w:rsidRDefault="00E97002" w:rsidP="00E97002">
      <w:pPr>
        <w:pStyle w:val="4"/>
        <w:rPr>
          <w:rFonts w:hAnsi="標楷體"/>
        </w:rPr>
      </w:pPr>
      <w:r w:rsidRPr="007319CD">
        <w:rPr>
          <w:rFonts w:hAnsi="標楷體"/>
        </w:rPr>
        <w:t>年金整體制度變革是否違反憲法財產權保障、信賴保護原則疑義部分，應回歸比例原則，本次制度變革變動太大、太快，可能致使退休公務員成為貧窮老人，改革期程應適度拉長，較能符合比例原則，</w:t>
      </w:r>
      <w:proofErr w:type="gramStart"/>
      <w:r w:rsidRPr="007319CD">
        <w:rPr>
          <w:rFonts w:hAnsi="標楷體"/>
        </w:rPr>
        <w:t>至於違</w:t>
      </w:r>
      <w:proofErr w:type="gramEnd"/>
      <w:r w:rsidRPr="007319CD">
        <w:rPr>
          <w:rFonts w:hAnsi="標楷體"/>
        </w:rPr>
        <w:t>憲審查密度，是否應將退休金區分為「恩給制」與「儲金制」而受不同程度憲法財產權保障，應不必特別加以區分。又年金改革相關配套是否足夠，而採取最後15年平均薪資作</w:t>
      </w:r>
      <w:r w:rsidRPr="007319CD">
        <w:rPr>
          <w:rFonts w:hAnsi="標楷體"/>
        </w:rPr>
        <w:lastRenderedPageBreak/>
        <w:t>為年金改革之計算標準，應再加以</w:t>
      </w:r>
      <w:proofErr w:type="gramStart"/>
      <w:r w:rsidRPr="007319CD">
        <w:rPr>
          <w:rFonts w:hAnsi="標楷體"/>
        </w:rPr>
        <w:t>釐</w:t>
      </w:r>
      <w:proofErr w:type="gramEnd"/>
      <w:r w:rsidRPr="007319CD">
        <w:rPr>
          <w:rFonts w:hAnsi="標楷體"/>
        </w:rPr>
        <w:t>清說明其合理性。</w:t>
      </w:r>
    </w:p>
    <w:p w:rsidR="001711ED" w:rsidRPr="007319CD" w:rsidRDefault="001711ED" w:rsidP="00D5047A">
      <w:pPr>
        <w:pStyle w:val="4"/>
        <w:rPr>
          <w:rFonts w:hAnsi="標楷體"/>
        </w:rPr>
      </w:pPr>
      <w:proofErr w:type="gramStart"/>
      <w:r w:rsidRPr="007319CD">
        <w:rPr>
          <w:rFonts w:hAnsi="標楷體"/>
        </w:rPr>
        <w:t>舉輕以</w:t>
      </w:r>
      <w:proofErr w:type="gramEnd"/>
      <w:r w:rsidRPr="007319CD">
        <w:rPr>
          <w:rFonts w:hAnsi="標楷體"/>
        </w:rPr>
        <w:t>明重，司法院釋字717號解釋認為</w:t>
      </w:r>
      <w:proofErr w:type="gramStart"/>
      <w:r w:rsidRPr="007319CD">
        <w:rPr>
          <w:rFonts w:hAnsi="標楷體"/>
        </w:rPr>
        <w:t>﹕</w:t>
      </w:r>
      <w:proofErr w:type="gramEnd"/>
      <w:r w:rsidRPr="007319CD">
        <w:rPr>
          <w:rFonts w:hAnsi="標楷體"/>
        </w:rPr>
        <w:t>「故符合優惠存款資格之公教人員於退休時，因有系爭要點之規定，多將優惠存款之利益，納入其退休後之財務規劃或作為考量自願退休與否之重要因素；尤其於面臨一次領取或按月領取退休金之選擇時，亦必然以此為其計算比較之基礎，從而應認得享優惠存款之退休</w:t>
      </w:r>
      <w:proofErr w:type="gramStart"/>
      <w:r w:rsidRPr="007319CD">
        <w:rPr>
          <w:rFonts w:hAnsi="標楷體"/>
        </w:rPr>
        <w:t>公教人員就系爭</w:t>
      </w:r>
      <w:proofErr w:type="gramEnd"/>
      <w:r w:rsidRPr="007319CD">
        <w:rPr>
          <w:rFonts w:hAnsi="標楷體"/>
        </w:rPr>
        <w:t>要點所提供之優惠存款措施，在客觀上已具體表現其信賴，而非僅屬單純之願望，其信賴利益在憲法上亦值得保護。」當事人對優惠存款，雖定性為「政策性補貼」</w:t>
      </w:r>
      <w:proofErr w:type="gramStart"/>
      <w:r w:rsidRPr="007319CD">
        <w:rPr>
          <w:rFonts w:hAnsi="標楷體"/>
        </w:rPr>
        <w:t>然猶有</w:t>
      </w:r>
      <w:proofErr w:type="gramEnd"/>
      <w:r w:rsidRPr="007319CD">
        <w:rPr>
          <w:rFonts w:hAnsi="標楷體"/>
        </w:rPr>
        <w:t>值得保護之信賴利益，故年金整體制度變革是有違反憲法財產權保障、信賴保護原則之虞。</w:t>
      </w:r>
    </w:p>
    <w:p w:rsidR="00380665" w:rsidRPr="007319CD" w:rsidRDefault="00717E92" w:rsidP="00380665">
      <w:pPr>
        <w:pStyle w:val="4"/>
        <w:rPr>
          <w:rFonts w:hAnsi="標楷體"/>
        </w:rPr>
      </w:pPr>
      <w:r w:rsidRPr="007319CD">
        <w:rPr>
          <w:rFonts w:hAnsi="標楷體"/>
        </w:rPr>
        <w:t>所謂信賴保護原則</w:t>
      </w:r>
      <w:r w:rsidR="00E54955" w:rsidRPr="007319CD">
        <w:rPr>
          <w:rFonts w:hAnsi="標楷體"/>
        </w:rPr>
        <w:t>係</w:t>
      </w:r>
      <w:r w:rsidRPr="007319CD">
        <w:rPr>
          <w:rFonts w:hAnsi="標楷體"/>
        </w:rPr>
        <w:t>指人民(含公務員在內)對於國家或行政主體表現於外(或其持續施行之法律制度)之具體或抽象之行為(</w:t>
      </w:r>
      <w:r w:rsidR="00741DE5" w:rsidRPr="007319CD">
        <w:rPr>
          <w:rFonts w:hAnsi="標楷體" w:hint="eastAsia"/>
        </w:rPr>
        <w:t>含</w:t>
      </w:r>
      <w:r w:rsidRPr="007319CD">
        <w:rPr>
          <w:rFonts w:hAnsi="標楷體"/>
        </w:rPr>
        <w:t>法律制度在內)，因為相信其合法存在而有具體日常生活之積極安排與財產之計畫使用，在合理範圍內，此種信賴應受到法律之保護，稱為「信賴保護原則</w:t>
      </w:r>
      <w:r w:rsidR="00BF6B5F" w:rsidRPr="007319CD">
        <w:rPr>
          <w:rFonts w:hAnsi="標楷體"/>
        </w:rPr>
        <w:t>」</w:t>
      </w:r>
      <w:r w:rsidRPr="007319CD">
        <w:rPr>
          <w:rFonts w:hAnsi="標楷體"/>
        </w:rPr>
        <w:t>(行政程序法第8條後段參照)。信賴保護原則雖得適用於行政法規之變更或廢止(司法院釋字第525號參照)，但卻不得因主張信賴保護而預期行政法規永久施行，所以</w:t>
      </w:r>
      <w:proofErr w:type="gramStart"/>
      <w:r w:rsidR="00E54955" w:rsidRPr="007319CD">
        <w:rPr>
          <w:rFonts w:hAnsi="標楷體"/>
        </w:rPr>
        <w:t>遽</w:t>
      </w:r>
      <w:proofErr w:type="gramEnd"/>
      <w:r w:rsidRPr="007319CD">
        <w:rPr>
          <w:rFonts w:hAnsi="標楷體"/>
        </w:rPr>
        <w:t>行主張國家不得對法令予以任何變動或修改</w:t>
      </w:r>
      <w:r w:rsidR="00E54955" w:rsidRPr="007319CD">
        <w:rPr>
          <w:rFonts w:hAnsi="標楷體"/>
        </w:rPr>
        <w:t>；</w:t>
      </w:r>
      <w:r w:rsidRPr="007319CD">
        <w:rPr>
          <w:rFonts w:hAnsi="標楷體"/>
        </w:rPr>
        <w:t>相反地，信賴保護原則只是要求行政法規修改或廢止時，應兼顧規範對象信賴利益之保護，至於如何保障受規範者之信賴利益?則</w:t>
      </w:r>
      <w:proofErr w:type="gramStart"/>
      <w:r w:rsidRPr="007319CD">
        <w:rPr>
          <w:rFonts w:hAnsi="標楷體"/>
        </w:rPr>
        <w:t>須衡酌法</w:t>
      </w:r>
      <w:proofErr w:type="gramEnd"/>
      <w:r w:rsidRPr="007319CD">
        <w:rPr>
          <w:rFonts w:hAnsi="標楷體"/>
        </w:rPr>
        <w:t>秩序變動所追求之政策目的、國家財政負擔能力等公益因素及信賴利益之輕</w:t>
      </w:r>
      <w:r w:rsidRPr="007319CD">
        <w:rPr>
          <w:rFonts w:hAnsi="標楷體"/>
        </w:rPr>
        <w:lastRenderedPageBreak/>
        <w:t>重、信賴利益所依據之基礎法規，其作用是否僅在保障私人利益之法律地位，或該基礎法規亦有保障公益之實現者，則即應強</w:t>
      </w:r>
      <w:r w:rsidR="00E54955" w:rsidRPr="007319CD">
        <w:rPr>
          <w:rFonts w:hAnsi="標楷體"/>
        </w:rPr>
        <w:t>化</w:t>
      </w:r>
      <w:r w:rsidRPr="007319CD">
        <w:rPr>
          <w:rFonts w:hAnsi="標楷體"/>
        </w:rPr>
        <w:t>受規範者之信賴利益，避免其受到損害，以確保基礎法規所欲實現之公益目的(司法院釋字第589號解釋文參照)。例如</w:t>
      </w:r>
      <w:proofErr w:type="gramStart"/>
      <w:r w:rsidR="00E54955" w:rsidRPr="007319CD">
        <w:rPr>
          <w:rFonts w:hAnsi="標楷體"/>
        </w:rPr>
        <w:t>﹕</w:t>
      </w:r>
      <w:proofErr w:type="gramEnd"/>
      <w:r w:rsidRPr="007319CD">
        <w:rPr>
          <w:rFonts w:hAnsi="標楷體"/>
        </w:rPr>
        <w:t>最典型的在法規中規定過渡期間一定年限。由於公務人員退休撫</w:t>
      </w:r>
      <w:proofErr w:type="gramStart"/>
      <w:r w:rsidR="00E54955" w:rsidRPr="007319CD">
        <w:rPr>
          <w:rFonts w:hAnsi="標楷體"/>
        </w:rPr>
        <w:t>卹</w:t>
      </w:r>
      <w:proofErr w:type="gramEnd"/>
      <w:r w:rsidRPr="007319CD">
        <w:rPr>
          <w:rFonts w:hAnsi="標楷體"/>
        </w:rPr>
        <w:t>法修改之政策目的，一方面在於減輕國家財政負擔之公益(即所謂的國庫之窮困</w:t>
      </w:r>
      <w:proofErr w:type="gramStart"/>
      <w:r w:rsidRPr="007319CD">
        <w:rPr>
          <w:rFonts w:hAnsi="標楷體"/>
        </w:rPr>
        <w:t>抗辨</w:t>
      </w:r>
      <w:proofErr w:type="gramEnd"/>
      <w:r w:rsidRPr="007319CD">
        <w:rPr>
          <w:rFonts w:hAnsi="標楷體"/>
        </w:rPr>
        <w:t>)，另外一方面涉及對公務員(含現職及退休公務員)信賴利益之保護，不僅影響個別公務員法律地位，而且亦波及文官制度未來能否具有吸引全國菁英人才不斷加入之制度誘因公益，而非純粹公益與私</w:t>
      </w:r>
      <w:proofErr w:type="gramStart"/>
      <w:r w:rsidRPr="007319CD">
        <w:rPr>
          <w:rFonts w:hAnsi="標楷體"/>
        </w:rPr>
        <w:t>益之衡酌</w:t>
      </w:r>
      <w:proofErr w:type="gramEnd"/>
      <w:r w:rsidRPr="007319CD">
        <w:rPr>
          <w:rFonts w:hAnsi="標楷體"/>
        </w:rPr>
        <w:t>而已</w:t>
      </w:r>
      <w:r w:rsidR="00E54955" w:rsidRPr="007319CD">
        <w:rPr>
          <w:rFonts w:hAnsi="標楷體"/>
        </w:rPr>
        <w:t>；</w:t>
      </w:r>
      <w:r w:rsidRPr="007319CD">
        <w:rPr>
          <w:rFonts w:hAnsi="標楷體"/>
        </w:rPr>
        <w:t>申言之，此種基礎法律(即公務人員退休撫</w:t>
      </w:r>
      <w:proofErr w:type="gramStart"/>
      <w:r w:rsidR="00E54955" w:rsidRPr="007319CD">
        <w:rPr>
          <w:rFonts w:hAnsi="標楷體"/>
        </w:rPr>
        <w:t>卹</w:t>
      </w:r>
      <w:proofErr w:type="gramEnd"/>
      <w:r w:rsidRPr="007319CD">
        <w:rPr>
          <w:rFonts w:hAnsi="標楷體"/>
        </w:rPr>
        <w:t>法)之變動或廢止</w:t>
      </w:r>
      <w:r w:rsidR="00E54955" w:rsidRPr="007319CD">
        <w:rPr>
          <w:rFonts w:hAnsi="標楷體"/>
        </w:rPr>
        <w:t>，</w:t>
      </w:r>
      <w:r w:rsidRPr="007319CD">
        <w:rPr>
          <w:rFonts w:hAnsi="標楷體"/>
        </w:rPr>
        <w:t>乃涉及複雜的公益(國庫利益)與私益加上公益(即文官制度的制度性保障功能減損或喪失)的相互衡酌，所以依司法院解釋之意旨，更應</w:t>
      </w:r>
      <w:r w:rsidR="00E54955" w:rsidRPr="007319CD">
        <w:rPr>
          <w:rFonts w:hAnsi="標楷體"/>
        </w:rPr>
        <w:t>強化</w:t>
      </w:r>
      <w:r w:rsidRPr="007319CD">
        <w:rPr>
          <w:rFonts w:hAnsi="標楷體"/>
        </w:rPr>
        <w:t>信賴利益的保護，避免僅因財務政策公益之考量(即國庫利益之考量)，而遂行摧毀或減損有效能(具吸引力)的文官制度，故形成一種相互矛盾的法律改革。</w:t>
      </w:r>
      <w:proofErr w:type="gramStart"/>
      <w:r w:rsidRPr="007319CD">
        <w:rPr>
          <w:rFonts w:hAnsi="標楷體"/>
        </w:rPr>
        <w:t>惟</w:t>
      </w:r>
      <w:proofErr w:type="gramEnd"/>
      <w:r w:rsidRPr="007319CD">
        <w:rPr>
          <w:rFonts w:hAnsi="標楷體"/>
        </w:rPr>
        <w:t>行政院年金改革執行長卻太單純地擴大解釋司法院釋字第717號解釋文，認為只要有財政公益(即國庫不堪負荷)之考量，</w:t>
      </w:r>
      <w:proofErr w:type="gramStart"/>
      <w:r w:rsidRPr="007319CD">
        <w:rPr>
          <w:rFonts w:hAnsi="標楷體"/>
        </w:rPr>
        <w:t>均能正當</w:t>
      </w:r>
      <w:proofErr w:type="gramEnd"/>
      <w:r w:rsidRPr="007319CD">
        <w:rPr>
          <w:rFonts w:hAnsi="標楷體"/>
        </w:rPr>
        <w:t>化所有制度之改革，</w:t>
      </w:r>
      <w:proofErr w:type="gramStart"/>
      <w:r w:rsidRPr="007319CD">
        <w:rPr>
          <w:rFonts w:hAnsi="標楷體"/>
        </w:rPr>
        <w:t>其認皆不會</w:t>
      </w:r>
      <w:proofErr w:type="gramEnd"/>
      <w:r w:rsidRPr="007319CD">
        <w:rPr>
          <w:rFonts w:hAnsi="標楷體"/>
        </w:rPr>
        <w:t>違反信賴保護原則及比例原則(或稱為國庫窮困</w:t>
      </w:r>
      <w:proofErr w:type="gramStart"/>
      <w:r w:rsidRPr="007319CD">
        <w:rPr>
          <w:rFonts w:hAnsi="標楷體"/>
        </w:rPr>
        <w:t>抗辨</w:t>
      </w:r>
      <w:proofErr w:type="gramEnd"/>
      <w:r w:rsidRPr="007319CD">
        <w:rPr>
          <w:rFonts w:hAnsi="標楷體"/>
        </w:rPr>
        <w:t>)。蓋</w:t>
      </w:r>
      <w:r w:rsidR="00F94F45" w:rsidRPr="007319CD">
        <w:rPr>
          <w:rFonts w:hAnsi="標楷體" w:hint="eastAsia"/>
        </w:rPr>
        <w:t>司法院</w:t>
      </w:r>
      <w:r w:rsidRPr="007319CD">
        <w:rPr>
          <w:rFonts w:hAnsi="標楷體"/>
        </w:rPr>
        <w:t>釋字第717號解釋，大法官在</w:t>
      </w:r>
      <w:proofErr w:type="gramStart"/>
      <w:r w:rsidRPr="007319CD">
        <w:rPr>
          <w:rFonts w:hAnsi="標楷體"/>
        </w:rPr>
        <w:t>衡酌該退撫</w:t>
      </w:r>
      <w:proofErr w:type="gramEnd"/>
      <w:r w:rsidRPr="007319CD">
        <w:rPr>
          <w:rFonts w:hAnsi="標楷體"/>
        </w:rPr>
        <w:t>制度改變僅停留在「優惠存款利息」刪減之國庫公益與退休公務員個人利益</w:t>
      </w:r>
      <w:r w:rsidR="00E54955" w:rsidRPr="007319CD">
        <w:rPr>
          <w:rFonts w:hAnsi="標楷體"/>
        </w:rPr>
        <w:t>間</w:t>
      </w:r>
      <w:r w:rsidRPr="007319CD">
        <w:rPr>
          <w:rFonts w:hAnsi="標楷體"/>
        </w:rPr>
        <w:t>之利益權重</w:t>
      </w:r>
      <w:r w:rsidR="00E54955" w:rsidRPr="007319CD">
        <w:rPr>
          <w:rFonts w:hAnsi="標楷體"/>
        </w:rPr>
        <w:t>；</w:t>
      </w:r>
      <w:r w:rsidRPr="007319CD">
        <w:rPr>
          <w:rFonts w:hAnsi="標楷體"/>
        </w:rPr>
        <w:t>但在公務員退休撫</w:t>
      </w:r>
      <w:proofErr w:type="gramStart"/>
      <w:r w:rsidR="00D5047A" w:rsidRPr="007319CD">
        <w:rPr>
          <w:rFonts w:hAnsi="標楷體"/>
        </w:rPr>
        <w:t>卹</w:t>
      </w:r>
      <w:proofErr w:type="gramEnd"/>
      <w:r w:rsidRPr="007319CD">
        <w:rPr>
          <w:rFonts w:hAnsi="標楷體"/>
        </w:rPr>
        <w:t>制度之整體變革上，不僅涉及國庫公益與退休公務員個人之</w:t>
      </w:r>
      <w:proofErr w:type="gramStart"/>
      <w:r w:rsidRPr="007319CD">
        <w:rPr>
          <w:rFonts w:hAnsi="標楷體"/>
        </w:rPr>
        <w:t>私益衡</w:t>
      </w:r>
      <w:r w:rsidRPr="007319CD">
        <w:rPr>
          <w:rFonts w:hAnsi="標楷體"/>
        </w:rPr>
        <w:lastRenderedPageBreak/>
        <w:t>酌</w:t>
      </w:r>
      <w:proofErr w:type="gramEnd"/>
      <w:r w:rsidRPr="007319CD">
        <w:rPr>
          <w:rFonts w:hAnsi="標楷體"/>
        </w:rPr>
        <w:t>，同時也涉及整體公務員制度永續發展之公共利益。申言之</w:t>
      </w:r>
      <w:r w:rsidR="00B240E2" w:rsidRPr="007319CD">
        <w:rPr>
          <w:rFonts w:hAnsi="標楷體" w:hint="eastAsia"/>
        </w:rPr>
        <w:t>：</w:t>
      </w:r>
      <w:r w:rsidRPr="007319CD">
        <w:rPr>
          <w:rFonts w:hAnsi="標楷體"/>
        </w:rPr>
        <w:t>制度改變不但影響退休公務員及其遺</w:t>
      </w:r>
      <w:r w:rsidR="00832A35" w:rsidRPr="007319CD">
        <w:rPr>
          <w:rFonts w:hAnsi="標楷體"/>
        </w:rPr>
        <w:t>屬</w:t>
      </w:r>
      <w:r w:rsidRPr="007319CD">
        <w:rPr>
          <w:rFonts w:hAnsi="標楷體"/>
        </w:rPr>
        <w:t>之權益，而且同時影響現職公務員之主觀公法上之退休權益，</w:t>
      </w:r>
      <w:r w:rsidR="00832A35" w:rsidRPr="007319CD">
        <w:rPr>
          <w:rFonts w:hAnsi="標楷體"/>
        </w:rPr>
        <w:t>以及未來世代公務員，是否能甄選</w:t>
      </w:r>
      <w:r w:rsidRPr="007319CD">
        <w:rPr>
          <w:rFonts w:hAnsi="標楷體"/>
        </w:rPr>
        <w:t>到全國菁英份子的國家永續命脈公益，影響層面既大且深，絕非套用司法院釋字第717號解釋文，或</w:t>
      </w:r>
      <w:proofErr w:type="gramStart"/>
      <w:r w:rsidRPr="007319CD">
        <w:rPr>
          <w:rFonts w:hAnsi="標楷體"/>
        </w:rPr>
        <w:t>單純</w:t>
      </w:r>
      <w:r w:rsidR="00D5047A" w:rsidRPr="007319CD">
        <w:rPr>
          <w:rFonts w:hAnsi="標楷體"/>
        </w:rPr>
        <w:t>化</w:t>
      </w:r>
      <w:r w:rsidRPr="007319CD">
        <w:rPr>
          <w:rFonts w:hAnsi="標楷體"/>
        </w:rPr>
        <w:t>此種</w:t>
      </w:r>
      <w:proofErr w:type="gramEnd"/>
      <w:r w:rsidRPr="007319CD">
        <w:rPr>
          <w:rFonts w:hAnsi="標楷體"/>
        </w:rPr>
        <w:t>制度改革，僅</w:t>
      </w:r>
      <w:r w:rsidR="00D5047A" w:rsidRPr="007319CD">
        <w:rPr>
          <w:rFonts w:hAnsi="標楷體"/>
        </w:rPr>
        <w:t>係</w:t>
      </w:r>
      <w:r w:rsidR="00B240E2" w:rsidRPr="007319CD">
        <w:rPr>
          <w:rFonts w:hAnsi="標楷體" w:hint="eastAsia"/>
        </w:rPr>
        <w:t>：</w:t>
      </w:r>
      <w:r w:rsidRPr="007319CD">
        <w:rPr>
          <w:rFonts w:hAnsi="標楷體"/>
        </w:rPr>
        <w:t>公益</w:t>
      </w:r>
      <w:r w:rsidR="00D5047A" w:rsidRPr="007319CD">
        <w:rPr>
          <w:rFonts w:hAnsi="標楷體"/>
        </w:rPr>
        <w:t>比較</w:t>
      </w:r>
      <w:r w:rsidRPr="007319CD">
        <w:rPr>
          <w:rFonts w:hAnsi="標楷體"/>
        </w:rPr>
        <w:t>私益的傳統思考模式，所能完全正當化本次制度的變革，以及有效說明信賴利益、比例原則的交互</w:t>
      </w:r>
      <w:proofErr w:type="gramStart"/>
      <w:r w:rsidRPr="007319CD">
        <w:rPr>
          <w:rFonts w:hAnsi="標楷體"/>
        </w:rPr>
        <w:t>纏接性</w:t>
      </w:r>
      <w:proofErr w:type="gramEnd"/>
      <w:r w:rsidRPr="007319CD">
        <w:rPr>
          <w:rFonts w:hAnsi="標楷體"/>
        </w:rPr>
        <w:t>、</w:t>
      </w:r>
      <w:r w:rsidR="00D5047A" w:rsidRPr="007319CD">
        <w:rPr>
          <w:rFonts w:hAnsi="標楷體"/>
        </w:rPr>
        <w:t>複</w:t>
      </w:r>
      <w:r w:rsidRPr="007319CD">
        <w:rPr>
          <w:rFonts w:hAnsi="標楷體"/>
        </w:rPr>
        <w:t>雜性問題。尤其是公益</w:t>
      </w:r>
      <w:r w:rsidR="00D5047A" w:rsidRPr="007319CD">
        <w:rPr>
          <w:rFonts w:hAnsi="標楷體"/>
        </w:rPr>
        <w:t>比較</w:t>
      </w:r>
      <w:r w:rsidRPr="007319CD">
        <w:rPr>
          <w:rFonts w:hAnsi="標楷體"/>
        </w:rPr>
        <w:t>公益的抉擇上，會不會因為為省下每年400億</w:t>
      </w:r>
      <w:r w:rsidR="00B240E2" w:rsidRPr="007319CD">
        <w:rPr>
          <w:rFonts w:hAnsi="標楷體" w:hint="eastAsia"/>
        </w:rPr>
        <w:t>元</w:t>
      </w:r>
      <w:r w:rsidRPr="007319CD">
        <w:rPr>
          <w:rFonts w:hAnsi="標楷體"/>
        </w:rPr>
        <w:t>的退撫額外</w:t>
      </w:r>
      <w:proofErr w:type="gramStart"/>
      <w:r w:rsidRPr="007319CD">
        <w:rPr>
          <w:rFonts w:hAnsi="標楷體"/>
        </w:rPr>
        <w:t>提撥</w:t>
      </w:r>
      <w:proofErr w:type="gramEnd"/>
      <w:r w:rsidRPr="007319CD">
        <w:rPr>
          <w:rFonts w:hAnsi="標楷體"/>
        </w:rPr>
        <w:t>金，而以文官制度作為犧牲品，付出如此高昂代價(也是公益)，是否太輕忽「信賴保護原則」下的另外一種「公益」的保護。我們十分期待改革法案能看得更長遠，而能提出更具說服力的公益數據，而非僅簡單套用司法院釋字717號解釋的空洞公式而己，就率然認為</w:t>
      </w:r>
      <w:proofErr w:type="gramStart"/>
      <w:r w:rsidR="00D5047A" w:rsidRPr="007319CD">
        <w:rPr>
          <w:rFonts w:hAnsi="標楷體"/>
        </w:rPr>
        <w:t>﹕</w:t>
      </w:r>
      <w:proofErr w:type="gramEnd"/>
      <w:r w:rsidRPr="007319CD">
        <w:rPr>
          <w:rFonts w:hAnsi="標楷體"/>
        </w:rPr>
        <w:t>此次改革絕未違反信賴原則，因為各種刪減或縮水改革，</w:t>
      </w:r>
      <w:proofErr w:type="gramStart"/>
      <w:r w:rsidRPr="007319CD">
        <w:rPr>
          <w:rFonts w:hAnsi="標楷體"/>
        </w:rPr>
        <w:t>均已有</w:t>
      </w:r>
      <w:proofErr w:type="gramEnd"/>
      <w:r w:rsidRPr="007319CD">
        <w:rPr>
          <w:rFonts w:hAnsi="標楷體"/>
        </w:rPr>
        <w:t>過渡期間之逐年遞減，以保障公務員之「信賴利益」</w:t>
      </w:r>
      <w:r w:rsidR="00C01464" w:rsidRPr="007319CD">
        <w:rPr>
          <w:rFonts w:hAnsi="標楷體"/>
        </w:rPr>
        <w:t>。本次年金改革</w:t>
      </w:r>
      <w:r w:rsidR="00D5047A" w:rsidRPr="007319CD">
        <w:rPr>
          <w:rFonts w:hAnsi="標楷體"/>
        </w:rPr>
        <w:t>有信賴保護問題，德國在討論公務員年金改革時，認為和信賴保護是有關係的，信賴保護在我國有4個要件，「信賴基礎」、「信賴表現」、「信賴值得保護」、「私益大於公益」，第4個要件常不具備，因為私益很少大於公益，但是全體公務員的私益加起來可能大於</w:t>
      </w:r>
      <w:r w:rsidR="00C01464" w:rsidRPr="007319CD">
        <w:rPr>
          <w:rFonts w:hAnsi="標楷體"/>
        </w:rPr>
        <w:t>公益，</w:t>
      </w:r>
      <w:r w:rsidR="00D5047A" w:rsidRPr="007319CD">
        <w:rPr>
          <w:rFonts w:hAnsi="標楷體"/>
        </w:rPr>
        <w:t>用一句話來罵這次改革，「爾</w:t>
      </w:r>
      <w:proofErr w:type="gramStart"/>
      <w:r w:rsidR="00D5047A" w:rsidRPr="007319CD">
        <w:rPr>
          <w:rFonts w:hAnsi="標楷體"/>
        </w:rPr>
        <w:t>愛其羊</w:t>
      </w:r>
      <w:proofErr w:type="gramEnd"/>
      <w:r w:rsidR="00D5047A" w:rsidRPr="007319CD">
        <w:rPr>
          <w:rFonts w:hAnsi="標楷體"/>
        </w:rPr>
        <w:t>，我</w:t>
      </w:r>
      <w:proofErr w:type="gramStart"/>
      <w:r w:rsidR="00D5047A" w:rsidRPr="007319CD">
        <w:rPr>
          <w:rFonts w:hAnsi="標楷體"/>
        </w:rPr>
        <w:t>愛其禮</w:t>
      </w:r>
      <w:proofErr w:type="gramEnd"/>
      <w:r w:rsidR="00D5047A" w:rsidRPr="007319CD">
        <w:rPr>
          <w:rFonts w:hAnsi="標楷體"/>
        </w:rPr>
        <w:t>」，「羊」就是錢，「禮」就是公務員制度，改革如果破壞公務員制度，優秀人才不會</w:t>
      </w:r>
      <w:r w:rsidR="00B24338" w:rsidRPr="007319CD">
        <w:rPr>
          <w:rFonts w:hAnsi="標楷體"/>
        </w:rPr>
        <w:t>想當公務員，像公立學校老師，這是國家的逆向操作，很多人願意回到</w:t>
      </w:r>
      <w:r w:rsidR="00B24338" w:rsidRPr="007319CD">
        <w:rPr>
          <w:rFonts w:hAnsi="標楷體" w:hint="eastAsia"/>
        </w:rPr>
        <w:t>臺</w:t>
      </w:r>
      <w:r w:rsidR="00B24338" w:rsidRPr="007319CD">
        <w:rPr>
          <w:rFonts w:hAnsi="標楷體"/>
        </w:rPr>
        <w:t>灣，不願意留在國外當教授，</w:t>
      </w:r>
      <w:r w:rsidR="00B24338" w:rsidRPr="007319CD">
        <w:rPr>
          <w:rFonts w:hAnsi="標楷體"/>
        </w:rPr>
        <w:lastRenderedPageBreak/>
        <w:t>這是因為</w:t>
      </w:r>
      <w:r w:rsidR="00B24338" w:rsidRPr="007319CD">
        <w:rPr>
          <w:rFonts w:hAnsi="標楷體" w:hint="eastAsia"/>
        </w:rPr>
        <w:t>臺</w:t>
      </w:r>
      <w:r w:rsidR="00D5047A" w:rsidRPr="007319CD">
        <w:rPr>
          <w:rFonts w:hAnsi="標楷體"/>
        </w:rPr>
        <w:t>灣的退撫制度實在是有保障，至少比美國好，也比歐洲好，這種制度是一個正向的思考，讓公務員制度有誘因，讓年輕人願意來，如果國家沒有人才，</w:t>
      </w:r>
      <w:r w:rsidR="00ED4183" w:rsidRPr="007319CD">
        <w:rPr>
          <w:rFonts w:hAnsi="標楷體"/>
        </w:rPr>
        <w:t>國家會走向什麼情形呢，所以，「私益大於公益」的「私益」</w:t>
      </w:r>
      <w:proofErr w:type="gramStart"/>
      <w:r w:rsidR="00ED4183" w:rsidRPr="007319CD">
        <w:rPr>
          <w:rFonts w:hAnsi="標楷體"/>
        </w:rPr>
        <w:t>不要說是哪</w:t>
      </w:r>
      <w:r w:rsidR="00D5047A" w:rsidRPr="007319CD">
        <w:rPr>
          <w:rFonts w:hAnsi="標楷體"/>
        </w:rPr>
        <w:t>個</w:t>
      </w:r>
      <w:proofErr w:type="gramEnd"/>
      <w:r w:rsidR="00ED4183" w:rsidRPr="007319CD">
        <w:rPr>
          <w:rFonts w:hAnsi="標楷體"/>
        </w:rPr>
        <w:t>公務員退休時的私益，</w:t>
      </w:r>
      <w:r w:rsidR="00D5047A" w:rsidRPr="007319CD">
        <w:rPr>
          <w:rFonts w:hAnsi="標楷體"/>
        </w:rPr>
        <w:t>有可能「私益大於公益」</w:t>
      </w:r>
      <w:r w:rsidR="00ED4183" w:rsidRPr="007319CD">
        <w:rPr>
          <w:rFonts w:hAnsi="標楷體"/>
        </w:rPr>
        <w:t>。</w:t>
      </w:r>
    </w:p>
    <w:p w:rsidR="00ED4183" w:rsidRPr="007319CD" w:rsidRDefault="00ED4183" w:rsidP="00380665">
      <w:pPr>
        <w:pStyle w:val="3"/>
        <w:rPr>
          <w:rFonts w:hAnsi="標楷體"/>
        </w:rPr>
      </w:pPr>
      <w:r w:rsidRPr="007319CD">
        <w:rPr>
          <w:rFonts w:hAnsi="標楷體"/>
        </w:rPr>
        <w:t>查</w:t>
      </w:r>
      <w:r w:rsidR="00E70E45" w:rsidRPr="007319CD">
        <w:rPr>
          <w:rFonts w:hAnsi="標楷體"/>
        </w:rPr>
        <w:t>退撫基金</w:t>
      </w:r>
      <w:r w:rsidRPr="007319CD">
        <w:rPr>
          <w:rFonts w:hAnsi="標楷體"/>
        </w:rPr>
        <w:t>管理條例第8條及</w:t>
      </w:r>
      <w:r w:rsidR="00E70E45" w:rsidRPr="007319CD">
        <w:rPr>
          <w:rFonts w:hAnsi="標楷體"/>
        </w:rPr>
        <w:t>退撫基金</w:t>
      </w:r>
      <w:r w:rsidRPr="007319CD">
        <w:rPr>
          <w:rFonts w:hAnsi="標楷體"/>
        </w:rPr>
        <w:t>管理條例施行細則第17條規定：「…</w:t>
      </w:r>
      <w:proofErr w:type="gramStart"/>
      <w:r w:rsidRPr="007319CD">
        <w:rPr>
          <w:rFonts w:hAnsi="標楷體"/>
        </w:rPr>
        <w:t>…</w:t>
      </w:r>
      <w:proofErr w:type="gramEnd"/>
      <w:r w:rsidRPr="007319CD">
        <w:rPr>
          <w:rFonts w:hAnsi="標楷體"/>
        </w:rPr>
        <w:t>如基金不足支付時，應由基金檢討調整繳費費率，或由政府撥款補助，並由政府負最後支付責任。」、「本基金財務管理以收支平衡為原則，基金管理會為評估基金財務負擔能力，應實施定期精算，精算頻率</w:t>
      </w:r>
      <w:proofErr w:type="gramStart"/>
      <w:r w:rsidRPr="007319CD">
        <w:rPr>
          <w:rFonts w:hAnsi="標楷體"/>
        </w:rPr>
        <w:t>採</w:t>
      </w:r>
      <w:proofErr w:type="gramEnd"/>
      <w:r w:rsidRPr="007319CD">
        <w:rPr>
          <w:rFonts w:hAnsi="標楷體"/>
        </w:rPr>
        <w:t>3年1次為原則。每次精算50年。」然</w:t>
      </w:r>
      <w:r w:rsidR="00E70E45" w:rsidRPr="007319CD">
        <w:rPr>
          <w:rFonts w:hAnsi="標楷體"/>
        </w:rPr>
        <w:t>退撫基金</w:t>
      </w:r>
      <w:r w:rsidRPr="007319CD">
        <w:rPr>
          <w:rFonts w:hAnsi="標楷體"/>
        </w:rPr>
        <w:t>自成立以來，即</w:t>
      </w:r>
      <w:proofErr w:type="gramStart"/>
      <w:r w:rsidRPr="007319CD">
        <w:rPr>
          <w:rFonts w:hAnsi="標楷體"/>
        </w:rPr>
        <w:t>採不</w:t>
      </w:r>
      <w:proofErr w:type="gramEnd"/>
      <w:r w:rsidRPr="007319CD">
        <w:rPr>
          <w:rFonts w:hAnsi="標楷體"/>
        </w:rPr>
        <w:t>足額</w:t>
      </w:r>
      <w:proofErr w:type="gramStart"/>
      <w:r w:rsidRPr="007319CD">
        <w:rPr>
          <w:rFonts w:hAnsi="標楷體"/>
        </w:rPr>
        <w:t>提撥</w:t>
      </w:r>
      <w:proofErr w:type="gramEnd"/>
      <w:r w:rsidRPr="007319CD">
        <w:rPr>
          <w:rFonts w:hAnsi="標楷體"/>
        </w:rPr>
        <w:t>方式辦理，</w:t>
      </w:r>
      <w:proofErr w:type="gramStart"/>
      <w:r w:rsidRPr="007319CD">
        <w:rPr>
          <w:rFonts w:hAnsi="標楷體"/>
        </w:rPr>
        <w:t>嗣</w:t>
      </w:r>
      <w:proofErr w:type="gramEnd"/>
      <w:r w:rsidRPr="007319CD">
        <w:rPr>
          <w:rFonts w:hAnsi="標楷體"/>
        </w:rPr>
        <w:t>雖依精算建議，4度提高</w:t>
      </w:r>
      <w:proofErr w:type="gramStart"/>
      <w:r w:rsidRPr="007319CD">
        <w:rPr>
          <w:rFonts w:hAnsi="標楷體"/>
        </w:rPr>
        <w:t>提撥</w:t>
      </w:r>
      <w:proofErr w:type="gramEnd"/>
      <w:r w:rsidRPr="007319CD">
        <w:rPr>
          <w:rFonts w:hAnsi="標楷體"/>
        </w:rPr>
        <w:t>費率，惟仍距</w:t>
      </w:r>
      <w:proofErr w:type="gramStart"/>
      <w:r w:rsidRPr="007319CD">
        <w:rPr>
          <w:rFonts w:hAnsi="標楷體"/>
        </w:rPr>
        <w:t>最</w:t>
      </w:r>
      <w:proofErr w:type="gramEnd"/>
      <w:r w:rsidRPr="007319CD">
        <w:rPr>
          <w:rFonts w:hAnsi="標楷體"/>
        </w:rPr>
        <w:t>適</w:t>
      </w:r>
      <w:proofErr w:type="gramStart"/>
      <w:r w:rsidRPr="007319CD">
        <w:rPr>
          <w:rFonts w:hAnsi="標楷體"/>
        </w:rPr>
        <w:t>提撥</w:t>
      </w:r>
      <w:proofErr w:type="gramEnd"/>
      <w:r w:rsidRPr="007319CD">
        <w:rPr>
          <w:rFonts w:hAnsi="標楷體"/>
        </w:rPr>
        <w:t>費甚</w:t>
      </w:r>
      <w:proofErr w:type="gramStart"/>
      <w:r w:rsidRPr="007319CD">
        <w:rPr>
          <w:rFonts w:hAnsi="標楷體"/>
        </w:rPr>
        <w:t>鉅</w:t>
      </w:r>
      <w:proofErr w:type="gramEnd"/>
      <w:r w:rsidRPr="007319CD">
        <w:rPr>
          <w:rFonts w:hAnsi="標楷體"/>
        </w:rPr>
        <w:t>，復以經濟環境</w:t>
      </w:r>
      <w:proofErr w:type="gramStart"/>
      <w:r w:rsidRPr="007319CD">
        <w:rPr>
          <w:rFonts w:hAnsi="標楷體"/>
        </w:rPr>
        <w:t>丕</w:t>
      </w:r>
      <w:proofErr w:type="gramEnd"/>
      <w:r w:rsidRPr="007319CD">
        <w:rPr>
          <w:rFonts w:hAnsi="標楷體"/>
        </w:rPr>
        <w:t>變，基金收益不足以彌平收支，發生基金不足支付時，然政府並未依法辦理撥補作為。且退撫基金管理條例第5條第3項規定：「本基金之運用，其3年內平均最低年收益不得低於臺灣銀行2年期定期存款利率計算之收益。如運用所得未達規定之最低收益者，由國庫補足其差額。」退撫基金條例施行細則第15條規定：「本基金之收益率按年度決算逐年計算；其3年平均收益率係</w:t>
      </w:r>
      <w:proofErr w:type="gramStart"/>
      <w:r w:rsidRPr="007319CD">
        <w:rPr>
          <w:rFonts w:hAnsi="標楷體"/>
        </w:rPr>
        <w:t>採</w:t>
      </w:r>
      <w:proofErr w:type="gramEnd"/>
      <w:r w:rsidRPr="007319CD">
        <w:rPr>
          <w:rFonts w:hAnsi="標楷體"/>
        </w:rPr>
        <w:t>移動平均計算方式。本基金運用收益，如未達本條例第5條第3項規定標準，應由基金管理會依預算程序申請國庫補足差額。」然</w:t>
      </w:r>
      <w:r w:rsidR="00E70E45" w:rsidRPr="007319CD">
        <w:rPr>
          <w:rFonts w:hAnsi="標楷體"/>
        </w:rPr>
        <w:t>退撫基金</w:t>
      </w:r>
      <w:r w:rsidRPr="007319CD">
        <w:rPr>
          <w:rFonts w:hAnsi="標楷體"/>
        </w:rPr>
        <w:t>自成立後，運用收益不如原定預期，且曾低於法定最低收益率，退撫制度於84年陸續正式實施後，退撫基金85年至106年6月間之已實現收益率，97年收益率為-2.46%，低於當年度臺灣銀行2年期定期存款利率2.69%。</w:t>
      </w:r>
      <w:proofErr w:type="gramStart"/>
      <w:r w:rsidRPr="007319CD">
        <w:rPr>
          <w:rFonts w:hAnsi="標楷體"/>
        </w:rPr>
        <w:t>嗣</w:t>
      </w:r>
      <w:proofErr w:type="gramEnd"/>
      <w:r w:rsidRPr="007319CD">
        <w:rPr>
          <w:rFonts w:hAnsi="標楷體"/>
        </w:rPr>
        <w:t>再依前揭規定計</w:t>
      </w:r>
      <w:r w:rsidRPr="007319CD">
        <w:rPr>
          <w:rFonts w:hAnsi="標楷體"/>
        </w:rPr>
        <w:lastRenderedPageBreak/>
        <w:t>算是否有國庫應補足之法定收益差額，經97</w:t>
      </w:r>
      <w:r w:rsidR="00BB0B32" w:rsidRPr="007319CD">
        <w:rPr>
          <w:rFonts w:hAnsi="標楷體" w:hint="eastAsia"/>
        </w:rPr>
        <w:t>年</w:t>
      </w:r>
      <w:r w:rsidRPr="007319CD">
        <w:rPr>
          <w:rFonts w:hAnsi="標楷體"/>
        </w:rPr>
        <w:t>至99年度決算結果，分別產生國庫應撥補數為1.67億餘元、17.58億餘元及29.57億餘元，合計48.81億餘元。惟經行政院主計總處以政府財政歲入偏低，無法充分支應政府各項政務支出所需為由，自99年始起以逐年撥補方式辦理。</w:t>
      </w:r>
      <w:proofErr w:type="gramStart"/>
      <w:r w:rsidRPr="007319CD">
        <w:rPr>
          <w:rFonts w:hAnsi="標楷體"/>
        </w:rPr>
        <w:t>另</w:t>
      </w:r>
      <w:proofErr w:type="gramEnd"/>
      <w:r w:rsidRPr="007319CD">
        <w:rPr>
          <w:rFonts w:hAnsi="標楷體"/>
        </w:rPr>
        <w:t>，整體三類人員退撫基金收支節餘數，於</w:t>
      </w:r>
      <w:proofErr w:type="gramStart"/>
      <w:r w:rsidRPr="007319CD">
        <w:rPr>
          <w:rFonts w:hAnsi="標楷體"/>
        </w:rPr>
        <w:t>103</w:t>
      </w:r>
      <w:proofErr w:type="gramEnd"/>
      <w:r w:rsidRPr="007319CD">
        <w:rPr>
          <w:rFonts w:hAnsi="標楷體"/>
        </w:rPr>
        <w:t>年度首度發生赤字33.61億元，104年赤字已擴大為103.01億元，整體基金餘額亦由103年之5,947.70億元，縮減為5,737.91億元，惟並未見政府</w:t>
      </w:r>
      <w:r w:rsidR="00B240E2" w:rsidRPr="007319CD">
        <w:rPr>
          <w:rFonts w:hAnsi="標楷體"/>
        </w:rPr>
        <w:t>針對前揭收繳收入不足支應退撫支出之差額，依退撫基金管理條例</w:t>
      </w:r>
      <w:proofErr w:type="gramStart"/>
      <w:r w:rsidR="00B240E2" w:rsidRPr="007319CD">
        <w:rPr>
          <w:rFonts w:hAnsi="標楷體"/>
        </w:rPr>
        <w:t>規定</w:t>
      </w:r>
      <w:r w:rsidR="00B240E2" w:rsidRPr="007319CD">
        <w:rPr>
          <w:rFonts w:hAnsi="標楷體" w:hint="eastAsia"/>
        </w:rPr>
        <w:t>匡</w:t>
      </w:r>
      <w:r w:rsidRPr="007319CD">
        <w:rPr>
          <w:rFonts w:hAnsi="標楷體"/>
        </w:rPr>
        <w:t>列預算</w:t>
      </w:r>
      <w:proofErr w:type="gramEnd"/>
      <w:r w:rsidRPr="007319CD">
        <w:rPr>
          <w:rFonts w:hAnsi="標楷體"/>
        </w:rPr>
        <w:t>全數撥補。</w:t>
      </w:r>
      <w:proofErr w:type="gramStart"/>
      <w:r w:rsidRPr="007319CD">
        <w:rPr>
          <w:rFonts w:hAnsi="標楷體"/>
        </w:rPr>
        <w:t>嗣</w:t>
      </w:r>
      <w:proofErr w:type="gramEnd"/>
      <w:r w:rsidRPr="007319CD">
        <w:rPr>
          <w:rFonts w:hAnsi="標楷體"/>
        </w:rPr>
        <w:t>社會關注</w:t>
      </w:r>
      <w:r w:rsidR="00E70E45" w:rsidRPr="007319CD">
        <w:rPr>
          <w:rFonts w:hAnsi="標楷體"/>
        </w:rPr>
        <w:t>退撫基金</w:t>
      </w:r>
      <w:r w:rsidRPr="007319CD">
        <w:rPr>
          <w:rFonts w:hAnsi="標楷體"/>
        </w:rPr>
        <w:t>之財務收支問題後，始積極進行修法，惟主要改善作為，係以降低舊制年資給付及優惠存款利息方式節餘資金，</w:t>
      </w:r>
      <w:proofErr w:type="gramStart"/>
      <w:r w:rsidRPr="007319CD">
        <w:rPr>
          <w:rFonts w:hAnsi="標楷體"/>
        </w:rPr>
        <w:t>挹</w:t>
      </w:r>
      <w:proofErr w:type="gramEnd"/>
      <w:r w:rsidRPr="007319CD">
        <w:rPr>
          <w:rFonts w:hAnsi="標楷體"/>
        </w:rPr>
        <w:t>注基金改善財務狀況，然亦僅能延長公教人員退撫基金收支平衡16年或17年，與延後基金免於</w:t>
      </w:r>
      <w:proofErr w:type="gramStart"/>
      <w:r w:rsidRPr="007319CD">
        <w:rPr>
          <w:rFonts w:hAnsi="標楷體"/>
        </w:rPr>
        <w:t>用罄約20年</w:t>
      </w:r>
      <w:proofErr w:type="gramEnd"/>
      <w:r w:rsidRPr="007319CD">
        <w:rPr>
          <w:rFonts w:hAnsi="標楷體"/>
        </w:rPr>
        <w:t>，對於基金</w:t>
      </w:r>
      <w:proofErr w:type="gramStart"/>
      <w:r w:rsidRPr="007319CD">
        <w:rPr>
          <w:rFonts w:hAnsi="標楷體"/>
        </w:rPr>
        <w:t>得否永續</w:t>
      </w:r>
      <w:proofErr w:type="gramEnd"/>
      <w:r w:rsidRPr="007319CD">
        <w:rPr>
          <w:rFonts w:hAnsi="標楷體"/>
        </w:rPr>
        <w:t>經營之根本問題並未全然解決。此次年金改革最為人所詬病者，係來自於打</w:t>
      </w:r>
      <w:proofErr w:type="gramStart"/>
      <w:r w:rsidRPr="007319CD">
        <w:rPr>
          <w:rFonts w:hAnsi="標楷體"/>
        </w:rPr>
        <w:t>著假</w:t>
      </w:r>
      <w:proofErr w:type="gramEnd"/>
      <w:r w:rsidRPr="007319CD">
        <w:rPr>
          <w:rFonts w:hAnsi="標楷體"/>
        </w:rPr>
        <w:t>的世代互助大旗，及以潛藏負債的概念，來形容年金破產造成政府可能的財政問題，進而混淆社會保險和基金式職業年金的性質進行改革。如果是社會保險年金，那政府要負的是全體國民的照顧責任，世代互助的問題即顯重要，但公教人員退撫制度本質上是一個</w:t>
      </w:r>
      <w:proofErr w:type="gramStart"/>
      <w:r w:rsidRPr="007319CD">
        <w:rPr>
          <w:rFonts w:hAnsi="標楷體"/>
        </w:rPr>
        <w:t>基金式的職業</w:t>
      </w:r>
      <w:proofErr w:type="gramEnd"/>
      <w:r w:rsidRPr="007319CD">
        <w:rPr>
          <w:rFonts w:hAnsi="標楷體"/>
        </w:rPr>
        <w:t>年金，就算</w:t>
      </w:r>
      <w:proofErr w:type="gramStart"/>
      <w:r w:rsidRPr="007319CD">
        <w:rPr>
          <w:rFonts w:hAnsi="標楷體"/>
        </w:rPr>
        <w:t>要稱兼有</w:t>
      </w:r>
      <w:proofErr w:type="gramEnd"/>
      <w:r w:rsidRPr="007319CD">
        <w:rPr>
          <w:rFonts w:hAnsi="標楷體"/>
        </w:rPr>
        <w:t>社會保險性質，但究其之所以會有破產疑慮，最主要應該追究的是政府同時身為制度設計者、雇主及基金</w:t>
      </w:r>
      <w:proofErr w:type="gramStart"/>
      <w:r w:rsidRPr="007319CD">
        <w:rPr>
          <w:rFonts w:hAnsi="標楷體"/>
        </w:rPr>
        <w:t>操作者初始</w:t>
      </w:r>
      <w:proofErr w:type="gramEnd"/>
      <w:r w:rsidRPr="007319CD">
        <w:rPr>
          <w:rFonts w:hAnsi="標楷體"/>
        </w:rPr>
        <w:t>設計不良、管理不善與</w:t>
      </w:r>
      <w:proofErr w:type="gramStart"/>
      <w:r w:rsidRPr="007319CD">
        <w:rPr>
          <w:rFonts w:hAnsi="標楷體"/>
        </w:rPr>
        <w:t>提撥</w:t>
      </w:r>
      <w:proofErr w:type="gramEnd"/>
      <w:r w:rsidRPr="007319CD">
        <w:rPr>
          <w:rFonts w:hAnsi="標楷體"/>
        </w:rPr>
        <w:t>不足的責任。</w:t>
      </w:r>
      <w:r w:rsidR="009E0316" w:rsidRPr="007319CD">
        <w:rPr>
          <w:rFonts w:hAnsi="標楷體"/>
        </w:rPr>
        <w:t>本院諮詢之學者即提到</w:t>
      </w:r>
      <w:proofErr w:type="gramStart"/>
      <w:r w:rsidR="009E0316" w:rsidRPr="007319CD">
        <w:rPr>
          <w:rFonts w:hAnsi="標楷體"/>
        </w:rPr>
        <w:t>﹕</w:t>
      </w:r>
      <w:proofErr w:type="gramEnd"/>
      <w:r w:rsidR="009E0316" w:rsidRPr="007319CD">
        <w:rPr>
          <w:rFonts w:hAnsi="標楷體"/>
        </w:rPr>
        <w:t>「就軍公教</w:t>
      </w:r>
      <w:r w:rsidR="00C424DE" w:rsidRPr="007319CD">
        <w:rPr>
          <w:rFonts w:hAnsi="標楷體" w:hint="eastAsia"/>
        </w:rPr>
        <w:t>人員</w:t>
      </w:r>
      <w:r w:rsidR="009E0316" w:rsidRPr="007319CD">
        <w:rPr>
          <w:rFonts w:hAnsi="標楷體"/>
        </w:rPr>
        <w:t>來講，政府或國家是處於雇主的地位，所以這一個雇主的地位，…</w:t>
      </w:r>
      <w:proofErr w:type="gramStart"/>
      <w:r w:rsidR="009E0316" w:rsidRPr="007319CD">
        <w:rPr>
          <w:rFonts w:hAnsi="標楷體"/>
        </w:rPr>
        <w:t>…</w:t>
      </w:r>
      <w:proofErr w:type="gramEnd"/>
      <w:r w:rsidR="009E0316" w:rsidRPr="007319CD">
        <w:rPr>
          <w:rFonts w:hAnsi="標楷體"/>
        </w:rPr>
        <w:t>如果是</w:t>
      </w:r>
      <w:proofErr w:type="gramStart"/>
      <w:r w:rsidR="009E0316" w:rsidRPr="007319CD">
        <w:rPr>
          <w:rFonts w:hAnsi="標楷體"/>
        </w:rPr>
        <w:t>提撥</w:t>
      </w:r>
      <w:proofErr w:type="gramEnd"/>
      <w:r w:rsidR="009E0316" w:rsidRPr="007319CD">
        <w:rPr>
          <w:rFonts w:hAnsi="標楷體"/>
        </w:rPr>
        <w:t>不足，就好像勞退的一</w:t>
      </w:r>
      <w:r w:rsidR="009E0316" w:rsidRPr="007319CD">
        <w:rPr>
          <w:rFonts w:hAnsi="標楷體"/>
        </w:rPr>
        <w:lastRenderedPageBreak/>
        <w:t>樣，勞工的雇主不可以說，我</w:t>
      </w:r>
      <w:proofErr w:type="gramStart"/>
      <w:r w:rsidR="009E0316" w:rsidRPr="007319CD">
        <w:rPr>
          <w:rFonts w:hAnsi="標楷體"/>
        </w:rPr>
        <w:t>提撥</w:t>
      </w:r>
      <w:proofErr w:type="gramEnd"/>
      <w:r w:rsidR="009E0316" w:rsidRPr="007319CD">
        <w:rPr>
          <w:rFonts w:hAnsi="標楷體"/>
        </w:rPr>
        <w:t>在勞</w:t>
      </w:r>
      <w:r w:rsidR="00092FB0" w:rsidRPr="007319CD">
        <w:rPr>
          <w:rFonts w:hAnsi="標楷體" w:hint="eastAsia"/>
        </w:rPr>
        <w:t>工</w:t>
      </w:r>
      <w:r w:rsidR="009E0316" w:rsidRPr="007319CD">
        <w:rPr>
          <w:rFonts w:hAnsi="標楷體"/>
        </w:rPr>
        <w:t>保</w:t>
      </w:r>
      <w:r w:rsidR="00092FB0" w:rsidRPr="007319CD">
        <w:rPr>
          <w:rFonts w:hAnsi="標楷體" w:hint="eastAsia"/>
        </w:rPr>
        <w:t>險</w:t>
      </w:r>
      <w:r w:rsidR="009E0316" w:rsidRPr="007319CD">
        <w:rPr>
          <w:rFonts w:hAnsi="標楷體"/>
        </w:rPr>
        <w:t>局的準備金不夠，所以我不付退休金</w:t>
      </w:r>
      <w:proofErr w:type="gramStart"/>
      <w:r w:rsidR="009E0316" w:rsidRPr="007319CD">
        <w:rPr>
          <w:rFonts w:hAnsi="標楷體"/>
        </w:rPr>
        <w:t>或減付</w:t>
      </w:r>
      <w:proofErr w:type="gramEnd"/>
      <w:r w:rsidR="009E0316" w:rsidRPr="007319CD">
        <w:rPr>
          <w:rFonts w:hAnsi="標楷體"/>
        </w:rPr>
        <w:t>，這是不可以的，我們國家一定會執行公權力，去查封他的財產，除非他破產。可是，今天國家當雇主，為什麼國家可以說，因為</w:t>
      </w:r>
      <w:proofErr w:type="gramStart"/>
      <w:r w:rsidR="009E0316" w:rsidRPr="007319CD">
        <w:rPr>
          <w:rFonts w:hAnsi="標楷體"/>
        </w:rPr>
        <w:t>提撥</w:t>
      </w:r>
      <w:proofErr w:type="gramEnd"/>
      <w:r w:rsidR="009E0316" w:rsidRPr="007319CD">
        <w:rPr>
          <w:rFonts w:hAnsi="標楷體"/>
        </w:rPr>
        <w:t>的錢不足，所以這個制度我必</w:t>
      </w:r>
      <w:r w:rsidR="00F83759" w:rsidRPr="007319CD">
        <w:rPr>
          <w:rFonts w:hAnsi="標楷體"/>
        </w:rPr>
        <w:t>須</w:t>
      </w:r>
      <w:r w:rsidR="009E0316" w:rsidRPr="007319CD">
        <w:rPr>
          <w:rFonts w:hAnsi="標楷體"/>
        </w:rPr>
        <w:t>作比較重大的改變。我覺得制度不是不能改，但是基本上，要</w:t>
      </w:r>
      <w:proofErr w:type="gramStart"/>
      <w:r w:rsidR="009E0316" w:rsidRPr="007319CD">
        <w:rPr>
          <w:rFonts w:hAnsi="標楷體"/>
        </w:rPr>
        <w:t>勞</w:t>
      </w:r>
      <w:proofErr w:type="gramEnd"/>
      <w:r w:rsidR="009E0316" w:rsidRPr="007319CD">
        <w:rPr>
          <w:rFonts w:hAnsi="標楷體"/>
        </w:rPr>
        <w:t>雇雙方協商之後，雙方可以接受的結果。的確我國退撫基金以目前的制度走下去，將來國庫需要</w:t>
      </w:r>
      <w:proofErr w:type="gramStart"/>
      <w:r w:rsidR="00092FB0" w:rsidRPr="007319CD">
        <w:rPr>
          <w:rFonts w:hAnsi="標楷體" w:hint="eastAsia"/>
        </w:rPr>
        <w:t>挹</w:t>
      </w:r>
      <w:proofErr w:type="gramEnd"/>
      <w:r w:rsidR="009E0316" w:rsidRPr="007319CD">
        <w:rPr>
          <w:rFonts w:hAnsi="標楷體"/>
        </w:rPr>
        <w:t>注的金額會越來越大，但是我們退撫的法令有一條說，國庫負最後支付的責任，當國庫還沒有窮盡所有手段時，即說因為基金不足，所以國庫不想再</w:t>
      </w:r>
      <w:proofErr w:type="gramStart"/>
      <w:r w:rsidR="009E0316" w:rsidRPr="007319CD">
        <w:rPr>
          <w:rFonts w:hAnsi="標楷體"/>
        </w:rPr>
        <w:t>挹</w:t>
      </w:r>
      <w:proofErr w:type="gramEnd"/>
      <w:r w:rsidR="009E0316" w:rsidRPr="007319CD">
        <w:rPr>
          <w:rFonts w:hAnsi="標楷體"/>
        </w:rPr>
        <w:t>注，我覺得那是不太合理的事情。」</w:t>
      </w:r>
      <w:r w:rsidRPr="007319CD">
        <w:rPr>
          <w:rFonts w:hAnsi="標楷體"/>
        </w:rPr>
        <w:t>而對於本次修法將</w:t>
      </w:r>
      <w:proofErr w:type="gramStart"/>
      <w:r w:rsidRPr="007319CD">
        <w:rPr>
          <w:rFonts w:hAnsi="標楷體"/>
        </w:rPr>
        <w:t>造成代際不</w:t>
      </w:r>
      <w:proofErr w:type="gramEnd"/>
      <w:r w:rsidRPr="007319CD">
        <w:rPr>
          <w:rFonts w:hAnsi="標楷體"/>
        </w:rPr>
        <w:t>公平的問題，相關公教人員團體或有識之士等社會輿論早有各種倡議，</w:t>
      </w:r>
      <w:proofErr w:type="gramStart"/>
      <w:r w:rsidRPr="007319CD">
        <w:rPr>
          <w:rFonts w:hAnsi="標楷體"/>
        </w:rPr>
        <w:t>舉如</w:t>
      </w:r>
      <w:proofErr w:type="gramEnd"/>
      <w:r w:rsidRPr="007319CD">
        <w:rPr>
          <w:rFonts w:hAnsi="標楷體"/>
        </w:rPr>
        <w:t>：「當總統、副總統一再強調保證年金基金一個世代不會破產時，其實已經承認今天</w:t>
      </w:r>
      <w:proofErr w:type="gramStart"/>
      <w:r w:rsidRPr="007319CD">
        <w:rPr>
          <w:rFonts w:hAnsi="標楷體"/>
        </w:rPr>
        <w:t>提撥</w:t>
      </w:r>
      <w:proofErr w:type="gramEnd"/>
      <w:r w:rsidRPr="007319CD">
        <w:rPr>
          <w:rFonts w:hAnsi="標楷體"/>
        </w:rPr>
        <w:t>費率繳得比上一代多的年輕公教，在他們30年後退休時，基金已經被今天當權的一代領光光了。就這樣，年改會的版本完全放棄了總統在就職當初信誓旦旦的世代正義…</w:t>
      </w:r>
      <w:proofErr w:type="gramStart"/>
      <w:r w:rsidRPr="007319CD">
        <w:rPr>
          <w:rFonts w:hAnsi="標楷體"/>
        </w:rPr>
        <w:t>…</w:t>
      </w:r>
      <w:proofErr w:type="gramEnd"/>
      <w:r w:rsidRPr="007319CD">
        <w:rPr>
          <w:rFonts w:hAnsi="標楷體"/>
        </w:rPr>
        <w:t>」、「政府不僅是紛亂年金體系的制度設計者，同時也是備受詬病的基金操盤人，必須負起完全責任自不待言。回到基金本身最單純的收支關係，20年來的執政者更是無法逃避。大刀闊斧進行年金改革，卻規避政府應負的責任，剛好證明政府主事群的無能與推託。…</w:t>
      </w:r>
      <w:proofErr w:type="gramStart"/>
      <w:r w:rsidRPr="007319CD">
        <w:rPr>
          <w:rFonts w:hAnsi="標楷體"/>
        </w:rPr>
        <w:t>…</w:t>
      </w:r>
      <w:proofErr w:type="gramEnd"/>
      <w:r w:rsidRPr="007319CD">
        <w:rPr>
          <w:rFonts w:hAnsi="標楷體"/>
        </w:rPr>
        <w:t>殊不知，如果政府只是調高在職者的費率，卻未同時處理過往20年的</w:t>
      </w:r>
      <w:proofErr w:type="gramStart"/>
      <w:r w:rsidRPr="007319CD">
        <w:rPr>
          <w:rFonts w:hAnsi="標楷體"/>
        </w:rPr>
        <w:t>不</w:t>
      </w:r>
      <w:proofErr w:type="gramEnd"/>
      <w:r w:rsidRPr="007319CD">
        <w:rPr>
          <w:rFonts w:hAnsi="標楷體"/>
        </w:rPr>
        <w:t>足額</w:t>
      </w:r>
      <w:proofErr w:type="gramStart"/>
      <w:r w:rsidRPr="007319CD">
        <w:rPr>
          <w:rFonts w:hAnsi="標楷體"/>
        </w:rPr>
        <w:t>提撥</w:t>
      </w:r>
      <w:proofErr w:type="gramEnd"/>
      <w:r w:rsidRPr="007319CD">
        <w:rPr>
          <w:rFonts w:hAnsi="標楷體"/>
        </w:rPr>
        <w:t>，恰恰正是世代</w:t>
      </w:r>
      <w:proofErr w:type="gramStart"/>
      <w:r w:rsidRPr="007319CD">
        <w:rPr>
          <w:rFonts w:hAnsi="標楷體"/>
        </w:rPr>
        <w:t>不</w:t>
      </w:r>
      <w:proofErr w:type="gramEnd"/>
      <w:r w:rsidRPr="007319CD">
        <w:rPr>
          <w:rFonts w:hAnsi="標楷體"/>
        </w:rPr>
        <w:t>正義的體現。」就新法的修正而言，純新制的現職或年輕公務員將會對基金付出最多，但是政府卻告訴他們未來還要再面臨一次破產的危機，實亦不符合誠信原則。</w:t>
      </w:r>
    </w:p>
    <w:p w:rsidR="00BF6B5F" w:rsidRPr="007319CD" w:rsidRDefault="00BF6B5F" w:rsidP="00BF6B5F">
      <w:pPr>
        <w:pStyle w:val="3"/>
        <w:rPr>
          <w:rFonts w:hAnsi="標楷體"/>
        </w:rPr>
      </w:pPr>
      <w:r w:rsidRPr="007319CD">
        <w:rPr>
          <w:rFonts w:hAnsi="標楷體"/>
        </w:rPr>
        <w:lastRenderedPageBreak/>
        <w:t>按人民(含公教人員在內)對於國家或行政主體表現於外(或其持續施行之法律制度)之具體或抽象之行為(</w:t>
      </w:r>
      <w:r w:rsidR="00741DE5" w:rsidRPr="007319CD">
        <w:rPr>
          <w:rFonts w:hAnsi="標楷體" w:hint="eastAsia"/>
        </w:rPr>
        <w:t>含</w:t>
      </w:r>
      <w:r w:rsidRPr="007319CD">
        <w:rPr>
          <w:rFonts w:hAnsi="標楷體"/>
        </w:rPr>
        <w:t>法律制度在內)，因為相信其合法存在而有具體日常生活之積極安排與財產之計畫使用，在合理範圍內，此種信賴應受到法律之保護，此為信賴保護原則，為</w:t>
      </w:r>
      <w:r w:rsidR="00DD583D" w:rsidRPr="007319CD">
        <w:rPr>
          <w:rFonts w:hAnsi="標楷體"/>
        </w:rPr>
        <w:t>我國歷次司法院解釋所揭</w:t>
      </w:r>
      <w:proofErr w:type="gramStart"/>
      <w:r w:rsidR="00DD583D" w:rsidRPr="007319CD">
        <w:rPr>
          <w:rFonts w:hAnsi="標楷體"/>
        </w:rPr>
        <w:t>櫫</w:t>
      </w:r>
      <w:proofErr w:type="gramEnd"/>
      <w:r w:rsidR="00DD583D" w:rsidRPr="007319CD">
        <w:rPr>
          <w:rFonts w:hAnsi="標楷體"/>
        </w:rPr>
        <w:t>之憲法層次法則，不僅拘束行政部門，對立法及司法部門亦有拘束力。信賴保護原則要求行政法規修改或廢止時，應兼顧規範對象信賴利益之保護，至於如何保障受規範者之信賴利益?則</w:t>
      </w:r>
      <w:proofErr w:type="gramStart"/>
      <w:r w:rsidR="00DD583D" w:rsidRPr="007319CD">
        <w:rPr>
          <w:rFonts w:hAnsi="標楷體"/>
        </w:rPr>
        <w:t>須衡酌法</w:t>
      </w:r>
      <w:proofErr w:type="gramEnd"/>
      <w:r w:rsidR="00DD583D" w:rsidRPr="007319CD">
        <w:rPr>
          <w:rFonts w:hAnsi="標楷體"/>
        </w:rPr>
        <w:t>秩序變動所追求之政策目的、國家財政負擔能力等公益因素及信賴利益之輕重、信賴利益所依據之基礎法規。</w:t>
      </w:r>
      <w:r w:rsidR="00E12999" w:rsidRPr="007319CD">
        <w:rPr>
          <w:rFonts w:hAnsi="標楷體"/>
        </w:rPr>
        <w:t>司法院釋字717</w:t>
      </w:r>
      <w:r w:rsidR="00092FB0" w:rsidRPr="007319CD">
        <w:rPr>
          <w:rFonts w:hAnsi="標楷體"/>
        </w:rPr>
        <w:t>號解釋認為</w:t>
      </w:r>
      <w:r w:rsidR="00092FB0" w:rsidRPr="007319CD">
        <w:rPr>
          <w:rFonts w:hAnsi="標楷體" w:hint="eastAsia"/>
        </w:rPr>
        <w:t>：</w:t>
      </w:r>
      <w:r w:rsidR="00E12999" w:rsidRPr="007319CD">
        <w:rPr>
          <w:rFonts w:hAnsi="標楷體"/>
        </w:rPr>
        <w:t>「故符合優惠存款資格之公教人員於退休時，因有系爭要點之規定，多將優惠存款之利益，納入其退休後之財務規劃或作為考量自願退休與否之重要因素；尤其於面臨一次領取或按月領取退休金之選擇時，亦必然以此為其計算比較之基礎，從而應認得享優惠存款之退休</w:t>
      </w:r>
      <w:proofErr w:type="gramStart"/>
      <w:r w:rsidR="00E12999" w:rsidRPr="007319CD">
        <w:rPr>
          <w:rFonts w:hAnsi="標楷體"/>
        </w:rPr>
        <w:t>公教人員就系爭</w:t>
      </w:r>
      <w:proofErr w:type="gramEnd"/>
      <w:r w:rsidR="00E12999" w:rsidRPr="007319CD">
        <w:rPr>
          <w:rFonts w:hAnsi="標楷體"/>
        </w:rPr>
        <w:t>要點所提供之優惠存款措施，在客觀上已具體表現其信賴，而非僅屬單純之願望，其信賴利益在憲法上亦值得保護。」對於公教人員之優惠存款，</w:t>
      </w:r>
      <w:proofErr w:type="gramStart"/>
      <w:r w:rsidR="00E12999" w:rsidRPr="007319CD">
        <w:rPr>
          <w:rFonts w:hAnsi="標楷體"/>
        </w:rPr>
        <w:t>猶認有</w:t>
      </w:r>
      <w:proofErr w:type="gramEnd"/>
      <w:r w:rsidR="00E12999" w:rsidRPr="007319CD">
        <w:rPr>
          <w:rFonts w:hAnsi="標楷體"/>
        </w:rPr>
        <w:t>值得保護之信賴利益，</w:t>
      </w:r>
      <w:r w:rsidR="00DD583D" w:rsidRPr="007319CD">
        <w:rPr>
          <w:rFonts w:hAnsi="標楷體"/>
        </w:rPr>
        <w:t>而公教人員退休撫</w:t>
      </w:r>
      <w:proofErr w:type="gramStart"/>
      <w:r w:rsidR="00DD583D" w:rsidRPr="007319CD">
        <w:rPr>
          <w:rFonts w:hAnsi="標楷體"/>
        </w:rPr>
        <w:t>卹</w:t>
      </w:r>
      <w:proofErr w:type="gramEnd"/>
      <w:r w:rsidR="00DD583D" w:rsidRPr="007319CD">
        <w:rPr>
          <w:rFonts w:hAnsi="標楷體"/>
        </w:rPr>
        <w:t>制度之整體變革上，不僅涉及國庫公益與退休公教人員個人之</w:t>
      </w:r>
      <w:proofErr w:type="gramStart"/>
      <w:r w:rsidR="00DD583D" w:rsidRPr="007319CD">
        <w:rPr>
          <w:rFonts w:hAnsi="標楷體"/>
        </w:rPr>
        <w:t>私益衡酌</w:t>
      </w:r>
      <w:proofErr w:type="gramEnd"/>
      <w:r w:rsidR="00DD583D" w:rsidRPr="007319CD">
        <w:rPr>
          <w:rFonts w:hAnsi="標楷體"/>
        </w:rPr>
        <w:t>，同時也涉及整體公教人員制度永續發展之公共利益。其制度改變不但影響退休公教人員及其遺屬之權益，而且同時影響現職公教人員之主觀公法上之退休權益，以及未來世代公教人員，是否能</w:t>
      </w:r>
      <w:r w:rsidR="00832A35" w:rsidRPr="007319CD">
        <w:rPr>
          <w:rFonts w:hAnsi="標楷體"/>
        </w:rPr>
        <w:t>甄選</w:t>
      </w:r>
      <w:r w:rsidR="00DD583D" w:rsidRPr="007319CD">
        <w:rPr>
          <w:rFonts w:hAnsi="標楷體"/>
        </w:rPr>
        <w:t>到全國菁英份子的國家永續命脈公益，影響層面既大且深，絕非僅係傳統公益比較私益的思考模式，</w:t>
      </w:r>
      <w:r w:rsidR="00E12999" w:rsidRPr="007319CD">
        <w:rPr>
          <w:rFonts w:hAnsi="標楷體"/>
        </w:rPr>
        <w:t>即</w:t>
      </w:r>
      <w:r w:rsidR="00DD583D" w:rsidRPr="007319CD">
        <w:rPr>
          <w:rFonts w:hAnsi="標楷體"/>
        </w:rPr>
        <w:t>能完全正當化本次制度的</w:t>
      </w:r>
      <w:r w:rsidR="00DD583D" w:rsidRPr="007319CD">
        <w:rPr>
          <w:rFonts w:hAnsi="標楷體"/>
        </w:rPr>
        <w:lastRenderedPageBreak/>
        <w:t>變革。</w:t>
      </w:r>
      <w:r w:rsidR="00F83759" w:rsidRPr="007319CD">
        <w:rPr>
          <w:rFonts w:hAnsi="標楷體"/>
        </w:rPr>
        <w:t>又信賴保護原則應通過緩衝措施來落實，惟本次公教人員年金制度變革變動太大、太快，可能致使退休公教人員成為貧窮老人，且已退休公教人員於退休當時，原信賴當時之退休條件，因而選擇領取月退休金以規劃其退休生活，如今國家卻於事後</w:t>
      </w:r>
      <w:proofErr w:type="gramStart"/>
      <w:r w:rsidR="00F83759" w:rsidRPr="007319CD">
        <w:rPr>
          <w:rFonts w:hAnsi="標楷體"/>
        </w:rPr>
        <w:t>遽</w:t>
      </w:r>
      <w:proofErr w:type="gramEnd"/>
      <w:r w:rsidR="00F83759" w:rsidRPr="007319CD">
        <w:rPr>
          <w:rFonts w:hAnsi="標楷體"/>
        </w:rPr>
        <w:t>予變革且溯及適用，則試問已退休公教人員是否可要求變更改領取一次退休金或申請再度回任為公教人員，由此，均在</w:t>
      </w:r>
      <w:proofErr w:type="gramStart"/>
      <w:r w:rsidR="00F83759" w:rsidRPr="007319CD">
        <w:rPr>
          <w:rFonts w:hAnsi="標楷體"/>
        </w:rPr>
        <w:t>在</w:t>
      </w:r>
      <w:proofErr w:type="gramEnd"/>
      <w:r w:rsidR="00F83759" w:rsidRPr="007319CD">
        <w:rPr>
          <w:rFonts w:hAnsi="標楷體"/>
        </w:rPr>
        <w:t>顯現本次年金制度之變革，顯非合理，實有違信賴保護原則。</w:t>
      </w:r>
    </w:p>
    <w:p w:rsidR="00EF4EDE" w:rsidRPr="007319CD" w:rsidRDefault="00C860DD" w:rsidP="00C860DD">
      <w:pPr>
        <w:pStyle w:val="3"/>
        <w:rPr>
          <w:rFonts w:hAnsi="標楷體"/>
          <w:b/>
        </w:rPr>
      </w:pPr>
      <w:proofErr w:type="gramStart"/>
      <w:r w:rsidRPr="007319CD">
        <w:rPr>
          <w:rFonts w:hAnsi="標楷體" w:hint="eastAsia"/>
          <w:b/>
        </w:rPr>
        <w:t>縱認新</w:t>
      </w:r>
      <w:r w:rsidR="00EF4EDE" w:rsidRPr="007319CD">
        <w:rPr>
          <w:rFonts w:hAnsi="標楷體" w:hint="eastAsia"/>
          <w:b/>
        </w:rPr>
        <w:t>法</w:t>
      </w:r>
      <w:proofErr w:type="gramEnd"/>
      <w:r w:rsidR="00EF4EDE" w:rsidRPr="007319CD">
        <w:rPr>
          <w:rFonts w:hAnsi="標楷體" w:hint="eastAsia"/>
          <w:b/>
        </w:rPr>
        <w:t>未違反</w:t>
      </w:r>
      <w:proofErr w:type="gramStart"/>
      <w:r w:rsidR="00EF4EDE" w:rsidRPr="007319CD">
        <w:rPr>
          <w:rFonts w:hAnsi="標楷體" w:hint="eastAsia"/>
          <w:b/>
        </w:rPr>
        <w:t>不</w:t>
      </w:r>
      <w:proofErr w:type="gramEnd"/>
      <w:r w:rsidR="00EF4EDE" w:rsidRPr="007319CD">
        <w:rPr>
          <w:rFonts w:hAnsi="標楷體" w:hint="eastAsia"/>
          <w:b/>
        </w:rPr>
        <w:t>溯及既往原則，</w:t>
      </w:r>
      <w:r w:rsidRPr="007319CD">
        <w:rPr>
          <w:rFonts w:hAnsi="標楷體" w:hint="eastAsia"/>
          <w:b/>
        </w:rPr>
        <w:t>然其所得替代率設定75%為上限，從新法施行後，立即將所得替代率上限</w:t>
      </w:r>
      <w:r w:rsidR="00916187" w:rsidRPr="007319CD">
        <w:rPr>
          <w:rFonts w:hAnsi="標楷體" w:hint="eastAsia"/>
          <w:b/>
        </w:rPr>
        <w:t>由95%</w:t>
      </w:r>
      <w:r w:rsidRPr="007319CD">
        <w:rPr>
          <w:rFonts w:hAnsi="標楷體" w:hint="eastAsia"/>
          <w:b/>
        </w:rPr>
        <w:t>降為75%，係屬嚴苛條款，且無任何所謂合理之補救措施，或訂定合理之過渡條款，</w:t>
      </w:r>
      <w:proofErr w:type="gramStart"/>
      <w:r w:rsidRPr="007319CD">
        <w:rPr>
          <w:rFonts w:hAnsi="標楷體" w:hint="eastAsia"/>
          <w:b/>
        </w:rPr>
        <w:t>俾</w:t>
      </w:r>
      <w:proofErr w:type="gramEnd"/>
      <w:r w:rsidRPr="007319CD">
        <w:rPr>
          <w:rFonts w:hAnsi="標楷體" w:hint="eastAsia"/>
          <w:b/>
        </w:rPr>
        <w:t>減輕公務員權利損害；且當公務員技術或專業加給高於本</w:t>
      </w:r>
      <w:proofErr w:type="gramStart"/>
      <w:r w:rsidRPr="007319CD">
        <w:rPr>
          <w:rFonts w:hAnsi="標楷體" w:hint="eastAsia"/>
          <w:b/>
        </w:rPr>
        <w:t>俸</w:t>
      </w:r>
      <w:proofErr w:type="gramEnd"/>
      <w:r w:rsidRPr="007319CD">
        <w:rPr>
          <w:rFonts w:hAnsi="標楷體" w:hint="eastAsia"/>
          <w:b/>
        </w:rPr>
        <w:t>（年功</w:t>
      </w:r>
      <w:proofErr w:type="gramStart"/>
      <w:r w:rsidRPr="007319CD">
        <w:rPr>
          <w:rFonts w:hAnsi="標楷體" w:hint="eastAsia"/>
          <w:b/>
        </w:rPr>
        <w:t>俸</w:t>
      </w:r>
      <w:proofErr w:type="gramEnd"/>
      <w:r w:rsidRPr="007319CD">
        <w:rPr>
          <w:rFonts w:hAnsi="標楷體" w:hint="eastAsia"/>
          <w:b/>
        </w:rPr>
        <w:t>）時，其實際所得替代率將遠低於新法法定之所得替代率，就公務員退休給與請求權之權利侵害將更形嚴重，顯然</w:t>
      </w:r>
      <w:proofErr w:type="gramStart"/>
      <w:r w:rsidRPr="007319CD">
        <w:rPr>
          <w:rFonts w:hAnsi="標楷體" w:hint="eastAsia"/>
          <w:b/>
        </w:rPr>
        <w:t>斲</w:t>
      </w:r>
      <w:proofErr w:type="gramEnd"/>
      <w:r w:rsidRPr="007319CD">
        <w:rPr>
          <w:rFonts w:hAnsi="標楷體" w:hint="eastAsia"/>
          <w:b/>
        </w:rPr>
        <w:t>傷信賴保護原則至明</w:t>
      </w:r>
      <w:r w:rsidR="00EF4EDE" w:rsidRPr="007319CD">
        <w:rPr>
          <w:rFonts w:hAnsi="標楷體" w:hint="eastAsia"/>
          <w:b/>
        </w:rPr>
        <w:t>。</w:t>
      </w:r>
    </w:p>
    <w:p w:rsidR="000C42EA" w:rsidRPr="007319CD" w:rsidRDefault="000C42EA" w:rsidP="00C860DD">
      <w:pPr>
        <w:pStyle w:val="32"/>
        <w:ind w:left="1361" w:firstLine="680"/>
        <w:rPr>
          <w:rFonts w:hAnsi="標楷體"/>
        </w:rPr>
      </w:pPr>
      <w:r w:rsidRPr="007319CD">
        <w:rPr>
          <w:rFonts w:hAnsi="標楷體" w:hint="eastAsia"/>
        </w:rPr>
        <w:t>退</w:t>
      </w:r>
      <w:proofErr w:type="gramStart"/>
      <w:r w:rsidRPr="007319CD">
        <w:rPr>
          <w:rFonts w:hAnsi="標楷體" w:hint="eastAsia"/>
        </w:rPr>
        <w:t>萬步言</w:t>
      </w:r>
      <w:proofErr w:type="gramEnd"/>
      <w:r w:rsidRPr="007319CD">
        <w:rPr>
          <w:rFonts w:hAnsi="標楷體" w:hint="eastAsia"/>
        </w:rPr>
        <w:t>，縱違背法律一般原理原則，認為新法未違反</w:t>
      </w:r>
      <w:proofErr w:type="gramStart"/>
      <w:r w:rsidRPr="007319CD">
        <w:rPr>
          <w:rFonts w:hAnsi="標楷體" w:hint="eastAsia"/>
        </w:rPr>
        <w:t>不</w:t>
      </w:r>
      <w:proofErr w:type="gramEnd"/>
      <w:r w:rsidRPr="007319CD">
        <w:rPr>
          <w:rFonts w:hAnsi="標楷體" w:hint="eastAsia"/>
        </w:rPr>
        <w:t>溯及既往原則，並認為該法規變動具優越公益性、必要性。</w:t>
      </w:r>
      <w:proofErr w:type="gramStart"/>
      <w:r w:rsidR="00C860DD" w:rsidRPr="007319CD">
        <w:rPr>
          <w:rFonts w:hAnsi="標楷體" w:hint="eastAsia"/>
        </w:rPr>
        <w:t>惟</w:t>
      </w:r>
      <w:proofErr w:type="gramEnd"/>
      <w:r w:rsidR="00C860DD" w:rsidRPr="007319CD">
        <w:rPr>
          <w:rFonts w:hAnsi="標楷體" w:hint="eastAsia"/>
        </w:rPr>
        <w:t>行政法之適用</w:t>
      </w:r>
      <w:proofErr w:type="gramStart"/>
      <w:r w:rsidR="00C860DD" w:rsidRPr="007319CD">
        <w:rPr>
          <w:rFonts w:hAnsi="標楷體" w:hint="eastAsia"/>
        </w:rPr>
        <w:t>縱</w:t>
      </w:r>
      <w:proofErr w:type="gramEnd"/>
      <w:r w:rsidR="00C860DD" w:rsidRPr="007319CD">
        <w:rPr>
          <w:rFonts w:hAnsi="標楷體" w:hint="eastAsia"/>
        </w:rPr>
        <w:t>符合</w:t>
      </w:r>
      <w:proofErr w:type="gramStart"/>
      <w:r w:rsidR="00EF4EDE" w:rsidRPr="007319CD">
        <w:rPr>
          <w:rFonts w:hAnsi="標楷體" w:hint="eastAsia"/>
        </w:rPr>
        <w:t>不</w:t>
      </w:r>
      <w:proofErr w:type="gramEnd"/>
      <w:r w:rsidR="00EF4EDE" w:rsidRPr="007319CD">
        <w:rPr>
          <w:rFonts w:hAnsi="標楷體" w:hint="eastAsia"/>
        </w:rPr>
        <w:t>真正溯及既往之例外，</w:t>
      </w:r>
      <w:r w:rsidR="00C860DD" w:rsidRPr="007319CD">
        <w:rPr>
          <w:rFonts w:hAnsi="標楷體" w:hint="eastAsia"/>
        </w:rPr>
        <w:t>其所發生爭議仍應視該法規內容是否正當</w:t>
      </w:r>
      <w:r w:rsidR="00EF4EDE" w:rsidRPr="007319CD">
        <w:rPr>
          <w:rFonts w:hAnsi="標楷體" w:hint="eastAsia"/>
        </w:rPr>
        <w:t>，固然</w:t>
      </w:r>
      <w:r w:rsidR="00C860DD" w:rsidRPr="007319CD">
        <w:rPr>
          <w:rFonts w:hAnsi="標楷體" w:hint="eastAsia"/>
        </w:rPr>
        <w:t>「</w:t>
      </w:r>
      <w:proofErr w:type="gramStart"/>
      <w:r w:rsidR="00EF4EDE" w:rsidRPr="007319CD">
        <w:rPr>
          <w:rFonts w:hAnsi="標楷體" w:hint="eastAsia"/>
        </w:rPr>
        <w:t>不</w:t>
      </w:r>
      <w:proofErr w:type="gramEnd"/>
      <w:r w:rsidR="00EF4EDE" w:rsidRPr="007319CD">
        <w:rPr>
          <w:rFonts w:hAnsi="標楷體" w:hint="eastAsia"/>
        </w:rPr>
        <w:t>真正溯及既往</w:t>
      </w:r>
      <w:r w:rsidR="00C860DD" w:rsidRPr="007319CD">
        <w:rPr>
          <w:rFonts w:hAnsi="標楷體" w:hint="eastAsia"/>
        </w:rPr>
        <w:t>」</w:t>
      </w:r>
      <w:r w:rsidR="00EF4EDE" w:rsidRPr="007319CD">
        <w:rPr>
          <w:rFonts w:hAnsi="標楷體" w:hint="eastAsia"/>
        </w:rPr>
        <w:t>是合法的，但基於信賴保護原則，此種規定，應視具體存在之關係狀態，而有某種限制，倘若經衡量人民信賴舊法規存續之信賴利益，與新法規立法意旨所達成之公益，經衡量結果，人民信賴舊法規之信賴利益較具有優越價值，則應認違反法治國原則，例如基於商業政策理由廢除稅捐之優惠，新法之</w:t>
      </w:r>
      <w:proofErr w:type="gramStart"/>
      <w:r w:rsidR="00EF4EDE" w:rsidRPr="007319CD">
        <w:rPr>
          <w:rFonts w:hAnsi="標楷體" w:hint="eastAsia"/>
        </w:rPr>
        <w:t>不</w:t>
      </w:r>
      <w:proofErr w:type="gramEnd"/>
      <w:r w:rsidR="00EF4EDE" w:rsidRPr="007319CD">
        <w:rPr>
          <w:rFonts w:hAnsi="標楷體" w:hint="eastAsia"/>
        </w:rPr>
        <w:t>真正溯及既往，可能對於人民有不利影響，為妥適解決矛盾，</w:t>
      </w:r>
      <w:r w:rsidR="00EF4EDE" w:rsidRPr="007319CD">
        <w:rPr>
          <w:rFonts w:hAnsi="標楷體" w:hint="eastAsia"/>
        </w:rPr>
        <w:lastRenderedPageBreak/>
        <w:t>立法上應</w:t>
      </w:r>
      <w:proofErr w:type="gramStart"/>
      <w:r w:rsidR="00EF4EDE" w:rsidRPr="007319CD">
        <w:rPr>
          <w:rFonts w:hAnsi="標楷體" w:hint="eastAsia"/>
        </w:rPr>
        <w:t>採</w:t>
      </w:r>
      <w:proofErr w:type="gramEnd"/>
      <w:r w:rsidR="00EF4EDE" w:rsidRPr="007319CD">
        <w:rPr>
          <w:rFonts w:hAnsi="標楷體" w:hint="eastAsia"/>
        </w:rPr>
        <w:t>「過渡條款」規定，</w:t>
      </w:r>
      <w:r w:rsidR="00C860DD" w:rsidRPr="007319CD">
        <w:rPr>
          <w:rFonts w:hAnsi="標楷體" w:hint="eastAsia"/>
        </w:rPr>
        <w:t>藉以</w:t>
      </w:r>
      <w:r w:rsidR="00EF4EDE" w:rsidRPr="007319CD">
        <w:rPr>
          <w:rFonts w:hAnsi="標楷體" w:hint="eastAsia"/>
        </w:rPr>
        <w:t>調和相關公益與私益。</w:t>
      </w:r>
      <w:r w:rsidR="00C860DD" w:rsidRPr="007319CD">
        <w:rPr>
          <w:rStyle w:val="aff1"/>
          <w:rFonts w:hAnsi="標楷體"/>
        </w:rPr>
        <w:footnoteReference w:id="66"/>
      </w:r>
      <w:r w:rsidR="00EF4EDE" w:rsidRPr="007319CD">
        <w:rPr>
          <w:rFonts w:hAnsi="標楷體" w:hint="eastAsia"/>
        </w:rPr>
        <w:t>復</w:t>
      </w:r>
      <w:r w:rsidRPr="007319CD">
        <w:rPr>
          <w:rFonts w:hAnsi="標楷體" w:hint="eastAsia"/>
        </w:rPr>
        <w:t>查司法院釋字第575號解釋</w:t>
      </w:r>
      <w:r w:rsidR="00940408" w:rsidRPr="007319CD">
        <w:rPr>
          <w:rFonts w:hAnsi="標楷體" w:hint="eastAsia"/>
        </w:rPr>
        <w:t>稱</w:t>
      </w:r>
      <w:r w:rsidRPr="007319CD">
        <w:rPr>
          <w:rFonts w:hAnsi="標楷體" w:hint="eastAsia"/>
        </w:rPr>
        <w:t>：「機關因改組、解散或</w:t>
      </w:r>
      <w:proofErr w:type="gramStart"/>
      <w:r w:rsidRPr="007319CD">
        <w:rPr>
          <w:rFonts w:hAnsi="標楷體" w:hint="eastAsia"/>
        </w:rPr>
        <w:t>改隸致對</w:t>
      </w:r>
      <w:proofErr w:type="gramEnd"/>
      <w:r w:rsidRPr="007319CD">
        <w:rPr>
          <w:rFonts w:hAnsi="標楷體" w:hint="eastAsia"/>
        </w:rPr>
        <w:t>公務人員之憲法所保障服公職之權利產生重大不利影響，</w:t>
      </w:r>
      <w:r w:rsidRPr="007319CD">
        <w:rPr>
          <w:rFonts w:hAnsi="標楷體" w:hint="eastAsia"/>
          <w:b/>
        </w:rPr>
        <w:t>應設適度過渡條款或其他緩和措施，以資兼顧」</w:t>
      </w:r>
      <w:r w:rsidRPr="007319CD">
        <w:rPr>
          <w:rFonts w:hAnsi="標楷體" w:hint="eastAsia"/>
        </w:rPr>
        <w:t>釋字第589號解釋稱：「法治國原則為憲法之基本原則，首重人民權利之維護、法秩序之安定及信賴保護原則之遵守。行政法規公布施行後，制定或發布法規之機關依法定程序予以修改或廢止時，應兼顧規範對象信賴利益之保護。受規範對象如已在因法規施行而產生信賴基礎之存續期間內，對構成信賴要件之事實，有客觀上具體表現之行為，且有值得保護之利益者，即應受信賴保護原則之保障。至於如何保障其信賴利益，究係採取減輕或避免其損害，或避免影響其依法所取得法律上地位等方法，則</w:t>
      </w:r>
      <w:proofErr w:type="gramStart"/>
      <w:r w:rsidRPr="007319CD">
        <w:rPr>
          <w:rFonts w:hAnsi="標楷體" w:hint="eastAsia"/>
        </w:rPr>
        <w:t>須衡酌法</w:t>
      </w:r>
      <w:proofErr w:type="gramEnd"/>
      <w:r w:rsidRPr="007319CD">
        <w:rPr>
          <w:rFonts w:hAnsi="標楷體" w:hint="eastAsia"/>
        </w:rPr>
        <w:t>秩序變動所追求之政策目的、國家財政負擔能力等公益因素及信賴利益之輕重、信賴利益所依據之基礎法規所表現之意義與價值等為合理之規定。</w:t>
      </w:r>
      <w:r w:rsidRPr="007319CD">
        <w:rPr>
          <w:rFonts w:hAnsi="標楷體" w:hint="eastAsia"/>
          <w:b/>
        </w:rPr>
        <w:t>如信賴利益所依據之基礎法規，其作用不僅在保障私人利益之法律地位而已，更具有藉該法律地位之保障以實現公益之目的者，則因該基礎法規之變動所涉及信賴利益之保護，即應予強化以避免其受損害，</w:t>
      </w:r>
      <w:proofErr w:type="gramStart"/>
      <w:r w:rsidRPr="007319CD">
        <w:rPr>
          <w:rFonts w:hAnsi="標楷體" w:hint="eastAsia"/>
          <w:b/>
        </w:rPr>
        <w:t>俾</w:t>
      </w:r>
      <w:proofErr w:type="gramEnd"/>
      <w:r w:rsidRPr="007319CD">
        <w:rPr>
          <w:rFonts w:hAnsi="標楷體" w:hint="eastAsia"/>
          <w:b/>
        </w:rPr>
        <w:t>使該基礎法規所欲實現之公益目的，亦得確保</w:t>
      </w:r>
      <w:r w:rsidRPr="007319CD">
        <w:rPr>
          <w:rFonts w:hAnsi="標楷體" w:hint="eastAsia"/>
        </w:rPr>
        <w:t>。憲法對特定職位為維護其獨立行使職權而定有任期保障者，其職務之性質與應隨政黨更迭或政策變更而進退之政務人員不同，此不僅在確保個人職位之安定而已，其重要意義，乃藉任期保障，以確保其依法獨立行使職權之目的而具有公益價值。故為貫徹任</w:t>
      </w:r>
      <w:r w:rsidRPr="007319CD">
        <w:rPr>
          <w:rFonts w:hAnsi="標楷體" w:hint="eastAsia"/>
        </w:rPr>
        <w:lastRenderedPageBreak/>
        <w:t>期保障之功能，對於因任期保障所取得之法律上地位及所生之信賴利益，即須充分加以保護，避免其受損害，</w:t>
      </w:r>
      <w:proofErr w:type="gramStart"/>
      <w:r w:rsidRPr="007319CD">
        <w:rPr>
          <w:rFonts w:hAnsi="標楷體" w:hint="eastAsia"/>
        </w:rPr>
        <w:t>俾</w:t>
      </w:r>
      <w:proofErr w:type="gramEnd"/>
      <w:r w:rsidRPr="007319CD">
        <w:rPr>
          <w:rFonts w:hAnsi="標楷體" w:hint="eastAsia"/>
        </w:rPr>
        <w:t>該等人員得無</w:t>
      </w:r>
      <w:proofErr w:type="gramStart"/>
      <w:r w:rsidRPr="007319CD">
        <w:rPr>
          <w:rFonts w:hAnsi="標楷體" w:hint="eastAsia"/>
        </w:rPr>
        <w:t>所瞻顧</w:t>
      </w:r>
      <w:proofErr w:type="gramEnd"/>
      <w:r w:rsidRPr="007319CD">
        <w:rPr>
          <w:rFonts w:hAnsi="標楷體" w:hint="eastAsia"/>
        </w:rPr>
        <w:t>，獨立行使職權，始不違背憲法對該職位特設任期保障之意旨，並與憲法上信賴保護原則相符。憲法增修條文第</w:t>
      </w:r>
      <w:r w:rsidR="00CA216B" w:rsidRPr="007319CD">
        <w:rPr>
          <w:rFonts w:hAnsi="標楷體" w:hint="eastAsia"/>
        </w:rPr>
        <w:t>7</w:t>
      </w:r>
      <w:r w:rsidRPr="007319CD">
        <w:rPr>
          <w:rFonts w:hAnsi="標楷體" w:hint="eastAsia"/>
        </w:rPr>
        <w:t>條第</w:t>
      </w:r>
      <w:r w:rsidR="00CA216B" w:rsidRPr="007319CD">
        <w:rPr>
          <w:rFonts w:hAnsi="標楷體" w:hint="eastAsia"/>
        </w:rPr>
        <w:t>5</w:t>
      </w:r>
      <w:r w:rsidRPr="007319CD">
        <w:rPr>
          <w:rFonts w:hAnsi="標楷體" w:hint="eastAsia"/>
        </w:rPr>
        <w:t>項規定：</w:t>
      </w:r>
      <w:r w:rsidR="00BB0B32" w:rsidRPr="007319CD">
        <w:rPr>
          <w:rFonts w:hAnsi="標楷體" w:hint="eastAsia"/>
        </w:rPr>
        <w:t>『</w:t>
      </w:r>
      <w:r w:rsidRPr="007319CD">
        <w:rPr>
          <w:rFonts w:hAnsi="標楷體" w:hint="eastAsia"/>
        </w:rPr>
        <w:t>監察委員須超出黨派</w:t>
      </w:r>
      <w:proofErr w:type="gramStart"/>
      <w:r w:rsidRPr="007319CD">
        <w:rPr>
          <w:rFonts w:hAnsi="標楷體" w:hint="eastAsia"/>
        </w:rPr>
        <w:t>以外，</w:t>
      </w:r>
      <w:proofErr w:type="gramEnd"/>
      <w:r w:rsidRPr="007319CD">
        <w:rPr>
          <w:rFonts w:hAnsi="標楷體" w:hint="eastAsia"/>
        </w:rPr>
        <w:t>依據法律獨立行使職權。</w:t>
      </w:r>
      <w:r w:rsidR="00BB0B32" w:rsidRPr="007319CD">
        <w:rPr>
          <w:rFonts w:hAnsi="標楷體" w:hint="eastAsia"/>
        </w:rPr>
        <w:t>』</w:t>
      </w:r>
      <w:r w:rsidRPr="007319CD">
        <w:rPr>
          <w:rFonts w:hAnsi="標楷體" w:hint="eastAsia"/>
        </w:rPr>
        <w:t>為維護監察權之獨立行使，充分發揮監察功能，我國憲法對監察委員之任期明定</w:t>
      </w:r>
      <w:r w:rsidR="00CA216B" w:rsidRPr="007319CD">
        <w:rPr>
          <w:rFonts w:hAnsi="標楷體" w:hint="eastAsia"/>
        </w:rPr>
        <w:t>6</w:t>
      </w:r>
      <w:r w:rsidRPr="007319CD">
        <w:rPr>
          <w:rFonts w:hAnsi="標楷體" w:hint="eastAsia"/>
        </w:rPr>
        <w:t>年之保障（憲法第</w:t>
      </w:r>
      <w:r w:rsidR="00CA216B" w:rsidRPr="007319CD">
        <w:rPr>
          <w:rFonts w:hAnsi="標楷體" w:hint="eastAsia"/>
        </w:rPr>
        <w:t>93</w:t>
      </w:r>
      <w:r w:rsidRPr="007319CD">
        <w:rPr>
          <w:rFonts w:hAnsi="標楷體" w:hint="eastAsia"/>
        </w:rPr>
        <w:t>條及憲法增修條文第</w:t>
      </w:r>
      <w:r w:rsidR="00CA216B" w:rsidRPr="007319CD">
        <w:rPr>
          <w:rFonts w:hAnsi="標楷體" w:hint="eastAsia"/>
        </w:rPr>
        <w:t>7</w:t>
      </w:r>
      <w:r w:rsidRPr="007319CD">
        <w:rPr>
          <w:rFonts w:hAnsi="標楷體" w:hint="eastAsia"/>
        </w:rPr>
        <w:t>條第</w:t>
      </w:r>
      <w:r w:rsidR="00CA216B" w:rsidRPr="007319CD">
        <w:rPr>
          <w:rFonts w:hAnsi="標楷體" w:hint="eastAsia"/>
        </w:rPr>
        <w:t>2</w:t>
      </w:r>
      <w:r w:rsidRPr="007319CD">
        <w:rPr>
          <w:rFonts w:hAnsi="標楷體" w:hint="eastAsia"/>
        </w:rPr>
        <w:t>項規定參照）。查第</w:t>
      </w:r>
      <w:r w:rsidR="00CA216B" w:rsidRPr="007319CD">
        <w:rPr>
          <w:rFonts w:hAnsi="標楷體" w:hint="eastAsia"/>
        </w:rPr>
        <w:t>2</w:t>
      </w:r>
      <w:r w:rsidRPr="007319CD">
        <w:rPr>
          <w:rFonts w:hAnsi="標楷體" w:hint="eastAsia"/>
        </w:rPr>
        <w:t>屆監察委員之任期</w:t>
      </w:r>
      <w:r w:rsidR="00CA216B" w:rsidRPr="007319CD">
        <w:rPr>
          <w:rFonts w:hAnsi="標楷體" w:hint="eastAsia"/>
        </w:rPr>
        <w:t>6</w:t>
      </w:r>
      <w:r w:rsidRPr="007319CD">
        <w:rPr>
          <w:rFonts w:hAnsi="標楷體" w:hint="eastAsia"/>
        </w:rPr>
        <w:t>年，係自</w:t>
      </w:r>
      <w:r w:rsidR="00CA216B" w:rsidRPr="007319CD">
        <w:rPr>
          <w:rFonts w:hAnsi="標楷體" w:hint="eastAsia"/>
        </w:rPr>
        <w:t>88</w:t>
      </w:r>
      <w:r w:rsidRPr="007319CD">
        <w:rPr>
          <w:rFonts w:hAnsi="標楷體" w:hint="eastAsia"/>
        </w:rPr>
        <w:t>年</w:t>
      </w:r>
      <w:r w:rsidR="00CA216B" w:rsidRPr="007319CD">
        <w:rPr>
          <w:rFonts w:hAnsi="標楷體" w:hint="eastAsia"/>
        </w:rPr>
        <w:t>2</w:t>
      </w:r>
      <w:r w:rsidRPr="007319CD">
        <w:rPr>
          <w:rFonts w:hAnsi="標楷體" w:hint="eastAsia"/>
        </w:rPr>
        <w:t>月</w:t>
      </w:r>
      <w:r w:rsidR="00CA216B" w:rsidRPr="007319CD">
        <w:rPr>
          <w:rFonts w:hAnsi="標楷體" w:hint="eastAsia"/>
        </w:rPr>
        <w:t>1</w:t>
      </w:r>
      <w:r w:rsidRPr="007319CD">
        <w:rPr>
          <w:rFonts w:hAnsi="標楷體" w:hint="eastAsia"/>
        </w:rPr>
        <w:t>日起，至</w:t>
      </w:r>
      <w:r w:rsidR="00CA216B" w:rsidRPr="007319CD">
        <w:rPr>
          <w:rFonts w:hAnsi="標楷體" w:hint="eastAsia"/>
        </w:rPr>
        <w:t>94</w:t>
      </w:r>
      <w:r w:rsidRPr="007319CD">
        <w:rPr>
          <w:rFonts w:hAnsi="標楷體" w:hint="eastAsia"/>
        </w:rPr>
        <w:t>年</w:t>
      </w:r>
      <w:r w:rsidR="00CA216B" w:rsidRPr="007319CD">
        <w:rPr>
          <w:rFonts w:hAnsi="標楷體" w:hint="eastAsia"/>
        </w:rPr>
        <w:t>1</w:t>
      </w:r>
      <w:r w:rsidRPr="007319CD">
        <w:rPr>
          <w:rFonts w:hAnsi="標楷體" w:hint="eastAsia"/>
        </w:rPr>
        <w:t>月</w:t>
      </w:r>
      <w:r w:rsidR="00CA216B" w:rsidRPr="007319CD">
        <w:rPr>
          <w:rFonts w:hAnsi="標楷體" w:hint="eastAsia"/>
        </w:rPr>
        <w:t>31</w:t>
      </w:r>
      <w:r w:rsidRPr="007319CD">
        <w:rPr>
          <w:rFonts w:hAnsi="標楷體" w:hint="eastAsia"/>
        </w:rPr>
        <w:t>日止。該屆監察委員開始任職時，</w:t>
      </w:r>
      <w:r w:rsidR="00CA216B" w:rsidRPr="007319CD">
        <w:rPr>
          <w:rFonts w:hAnsi="標楷體" w:hint="eastAsia"/>
        </w:rPr>
        <w:t>74</w:t>
      </w:r>
      <w:r w:rsidRPr="007319CD">
        <w:rPr>
          <w:rFonts w:hAnsi="標楷體" w:hint="eastAsia"/>
        </w:rPr>
        <w:t>年</w:t>
      </w:r>
      <w:r w:rsidR="00CA216B" w:rsidRPr="007319CD">
        <w:rPr>
          <w:rFonts w:hAnsi="標楷體" w:hint="eastAsia"/>
        </w:rPr>
        <w:t>12</w:t>
      </w:r>
      <w:r w:rsidRPr="007319CD">
        <w:rPr>
          <w:rFonts w:hAnsi="標楷體" w:hint="eastAsia"/>
        </w:rPr>
        <w:t>月</w:t>
      </w:r>
      <w:r w:rsidR="00CA216B" w:rsidRPr="007319CD">
        <w:rPr>
          <w:rFonts w:hAnsi="標楷體" w:hint="eastAsia"/>
        </w:rPr>
        <w:t>11</w:t>
      </w:r>
      <w:r w:rsidRPr="007319CD">
        <w:rPr>
          <w:rFonts w:hAnsi="標楷體" w:hint="eastAsia"/>
        </w:rPr>
        <w:t>日修正公布之政務官退職酬勞金給與條例尚無落日條款之規定，亦即第</w:t>
      </w:r>
      <w:r w:rsidR="00CA216B" w:rsidRPr="007319CD">
        <w:rPr>
          <w:rFonts w:hAnsi="標楷體" w:hint="eastAsia"/>
        </w:rPr>
        <w:t>3</w:t>
      </w:r>
      <w:r w:rsidRPr="007319CD">
        <w:rPr>
          <w:rFonts w:hAnsi="標楷體" w:hint="eastAsia"/>
        </w:rPr>
        <w:t>屆監察委員就任時，係信賴其受任期之保障，並信賴於其任期屆滿後如任軍、公、教人員年資滿</w:t>
      </w:r>
      <w:r w:rsidR="00CA216B" w:rsidRPr="007319CD">
        <w:rPr>
          <w:rFonts w:hAnsi="標楷體" w:hint="eastAsia"/>
        </w:rPr>
        <w:t>15</w:t>
      </w:r>
      <w:r w:rsidRPr="007319CD">
        <w:rPr>
          <w:rFonts w:hAnsi="標楷體" w:hint="eastAsia"/>
        </w:rPr>
        <w:t>年者，有依該給與條例</w:t>
      </w:r>
      <w:proofErr w:type="gramStart"/>
      <w:r w:rsidRPr="007319CD">
        <w:rPr>
          <w:rFonts w:hAnsi="標楷體" w:hint="eastAsia"/>
        </w:rPr>
        <w:t>第</w:t>
      </w:r>
      <w:r w:rsidR="00BB0B32" w:rsidRPr="007319CD">
        <w:rPr>
          <w:rFonts w:hAnsi="標楷體" w:hint="eastAsia"/>
        </w:rPr>
        <w:t>4</w:t>
      </w:r>
      <w:r w:rsidRPr="007319CD">
        <w:rPr>
          <w:rFonts w:hAnsi="標楷體" w:hint="eastAsia"/>
        </w:rPr>
        <w:t>條擇</w:t>
      </w:r>
      <w:proofErr w:type="gramEnd"/>
      <w:r w:rsidRPr="007319CD">
        <w:rPr>
          <w:rFonts w:hAnsi="標楷體" w:hint="eastAsia"/>
        </w:rPr>
        <w:t>領月退職酬勞金之公法上財產權利。惟為改革政務人員退職制度，而於</w:t>
      </w:r>
      <w:r w:rsidR="00CA216B" w:rsidRPr="007319CD">
        <w:rPr>
          <w:rFonts w:hAnsi="標楷體" w:hint="eastAsia"/>
        </w:rPr>
        <w:t>93</w:t>
      </w:r>
      <w:r w:rsidRPr="007319CD">
        <w:rPr>
          <w:rFonts w:hAnsi="標楷體" w:hint="eastAsia"/>
        </w:rPr>
        <w:t>年</w:t>
      </w:r>
      <w:r w:rsidR="00CA216B" w:rsidRPr="007319CD">
        <w:rPr>
          <w:rFonts w:hAnsi="標楷體" w:hint="eastAsia"/>
        </w:rPr>
        <w:t>1</w:t>
      </w:r>
      <w:r w:rsidRPr="007319CD">
        <w:rPr>
          <w:rFonts w:hAnsi="標楷體" w:hint="eastAsia"/>
        </w:rPr>
        <w:t>月</w:t>
      </w:r>
      <w:r w:rsidR="00CA216B" w:rsidRPr="007319CD">
        <w:rPr>
          <w:rFonts w:hAnsi="標楷體" w:hint="eastAsia"/>
        </w:rPr>
        <w:t>7</w:t>
      </w:r>
      <w:r w:rsidRPr="007319CD">
        <w:rPr>
          <w:rFonts w:hAnsi="標楷體" w:hint="eastAsia"/>
        </w:rPr>
        <w:t>日另行制定公布政務人員退職撫</w:t>
      </w:r>
      <w:proofErr w:type="gramStart"/>
      <w:r w:rsidRPr="007319CD">
        <w:rPr>
          <w:rFonts w:hAnsi="標楷體" w:hint="eastAsia"/>
        </w:rPr>
        <w:t>卹</w:t>
      </w:r>
      <w:proofErr w:type="gramEnd"/>
      <w:r w:rsidRPr="007319CD">
        <w:rPr>
          <w:rFonts w:hAnsi="標楷體" w:hint="eastAsia"/>
        </w:rPr>
        <w:t>條例（下稱「退撫條例」），並溯自同年月</w:t>
      </w:r>
      <w:r w:rsidR="00CA216B" w:rsidRPr="007319CD">
        <w:rPr>
          <w:rFonts w:hAnsi="標楷體" w:hint="eastAsia"/>
        </w:rPr>
        <w:t>1</w:t>
      </w:r>
      <w:r w:rsidRPr="007319CD">
        <w:rPr>
          <w:rFonts w:hAnsi="標楷體" w:hint="eastAsia"/>
        </w:rPr>
        <w:t>日施行。依新退撫條例，政務人員與常務人員服務年資係截然區分，分段計算，並分別依各該退休（職）法規計算退休（職）金，並且政務人員退撫給與，以一次發給為限，而不再有月退職酬勞金之規定。雖該退撫條例第</w:t>
      </w:r>
      <w:r w:rsidR="00BB0B32" w:rsidRPr="007319CD">
        <w:rPr>
          <w:rFonts w:hAnsi="標楷體" w:hint="eastAsia"/>
        </w:rPr>
        <w:t>10</w:t>
      </w:r>
      <w:r w:rsidRPr="007319CD">
        <w:rPr>
          <w:rFonts w:hAnsi="標楷體" w:hint="eastAsia"/>
        </w:rPr>
        <w:t>條設有過渡條款，對於新退撫條例公布施行前，已服務</w:t>
      </w:r>
      <w:r w:rsidR="00CA216B" w:rsidRPr="007319CD">
        <w:rPr>
          <w:rFonts w:hAnsi="標楷體" w:hint="eastAsia"/>
        </w:rPr>
        <w:t>15</w:t>
      </w:r>
      <w:r w:rsidRPr="007319CD">
        <w:rPr>
          <w:rFonts w:hAnsi="標楷體" w:hint="eastAsia"/>
        </w:rPr>
        <w:t>年以上者，將來退職時仍得依相關退職酬勞金給與條例，選擇月退職酬勞金。但對於受有任期保障以確保其依法獨立行使職權之政務人員於新退撫條例公布施行前、後接續任年資合計</w:t>
      </w:r>
      <w:r w:rsidR="00CA216B" w:rsidRPr="007319CD">
        <w:rPr>
          <w:rFonts w:hAnsi="標楷體" w:hint="eastAsia"/>
        </w:rPr>
        <w:t>15</w:t>
      </w:r>
      <w:r w:rsidRPr="007319CD">
        <w:rPr>
          <w:rFonts w:hAnsi="標楷體" w:hint="eastAsia"/>
        </w:rPr>
        <w:t>年者，卻無得擇領月退職酬勞金之規定，顯對其應受保護之信賴利益，並未有合理之保障，與前開憲法意旨有</w:t>
      </w:r>
      <w:r w:rsidRPr="007319CD">
        <w:rPr>
          <w:rFonts w:hAnsi="標楷體" w:hint="eastAsia"/>
        </w:rPr>
        <w:lastRenderedPageBreak/>
        <w:t>違。有關機關應即依本解釋意旨，使前述人員於法律上得合併退撫條例施行前後軍、公、教年資及政務人員年資滿</w:t>
      </w:r>
      <w:r w:rsidR="00CA216B" w:rsidRPr="007319CD">
        <w:rPr>
          <w:rFonts w:hAnsi="標楷體" w:hint="eastAsia"/>
        </w:rPr>
        <w:t>15</w:t>
      </w:r>
      <w:r w:rsidRPr="007319CD">
        <w:rPr>
          <w:rFonts w:hAnsi="標楷體" w:hint="eastAsia"/>
        </w:rPr>
        <w:t>年者，亦得依上開政務官退職酬勞金給與條例及</w:t>
      </w:r>
      <w:r w:rsidR="00CA216B" w:rsidRPr="007319CD">
        <w:rPr>
          <w:rFonts w:hAnsi="標楷體" w:hint="eastAsia"/>
        </w:rPr>
        <w:t>88</w:t>
      </w:r>
      <w:r w:rsidRPr="007319CD">
        <w:rPr>
          <w:rFonts w:hAnsi="標楷體" w:hint="eastAsia"/>
        </w:rPr>
        <w:t>年</w:t>
      </w:r>
      <w:r w:rsidR="00CA216B" w:rsidRPr="007319CD">
        <w:rPr>
          <w:rFonts w:hAnsi="標楷體" w:hint="eastAsia"/>
        </w:rPr>
        <w:t>6</w:t>
      </w:r>
      <w:r w:rsidRPr="007319CD">
        <w:rPr>
          <w:rFonts w:hAnsi="標楷體" w:hint="eastAsia"/>
        </w:rPr>
        <w:t>月</w:t>
      </w:r>
      <w:r w:rsidR="00CA216B" w:rsidRPr="007319CD">
        <w:rPr>
          <w:rFonts w:hAnsi="標楷體" w:hint="eastAsia"/>
        </w:rPr>
        <w:t>30</w:t>
      </w:r>
      <w:r w:rsidRPr="007319CD">
        <w:rPr>
          <w:rFonts w:hAnsi="標楷體" w:hint="eastAsia"/>
        </w:rPr>
        <w:t>日修正公布之政務人員退職酬勞金給與條例之規定擇領月退職酬勞金，以保障其信賴利益。」就有「任期保障公務員」--特任官，在任職期間發生法規變動，仍適用舊法規定。</w:t>
      </w:r>
      <w:r w:rsidR="00CA216B" w:rsidRPr="007319CD">
        <w:rPr>
          <w:rFonts w:hAnsi="標楷體" w:hint="eastAsia"/>
        </w:rPr>
        <w:t>司法院</w:t>
      </w:r>
      <w:r w:rsidRPr="007319CD">
        <w:rPr>
          <w:rFonts w:hAnsi="標楷體" w:hint="eastAsia"/>
        </w:rPr>
        <w:t>釋字第605號解釋理由書則稱：「任何行政法規皆不能預期其永久實施，然行政法規發布施行後，訂定或發布法規之機關依法定程序予以修改，應兼顧規範對象信賴利益之保護。其因公益之必要修正法規之內容，</w:t>
      </w:r>
      <w:r w:rsidRPr="007319CD">
        <w:rPr>
          <w:rFonts w:hAnsi="標楷體" w:hint="eastAsia"/>
          <w:b/>
        </w:rPr>
        <w:t>如人民因信賴舊法規而有客觀上具體表現信賴之行為，並因法規修正，使其依舊法規已取得之權益，與依舊法規預期可以取得之利益受損害者，應針對人民該利益所受之損害，採取合理之補救措施，或訂定合理之過渡條款，</w:t>
      </w:r>
      <w:proofErr w:type="gramStart"/>
      <w:r w:rsidRPr="007319CD">
        <w:rPr>
          <w:rFonts w:hAnsi="標楷體" w:hint="eastAsia"/>
          <w:b/>
        </w:rPr>
        <w:t>俾</w:t>
      </w:r>
      <w:proofErr w:type="gramEnd"/>
      <w:r w:rsidRPr="007319CD">
        <w:rPr>
          <w:rFonts w:hAnsi="標楷體" w:hint="eastAsia"/>
          <w:b/>
        </w:rPr>
        <w:t>減輕損害，以符憲法保障人民權利意旨。</w:t>
      </w:r>
      <w:r w:rsidRPr="007319CD">
        <w:rPr>
          <w:rFonts w:hAnsi="標楷體" w:hint="eastAsia"/>
        </w:rPr>
        <w:t>」</w:t>
      </w:r>
      <w:proofErr w:type="gramStart"/>
      <w:r w:rsidRPr="007319CD">
        <w:rPr>
          <w:rFonts w:hAnsi="標楷體" w:hint="eastAsia"/>
        </w:rPr>
        <w:t>又釋字</w:t>
      </w:r>
      <w:proofErr w:type="gramEnd"/>
      <w:r w:rsidRPr="007319CD">
        <w:rPr>
          <w:rFonts w:hAnsi="標楷體" w:hint="eastAsia"/>
        </w:rPr>
        <w:t>第620號解釋理由書指出：「任何法規皆非永久不能改變，立法者為因應時代變遷與當前社會環境之需求，而為法律之制定、修正或廢止，難免影響人民既存之有利法律地位。對於人民既存之有利法律地位，</w:t>
      </w:r>
      <w:proofErr w:type="gramStart"/>
      <w:r w:rsidRPr="007319CD">
        <w:rPr>
          <w:rFonts w:hAnsi="標楷體" w:hint="eastAsia"/>
        </w:rPr>
        <w:t>立法者審酌</w:t>
      </w:r>
      <w:proofErr w:type="gramEnd"/>
      <w:r w:rsidRPr="007319CD">
        <w:rPr>
          <w:rFonts w:hAnsi="標楷體" w:hint="eastAsia"/>
        </w:rPr>
        <w:t>法律制定、修正或廢止之目的，原則上固有決定是否予以維持以及如何維持之形成空間。惟如根據信賴保護原則有特別保護之必要者，立法者即有義務另定特別規定，以限制新法於生效後之適用範圍，例如明定過渡條款，於新法生效施行後，適度排除或延緩新法對之適用（司法院釋字第577號解釋理由書參照），或採取其他合理之補救措施，如以法律明定新、舊法律應分段適用於同一構成要件事實等，惟其內容仍應符合比例原則</w:t>
      </w:r>
      <w:r w:rsidRPr="007319CD">
        <w:rPr>
          <w:rFonts w:hAnsi="標楷體" w:hint="eastAsia"/>
        </w:rPr>
        <w:lastRenderedPageBreak/>
        <w:t>與平等原則」等語。</w:t>
      </w:r>
      <w:proofErr w:type="gramStart"/>
      <w:r w:rsidRPr="007319CD">
        <w:rPr>
          <w:rFonts w:hAnsi="標楷體" w:hint="eastAsia"/>
        </w:rPr>
        <w:t>從而，</w:t>
      </w:r>
      <w:proofErr w:type="gramEnd"/>
      <w:r w:rsidRPr="007319CD">
        <w:rPr>
          <w:rFonts w:hAnsi="標楷體" w:hint="eastAsia"/>
        </w:rPr>
        <w:t>公務員信賴舊法規卻因法規修正，使其既得權或預期可以取得之權利受有損害者，</w:t>
      </w:r>
      <w:r w:rsidRPr="007319CD">
        <w:rPr>
          <w:rFonts w:hAnsi="標楷體" w:hint="eastAsia"/>
          <w:u w:val="single"/>
        </w:rPr>
        <w:t>應針對所受之損害，採取合理之補救</w:t>
      </w:r>
      <w:r w:rsidR="000533ED" w:rsidRPr="007319CD">
        <w:rPr>
          <w:rFonts w:hAnsi="標楷體" w:hint="eastAsia"/>
          <w:u w:val="single"/>
        </w:rPr>
        <w:t>措施，或訂定合理之過渡條款，</w:t>
      </w:r>
      <w:proofErr w:type="gramStart"/>
      <w:r w:rsidR="000533ED" w:rsidRPr="007319CD">
        <w:rPr>
          <w:rFonts w:hAnsi="標楷體" w:hint="eastAsia"/>
          <w:u w:val="single"/>
        </w:rPr>
        <w:t>俾</w:t>
      </w:r>
      <w:proofErr w:type="gramEnd"/>
      <w:r w:rsidR="000533ED" w:rsidRPr="007319CD">
        <w:rPr>
          <w:rFonts w:hAnsi="標楷體" w:hint="eastAsia"/>
          <w:u w:val="single"/>
        </w:rPr>
        <w:t>減輕損害，</w:t>
      </w:r>
      <w:r w:rsidR="00EC1E16" w:rsidRPr="007319CD">
        <w:rPr>
          <w:rFonts w:hAnsi="標楷體" w:hint="eastAsia"/>
          <w:u w:val="single"/>
        </w:rPr>
        <w:t>並排除嚴苛條款，</w:t>
      </w:r>
      <w:r w:rsidR="000533ED" w:rsidRPr="007319CD">
        <w:rPr>
          <w:rFonts w:hAnsi="標楷體" w:hint="eastAsia"/>
          <w:u w:val="single"/>
        </w:rPr>
        <w:t>始不違反信賴保護原則</w:t>
      </w:r>
      <w:r w:rsidR="00065D7A" w:rsidRPr="007319CD">
        <w:rPr>
          <w:rStyle w:val="aff1"/>
          <w:rFonts w:hAnsi="標楷體"/>
          <w:u w:val="single"/>
        </w:rPr>
        <w:footnoteReference w:id="67"/>
      </w:r>
      <w:r w:rsidR="000533ED" w:rsidRPr="007319CD">
        <w:rPr>
          <w:rFonts w:hAnsi="標楷體" w:hint="eastAsia"/>
          <w:u w:val="single"/>
        </w:rPr>
        <w:t>。</w:t>
      </w:r>
      <w:r w:rsidR="000533ED" w:rsidRPr="007319CD">
        <w:rPr>
          <w:rFonts w:hAnsi="標楷體" w:hint="eastAsia"/>
        </w:rPr>
        <w:t>經</w:t>
      </w:r>
      <w:r w:rsidRPr="007319CD">
        <w:rPr>
          <w:rFonts w:hAnsi="標楷體" w:hint="eastAsia"/>
        </w:rPr>
        <w:t>查，</w:t>
      </w:r>
      <w:r w:rsidR="00B20388" w:rsidRPr="007319CD">
        <w:rPr>
          <w:rFonts w:hAnsi="標楷體" w:hint="eastAsia"/>
        </w:rPr>
        <w:t>公</w:t>
      </w:r>
      <w:r w:rsidR="00B20388" w:rsidRPr="007319CD">
        <w:rPr>
          <w:rFonts w:hAnsi="標楷體"/>
        </w:rPr>
        <w:t>務</w:t>
      </w:r>
      <w:r w:rsidR="00B20388" w:rsidRPr="007319CD">
        <w:rPr>
          <w:rFonts w:hAnsi="標楷體"/>
        </w:rPr>
        <w:lastRenderedPageBreak/>
        <w:t>人員退休法（舊法）</w:t>
      </w:r>
      <w:r w:rsidRPr="007319CD">
        <w:rPr>
          <w:rFonts w:hAnsi="標楷體"/>
        </w:rPr>
        <w:t>第32條</w:t>
      </w:r>
      <w:r w:rsidR="00B20388" w:rsidRPr="007319CD">
        <w:rPr>
          <w:rFonts w:hAnsi="標楷體" w:hint="eastAsia"/>
        </w:rPr>
        <w:t>及</w:t>
      </w:r>
      <w:r w:rsidR="00B20388" w:rsidRPr="007319CD">
        <w:rPr>
          <w:rFonts w:hAnsi="標楷體"/>
        </w:rPr>
        <w:t>退休公務人員一次退休金與養老給付優惠存款辦法第4條</w:t>
      </w:r>
      <w:r w:rsidRPr="007319CD">
        <w:rPr>
          <w:rFonts w:hAnsi="標楷體"/>
        </w:rPr>
        <w:t>規定，退休所得不得超過最後在職同等級人員「本</w:t>
      </w:r>
      <w:r w:rsidR="007205D0" w:rsidRPr="007319CD">
        <w:rPr>
          <w:rFonts w:hAnsi="標楷體"/>
        </w:rPr>
        <w:t>（</w:t>
      </w:r>
      <w:r w:rsidRPr="007319CD">
        <w:rPr>
          <w:rFonts w:hAnsi="標楷體"/>
        </w:rPr>
        <w:t>年功</w:t>
      </w:r>
      <w:r w:rsidR="007205D0" w:rsidRPr="007319CD">
        <w:rPr>
          <w:rFonts w:hAnsi="標楷體"/>
        </w:rPr>
        <w:t>）</w:t>
      </w:r>
      <w:proofErr w:type="gramStart"/>
      <w:r w:rsidRPr="007319CD">
        <w:rPr>
          <w:rFonts w:hAnsi="標楷體"/>
        </w:rPr>
        <w:t>俸</w:t>
      </w:r>
      <w:proofErr w:type="gramEnd"/>
      <w:r w:rsidRPr="007319CD">
        <w:rPr>
          <w:rFonts w:hAnsi="標楷體"/>
        </w:rPr>
        <w:t>加1倍」之75%</w:t>
      </w:r>
      <w:r w:rsidR="007205D0" w:rsidRPr="007319CD">
        <w:rPr>
          <w:rFonts w:hAnsi="標楷體" w:hint="eastAsia"/>
        </w:rPr>
        <w:t>（</w:t>
      </w:r>
      <w:r w:rsidRPr="007319CD">
        <w:rPr>
          <w:rFonts w:hAnsi="標楷體"/>
        </w:rPr>
        <w:t>年資25年</w:t>
      </w:r>
      <w:r w:rsidR="007205D0" w:rsidRPr="007319CD">
        <w:rPr>
          <w:rFonts w:hAnsi="標楷體" w:hint="eastAsia"/>
        </w:rPr>
        <w:t>）</w:t>
      </w:r>
      <w:r w:rsidRPr="007319CD">
        <w:rPr>
          <w:rFonts w:hAnsi="標楷體"/>
        </w:rPr>
        <w:t>至95%</w:t>
      </w:r>
      <w:r w:rsidR="007205D0" w:rsidRPr="007319CD">
        <w:rPr>
          <w:rFonts w:hAnsi="標楷體"/>
        </w:rPr>
        <w:t>（</w:t>
      </w:r>
      <w:r w:rsidRPr="007319CD">
        <w:rPr>
          <w:rFonts w:hAnsi="標楷體"/>
        </w:rPr>
        <w:t>年資35年</w:t>
      </w:r>
      <w:r w:rsidR="007205D0" w:rsidRPr="007319CD">
        <w:rPr>
          <w:rFonts w:hAnsi="標楷體"/>
        </w:rPr>
        <w:t>）</w:t>
      </w:r>
      <w:r w:rsidRPr="007319CD">
        <w:rPr>
          <w:rFonts w:hAnsi="標楷體"/>
        </w:rPr>
        <w:t>，亦不得超過「同等級現職人員待遇」之70%</w:t>
      </w:r>
      <w:r w:rsidR="007205D0" w:rsidRPr="007319CD">
        <w:rPr>
          <w:rFonts w:hAnsi="標楷體"/>
        </w:rPr>
        <w:t>（</w:t>
      </w:r>
      <w:r w:rsidRPr="007319CD">
        <w:rPr>
          <w:rFonts w:hAnsi="標楷體"/>
        </w:rPr>
        <w:t>年資15年</w:t>
      </w:r>
      <w:r w:rsidR="007205D0" w:rsidRPr="007319CD">
        <w:rPr>
          <w:rFonts w:hAnsi="標楷體"/>
        </w:rPr>
        <w:t>）</w:t>
      </w:r>
      <w:r w:rsidRPr="007319CD">
        <w:rPr>
          <w:rFonts w:hAnsi="標楷體"/>
        </w:rPr>
        <w:t>至90%</w:t>
      </w:r>
      <w:r w:rsidR="007205D0" w:rsidRPr="007319CD">
        <w:rPr>
          <w:rFonts w:hAnsi="標楷體"/>
        </w:rPr>
        <w:t>（</w:t>
      </w:r>
      <w:r w:rsidRPr="007319CD">
        <w:rPr>
          <w:rFonts w:hAnsi="標楷體"/>
        </w:rPr>
        <w:t>年資35年</w:t>
      </w:r>
      <w:r w:rsidR="007205D0" w:rsidRPr="007319CD">
        <w:rPr>
          <w:rFonts w:hAnsi="標楷體"/>
        </w:rPr>
        <w:t>）</w:t>
      </w:r>
      <w:r w:rsidRPr="007319CD">
        <w:rPr>
          <w:rFonts w:hAnsi="標楷體"/>
        </w:rPr>
        <w:t>；超過者，調降其公保養老給付辦理優惠存款之金額</w:t>
      </w:r>
      <w:r w:rsidRPr="007319CD">
        <w:rPr>
          <w:rFonts w:hAnsi="標楷體"/>
          <w:vertAlign w:val="superscript"/>
        </w:rPr>
        <w:footnoteReference w:id="68"/>
      </w:r>
      <w:r w:rsidRPr="007319CD">
        <w:rPr>
          <w:rFonts w:hAnsi="標楷體"/>
        </w:rPr>
        <w:t>。</w:t>
      </w:r>
      <w:r w:rsidR="005E51D6" w:rsidRPr="007319CD">
        <w:rPr>
          <w:rFonts w:hAnsi="標楷體" w:hint="eastAsia"/>
        </w:rPr>
        <w:t>對於教育人員而言，公立學校退休教職員一次退休金及養老給付優惠存款辦法</w:t>
      </w:r>
      <w:r w:rsidR="00EC7C64" w:rsidRPr="007319CD">
        <w:rPr>
          <w:rFonts w:hAnsi="標楷體" w:hint="eastAsia"/>
        </w:rPr>
        <w:t>第4條則</w:t>
      </w:r>
      <w:r w:rsidR="00B74B4B" w:rsidRPr="007319CD">
        <w:rPr>
          <w:rFonts w:hAnsi="標楷體"/>
        </w:rPr>
        <w:t>規定</w:t>
      </w:r>
      <w:r w:rsidR="00EC7C64" w:rsidRPr="007319CD">
        <w:rPr>
          <w:rFonts w:hAnsi="標楷體" w:hint="eastAsia"/>
        </w:rPr>
        <w:t>，</w:t>
      </w:r>
      <w:r w:rsidR="00EC7C64" w:rsidRPr="007319CD">
        <w:rPr>
          <w:rFonts w:hAnsi="標楷體"/>
        </w:rPr>
        <w:t>退休所得不得超過最後在職級人員「本（年功）薪加</w:t>
      </w:r>
      <w:r w:rsidR="00EC7C64" w:rsidRPr="007319CD">
        <w:rPr>
          <w:rFonts w:hAnsi="標楷體" w:hint="eastAsia"/>
        </w:rPr>
        <w:t>1</w:t>
      </w:r>
      <w:r w:rsidR="00EC7C64" w:rsidRPr="007319CD">
        <w:rPr>
          <w:rFonts w:hAnsi="標楷體"/>
        </w:rPr>
        <w:t>倍」之75%（年資25年）至95%</w:t>
      </w:r>
      <w:proofErr w:type="gramStart"/>
      <w:r w:rsidR="00EC7C64" w:rsidRPr="007319CD">
        <w:rPr>
          <w:rFonts w:hAnsi="標楷體"/>
        </w:rPr>
        <w:t>（</w:t>
      </w:r>
      <w:proofErr w:type="gramEnd"/>
      <w:r w:rsidR="00EC7C64" w:rsidRPr="007319CD">
        <w:rPr>
          <w:rFonts w:hAnsi="標楷體"/>
        </w:rPr>
        <w:t>年資35年；</w:t>
      </w:r>
      <w:proofErr w:type="gramStart"/>
      <w:r w:rsidR="00EC7C64" w:rsidRPr="007319CD">
        <w:rPr>
          <w:rFonts w:hAnsi="標楷體"/>
        </w:rPr>
        <w:t>符合增核給與</w:t>
      </w:r>
      <w:proofErr w:type="gramEnd"/>
      <w:r w:rsidR="00EC7C64" w:rsidRPr="007319CD">
        <w:rPr>
          <w:rFonts w:hAnsi="標楷體"/>
        </w:rPr>
        <w:t>者，得至97.5%</w:t>
      </w:r>
      <w:proofErr w:type="gramStart"/>
      <w:r w:rsidR="00EC7C64" w:rsidRPr="007319CD">
        <w:rPr>
          <w:rFonts w:hAnsi="標楷體"/>
        </w:rPr>
        <w:t>）</w:t>
      </w:r>
      <w:proofErr w:type="gramEnd"/>
      <w:r w:rsidR="00EC7C64" w:rsidRPr="007319CD">
        <w:rPr>
          <w:rFonts w:hAnsi="標楷體"/>
        </w:rPr>
        <w:t>，亦不得超過「同等級現職人員待遇」之70%（年資15年）至90%</w:t>
      </w:r>
      <w:proofErr w:type="gramStart"/>
      <w:r w:rsidR="00EC7C64" w:rsidRPr="007319CD">
        <w:rPr>
          <w:rFonts w:hAnsi="標楷體"/>
        </w:rPr>
        <w:t>（</w:t>
      </w:r>
      <w:proofErr w:type="gramEnd"/>
      <w:r w:rsidR="00EC7C64" w:rsidRPr="007319CD">
        <w:rPr>
          <w:rFonts w:hAnsi="標楷體"/>
        </w:rPr>
        <w:t>年資35年；</w:t>
      </w:r>
      <w:proofErr w:type="gramStart"/>
      <w:r w:rsidR="00EC7C64" w:rsidRPr="007319CD">
        <w:rPr>
          <w:rFonts w:hAnsi="標楷體"/>
        </w:rPr>
        <w:t>符合增核給與</w:t>
      </w:r>
      <w:proofErr w:type="gramEnd"/>
      <w:r w:rsidR="00EC7C64" w:rsidRPr="007319CD">
        <w:rPr>
          <w:rFonts w:hAnsi="標楷體"/>
        </w:rPr>
        <w:t>者，得至91.25%</w:t>
      </w:r>
      <w:proofErr w:type="gramStart"/>
      <w:r w:rsidR="00EC7C64" w:rsidRPr="007319CD">
        <w:rPr>
          <w:rFonts w:hAnsi="標楷體"/>
        </w:rPr>
        <w:t>）</w:t>
      </w:r>
      <w:proofErr w:type="gramEnd"/>
      <w:r w:rsidR="00EC7C64" w:rsidRPr="007319CD">
        <w:rPr>
          <w:rFonts w:hAnsi="標楷體"/>
        </w:rPr>
        <w:t>；超過者，調降其公保養老給付辦理優惠存款之金額</w:t>
      </w:r>
      <w:r w:rsidR="000533ED" w:rsidRPr="007319CD">
        <w:rPr>
          <w:rStyle w:val="aff1"/>
          <w:rFonts w:hAnsi="標楷體"/>
        </w:rPr>
        <w:footnoteReference w:id="69"/>
      </w:r>
      <w:r w:rsidR="00EC7C64" w:rsidRPr="007319CD">
        <w:rPr>
          <w:rFonts w:hAnsi="標楷體"/>
        </w:rPr>
        <w:t>。</w:t>
      </w:r>
      <w:proofErr w:type="gramStart"/>
      <w:r w:rsidR="000533ED" w:rsidRPr="007319CD">
        <w:rPr>
          <w:rFonts w:hAnsi="標楷體" w:hint="eastAsia"/>
        </w:rPr>
        <w:t>然查</w:t>
      </w:r>
      <w:proofErr w:type="gramEnd"/>
      <w:r w:rsidR="000533ED" w:rsidRPr="007319CD">
        <w:rPr>
          <w:rFonts w:hAnsi="標楷體" w:hint="eastAsia"/>
        </w:rPr>
        <w:t>，</w:t>
      </w:r>
      <w:r w:rsidRPr="007319CD">
        <w:rPr>
          <w:rFonts w:hAnsi="標楷體"/>
        </w:rPr>
        <w:t>公務人員退撫法（新法）</w:t>
      </w:r>
      <w:r w:rsidR="00B74B4B" w:rsidRPr="007319CD">
        <w:rPr>
          <w:rFonts w:hAnsi="標楷體" w:hint="eastAsia"/>
        </w:rPr>
        <w:t>及</w:t>
      </w:r>
      <w:r w:rsidR="00914E2B" w:rsidRPr="007319CD">
        <w:rPr>
          <w:rFonts w:hAnsi="標楷體" w:hint="eastAsia"/>
        </w:rPr>
        <w:t>公立學校教職員退撫條例</w:t>
      </w:r>
      <w:r w:rsidR="00B74B4B" w:rsidRPr="007319CD">
        <w:rPr>
          <w:rFonts w:hAnsi="標楷體" w:hint="eastAsia"/>
        </w:rPr>
        <w:t>（新法）</w:t>
      </w:r>
      <w:r w:rsidRPr="007319CD">
        <w:rPr>
          <w:rFonts w:hAnsi="標楷體" w:hint="eastAsia"/>
        </w:rPr>
        <w:t>第37條規定</w:t>
      </w:r>
      <w:r w:rsidRPr="007319CD">
        <w:rPr>
          <w:rStyle w:val="aff1"/>
          <w:rFonts w:hAnsi="標楷體"/>
        </w:rPr>
        <w:footnoteReference w:id="70"/>
      </w:r>
      <w:r w:rsidRPr="007319CD">
        <w:rPr>
          <w:rFonts w:hAnsi="標楷體" w:hint="eastAsia"/>
        </w:rPr>
        <w:t>，</w:t>
      </w:r>
      <w:r w:rsidR="00EC7C64" w:rsidRPr="007319CD">
        <w:rPr>
          <w:rFonts w:hAnsi="標楷體" w:hint="eastAsia"/>
        </w:rPr>
        <w:lastRenderedPageBreak/>
        <w:t>皆</w:t>
      </w:r>
      <w:r w:rsidRPr="007319CD">
        <w:rPr>
          <w:rFonts w:hAnsi="標楷體" w:hint="eastAsia"/>
        </w:rPr>
        <w:t>將所得替代率設定</w:t>
      </w:r>
      <w:r w:rsidR="00BB5731" w:rsidRPr="007319CD">
        <w:rPr>
          <w:rFonts w:hAnsi="標楷體" w:hint="eastAsia"/>
        </w:rPr>
        <w:t>75%</w:t>
      </w:r>
      <w:r w:rsidRPr="007319CD">
        <w:rPr>
          <w:rFonts w:hAnsi="標楷體" w:hint="eastAsia"/>
        </w:rPr>
        <w:t>為</w:t>
      </w:r>
      <w:r w:rsidR="00BB5731" w:rsidRPr="007319CD">
        <w:rPr>
          <w:rFonts w:hAnsi="標楷體" w:hint="eastAsia"/>
        </w:rPr>
        <w:t>上限</w:t>
      </w:r>
      <w:r w:rsidRPr="007319CD">
        <w:rPr>
          <w:rFonts w:hAnsi="標楷體" w:hint="eastAsia"/>
        </w:rPr>
        <w:t>，從新法施行後，即將所得替代率</w:t>
      </w:r>
      <w:r w:rsidR="00BB5731" w:rsidRPr="007319CD">
        <w:rPr>
          <w:rFonts w:hAnsi="標楷體" w:hint="eastAsia"/>
        </w:rPr>
        <w:t>上限</w:t>
      </w:r>
      <w:r w:rsidR="00916187" w:rsidRPr="007319CD">
        <w:rPr>
          <w:rFonts w:hAnsi="標楷體" w:hint="eastAsia"/>
        </w:rPr>
        <w:t>由95%</w:t>
      </w:r>
      <w:r w:rsidRPr="007319CD">
        <w:rPr>
          <w:rFonts w:hAnsi="標楷體" w:hint="eastAsia"/>
        </w:rPr>
        <w:t>降為75</w:t>
      </w:r>
      <w:r w:rsidR="00A14F11" w:rsidRPr="007319CD">
        <w:rPr>
          <w:rFonts w:hAnsi="標楷體" w:hint="eastAsia"/>
        </w:rPr>
        <w:t>%</w:t>
      </w:r>
      <w:r w:rsidRPr="007319CD">
        <w:rPr>
          <w:rFonts w:hAnsi="標楷體" w:hint="eastAsia"/>
        </w:rPr>
        <w:t>，</w:t>
      </w:r>
      <w:r w:rsidR="00EC1E16" w:rsidRPr="007319CD">
        <w:rPr>
          <w:rFonts w:hAnsi="標楷體" w:hint="eastAsia"/>
        </w:rPr>
        <w:t>係屬嚴苛條款，本應與以排除，且</w:t>
      </w:r>
      <w:r w:rsidRPr="007319CD">
        <w:rPr>
          <w:rFonts w:hAnsi="標楷體" w:hint="eastAsia"/>
        </w:rPr>
        <w:t>無任何所謂合理之補救措施，或訂定合理之過渡條款，</w:t>
      </w:r>
      <w:proofErr w:type="gramStart"/>
      <w:r w:rsidRPr="007319CD">
        <w:rPr>
          <w:rFonts w:hAnsi="標楷體" w:hint="eastAsia"/>
        </w:rPr>
        <w:t>俾</w:t>
      </w:r>
      <w:proofErr w:type="gramEnd"/>
      <w:r w:rsidRPr="007319CD">
        <w:rPr>
          <w:rFonts w:hAnsi="標楷體" w:hint="eastAsia"/>
        </w:rPr>
        <w:t>減輕公務員權利損害；況且</w:t>
      </w:r>
      <w:r w:rsidR="00D73047" w:rsidRPr="007319CD">
        <w:rPr>
          <w:rFonts w:hAnsi="標楷體" w:hint="eastAsia"/>
        </w:rPr>
        <w:t>，</w:t>
      </w:r>
      <w:r w:rsidR="00D73047" w:rsidRPr="007319CD">
        <w:rPr>
          <w:rFonts w:hAnsi="標楷體"/>
        </w:rPr>
        <w:t>新</w:t>
      </w:r>
      <w:r w:rsidRPr="007319CD">
        <w:rPr>
          <w:rFonts w:hAnsi="標楷體" w:hint="eastAsia"/>
        </w:rPr>
        <w:t>法所謂之所得替代率計算</w:t>
      </w:r>
      <w:r w:rsidR="00D73047" w:rsidRPr="007319CD">
        <w:rPr>
          <w:rFonts w:hAnsi="標楷體" w:hint="eastAsia"/>
        </w:rPr>
        <w:t>，就公教人員</w:t>
      </w:r>
      <w:r w:rsidRPr="007319CD">
        <w:rPr>
          <w:rFonts w:hAnsi="標楷體" w:hint="eastAsia"/>
        </w:rPr>
        <w:t>而言</w:t>
      </w:r>
      <w:r w:rsidR="00D73047" w:rsidRPr="007319CD">
        <w:rPr>
          <w:rFonts w:hAnsi="標楷體" w:hint="eastAsia"/>
        </w:rPr>
        <w:t>，</w:t>
      </w:r>
      <w:r w:rsidRPr="007319CD">
        <w:rPr>
          <w:rFonts w:hAnsi="標楷體" w:hint="eastAsia"/>
        </w:rPr>
        <w:t>並非實際所得替代率，按新法規定，公教人員退休所得替代率之計算</w:t>
      </w:r>
      <w:r w:rsidR="00D73047" w:rsidRPr="007319CD">
        <w:rPr>
          <w:rFonts w:hAnsi="標楷體" w:hint="eastAsia"/>
        </w:rPr>
        <w:t>，</w:t>
      </w:r>
      <w:r w:rsidRPr="007319CD">
        <w:rPr>
          <w:rFonts w:hAnsi="標楷體" w:hint="eastAsia"/>
        </w:rPr>
        <w:t>並未扣除公教人員自提退撫費用部分</w:t>
      </w:r>
      <w:r w:rsidRPr="007319CD">
        <w:rPr>
          <w:rStyle w:val="aff1"/>
          <w:rFonts w:hAnsi="標楷體"/>
        </w:rPr>
        <w:footnoteReference w:id="71"/>
      </w:r>
      <w:r w:rsidRPr="007319CD">
        <w:rPr>
          <w:rFonts w:hAnsi="標楷體" w:hint="eastAsia"/>
        </w:rPr>
        <w:t>，已失公允。且前揭計算係以退休人員所領每月退休所得，占最後在職同等級人員每月</w:t>
      </w:r>
      <w:proofErr w:type="gramStart"/>
      <w:r w:rsidRPr="007319CD">
        <w:rPr>
          <w:rFonts w:hAnsi="標楷體" w:hint="eastAsia"/>
        </w:rPr>
        <w:t>所領本</w:t>
      </w:r>
      <w:proofErr w:type="gramEnd"/>
      <w:r w:rsidRPr="007319CD">
        <w:rPr>
          <w:rFonts w:hAnsi="標楷體" w:hint="eastAsia"/>
        </w:rPr>
        <w:t>（年功）</w:t>
      </w:r>
      <w:proofErr w:type="gramStart"/>
      <w:r w:rsidRPr="007319CD">
        <w:rPr>
          <w:rFonts w:hAnsi="標楷體" w:hint="eastAsia"/>
        </w:rPr>
        <w:t>俸</w:t>
      </w:r>
      <w:proofErr w:type="gramEnd"/>
      <w:r w:rsidRPr="007319CD">
        <w:rPr>
          <w:rFonts w:hAnsi="標楷體" w:hint="eastAsia"/>
        </w:rPr>
        <w:t>（薪）額加計1倍金額之計得之比率，然據公務人員俸給法第3條第1項規定，現職公務人員待遇包含本（年功）</w:t>
      </w:r>
      <w:proofErr w:type="gramStart"/>
      <w:r w:rsidRPr="007319CD">
        <w:rPr>
          <w:rFonts w:hAnsi="標楷體" w:hint="eastAsia"/>
        </w:rPr>
        <w:t>俸</w:t>
      </w:r>
      <w:proofErr w:type="gramEnd"/>
      <w:r w:rsidRPr="007319CD">
        <w:rPr>
          <w:rFonts w:hAnsi="標楷體" w:hint="eastAsia"/>
        </w:rPr>
        <w:t>（薪）額及加給。同法第5條規定，加給分為職務加給、技術或專業加給及地域加給3種。又各專業加給月支數額之多寡及職等高低而有區別，與公務人員</w:t>
      </w:r>
      <w:proofErr w:type="gramStart"/>
      <w:r w:rsidRPr="007319CD">
        <w:rPr>
          <w:rFonts w:hAnsi="標楷體" w:hint="eastAsia"/>
        </w:rPr>
        <w:t>俸表各</w:t>
      </w:r>
      <w:proofErr w:type="gramEnd"/>
      <w:r w:rsidRPr="007319CD">
        <w:rPr>
          <w:rFonts w:hAnsi="標楷體" w:hint="eastAsia"/>
        </w:rPr>
        <w:t>職等</w:t>
      </w:r>
      <w:proofErr w:type="gramStart"/>
      <w:r w:rsidRPr="007319CD">
        <w:rPr>
          <w:rFonts w:hAnsi="標楷體" w:hint="eastAsia"/>
        </w:rPr>
        <w:t>俸</w:t>
      </w:r>
      <w:proofErr w:type="gramEnd"/>
      <w:r w:rsidRPr="007319CD">
        <w:rPr>
          <w:rFonts w:hAnsi="標楷體" w:hint="eastAsia"/>
        </w:rPr>
        <w:t>級之</w:t>
      </w:r>
      <w:proofErr w:type="gramStart"/>
      <w:r w:rsidRPr="007319CD">
        <w:rPr>
          <w:rFonts w:hAnsi="標楷體" w:hint="eastAsia"/>
        </w:rPr>
        <w:t>俸額互</w:t>
      </w:r>
      <w:proofErr w:type="gramEnd"/>
      <w:r w:rsidRPr="007319CD">
        <w:rPr>
          <w:rFonts w:hAnsi="標楷體" w:hint="eastAsia"/>
        </w:rPr>
        <w:t>有高低，公務人員專業加給計有25種中，各職等專業加給月支數額均</w:t>
      </w:r>
      <w:proofErr w:type="gramStart"/>
      <w:r w:rsidRPr="007319CD">
        <w:rPr>
          <w:rFonts w:hAnsi="標楷體" w:hint="eastAsia"/>
        </w:rPr>
        <w:t>高於同職等</w:t>
      </w:r>
      <w:proofErr w:type="gramEnd"/>
      <w:r w:rsidRPr="007319CD">
        <w:rPr>
          <w:rFonts w:hAnsi="標楷體" w:hint="eastAsia"/>
        </w:rPr>
        <w:t>年功</w:t>
      </w:r>
      <w:proofErr w:type="gramStart"/>
      <w:r w:rsidRPr="007319CD">
        <w:rPr>
          <w:rFonts w:hAnsi="標楷體" w:hint="eastAsia"/>
        </w:rPr>
        <w:t>俸</w:t>
      </w:r>
      <w:proofErr w:type="gramEnd"/>
      <w:r w:rsidRPr="007319CD">
        <w:rPr>
          <w:rFonts w:hAnsi="標楷體" w:hint="eastAsia"/>
        </w:rPr>
        <w:t>最高級者為公務人員專業加給表（二十三）、公務人員專業加給表（二十八）及公務人員專業加給表（二十九）等。然公教人員退休所得，係以退休時之職等（級）之本</w:t>
      </w:r>
      <w:proofErr w:type="gramStart"/>
      <w:r w:rsidRPr="007319CD">
        <w:rPr>
          <w:rFonts w:hAnsi="標楷體" w:hint="eastAsia"/>
        </w:rPr>
        <w:t>俸</w:t>
      </w:r>
      <w:proofErr w:type="gramEnd"/>
      <w:r w:rsidRPr="007319CD">
        <w:rPr>
          <w:rFonts w:hAnsi="標楷體" w:hint="eastAsia"/>
        </w:rPr>
        <w:t>（年功</w:t>
      </w:r>
      <w:proofErr w:type="gramStart"/>
      <w:r w:rsidRPr="007319CD">
        <w:rPr>
          <w:rFonts w:hAnsi="標楷體" w:hint="eastAsia"/>
        </w:rPr>
        <w:t>俸</w:t>
      </w:r>
      <w:proofErr w:type="gramEnd"/>
      <w:r w:rsidRPr="007319CD">
        <w:rPr>
          <w:rFonts w:hAnsi="標楷體" w:hint="eastAsia"/>
        </w:rPr>
        <w:t>）為計算基礎，</w:t>
      </w:r>
      <w:proofErr w:type="gramStart"/>
      <w:r w:rsidRPr="007319CD">
        <w:rPr>
          <w:rFonts w:hAnsi="標楷體" w:hint="eastAsia"/>
        </w:rPr>
        <w:t>從</w:t>
      </w:r>
      <w:r w:rsidRPr="007319CD">
        <w:rPr>
          <w:rFonts w:hAnsi="標楷體" w:hint="eastAsia"/>
        </w:rPr>
        <w:lastRenderedPageBreak/>
        <w:t>而，</w:t>
      </w:r>
      <w:proofErr w:type="gramEnd"/>
      <w:r w:rsidRPr="007319CD">
        <w:rPr>
          <w:rFonts w:hAnsi="標楷體" w:hint="eastAsia"/>
        </w:rPr>
        <w:t>當公務員技術或專業加給高於本</w:t>
      </w:r>
      <w:proofErr w:type="gramStart"/>
      <w:r w:rsidRPr="007319CD">
        <w:rPr>
          <w:rFonts w:hAnsi="標楷體" w:hint="eastAsia"/>
        </w:rPr>
        <w:t>俸</w:t>
      </w:r>
      <w:proofErr w:type="gramEnd"/>
      <w:r w:rsidRPr="007319CD">
        <w:rPr>
          <w:rFonts w:hAnsi="標楷體" w:hint="eastAsia"/>
        </w:rPr>
        <w:t>（年功</w:t>
      </w:r>
      <w:proofErr w:type="gramStart"/>
      <w:r w:rsidRPr="007319CD">
        <w:rPr>
          <w:rFonts w:hAnsi="標楷體" w:hint="eastAsia"/>
        </w:rPr>
        <w:t>俸</w:t>
      </w:r>
      <w:proofErr w:type="gramEnd"/>
      <w:r w:rsidRPr="007319CD">
        <w:rPr>
          <w:rFonts w:hAnsi="標楷體" w:hint="eastAsia"/>
        </w:rPr>
        <w:t>）時，其實際所得替代率將遠低於新法法定之所得替代率，就公務員退休給與請求權之權利侵害將更形嚴重，顯然</w:t>
      </w:r>
      <w:proofErr w:type="gramStart"/>
      <w:r w:rsidRPr="007319CD">
        <w:rPr>
          <w:rFonts w:hAnsi="標楷體" w:hint="eastAsia"/>
        </w:rPr>
        <w:t>斲</w:t>
      </w:r>
      <w:proofErr w:type="gramEnd"/>
      <w:r w:rsidRPr="007319CD">
        <w:rPr>
          <w:rFonts w:hAnsi="標楷體" w:hint="eastAsia"/>
        </w:rPr>
        <w:t>傷信賴保護原則，無庸置疑。</w:t>
      </w:r>
    </w:p>
    <w:p w:rsidR="006268AD" w:rsidRPr="007319CD" w:rsidRDefault="00E12999" w:rsidP="007F3FF3">
      <w:pPr>
        <w:pStyle w:val="3"/>
        <w:rPr>
          <w:rFonts w:hAnsi="標楷體"/>
        </w:rPr>
      </w:pPr>
      <w:r w:rsidRPr="007319CD">
        <w:rPr>
          <w:rFonts w:hAnsi="標楷體"/>
        </w:rPr>
        <w:t>綜上，</w:t>
      </w:r>
      <w:r w:rsidR="009315F3" w:rsidRPr="007319CD">
        <w:rPr>
          <w:rFonts w:hAnsi="標楷體"/>
        </w:rPr>
        <w:t>公務人員退撫法（新法）</w:t>
      </w:r>
      <w:r w:rsidR="00026D01" w:rsidRPr="007319CD">
        <w:rPr>
          <w:rFonts w:hAnsi="標楷體"/>
        </w:rPr>
        <w:t>第31條規定改變請領資格，延後月</w:t>
      </w:r>
      <w:proofErr w:type="gramStart"/>
      <w:r w:rsidR="00026D01" w:rsidRPr="007319CD">
        <w:rPr>
          <w:rFonts w:hAnsi="標楷體"/>
        </w:rPr>
        <w:t>退休金起支年齡</w:t>
      </w:r>
      <w:proofErr w:type="gramEnd"/>
      <w:r w:rsidR="00026D01" w:rsidRPr="007319CD">
        <w:rPr>
          <w:rFonts w:hAnsi="標楷體"/>
        </w:rPr>
        <w:t>、第27條調整退休金計算基準、第4條第4款及第37條至第39條規定調降退休所得、第34條取消年資補償金、第45條規定調整月撫慰金制度、第92條規定</w:t>
      </w:r>
      <w:r w:rsidR="00DA4D6C" w:rsidRPr="007319CD">
        <w:rPr>
          <w:rFonts w:hAnsi="標楷體"/>
        </w:rPr>
        <w:t>年金制度定期檢討機制</w:t>
      </w:r>
      <w:r w:rsidR="00026D01" w:rsidRPr="007319CD">
        <w:rPr>
          <w:rFonts w:hAnsi="標楷體"/>
        </w:rPr>
        <w:t>，使公務員退休給付債權永成不確定狀態等；另</w:t>
      </w:r>
      <w:r w:rsidR="00914E2B" w:rsidRPr="007319CD">
        <w:rPr>
          <w:rFonts w:hAnsi="標楷體"/>
        </w:rPr>
        <w:t>公立學校教職員退撫條例</w:t>
      </w:r>
      <w:r w:rsidR="00C74E5E" w:rsidRPr="007319CD">
        <w:rPr>
          <w:rFonts w:hAnsi="標楷體"/>
        </w:rPr>
        <w:t>（新法）</w:t>
      </w:r>
      <w:r w:rsidR="00026D01" w:rsidRPr="007319CD">
        <w:rPr>
          <w:rFonts w:hAnsi="標楷體"/>
        </w:rPr>
        <w:t>第32條規定改變請領資格，延後月</w:t>
      </w:r>
      <w:proofErr w:type="gramStart"/>
      <w:r w:rsidR="00026D01" w:rsidRPr="007319CD">
        <w:rPr>
          <w:rFonts w:hAnsi="標楷體"/>
        </w:rPr>
        <w:t>退休金起支年齡</w:t>
      </w:r>
      <w:proofErr w:type="gramEnd"/>
      <w:r w:rsidR="00026D01" w:rsidRPr="007319CD">
        <w:rPr>
          <w:rFonts w:hAnsi="標楷體"/>
        </w:rPr>
        <w:t>、第28條調整退休金計算基準、第4條第4款及第37條至第39條規定調降退休所得、第34條取消年資補償金、第45條規定調整月撫慰金制度、第97條規定</w:t>
      </w:r>
      <w:r w:rsidR="00DA4D6C" w:rsidRPr="007319CD">
        <w:rPr>
          <w:rFonts w:hAnsi="標楷體"/>
        </w:rPr>
        <w:t>年金制度定期檢討機制</w:t>
      </w:r>
      <w:r w:rsidR="00026D01" w:rsidRPr="007319CD">
        <w:rPr>
          <w:rFonts w:hAnsi="標楷體"/>
        </w:rPr>
        <w:t>，使退休給付債權永成不確定狀態等，其適用對象與範圍涵蓋已退休與未退休之所有公教人員，</w:t>
      </w:r>
      <w:r w:rsidR="003E14B5" w:rsidRPr="007319CD">
        <w:rPr>
          <w:rFonts w:hAnsi="標楷體"/>
        </w:rPr>
        <w:t>顯有</w:t>
      </w:r>
      <w:r w:rsidR="007F3FF3" w:rsidRPr="007319CD">
        <w:rPr>
          <w:rFonts w:hAnsi="標楷體"/>
        </w:rPr>
        <w:t>違反信賴保護原則。</w:t>
      </w:r>
    </w:p>
    <w:p w:rsidR="00E25895" w:rsidRPr="007319CD" w:rsidRDefault="00E25895" w:rsidP="00AA1956">
      <w:pPr>
        <w:pStyle w:val="11"/>
        <w:ind w:left="680" w:firstLine="680"/>
        <w:rPr>
          <w:rFonts w:hAnsi="標楷體"/>
        </w:rPr>
      </w:pPr>
      <w:r w:rsidRPr="007319CD">
        <w:rPr>
          <w:rFonts w:hAnsi="標楷體" w:hint="eastAsia"/>
        </w:rPr>
        <w:t>據上</w:t>
      </w:r>
      <w:proofErr w:type="gramStart"/>
      <w:r w:rsidRPr="007319CD">
        <w:rPr>
          <w:rFonts w:hAnsi="標楷體" w:hint="eastAsia"/>
        </w:rPr>
        <w:t>論結，</w:t>
      </w:r>
      <w:r w:rsidR="00115875" w:rsidRPr="007319CD">
        <w:rPr>
          <w:rFonts w:hAnsi="標楷體" w:hint="eastAsia"/>
        </w:rPr>
        <w:t>子曰</w:t>
      </w:r>
      <w:proofErr w:type="gramEnd"/>
      <w:r w:rsidR="00115875" w:rsidRPr="007319CD">
        <w:rPr>
          <w:rFonts w:hAnsi="標楷體" w:hint="eastAsia"/>
        </w:rPr>
        <w:t>：「人而無信，不知其可也。大車無</w:t>
      </w:r>
      <w:proofErr w:type="gramStart"/>
      <w:r w:rsidR="00115875" w:rsidRPr="007319CD">
        <w:rPr>
          <w:rFonts w:hAnsi="標楷體" w:hint="eastAsia"/>
        </w:rPr>
        <w:t>輗</w:t>
      </w:r>
      <w:proofErr w:type="gramEnd"/>
      <w:r w:rsidR="00115875" w:rsidRPr="007319CD">
        <w:rPr>
          <w:rFonts w:hAnsi="標楷體" w:hint="eastAsia"/>
        </w:rPr>
        <w:t>，小車無</w:t>
      </w:r>
      <w:proofErr w:type="gramStart"/>
      <w:r w:rsidR="00115875" w:rsidRPr="007319CD">
        <w:rPr>
          <w:rFonts w:hAnsi="標楷體" w:hint="eastAsia"/>
        </w:rPr>
        <w:t>軏</w:t>
      </w:r>
      <w:proofErr w:type="gramEnd"/>
      <w:r w:rsidR="00115875" w:rsidRPr="007319CD">
        <w:rPr>
          <w:rFonts w:hAnsi="標楷體" w:hint="eastAsia"/>
        </w:rPr>
        <w:t>，其何以</w:t>
      </w:r>
      <w:proofErr w:type="gramStart"/>
      <w:r w:rsidR="00115875" w:rsidRPr="007319CD">
        <w:rPr>
          <w:rFonts w:hAnsi="標楷體" w:hint="eastAsia"/>
        </w:rPr>
        <w:t>行之哉</w:t>
      </w:r>
      <w:proofErr w:type="gramEnd"/>
      <w:r w:rsidR="00115875" w:rsidRPr="007319CD">
        <w:rPr>
          <w:rFonts w:hAnsi="標楷體" w:hint="eastAsia"/>
        </w:rPr>
        <w:t>。」國亦</w:t>
      </w:r>
      <w:proofErr w:type="gramStart"/>
      <w:r w:rsidR="00115875" w:rsidRPr="007319CD">
        <w:rPr>
          <w:rFonts w:hAnsi="標楷體" w:hint="eastAsia"/>
        </w:rPr>
        <w:t>然哉，故子貢問</w:t>
      </w:r>
      <w:proofErr w:type="gramEnd"/>
      <w:r w:rsidR="00115875" w:rsidRPr="007319CD">
        <w:rPr>
          <w:rFonts w:hAnsi="標楷體" w:hint="eastAsia"/>
        </w:rPr>
        <w:t>政。</w:t>
      </w:r>
      <w:proofErr w:type="gramStart"/>
      <w:r w:rsidR="00115875" w:rsidRPr="007319CD">
        <w:rPr>
          <w:rFonts w:hAnsi="標楷體" w:hint="eastAsia"/>
        </w:rPr>
        <w:t>子曰</w:t>
      </w:r>
      <w:proofErr w:type="gramEnd"/>
      <w:r w:rsidR="00115875" w:rsidRPr="007319CD">
        <w:rPr>
          <w:rFonts w:hAnsi="標楷體" w:hint="eastAsia"/>
        </w:rPr>
        <w:t>：「足食，</w:t>
      </w:r>
      <w:proofErr w:type="gramStart"/>
      <w:r w:rsidR="00115875" w:rsidRPr="007319CD">
        <w:rPr>
          <w:rFonts w:hAnsi="標楷體" w:hint="eastAsia"/>
        </w:rPr>
        <w:t>足兵</w:t>
      </w:r>
      <w:proofErr w:type="gramEnd"/>
      <w:r w:rsidR="00115875" w:rsidRPr="007319CD">
        <w:rPr>
          <w:rFonts w:hAnsi="標楷體" w:hint="eastAsia"/>
        </w:rPr>
        <w:t>，民信之矣。」</w:t>
      </w:r>
      <w:proofErr w:type="gramStart"/>
      <w:r w:rsidR="00115875" w:rsidRPr="007319CD">
        <w:rPr>
          <w:rFonts w:hAnsi="標楷體" w:hint="eastAsia"/>
        </w:rPr>
        <w:t>子貢曰</w:t>
      </w:r>
      <w:proofErr w:type="gramEnd"/>
      <w:r w:rsidR="00115875" w:rsidRPr="007319CD">
        <w:rPr>
          <w:rFonts w:hAnsi="標楷體" w:hint="eastAsia"/>
        </w:rPr>
        <w:t>：「必不得已而去，於斯三者何先？」曰：「</w:t>
      </w:r>
      <w:proofErr w:type="gramStart"/>
      <w:r w:rsidR="00115875" w:rsidRPr="007319CD">
        <w:rPr>
          <w:rFonts w:hAnsi="標楷體" w:hint="eastAsia"/>
        </w:rPr>
        <w:t>去兵</w:t>
      </w:r>
      <w:proofErr w:type="gramEnd"/>
      <w:r w:rsidR="00115875" w:rsidRPr="007319CD">
        <w:rPr>
          <w:rFonts w:hAnsi="標楷體" w:hint="eastAsia"/>
        </w:rPr>
        <w:t>。」</w:t>
      </w:r>
      <w:proofErr w:type="gramStart"/>
      <w:r w:rsidR="00115875" w:rsidRPr="007319CD">
        <w:rPr>
          <w:rFonts w:hAnsi="標楷體" w:hint="eastAsia"/>
        </w:rPr>
        <w:t>子貢曰</w:t>
      </w:r>
      <w:proofErr w:type="gramEnd"/>
      <w:r w:rsidR="00115875" w:rsidRPr="007319CD">
        <w:rPr>
          <w:rFonts w:hAnsi="標楷體" w:hint="eastAsia"/>
        </w:rPr>
        <w:t>：「必不得已而去，於斯</w:t>
      </w:r>
      <w:proofErr w:type="gramStart"/>
      <w:r w:rsidR="00115875" w:rsidRPr="007319CD">
        <w:rPr>
          <w:rFonts w:hAnsi="標楷體" w:hint="eastAsia"/>
        </w:rPr>
        <w:t>二者何先</w:t>
      </w:r>
      <w:proofErr w:type="gramEnd"/>
      <w:r w:rsidR="00115875" w:rsidRPr="007319CD">
        <w:rPr>
          <w:rFonts w:hAnsi="標楷體" w:hint="eastAsia"/>
        </w:rPr>
        <w:t>？」曰：「</w:t>
      </w:r>
      <w:proofErr w:type="gramStart"/>
      <w:r w:rsidR="00115875" w:rsidRPr="007319CD">
        <w:rPr>
          <w:rFonts w:hAnsi="標楷體" w:hint="eastAsia"/>
        </w:rPr>
        <w:t>去食</w:t>
      </w:r>
      <w:proofErr w:type="gramEnd"/>
      <w:r w:rsidR="00115875" w:rsidRPr="007319CD">
        <w:rPr>
          <w:rFonts w:hAnsi="標楷體" w:hint="eastAsia"/>
        </w:rPr>
        <w:t>。自古皆有死，</w:t>
      </w:r>
      <w:proofErr w:type="gramStart"/>
      <w:r w:rsidR="00115875" w:rsidRPr="007319CD">
        <w:rPr>
          <w:rFonts w:hAnsi="標楷體" w:hint="eastAsia"/>
        </w:rPr>
        <w:t>民無信</w:t>
      </w:r>
      <w:proofErr w:type="gramEnd"/>
      <w:r w:rsidR="00115875" w:rsidRPr="007319CD">
        <w:rPr>
          <w:rFonts w:hAnsi="標楷體" w:hint="eastAsia"/>
        </w:rPr>
        <w:t>不立。」誠哉斯言，</w:t>
      </w:r>
      <w:proofErr w:type="gramStart"/>
      <w:r w:rsidR="00115875" w:rsidRPr="007319CD">
        <w:rPr>
          <w:rFonts w:hAnsi="標楷體" w:hint="eastAsia"/>
        </w:rPr>
        <w:t>國固無</w:t>
      </w:r>
      <w:proofErr w:type="gramEnd"/>
      <w:r w:rsidR="00115875" w:rsidRPr="007319CD">
        <w:rPr>
          <w:rFonts w:hAnsi="標楷體" w:hint="eastAsia"/>
        </w:rPr>
        <w:t>財者或不免</w:t>
      </w:r>
      <w:proofErr w:type="gramStart"/>
      <w:r w:rsidR="00115875" w:rsidRPr="007319CD">
        <w:rPr>
          <w:rFonts w:hAnsi="標楷體" w:hint="eastAsia"/>
        </w:rPr>
        <w:t>於</w:t>
      </w:r>
      <w:r w:rsidR="00CA4587" w:rsidRPr="007319CD">
        <w:rPr>
          <w:rFonts w:hAnsi="標楷體" w:hint="eastAsia"/>
        </w:rPr>
        <w:t>弱</w:t>
      </w:r>
      <w:r w:rsidR="002E7B70" w:rsidRPr="007319CD">
        <w:rPr>
          <w:rFonts w:hAnsi="標楷體" w:hint="eastAsia"/>
        </w:rPr>
        <w:t>，然國</w:t>
      </w:r>
      <w:proofErr w:type="gramEnd"/>
      <w:r w:rsidR="002E7B70" w:rsidRPr="007319CD">
        <w:rPr>
          <w:rFonts w:hAnsi="標楷體" w:hint="eastAsia"/>
        </w:rPr>
        <w:t>無信，</w:t>
      </w:r>
      <w:r w:rsidR="00115875" w:rsidRPr="007319CD">
        <w:rPr>
          <w:rFonts w:hAnsi="標楷體" w:hint="eastAsia"/>
        </w:rPr>
        <w:t>則雖暫存，而民不信，</w:t>
      </w:r>
      <w:proofErr w:type="gramStart"/>
      <w:r w:rsidR="00115875" w:rsidRPr="007319CD">
        <w:rPr>
          <w:rFonts w:hAnsi="標楷體" w:hint="eastAsia"/>
        </w:rPr>
        <w:t>國猶無</w:t>
      </w:r>
      <w:proofErr w:type="gramEnd"/>
      <w:r w:rsidR="00115875" w:rsidRPr="007319CD">
        <w:rPr>
          <w:rFonts w:hAnsi="標楷體" w:hint="eastAsia"/>
        </w:rPr>
        <w:t>以自立而生</w:t>
      </w:r>
      <w:r w:rsidR="002E7B70" w:rsidRPr="007319CD">
        <w:rPr>
          <w:rFonts w:hAnsi="標楷體" w:hint="eastAsia"/>
        </w:rPr>
        <w:t>，</w:t>
      </w:r>
      <w:proofErr w:type="gramStart"/>
      <w:r w:rsidR="00115875" w:rsidRPr="007319CD">
        <w:rPr>
          <w:rFonts w:hAnsi="標楷體" w:hint="eastAsia"/>
        </w:rPr>
        <w:t>不若死</w:t>
      </w:r>
      <w:proofErr w:type="gramEnd"/>
      <w:r w:rsidR="00115875" w:rsidRPr="007319CD">
        <w:rPr>
          <w:rFonts w:hAnsi="標楷體" w:hint="eastAsia"/>
        </w:rPr>
        <w:t>之為安。故國寧死而不失信負於民，亦使民寧死而不失信</w:t>
      </w:r>
      <w:r w:rsidR="008F68DE" w:rsidRPr="007319CD">
        <w:rPr>
          <w:rFonts w:hAnsi="標楷體" w:hint="eastAsia"/>
        </w:rPr>
        <w:t>於</w:t>
      </w:r>
      <w:r w:rsidR="00115875" w:rsidRPr="007319CD">
        <w:rPr>
          <w:rFonts w:hAnsi="標楷體" w:hint="eastAsia"/>
        </w:rPr>
        <w:t>國也</w:t>
      </w:r>
      <w:r w:rsidR="00AA1956" w:rsidRPr="007319CD">
        <w:rPr>
          <w:rFonts w:hAnsi="標楷體" w:hint="eastAsia"/>
        </w:rPr>
        <w:t>。公務員為權利</w:t>
      </w:r>
      <w:r w:rsidR="00903785" w:rsidRPr="007319CD">
        <w:rPr>
          <w:rFonts w:hAnsi="標楷體" w:hint="eastAsia"/>
        </w:rPr>
        <w:t>奮</w:t>
      </w:r>
      <w:r w:rsidR="00AA1956" w:rsidRPr="007319CD">
        <w:rPr>
          <w:rFonts w:hAnsi="標楷體" w:hint="eastAsia"/>
        </w:rPr>
        <w:t>鬥乃是公務員受到國家</w:t>
      </w:r>
      <w:r w:rsidR="005D0481" w:rsidRPr="007319CD">
        <w:rPr>
          <w:rFonts w:hAnsi="標楷體" w:hint="eastAsia"/>
        </w:rPr>
        <w:t>權力</w:t>
      </w:r>
      <w:r w:rsidR="00AA1956" w:rsidRPr="007319CD">
        <w:rPr>
          <w:rFonts w:hAnsi="標楷體" w:hint="eastAsia"/>
        </w:rPr>
        <w:t>侵害，就自己身為人類應盡義務</w:t>
      </w:r>
      <w:r w:rsidR="005D0481" w:rsidRPr="007319CD">
        <w:rPr>
          <w:rFonts w:hAnsi="標楷體" w:hint="eastAsia"/>
        </w:rPr>
        <w:t>，當其公務員個人權利問題轉換為國家現行法實現問題，已非為一己私利而</w:t>
      </w:r>
      <w:r w:rsidR="00903785" w:rsidRPr="007319CD">
        <w:rPr>
          <w:rFonts w:hAnsi="標楷體" w:hint="eastAsia"/>
        </w:rPr>
        <w:t>奮鬥</w:t>
      </w:r>
      <w:r w:rsidR="005D0481" w:rsidRPr="007319CD">
        <w:rPr>
          <w:rFonts w:hAnsi="標楷體" w:hint="eastAsia"/>
        </w:rPr>
        <w:t>，而係為法律實現而</w:t>
      </w:r>
      <w:r w:rsidR="00903785" w:rsidRPr="007319CD">
        <w:rPr>
          <w:rFonts w:hAnsi="標楷體" w:hint="eastAsia"/>
        </w:rPr>
        <w:t>奮鬥</w:t>
      </w:r>
      <w:r w:rsidR="005D0481" w:rsidRPr="007319CD">
        <w:rPr>
          <w:rFonts w:hAnsi="標楷體" w:hint="eastAsia"/>
        </w:rPr>
        <w:t>，為法律生命而</w:t>
      </w:r>
      <w:r w:rsidR="00903785" w:rsidRPr="007319CD">
        <w:rPr>
          <w:rFonts w:hAnsi="標楷體" w:hint="eastAsia"/>
        </w:rPr>
        <w:t>奮鬥</w:t>
      </w:r>
      <w:r w:rsidR="005D0481" w:rsidRPr="007319CD">
        <w:rPr>
          <w:rFonts w:hAnsi="標楷體" w:hint="eastAsia"/>
        </w:rPr>
        <w:t>，</w:t>
      </w:r>
      <w:r w:rsidR="005D0481" w:rsidRPr="007319CD">
        <w:rPr>
          <w:rFonts w:hAnsi="標楷體" w:hint="eastAsia"/>
        </w:rPr>
        <w:lastRenderedPageBreak/>
        <w:t>為國家的法律秩序而</w:t>
      </w:r>
      <w:r w:rsidR="00903785" w:rsidRPr="007319CD">
        <w:rPr>
          <w:rFonts w:hAnsi="標楷體" w:hint="eastAsia"/>
        </w:rPr>
        <w:t>奮鬥</w:t>
      </w:r>
      <w:r w:rsidR="00AA1956" w:rsidRPr="007319CD">
        <w:rPr>
          <w:rFonts w:hAnsi="標楷體" w:hint="eastAsia"/>
        </w:rPr>
        <w:t>。生存保全</w:t>
      </w:r>
      <w:r w:rsidR="005D0481" w:rsidRPr="007319CD">
        <w:rPr>
          <w:rFonts w:hAnsi="標楷體" w:hint="eastAsia"/>
        </w:rPr>
        <w:t>為</w:t>
      </w:r>
      <w:r w:rsidR="00AA1956" w:rsidRPr="007319CD">
        <w:rPr>
          <w:rFonts w:hAnsi="標楷體" w:hint="eastAsia"/>
        </w:rPr>
        <w:t>一切動物最高原則，然其他動物</w:t>
      </w:r>
      <w:r w:rsidR="005D0481" w:rsidRPr="007319CD">
        <w:rPr>
          <w:rFonts w:hAnsi="標楷體" w:hint="eastAsia"/>
        </w:rPr>
        <w:t>僅依本能保全肉體</w:t>
      </w:r>
      <w:r w:rsidR="00AA1956" w:rsidRPr="007319CD">
        <w:rPr>
          <w:rFonts w:hAnsi="標楷體" w:hint="eastAsia"/>
        </w:rPr>
        <w:t>生命，人類除肉體生命之外，尚有精神上生命。而此精神生命由法律觀之，則為權利，抵抗侵害乃是權利人的義務。人民生存不是單由法律之抽象的保護，而是因具體主張權利，堅決主張自己權利，並非出於利益，而是出於權利感情的作用，當權利與人格結為一體時，不問何種權利，無法計算價值之多少。此種價值不</w:t>
      </w:r>
      <w:r w:rsidR="00903785" w:rsidRPr="007319CD">
        <w:rPr>
          <w:rFonts w:hAnsi="標楷體" w:hint="eastAsia"/>
        </w:rPr>
        <w:t>僅</w:t>
      </w:r>
      <w:r w:rsidR="00AA1956" w:rsidRPr="007319CD">
        <w:rPr>
          <w:rFonts w:hAnsi="標楷體" w:hint="eastAsia"/>
        </w:rPr>
        <w:t>是物質價值(material value)</w:t>
      </w:r>
      <w:r w:rsidR="00903785" w:rsidRPr="007319CD">
        <w:rPr>
          <w:rFonts w:hAnsi="標楷體" w:hint="eastAsia"/>
        </w:rPr>
        <w:t>，還</w:t>
      </w:r>
      <w:r w:rsidR="00AA1956" w:rsidRPr="007319CD">
        <w:rPr>
          <w:rFonts w:hAnsi="標楷體" w:hint="eastAsia"/>
        </w:rPr>
        <w:t>是觀念價值(ideal value)</w:t>
      </w:r>
      <w:r w:rsidR="00903785" w:rsidRPr="007319CD">
        <w:rPr>
          <w:rFonts w:hAnsi="標楷體" w:hint="eastAsia"/>
        </w:rPr>
        <w:t>。</w:t>
      </w:r>
      <w:r w:rsidR="00AA1956" w:rsidRPr="007319CD">
        <w:rPr>
          <w:rFonts w:hAnsi="標楷體" w:hint="eastAsia"/>
        </w:rPr>
        <w:t>本次年金改革</w:t>
      </w:r>
      <w:r w:rsidR="008B4021" w:rsidRPr="007319CD">
        <w:rPr>
          <w:rFonts w:hAnsi="標楷體" w:hint="eastAsia"/>
        </w:rPr>
        <w:t>，是國家背離雇主</w:t>
      </w:r>
      <w:r w:rsidR="005D0481" w:rsidRPr="007319CD">
        <w:rPr>
          <w:rFonts w:hAnsi="標楷體" w:hint="eastAsia"/>
        </w:rPr>
        <w:t>應盡</w:t>
      </w:r>
      <w:r w:rsidR="008B4021" w:rsidRPr="007319CD">
        <w:rPr>
          <w:rFonts w:hAnsi="標楷體" w:hint="eastAsia"/>
        </w:rPr>
        <w:t>給付義務，將公務員職業退休金視同社會保險，名義是公平正義與國家財政保全但</w:t>
      </w:r>
      <w:r w:rsidR="00903785" w:rsidRPr="007319CD">
        <w:rPr>
          <w:rFonts w:hAnsi="標楷體" w:hint="eastAsia"/>
        </w:rPr>
        <w:t>卻實質鼓動社會階級對立</w:t>
      </w:r>
      <w:r w:rsidR="00B1425A" w:rsidRPr="007319CD">
        <w:rPr>
          <w:rFonts w:hAnsi="標楷體" w:hint="eastAsia"/>
        </w:rPr>
        <w:t>，澈</w:t>
      </w:r>
      <w:r w:rsidR="008B4021" w:rsidRPr="007319CD">
        <w:rPr>
          <w:rFonts w:hAnsi="標楷體" w:hint="eastAsia"/>
        </w:rPr>
        <w:t>底瓦解國家法安定性與平等性</w:t>
      </w:r>
      <w:r w:rsidR="00AA1956" w:rsidRPr="007319CD">
        <w:rPr>
          <w:rFonts w:hAnsi="標楷體" w:hint="eastAsia"/>
        </w:rPr>
        <w:t>。</w:t>
      </w:r>
      <w:r w:rsidR="00CA4587" w:rsidRPr="007319CD">
        <w:rPr>
          <w:rFonts w:hAnsi="標楷體" w:hint="eastAsia"/>
        </w:rPr>
        <w:t>查</w:t>
      </w:r>
      <w:r w:rsidRPr="007319CD">
        <w:rPr>
          <w:rFonts w:hAnsi="標楷體" w:hint="eastAsia"/>
        </w:rPr>
        <w:t>公務人員退撫法（新法）第31條規定改變請領資格，延後月</w:t>
      </w:r>
      <w:proofErr w:type="gramStart"/>
      <w:r w:rsidRPr="007319CD">
        <w:rPr>
          <w:rFonts w:hAnsi="標楷體" w:hint="eastAsia"/>
        </w:rPr>
        <w:t>退休金起支年齡</w:t>
      </w:r>
      <w:proofErr w:type="gramEnd"/>
      <w:r w:rsidRPr="007319CD">
        <w:rPr>
          <w:rFonts w:hAnsi="標楷體" w:hint="eastAsia"/>
        </w:rPr>
        <w:t>、第27條調整退休金計算基準、第4條第4款及第37條至第39條規定調降退休所得、第34條取消年資補償金、第45條規定調整月撫慰金制度、第92條規定</w:t>
      </w:r>
      <w:r w:rsidR="00DA4D6C" w:rsidRPr="007319CD">
        <w:rPr>
          <w:rFonts w:hAnsi="標楷體" w:hint="eastAsia"/>
        </w:rPr>
        <w:t>年金制度定期檢討機制</w:t>
      </w:r>
      <w:r w:rsidRPr="007319CD">
        <w:rPr>
          <w:rFonts w:hAnsi="標楷體" w:hint="eastAsia"/>
        </w:rPr>
        <w:t>，使退休給付債權永成不確定狀態等；另</w:t>
      </w:r>
      <w:r w:rsidR="00914E2B" w:rsidRPr="007319CD">
        <w:rPr>
          <w:rFonts w:hAnsi="標楷體" w:hint="eastAsia"/>
        </w:rPr>
        <w:t>公立學校教職員退撫條例</w:t>
      </w:r>
      <w:r w:rsidRPr="007319CD">
        <w:rPr>
          <w:rFonts w:hAnsi="標楷體" w:hint="eastAsia"/>
        </w:rPr>
        <w:t>（新法）第32條規定改變請領資格，延後月</w:t>
      </w:r>
      <w:proofErr w:type="gramStart"/>
      <w:r w:rsidRPr="007319CD">
        <w:rPr>
          <w:rFonts w:hAnsi="標楷體" w:hint="eastAsia"/>
        </w:rPr>
        <w:t>退休金起支年齡</w:t>
      </w:r>
      <w:proofErr w:type="gramEnd"/>
      <w:r w:rsidRPr="007319CD">
        <w:rPr>
          <w:rFonts w:hAnsi="標楷體" w:hint="eastAsia"/>
        </w:rPr>
        <w:t>、第28條調整退休金計算基準、第4條第4款及第37條至第39條規定調降退休所得、第34條取消年資補償金、第45條規定調整月撫慰金制度、第97條規定</w:t>
      </w:r>
      <w:r w:rsidR="00DA4D6C" w:rsidRPr="007319CD">
        <w:rPr>
          <w:rFonts w:hAnsi="標楷體" w:hint="eastAsia"/>
        </w:rPr>
        <w:t>年金制度定期檢討機制</w:t>
      </w:r>
      <w:r w:rsidRPr="007319CD">
        <w:rPr>
          <w:rFonts w:hAnsi="標楷體" w:hint="eastAsia"/>
        </w:rPr>
        <w:t>，使退休給付債權永成不確定狀態等，其適用對象與範圍涵蓋已退休與未退休之所有公教人員，違反法律溯及既往原則，侵害公務員之財產權</w:t>
      </w:r>
      <w:r w:rsidR="00D17BF2" w:rsidRPr="007319CD">
        <w:rPr>
          <w:rFonts w:hAnsi="標楷體" w:hint="eastAsia"/>
        </w:rPr>
        <w:t>，並破壞公務員制度性保障（含教師），</w:t>
      </w:r>
      <w:r w:rsidRPr="007319CD">
        <w:rPr>
          <w:rFonts w:hAnsi="標楷體" w:hint="eastAsia"/>
        </w:rPr>
        <w:t>使特別法律關係失其正當性；又新法實施後公務員年齡結構將達60歲，全體公務員勢將以「消極性取代主動性」，公共服務品質與國家整體競爭力必將下降，嚴重影響常任文官制度</w:t>
      </w:r>
      <w:r w:rsidR="00D17BF2" w:rsidRPr="007319CD">
        <w:rPr>
          <w:rFonts w:hAnsi="標楷體" w:hint="eastAsia"/>
        </w:rPr>
        <w:t>，其</w:t>
      </w:r>
      <w:r w:rsidRPr="007319CD">
        <w:rPr>
          <w:rFonts w:hAnsi="標楷體" w:hint="eastAsia"/>
        </w:rPr>
        <w:t>除侵害公務員財產權外，因該法設計係以國家作為第三人而非雇主身分，而</w:t>
      </w:r>
      <w:r w:rsidRPr="007319CD">
        <w:rPr>
          <w:rFonts w:hAnsi="標楷體" w:hint="eastAsia"/>
        </w:rPr>
        <w:lastRenderedPageBreak/>
        <w:t>生繳費義務與退休所得不相稱現象，違反平等原則</w:t>
      </w:r>
      <w:r w:rsidR="00D17BF2" w:rsidRPr="007319CD">
        <w:rPr>
          <w:rFonts w:hAnsi="標楷體" w:hint="eastAsia"/>
        </w:rPr>
        <w:t>；復</w:t>
      </w:r>
      <w:r w:rsidRPr="007319CD">
        <w:rPr>
          <w:rFonts w:hAnsi="標楷體" w:hint="eastAsia"/>
        </w:rPr>
        <w:t>拒絕給與符合「退休公務員俸給與</w:t>
      </w:r>
      <w:r w:rsidR="00D17BF2" w:rsidRPr="007319CD">
        <w:rPr>
          <w:rFonts w:hAnsi="標楷體" w:hint="eastAsia"/>
        </w:rPr>
        <w:t>職等身分」之價金，致公務員老年生活喪失安全保障，</w:t>
      </w:r>
      <w:r w:rsidRPr="007319CD">
        <w:rPr>
          <w:rFonts w:hAnsi="標楷體" w:hint="eastAsia"/>
        </w:rPr>
        <w:t>違反最小侵害原則，自有違憲法第15條生存權與憲法第23</w:t>
      </w:r>
      <w:r w:rsidR="00D17BF2" w:rsidRPr="007319CD">
        <w:rPr>
          <w:rFonts w:hAnsi="標楷體" w:hint="eastAsia"/>
        </w:rPr>
        <w:t>條比例原則至明；</w:t>
      </w:r>
      <w:proofErr w:type="gramStart"/>
      <w:r w:rsidR="00D17BF2" w:rsidRPr="007319CD">
        <w:rPr>
          <w:rFonts w:hAnsi="標楷體" w:hint="eastAsia"/>
        </w:rPr>
        <w:t>再者，</w:t>
      </w:r>
      <w:proofErr w:type="gramEnd"/>
      <w:r w:rsidR="00D17BF2" w:rsidRPr="007319CD">
        <w:rPr>
          <w:rFonts w:hAnsi="標楷體" w:hint="eastAsia"/>
        </w:rPr>
        <w:t>新法僅因所謂財務政策公益</w:t>
      </w:r>
      <w:r w:rsidRPr="007319CD">
        <w:rPr>
          <w:rFonts w:hAnsi="標楷體" w:hint="eastAsia"/>
        </w:rPr>
        <w:t>考量（即國庫利益之考量），而</w:t>
      </w:r>
      <w:proofErr w:type="gramStart"/>
      <w:r w:rsidRPr="007319CD">
        <w:rPr>
          <w:rFonts w:hAnsi="標楷體" w:hint="eastAsia"/>
        </w:rPr>
        <w:t>遽</w:t>
      </w:r>
      <w:proofErr w:type="gramEnd"/>
      <w:r w:rsidRPr="007319CD">
        <w:rPr>
          <w:rFonts w:hAnsi="標楷體" w:hint="eastAsia"/>
        </w:rPr>
        <w:t>行摧毀公務員制度性保障或減損具有效能（具吸引力）的文官制度，並未遵守退撫基金管理條例調整繳費費率，或由政府撥款，反以違反法治國原則下之法律</w:t>
      </w:r>
      <w:proofErr w:type="gramStart"/>
      <w:r w:rsidRPr="007319CD">
        <w:rPr>
          <w:rFonts w:hAnsi="標楷體" w:hint="eastAsia"/>
        </w:rPr>
        <w:t>不</w:t>
      </w:r>
      <w:proofErr w:type="gramEnd"/>
      <w:r w:rsidRPr="007319CD">
        <w:rPr>
          <w:rFonts w:hAnsi="標楷體" w:hint="eastAsia"/>
        </w:rPr>
        <w:t>溯及既往原則、信賴保護原則、比例原則、誠信原則、平等原則，並侵害公務員財產權與生存權之方式，達成所謂減輕國家財政負擔目的，其亦僅能延長退撫基金收支平衡16年或17年，與延後基金免於</w:t>
      </w:r>
      <w:proofErr w:type="gramStart"/>
      <w:r w:rsidRPr="007319CD">
        <w:rPr>
          <w:rFonts w:hAnsi="標楷體" w:hint="eastAsia"/>
        </w:rPr>
        <w:t>用罄約20年</w:t>
      </w:r>
      <w:proofErr w:type="gramEnd"/>
      <w:r w:rsidRPr="007319CD">
        <w:rPr>
          <w:rFonts w:hAnsi="標楷體" w:hint="eastAsia"/>
        </w:rPr>
        <w:t>，對於基金</w:t>
      </w:r>
      <w:proofErr w:type="gramStart"/>
      <w:r w:rsidRPr="007319CD">
        <w:rPr>
          <w:rFonts w:hAnsi="標楷體" w:hint="eastAsia"/>
        </w:rPr>
        <w:t>得否永續</w:t>
      </w:r>
      <w:proofErr w:type="gramEnd"/>
      <w:r w:rsidRPr="007319CD">
        <w:rPr>
          <w:rFonts w:hAnsi="標楷體" w:hint="eastAsia"/>
        </w:rPr>
        <w:t>經營無法解決，除與「適合原則」未盡相符外，亦違反狹義之比例原則，至為灼然</w:t>
      </w:r>
      <w:r w:rsidR="005D0481" w:rsidRPr="007319CD">
        <w:rPr>
          <w:rFonts w:hAnsi="標楷體" w:hint="eastAsia"/>
        </w:rPr>
        <w:t>等節</w:t>
      </w:r>
      <w:r w:rsidRPr="007319CD">
        <w:rPr>
          <w:rFonts w:hAnsi="標楷體" w:hint="eastAsia"/>
        </w:rPr>
        <w:t>。</w:t>
      </w:r>
      <w:r w:rsidR="005D0481" w:rsidRPr="007319CD">
        <w:rPr>
          <w:rFonts w:hAnsi="標楷體" w:hint="eastAsia"/>
        </w:rPr>
        <w:t>該項立法顯有違憲法法治國原則與正當法律程序原則，並</w:t>
      </w:r>
      <w:proofErr w:type="gramStart"/>
      <w:r w:rsidR="005D0481" w:rsidRPr="007319CD">
        <w:rPr>
          <w:rFonts w:hAnsi="標楷體" w:hint="eastAsia"/>
        </w:rPr>
        <w:t>斲</w:t>
      </w:r>
      <w:proofErr w:type="gramEnd"/>
      <w:r w:rsidR="005D0481" w:rsidRPr="007319CD">
        <w:rPr>
          <w:rFonts w:hAnsi="標楷體" w:hint="eastAsia"/>
        </w:rPr>
        <w:t>傷公務員制度性保障，將使我國現代民主憲政制度與功績制獨立的文官制度破壞殆盡，自難容於現代國家之憲法體系。</w:t>
      </w:r>
    </w:p>
    <w:p w:rsidR="00B1388F" w:rsidRPr="007319CD" w:rsidRDefault="00B1388F" w:rsidP="00B1388F">
      <w:pPr>
        <w:pStyle w:val="1"/>
        <w:rPr>
          <w:rFonts w:hAnsi="標楷體"/>
          <w:b/>
        </w:rPr>
      </w:pPr>
      <w:r w:rsidRPr="007319CD">
        <w:rPr>
          <w:rFonts w:hAnsi="標楷體"/>
          <w:b/>
        </w:rPr>
        <w:t>關係文件</w:t>
      </w:r>
    </w:p>
    <w:p w:rsidR="00B1388F" w:rsidRPr="007319CD" w:rsidRDefault="00B1388F" w:rsidP="00B1388F">
      <w:pPr>
        <w:pStyle w:val="2"/>
        <w:rPr>
          <w:rFonts w:hAnsi="標楷體"/>
        </w:rPr>
      </w:pPr>
      <w:r w:rsidRPr="007319CD">
        <w:rPr>
          <w:rFonts w:hAnsi="標楷體"/>
        </w:rPr>
        <w:t>中華民國全國公務人員協會、全國退休教師聯盟、全國教育產業總工會、彰化縣軍公教聯盟</w:t>
      </w:r>
      <w:r w:rsidR="00ED4183" w:rsidRPr="007319CD">
        <w:rPr>
          <w:rFonts w:hAnsi="標楷體"/>
        </w:rPr>
        <w:t>等</w:t>
      </w:r>
      <w:r w:rsidRPr="007319CD">
        <w:rPr>
          <w:rFonts w:hAnsi="標楷體"/>
        </w:rPr>
        <w:t>陳訴書</w:t>
      </w:r>
      <w:r w:rsidR="00B96071" w:rsidRPr="007319CD">
        <w:rPr>
          <w:rFonts w:hAnsi="標楷體" w:hint="eastAsia"/>
        </w:rPr>
        <w:t>及退休所得重新審定通知書</w:t>
      </w:r>
      <w:r w:rsidR="004A373D" w:rsidRPr="007319CD">
        <w:rPr>
          <w:rFonts w:hAnsi="標楷體"/>
        </w:rPr>
        <w:t>。</w:t>
      </w:r>
    </w:p>
    <w:p w:rsidR="00B1388F" w:rsidRPr="007319CD" w:rsidRDefault="00B1388F" w:rsidP="00B1388F">
      <w:pPr>
        <w:pStyle w:val="2"/>
        <w:rPr>
          <w:rFonts w:hAnsi="標楷體"/>
        </w:rPr>
      </w:pPr>
      <w:r w:rsidRPr="007319CD">
        <w:rPr>
          <w:rFonts w:hAnsi="標楷體"/>
        </w:rPr>
        <w:t>本院106年7月25日以院</w:t>
      </w:r>
      <w:proofErr w:type="gramStart"/>
      <w:r w:rsidRPr="007319CD">
        <w:rPr>
          <w:rFonts w:hAnsi="標楷體"/>
        </w:rPr>
        <w:t>台調壹字</w:t>
      </w:r>
      <w:proofErr w:type="gramEnd"/>
      <w:r w:rsidRPr="007319CD">
        <w:rPr>
          <w:rFonts w:hAnsi="標楷體"/>
        </w:rPr>
        <w:t>第1060800141號</w:t>
      </w:r>
      <w:proofErr w:type="gramStart"/>
      <w:r w:rsidRPr="007319CD">
        <w:rPr>
          <w:rFonts w:hAnsi="標楷體"/>
        </w:rPr>
        <w:t>派查函</w:t>
      </w:r>
      <w:proofErr w:type="gramEnd"/>
      <w:r w:rsidRPr="007319CD">
        <w:rPr>
          <w:rFonts w:hAnsi="標楷體"/>
        </w:rPr>
        <w:t>。</w:t>
      </w:r>
    </w:p>
    <w:p w:rsidR="00B1388F" w:rsidRPr="007319CD" w:rsidRDefault="00B1388F" w:rsidP="00B1388F">
      <w:pPr>
        <w:pStyle w:val="2"/>
        <w:rPr>
          <w:rFonts w:hAnsi="標楷體"/>
        </w:rPr>
      </w:pPr>
      <w:r w:rsidRPr="007319CD">
        <w:rPr>
          <w:rFonts w:hAnsi="標楷體"/>
        </w:rPr>
        <w:t>本案調查報告。</w:t>
      </w:r>
    </w:p>
    <w:p w:rsidR="00DD44C1" w:rsidRPr="007319CD" w:rsidRDefault="00DD44C1" w:rsidP="00DD44C1">
      <w:pPr>
        <w:rPr>
          <w:rFonts w:hAnsi="標楷體"/>
        </w:rPr>
      </w:pPr>
    </w:p>
    <w:p w:rsidR="00DD634D" w:rsidRPr="007319CD" w:rsidRDefault="00DD634D" w:rsidP="00DD44C1">
      <w:pPr>
        <w:rPr>
          <w:rFonts w:hAnsi="標楷體"/>
        </w:rPr>
        <w:sectPr w:rsidR="00DD634D" w:rsidRPr="007319CD"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bookmarkStart w:id="32" w:name="_Toc451267489"/>
      <w:bookmarkStart w:id="33" w:name="_Toc4467127"/>
      <w:r w:rsidRPr="007319CD">
        <w:rPr>
          <w:rFonts w:hAnsi="標楷體"/>
        </w:rPr>
        <w:lastRenderedPageBreak/>
        <w:t>公務人員退休法令年金改革前後規定重要差異彙整表</w:t>
      </w:r>
      <w:bookmarkEnd w:id="32"/>
    </w:p>
    <w:tbl>
      <w:tblPr>
        <w:tblStyle w:val="afb"/>
        <w:tblW w:w="4986" w:type="pct"/>
        <w:jc w:val="center"/>
        <w:tblLayout w:type="fixed"/>
        <w:tblCellMar>
          <w:left w:w="28" w:type="dxa"/>
          <w:right w:w="28" w:type="dxa"/>
        </w:tblCellMar>
        <w:tblLook w:val="04A0" w:firstRow="1" w:lastRow="0" w:firstColumn="1" w:lastColumn="0" w:noHBand="0" w:noVBand="1"/>
      </w:tblPr>
      <w:tblGrid>
        <w:gridCol w:w="268"/>
        <w:gridCol w:w="753"/>
        <w:gridCol w:w="2213"/>
        <w:gridCol w:w="738"/>
        <w:gridCol w:w="4111"/>
        <w:gridCol w:w="792"/>
      </w:tblGrid>
      <w:tr w:rsidR="007319CD" w:rsidRPr="007319CD" w:rsidTr="00CA543E">
        <w:trPr>
          <w:trHeight w:val="545"/>
          <w:tblHeader/>
          <w:jc w:val="center"/>
        </w:trPr>
        <w:tc>
          <w:tcPr>
            <w:tcW w:w="151" w:type="pct"/>
            <w:vMerge w:val="restart"/>
            <w:shd w:val="clear" w:color="auto" w:fill="EEECE1" w:themeFill="background2"/>
            <w:vAlign w:val="center"/>
          </w:tcPr>
          <w:bookmarkEnd w:id="33"/>
          <w:p w:rsidR="00424A6C" w:rsidRPr="007319CD" w:rsidRDefault="00424A6C" w:rsidP="00424A6C">
            <w:pPr>
              <w:pStyle w:val="121"/>
              <w:rPr>
                <w:rFonts w:hAnsi="標楷體"/>
              </w:rPr>
            </w:pPr>
            <w:r w:rsidRPr="007319CD">
              <w:rPr>
                <w:rFonts w:hAnsi="標楷體"/>
              </w:rPr>
              <w:t>議題</w:t>
            </w:r>
          </w:p>
        </w:tc>
        <w:tc>
          <w:tcPr>
            <w:tcW w:w="424" w:type="pct"/>
            <w:vMerge w:val="restart"/>
            <w:shd w:val="clear" w:color="auto" w:fill="EEECE1" w:themeFill="background2"/>
            <w:vAlign w:val="center"/>
          </w:tcPr>
          <w:p w:rsidR="00424A6C" w:rsidRPr="007319CD" w:rsidRDefault="00424A6C" w:rsidP="00424A6C">
            <w:pPr>
              <w:pStyle w:val="121"/>
              <w:rPr>
                <w:rFonts w:hAnsi="標楷體"/>
              </w:rPr>
            </w:pPr>
            <w:r w:rsidRPr="007319CD">
              <w:rPr>
                <w:rFonts w:hAnsi="標楷體"/>
              </w:rPr>
              <w:t>項目</w:t>
            </w:r>
          </w:p>
        </w:tc>
        <w:tc>
          <w:tcPr>
            <w:tcW w:w="1663" w:type="pct"/>
            <w:gridSpan w:val="2"/>
            <w:shd w:val="clear" w:color="auto" w:fill="EEECE1" w:themeFill="background2"/>
            <w:vAlign w:val="center"/>
          </w:tcPr>
          <w:p w:rsidR="00424A6C" w:rsidRPr="007319CD" w:rsidRDefault="00424A6C" w:rsidP="00424A6C">
            <w:pPr>
              <w:pStyle w:val="121"/>
              <w:rPr>
                <w:rFonts w:hAnsi="標楷體"/>
              </w:rPr>
            </w:pPr>
            <w:r w:rsidRPr="007319CD">
              <w:rPr>
                <w:rFonts w:hAnsi="標楷體"/>
              </w:rPr>
              <w:t>原規定</w:t>
            </w:r>
            <w:r w:rsidRPr="007319CD">
              <w:rPr>
                <w:rFonts w:hAnsi="標楷體"/>
              </w:rPr>
              <w:br/>
              <w:t>法律依據：公務人員退休法</w:t>
            </w:r>
          </w:p>
        </w:tc>
        <w:tc>
          <w:tcPr>
            <w:tcW w:w="2763" w:type="pct"/>
            <w:gridSpan w:val="2"/>
            <w:shd w:val="clear" w:color="auto" w:fill="EEECE1" w:themeFill="background2"/>
            <w:vAlign w:val="center"/>
          </w:tcPr>
          <w:p w:rsidR="00424A6C" w:rsidRPr="007319CD" w:rsidRDefault="00424A6C" w:rsidP="00424A6C">
            <w:pPr>
              <w:pStyle w:val="121"/>
              <w:rPr>
                <w:rFonts w:hAnsi="標楷體"/>
              </w:rPr>
            </w:pPr>
            <w:r w:rsidRPr="007319CD">
              <w:rPr>
                <w:rFonts w:hAnsi="標楷體"/>
              </w:rPr>
              <w:t>年金改革後規定</w:t>
            </w:r>
            <w:r w:rsidRPr="007319CD">
              <w:rPr>
                <w:rFonts w:hAnsi="標楷體"/>
              </w:rPr>
              <w:br/>
              <w:t>法律依據：公務人員退撫法</w:t>
            </w:r>
          </w:p>
        </w:tc>
      </w:tr>
      <w:tr w:rsidR="007319CD" w:rsidRPr="007319CD" w:rsidTr="00CA543E">
        <w:trPr>
          <w:trHeight w:val="457"/>
          <w:tblHeader/>
          <w:jc w:val="center"/>
        </w:trPr>
        <w:tc>
          <w:tcPr>
            <w:tcW w:w="151" w:type="pct"/>
            <w:vMerge/>
            <w:shd w:val="clear" w:color="auto" w:fill="EEECE1" w:themeFill="background2"/>
            <w:vAlign w:val="center"/>
          </w:tcPr>
          <w:p w:rsidR="00424A6C" w:rsidRPr="007319CD" w:rsidRDefault="00424A6C" w:rsidP="00424A6C">
            <w:pPr>
              <w:pStyle w:val="121"/>
              <w:rPr>
                <w:rFonts w:hAnsi="標楷體"/>
              </w:rPr>
            </w:pPr>
          </w:p>
        </w:tc>
        <w:tc>
          <w:tcPr>
            <w:tcW w:w="424" w:type="pct"/>
            <w:vMerge/>
            <w:shd w:val="clear" w:color="auto" w:fill="EEECE1" w:themeFill="background2"/>
            <w:vAlign w:val="center"/>
          </w:tcPr>
          <w:p w:rsidR="00424A6C" w:rsidRPr="007319CD" w:rsidRDefault="00424A6C" w:rsidP="00424A6C">
            <w:pPr>
              <w:pStyle w:val="121"/>
              <w:rPr>
                <w:rFonts w:hAnsi="標楷體"/>
              </w:rPr>
            </w:pPr>
          </w:p>
        </w:tc>
        <w:tc>
          <w:tcPr>
            <w:tcW w:w="1247"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內容</w:t>
            </w:r>
          </w:p>
        </w:tc>
        <w:tc>
          <w:tcPr>
            <w:tcW w:w="416"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條次</w:t>
            </w:r>
          </w:p>
        </w:tc>
        <w:tc>
          <w:tcPr>
            <w:tcW w:w="2316"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內容</w:t>
            </w:r>
          </w:p>
        </w:tc>
        <w:tc>
          <w:tcPr>
            <w:tcW w:w="447"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條次</w:t>
            </w:r>
          </w:p>
        </w:tc>
      </w:tr>
      <w:tr w:rsidR="007319CD" w:rsidRPr="007319CD" w:rsidTr="00CA543E">
        <w:trPr>
          <w:jc w:val="center"/>
        </w:trPr>
        <w:tc>
          <w:tcPr>
            <w:tcW w:w="151" w:type="pct"/>
          </w:tcPr>
          <w:p w:rsidR="00424A6C" w:rsidRPr="007319CD" w:rsidRDefault="00424A6C" w:rsidP="00424A6C">
            <w:pPr>
              <w:pStyle w:val="121"/>
              <w:rPr>
                <w:rFonts w:hAnsi="標楷體"/>
              </w:rPr>
            </w:pPr>
            <w:r w:rsidRPr="007319CD">
              <w:rPr>
                <w:rFonts w:hAnsi="標楷體"/>
              </w:rPr>
              <w:t>請領資格</w:t>
            </w:r>
          </w:p>
        </w:tc>
        <w:tc>
          <w:tcPr>
            <w:tcW w:w="424" w:type="pct"/>
          </w:tcPr>
          <w:p w:rsidR="00424A6C" w:rsidRPr="007319CD" w:rsidRDefault="00424A6C" w:rsidP="00424A6C">
            <w:pPr>
              <w:pStyle w:val="121"/>
              <w:rPr>
                <w:rFonts w:hAnsi="標楷體"/>
              </w:rPr>
            </w:pPr>
            <w:r w:rsidRPr="007319CD">
              <w:rPr>
                <w:rFonts w:hAnsi="標楷體"/>
              </w:rPr>
              <w:t>延後月</w:t>
            </w:r>
            <w:proofErr w:type="gramStart"/>
            <w:r w:rsidRPr="007319CD">
              <w:rPr>
                <w:rFonts w:hAnsi="標楷體"/>
              </w:rPr>
              <w:t>退休金起支年齡</w:t>
            </w:r>
            <w:proofErr w:type="gramEnd"/>
          </w:p>
        </w:tc>
        <w:tc>
          <w:tcPr>
            <w:tcW w:w="1247" w:type="pct"/>
          </w:tcPr>
          <w:p w:rsidR="00424A6C" w:rsidRPr="007319CD" w:rsidRDefault="00424A6C" w:rsidP="00424A6C">
            <w:pPr>
              <w:pStyle w:val="121"/>
              <w:rPr>
                <w:rFonts w:hAnsi="標楷體"/>
              </w:rPr>
            </w:pPr>
            <w:r w:rsidRPr="007319CD">
              <w:rPr>
                <w:rFonts w:hAnsi="標楷體"/>
              </w:rPr>
              <w:t>任職滿25年以上自願退休者，月</w:t>
            </w:r>
            <w:proofErr w:type="gramStart"/>
            <w:r w:rsidRPr="007319CD">
              <w:rPr>
                <w:rFonts w:hAnsi="標楷體"/>
              </w:rPr>
              <w:t>退休金起支年齡</w:t>
            </w:r>
            <w:proofErr w:type="gramEnd"/>
            <w:r w:rsidRPr="007319CD">
              <w:rPr>
                <w:rFonts w:hAnsi="標楷體"/>
              </w:rPr>
              <w:t>（85制）：</w:t>
            </w:r>
          </w:p>
          <w:p w:rsidR="00424A6C" w:rsidRPr="007319CD" w:rsidRDefault="00424A6C" w:rsidP="00424A6C">
            <w:pPr>
              <w:pStyle w:val="121"/>
              <w:rPr>
                <w:rFonts w:hAnsi="標楷體"/>
              </w:rPr>
            </w:pPr>
            <w:r w:rsidRPr="007319CD">
              <w:rPr>
                <w:rFonts w:hAnsi="標楷體"/>
              </w:rPr>
              <w:t>年資滿25年以上、未滿30年者，為60歲。</w:t>
            </w:r>
          </w:p>
          <w:p w:rsidR="00424A6C" w:rsidRPr="007319CD" w:rsidRDefault="00424A6C" w:rsidP="00424A6C">
            <w:pPr>
              <w:pStyle w:val="121"/>
              <w:rPr>
                <w:rFonts w:hAnsi="標楷體"/>
              </w:rPr>
            </w:pPr>
            <w:r w:rsidRPr="007319CD">
              <w:rPr>
                <w:rFonts w:hAnsi="標楷體"/>
              </w:rPr>
              <w:t>年資滿30年以上者，為55歲。</w:t>
            </w:r>
          </w:p>
          <w:p w:rsidR="00424A6C" w:rsidRPr="007319CD" w:rsidRDefault="00424A6C" w:rsidP="00424A6C">
            <w:pPr>
              <w:pStyle w:val="121"/>
              <w:rPr>
                <w:rFonts w:hAnsi="標楷體"/>
              </w:rPr>
            </w:pPr>
            <w:r w:rsidRPr="007319CD">
              <w:rPr>
                <w:rFonts w:hAnsi="標楷體"/>
              </w:rPr>
              <w:t>85制10年過渡期間（100年-109年）任職滿25年且年滿50歲，符合下列指標數（年資+年齡）者：</w:t>
            </w:r>
          </w:p>
          <w:tbl>
            <w:tblPr>
              <w:tblW w:w="18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8"/>
              <w:gridCol w:w="803"/>
            </w:tblGrid>
            <w:tr w:rsidR="007319CD" w:rsidRPr="007319CD" w:rsidTr="00CA543E">
              <w:trPr>
                <w:trHeight w:val="245"/>
                <w:tblHeader/>
                <w:jc w:val="center"/>
              </w:trPr>
              <w:tc>
                <w:tcPr>
                  <w:tcW w:w="1008" w:type="dxa"/>
                  <w:tcBorders>
                    <w:top w:val="doub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適用期間</w:t>
                  </w:r>
                </w:p>
              </w:tc>
              <w:tc>
                <w:tcPr>
                  <w:tcW w:w="803" w:type="dxa"/>
                  <w:tcBorders>
                    <w:top w:val="doub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指標數</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100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&gt;=75</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101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&gt;=76</w:t>
                  </w:r>
                </w:p>
              </w:tc>
            </w:tr>
            <w:tr w:rsidR="007319CD" w:rsidRPr="007319CD" w:rsidTr="00CA543E">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102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&gt;=77</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103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&gt;=78</w:t>
                  </w:r>
                </w:p>
              </w:tc>
            </w:tr>
            <w:tr w:rsidR="007319CD" w:rsidRPr="007319CD" w:rsidTr="00CA543E">
              <w:trPr>
                <w:trHeight w:val="263"/>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104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&gt;=79</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105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&gt;=80</w:t>
                  </w:r>
                </w:p>
              </w:tc>
            </w:tr>
            <w:tr w:rsidR="007319CD" w:rsidRPr="007319CD" w:rsidTr="00CA543E">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106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&gt;=81</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107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&gt;=82</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108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&gt;=83</w:t>
                  </w:r>
                </w:p>
              </w:tc>
            </w:tr>
            <w:tr w:rsidR="007319CD" w:rsidRPr="007319CD" w:rsidTr="00CA543E">
              <w:trPr>
                <w:trHeight w:val="254"/>
                <w:jc w:val="center"/>
              </w:trPr>
              <w:tc>
                <w:tcPr>
                  <w:tcW w:w="1008" w:type="dxa"/>
                  <w:tcBorders>
                    <w:top w:val="single" w:sz="4" w:space="0" w:color="auto"/>
                    <w:left w:val="double" w:sz="4" w:space="0" w:color="auto"/>
                    <w:bottom w:val="doub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109 年</w:t>
                  </w:r>
                </w:p>
              </w:tc>
              <w:tc>
                <w:tcPr>
                  <w:tcW w:w="803" w:type="dxa"/>
                  <w:tcBorders>
                    <w:top w:val="single" w:sz="4" w:space="0" w:color="auto"/>
                    <w:left w:val="single" w:sz="4" w:space="0" w:color="auto"/>
                    <w:bottom w:val="doub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&gt;=84</w:t>
                  </w:r>
                </w:p>
              </w:tc>
            </w:tr>
          </w:tbl>
          <w:p w:rsidR="00424A6C" w:rsidRPr="007319CD" w:rsidRDefault="00424A6C" w:rsidP="00424A6C">
            <w:pPr>
              <w:pStyle w:val="121"/>
              <w:rPr>
                <w:rFonts w:hAnsi="標楷體"/>
              </w:rPr>
            </w:pPr>
            <w:r w:rsidRPr="007319CD">
              <w:rPr>
                <w:rFonts w:hAnsi="標楷體"/>
              </w:rPr>
              <w:t>任職滿15年且年滿60歲。</w:t>
            </w:r>
          </w:p>
          <w:p w:rsidR="00424A6C" w:rsidRPr="007319CD" w:rsidRDefault="00424A6C" w:rsidP="00424A6C">
            <w:pPr>
              <w:pStyle w:val="121"/>
              <w:rPr>
                <w:rFonts w:hAnsi="標楷體"/>
              </w:rPr>
            </w:pPr>
            <w:r w:rsidRPr="007319CD">
              <w:rPr>
                <w:rFonts w:hAnsi="標楷體"/>
              </w:rPr>
              <w:t>搭配實施展期及</w:t>
            </w:r>
            <w:proofErr w:type="gramStart"/>
            <w:r w:rsidRPr="007319CD">
              <w:rPr>
                <w:rFonts w:hAnsi="標楷體"/>
              </w:rPr>
              <w:t>減額月退休金</w:t>
            </w:r>
            <w:proofErr w:type="gramEnd"/>
            <w:r w:rsidRPr="007319CD">
              <w:rPr>
                <w:rFonts w:hAnsi="標楷體"/>
              </w:rPr>
              <w:t>（每提前1年，扣減4%，最多提前5年）。</w:t>
            </w:r>
          </w:p>
          <w:p w:rsidR="00424A6C" w:rsidRPr="007319CD" w:rsidRDefault="00424A6C" w:rsidP="00424A6C">
            <w:pPr>
              <w:pStyle w:val="121"/>
              <w:rPr>
                <w:rFonts w:hAnsi="標楷體"/>
              </w:rPr>
            </w:pPr>
            <w:r w:rsidRPr="007319CD">
              <w:rPr>
                <w:rFonts w:hAnsi="標楷體"/>
              </w:rPr>
              <w:t>危</w:t>
            </w:r>
            <w:proofErr w:type="gramStart"/>
            <w:r w:rsidRPr="007319CD">
              <w:rPr>
                <w:rFonts w:hAnsi="標楷體"/>
              </w:rPr>
              <w:t>勞</w:t>
            </w:r>
            <w:proofErr w:type="gramEnd"/>
            <w:r w:rsidRPr="007319CD">
              <w:rPr>
                <w:rFonts w:hAnsi="標楷體"/>
              </w:rPr>
              <w:t>職務人員現為70制（15年+55歲）。</w:t>
            </w:r>
          </w:p>
        </w:tc>
        <w:tc>
          <w:tcPr>
            <w:tcW w:w="416" w:type="pct"/>
          </w:tcPr>
          <w:p w:rsidR="00424A6C" w:rsidRPr="007319CD" w:rsidRDefault="00424A6C" w:rsidP="00424A6C">
            <w:pPr>
              <w:pStyle w:val="121"/>
              <w:rPr>
                <w:rFonts w:hAnsi="標楷體"/>
              </w:rPr>
            </w:pPr>
            <w:r w:rsidRPr="007319CD">
              <w:rPr>
                <w:rFonts w:hAnsi="標楷體"/>
              </w:rPr>
              <w:t>第11條</w:t>
            </w:r>
          </w:p>
        </w:tc>
        <w:tc>
          <w:tcPr>
            <w:tcW w:w="2316" w:type="pct"/>
          </w:tcPr>
          <w:p w:rsidR="00424A6C" w:rsidRPr="007319CD" w:rsidRDefault="00424A6C" w:rsidP="00424A6C">
            <w:pPr>
              <w:pStyle w:val="121"/>
              <w:rPr>
                <w:rFonts w:hAnsi="標楷體"/>
              </w:rPr>
            </w:pPr>
            <w:r w:rsidRPr="007319CD">
              <w:rPr>
                <w:rFonts w:hAnsi="標楷體"/>
              </w:rPr>
              <w:t>自110年起逐年延後至65歲：</w:t>
            </w:r>
          </w:p>
          <w:p w:rsidR="00424A6C" w:rsidRPr="007319CD" w:rsidRDefault="00424A6C" w:rsidP="00424A6C">
            <w:pPr>
              <w:pStyle w:val="121"/>
              <w:rPr>
                <w:rFonts w:hAnsi="標楷體"/>
              </w:rPr>
            </w:pPr>
            <w:r w:rsidRPr="007319CD">
              <w:rPr>
                <w:rFonts w:hAnsi="標楷體"/>
              </w:rPr>
              <w:t>以10年過渡期間與85制之10年緩衝期指標數銜接，逐年延後至65歲。</w:t>
            </w:r>
          </w:p>
          <w:tbl>
            <w:tblPr>
              <w:tblW w:w="3773"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55"/>
              <w:gridCol w:w="992"/>
              <w:gridCol w:w="1559"/>
              <w:gridCol w:w="567"/>
            </w:tblGrid>
            <w:tr w:rsidR="007319CD" w:rsidRPr="007319CD" w:rsidTr="00CA543E">
              <w:trPr>
                <w:trHeight w:val="1054"/>
              </w:trPr>
              <w:tc>
                <w:tcPr>
                  <w:tcW w:w="655" w:type="dxa"/>
                  <w:tcBorders>
                    <w:top w:val="double" w:sz="4" w:space="0" w:color="auto"/>
                    <w:left w:val="doub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退休</w:t>
                  </w:r>
                </w:p>
                <w:p w:rsidR="00424A6C" w:rsidRPr="007319CD" w:rsidRDefault="00424A6C" w:rsidP="00424A6C">
                  <w:pPr>
                    <w:pStyle w:val="121"/>
                    <w:rPr>
                      <w:rFonts w:hAnsi="標楷體"/>
                      <w:sz w:val="22"/>
                      <w:szCs w:val="22"/>
                    </w:rPr>
                  </w:pPr>
                  <w:r w:rsidRPr="007319CD">
                    <w:rPr>
                      <w:rFonts w:hAnsi="標楷體"/>
                      <w:sz w:val="22"/>
                      <w:szCs w:val="22"/>
                    </w:rPr>
                    <w:t>年度</w:t>
                  </w:r>
                </w:p>
              </w:tc>
              <w:tc>
                <w:tcPr>
                  <w:tcW w:w="992" w:type="dxa"/>
                  <w:tcBorders>
                    <w:top w:val="doub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法定年齡（展期及減額之計算基準）</w:t>
                  </w:r>
                </w:p>
              </w:tc>
              <w:tc>
                <w:tcPr>
                  <w:tcW w:w="1559" w:type="dxa"/>
                  <w:tcBorders>
                    <w:top w:val="doub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過渡期間指標數</w:t>
                  </w:r>
                  <w:r w:rsidRPr="007319CD">
                    <w:rPr>
                      <w:rFonts w:hAnsi="標楷體"/>
                      <w:sz w:val="22"/>
                      <w:szCs w:val="22"/>
                    </w:rPr>
                    <w:br/>
                    <w:t>（年資+年齡合計高於或等於指標數，可領全額月退）</w:t>
                  </w:r>
                </w:p>
              </w:tc>
              <w:tc>
                <w:tcPr>
                  <w:tcW w:w="567" w:type="dxa"/>
                  <w:tcBorders>
                    <w:top w:val="doub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基本</w:t>
                  </w:r>
                </w:p>
                <w:p w:rsidR="00424A6C" w:rsidRPr="007319CD" w:rsidRDefault="00424A6C" w:rsidP="00424A6C">
                  <w:pPr>
                    <w:pStyle w:val="121"/>
                    <w:rPr>
                      <w:rFonts w:hAnsi="標楷體"/>
                      <w:sz w:val="22"/>
                      <w:szCs w:val="22"/>
                    </w:rPr>
                  </w:pPr>
                  <w:r w:rsidRPr="007319CD">
                    <w:rPr>
                      <w:rFonts w:hAnsi="標楷體"/>
                      <w:sz w:val="22"/>
                      <w:szCs w:val="22"/>
                    </w:rPr>
                    <w:t>年齡</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107年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60（55）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82</w:t>
                  </w:r>
                </w:p>
              </w:tc>
              <w:tc>
                <w:tcPr>
                  <w:tcW w:w="567" w:type="dxa"/>
                  <w:vMerge w:val="restart"/>
                  <w:tcBorders>
                    <w:top w:val="single" w:sz="4" w:space="0" w:color="auto"/>
                    <w:left w:val="single" w:sz="4" w:space="0" w:color="auto"/>
                    <w:bottom w:val="single" w:sz="24" w:space="0" w:color="C00000"/>
                    <w:right w:val="doub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50</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108年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60（55）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83</w:t>
                  </w:r>
                </w:p>
              </w:tc>
              <w:tc>
                <w:tcPr>
                  <w:tcW w:w="567" w:type="dxa"/>
                  <w:vMerge/>
                  <w:tcBorders>
                    <w:top w:val="single" w:sz="4" w:space="0" w:color="auto"/>
                    <w:left w:val="single" w:sz="4" w:space="0" w:color="auto"/>
                    <w:bottom w:val="single" w:sz="24" w:space="0" w:color="C00000"/>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24" w:space="0" w:color="C00000"/>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109年</w:t>
                  </w:r>
                </w:p>
              </w:tc>
              <w:tc>
                <w:tcPr>
                  <w:tcW w:w="992" w:type="dxa"/>
                  <w:tcBorders>
                    <w:top w:val="single" w:sz="4" w:space="0" w:color="auto"/>
                    <w:left w:val="single" w:sz="4" w:space="0" w:color="auto"/>
                    <w:bottom w:val="single" w:sz="24" w:space="0" w:color="C00000"/>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60（55）</w:t>
                  </w:r>
                </w:p>
              </w:tc>
              <w:tc>
                <w:tcPr>
                  <w:tcW w:w="1559" w:type="dxa"/>
                  <w:tcBorders>
                    <w:top w:val="single" w:sz="4" w:space="0" w:color="auto"/>
                    <w:left w:val="single" w:sz="4" w:space="0" w:color="auto"/>
                    <w:bottom w:val="single" w:sz="24" w:space="0" w:color="C00000"/>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84</w:t>
                  </w:r>
                </w:p>
              </w:tc>
              <w:tc>
                <w:tcPr>
                  <w:tcW w:w="567" w:type="dxa"/>
                  <w:vMerge/>
                  <w:tcBorders>
                    <w:top w:val="single" w:sz="4" w:space="0" w:color="auto"/>
                    <w:left w:val="single" w:sz="4" w:space="0" w:color="auto"/>
                    <w:bottom w:val="single" w:sz="24" w:space="0" w:color="C00000"/>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00"/>
              </w:trPr>
              <w:tc>
                <w:tcPr>
                  <w:tcW w:w="655" w:type="dxa"/>
                  <w:tcBorders>
                    <w:top w:val="single" w:sz="24" w:space="0" w:color="C00000"/>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110年</w:t>
                  </w:r>
                </w:p>
              </w:tc>
              <w:tc>
                <w:tcPr>
                  <w:tcW w:w="992" w:type="dxa"/>
                  <w:tcBorders>
                    <w:top w:val="single" w:sz="24" w:space="0" w:color="C00000"/>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60</w:t>
                  </w:r>
                </w:p>
              </w:tc>
              <w:tc>
                <w:tcPr>
                  <w:tcW w:w="1559" w:type="dxa"/>
                  <w:tcBorders>
                    <w:top w:val="single" w:sz="24" w:space="0" w:color="C00000"/>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85</w:t>
                  </w:r>
                </w:p>
              </w:tc>
              <w:tc>
                <w:tcPr>
                  <w:tcW w:w="567" w:type="dxa"/>
                  <w:vMerge w:val="restart"/>
                  <w:tcBorders>
                    <w:top w:val="single" w:sz="24" w:space="0" w:color="C00000"/>
                    <w:left w:val="single" w:sz="4" w:space="0" w:color="auto"/>
                    <w:bottom w:val="single" w:sz="4" w:space="0" w:color="auto"/>
                    <w:right w:val="doub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55</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111年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61</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86</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112年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62</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87</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113年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63</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88</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114年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64</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89</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115年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90</w:t>
                  </w:r>
                </w:p>
              </w:tc>
              <w:tc>
                <w:tcPr>
                  <w:tcW w:w="567" w:type="dxa"/>
                  <w:vMerge w:val="restart"/>
                  <w:tcBorders>
                    <w:top w:val="single" w:sz="4" w:space="0" w:color="auto"/>
                    <w:left w:val="single" w:sz="4" w:space="0" w:color="auto"/>
                    <w:bottom w:val="single" w:sz="4" w:space="0" w:color="auto"/>
                    <w:right w:val="doub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60</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116年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91</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117年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92</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118年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93</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119年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94</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434"/>
              </w:trPr>
              <w:tc>
                <w:tcPr>
                  <w:tcW w:w="655" w:type="dxa"/>
                  <w:tcBorders>
                    <w:top w:val="single" w:sz="4" w:space="0" w:color="auto"/>
                    <w:left w:val="double" w:sz="4" w:space="0" w:color="auto"/>
                    <w:bottom w:val="doub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120年</w:t>
                  </w:r>
                </w:p>
                <w:p w:rsidR="00424A6C" w:rsidRPr="007319CD" w:rsidRDefault="00424A6C" w:rsidP="00424A6C">
                  <w:pPr>
                    <w:pStyle w:val="121"/>
                    <w:rPr>
                      <w:rFonts w:hAnsi="標楷體"/>
                      <w:sz w:val="22"/>
                      <w:szCs w:val="22"/>
                    </w:rPr>
                  </w:pPr>
                  <w:r w:rsidRPr="007319CD">
                    <w:rPr>
                      <w:rFonts w:hAnsi="標楷體"/>
                      <w:sz w:val="22"/>
                      <w:szCs w:val="22"/>
                    </w:rPr>
                    <w:t>以後</w:t>
                  </w:r>
                </w:p>
              </w:tc>
              <w:tc>
                <w:tcPr>
                  <w:tcW w:w="992" w:type="dxa"/>
                  <w:tcBorders>
                    <w:top w:val="single" w:sz="4" w:space="0" w:color="auto"/>
                    <w:left w:val="single" w:sz="4" w:space="0" w:color="auto"/>
                    <w:bottom w:val="doub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double" w:sz="4" w:space="0" w:color="auto"/>
                    <w:right w:val="single" w:sz="4" w:space="0" w:color="auto"/>
                    <w:tl2br w:val="single" w:sz="4" w:space="0" w:color="auto"/>
                  </w:tcBorders>
                  <w:vAlign w:val="center"/>
                </w:tcPr>
                <w:p w:rsidR="00424A6C" w:rsidRPr="007319CD" w:rsidRDefault="00424A6C" w:rsidP="00424A6C">
                  <w:pPr>
                    <w:pStyle w:val="121"/>
                    <w:rPr>
                      <w:rFonts w:hAnsi="標楷體"/>
                      <w:sz w:val="22"/>
                      <w:szCs w:val="22"/>
                    </w:rPr>
                  </w:pPr>
                </w:p>
              </w:tc>
              <w:tc>
                <w:tcPr>
                  <w:tcW w:w="567" w:type="dxa"/>
                  <w:tcBorders>
                    <w:top w:val="single" w:sz="4" w:space="0" w:color="auto"/>
                    <w:left w:val="single" w:sz="4" w:space="0" w:color="auto"/>
                    <w:bottom w:val="double" w:sz="4" w:space="0" w:color="auto"/>
                    <w:right w:val="double" w:sz="4" w:space="0" w:color="auto"/>
                    <w:tl2br w:val="single" w:sz="4" w:space="0" w:color="auto"/>
                  </w:tcBorders>
                </w:tcPr>
                <w:p w:rsidR="00424A6C" w:rsidRPr="007319CD" w:rsidRDefault="00424A6C" w:rsidP="00424A6C">
                  <w:pPr>
                    <w:pStyle w:val="121"/>
                    <w:rPr>
                      <w:rFonts w:hAnsi="標楷體"/>
                      <w:sz w:val="22"/>
                      <w:szCs w:val="22"/>
                    </w:rPr>
                  </w:pPr>
                </w:p>
              </w:tc>
            </w:tr>
          </w:tbl>
          <w:p w:rsidR="00424A6C" w:rsidRPr="007319CD" w:rsidRDefault="00424A6C" w:rsidP="00424A6C">
            <w:pPr>
              <w:pStyle w:val="121"/>
              <w:rPr>
                <w:rFonts w:hAnsi="標楷體"/>
              </w:rPr>
            </w:pPr>
            <w:r w:rsidRPr="007319CD">
              <w:rPr>
                <w:rFonts w:hAnsi="標楷體"/>
              </w:rPr>
              <w:t>說明：</w:t>
            </w:r>
          </w:p>
          <w:p w:rsidR="00424A6C" w:rsidRPr="007319CD" w:rsidRDefault="00424A6C" w:rsidP="00424A6C">
            <w:pPr>
              <w:pStyle w:val="121"/>
              <w:rPr>
                <w:rFonts w:hAnsi="標楷體"/>
              </w:rPr>
            </w:pPr>
            <w:r w:rsidRPr="007319CD">
              <w:rPr>
                <w:rFonts w:hAnsi="標楷體"/>
              </w:rPr>
              <w:t>未符合</w:t>
            </w:r>
            <w:proofErr w:type="gramStart"/>
            <w:r w:rsidRPr="007319CD">
              <w:rPr>
                <w:rFonts w:hAnsi="標楷體"/>
              </w:rPr>
              <w:t>法定起支年齡</w:t>
            </w:r>
            <w:proofErr w:type="gramEnd"/>
            <w:r w:rsidRPr="007319CD">
              <w:rPr>
                <w:rFonts w:hAnsi="標楷體"/>
              </w:rPr>
              <w:t>者，可以選擇支領展期或</w:t>
            </w:r>
            <w:proofErr w:type="gramStart"/>
            <w:r w:rsidRPr="007319CD">
              <w:rPr>
                <w:rFonts w:hAnsi="標楷體"/>
              </w:rPr>
              <w:t>減額月退休金</w:t>
            </w:r>
            <w:proofErr w:type="gramEnd"/>
            <w:r w:rsidRPr="007319CD">
              <w:rPr>
                <w:rFonts w:hAnsi="標楷體"/>
              </w:rPr>
              <w:t>並以</w:t>
            </w:r>
            <w:proofErr w:type="gramStart"/>
            <w:r w:rsidRPr="007319CD">
              <w:rPr>
                <w:rFonts w:hAnsi="標楷體"/>
              </w:rPr>
              <w:t>法定起支年齡</w:t>
            </w:r>
            <w:proofErr w:type="gramEnd"/>
            <w:r w:rsidRPr="007319CD">
              <w:rPr>
                <w:rFonts w:hAnsi="標楷體"/>
              </w:rPr>
              <w:t>為計算基準；過渡期間符合指標數者，得退休並立即支領全額月退休金，不須受</w:t>
            </w:r>
            <w:proofErr w:type="gramStart"/>
            <w:r w:rsidRPr="007319CD">
              <w:rPr>
                <w:rFonts w:hAnsi="標楷體"/>
              </w:rPr>
              <w:t>法定起支年齡</w:t>
            </w:r>
            <w:proofErr w:type="gramEnd"/>
            <w:r w:rsidRPr="007319CD">
              <w:rPr>
                <w:rFonts w:hAnsi="標楷體"/>
              </w:rPr>
              <w:t>影響。</w:t>
            </w:r>
          </w:p>
          <w:p w:rsidR="00424A6C" w:rsidRPr="007319CD" w:rsidRDefault="00424A6C" w:rsidP="00424A6C">
            <w:pPr>
              <w:pStyle w:val="121"/>
              <w:rPr>
                <w:rFonts w:hAnsi="標楷體"/>
              </w:rPr>
            </w:pPr>
            <w:r w:rsidRPr="007319CD">
              <w:rPr>
                <w:rFonts w:hAnsi="標楷體"/>
              </w:rPr>
              <w:t>前開過渡期間指標數之年齡，在109年以前須年滿50歲；110年以後須年滿55歲；115年以後須年滿60歲。</w:t>
            </w:r>
          </w:p>
          <w:p w:rsidR="00424A6C" w:rsidRPr="007319CD" w:rsidRDefault="00424A6C" w:rsidP="00424A6C">
            <w:pPr>
              <w:pStyle w:val="121"/>
              <w:rPr>
                <w:rFonts w:hAnsi="標楷體"/>
              </w:rPr>
            </w:pPr>
            <w:r w:rsidRPr="007319CD">
              <w:rPr>
                <w:rFonts w:hAnsi="標楷體"/>
              </w:rPr>
              <w:t>搭配實施展期及</w:t>
            </w:r>
            <w:proofErr w:type="gramStart"/>
            <w:r w:rsidRPr="007319CD">
              <w:rPr>
                <w:rFonts w:hAnsi="標楷體"/>
              </w:rPr>
              <w:t>減額月退休金</w:t>
            </w:r>
            <w:proofErr w:type="gramEnd"/>
            <w:r w:rsidRPr="007319CD">
              <w:rPr>
                <w:rFonts w:hAnsi="標楷體"/>
              </w:rPr>
              <w:t>（每提前1年，扣減4%，最多提前5年）。</w:t>
            </w:r>
          </w:p>
          <w:p w:rsidR="00424A6C" w:rsidRPr="007319CD" w:rsidRDefault="00424A6C" w:rsidP="00424A6C">
            <w:pPr>
              <w:pStyle w:val="121"/>
              <w:rPr>
                <w:rFonts w:hAnsi="標楷體"/>
              </w:rPr>
            </w:pPr>
            <w:r w:rsidRPr="007319CD">
              <w:rPr>
                <w:rFonts w:hAnsi="標楷體"/>
              </w:rPr>
              <w:t>危</w:t>
            </w:r>
            <w:proofErr w:type="gramStart"/>
            <w:r w:rsidRPr="007319CD">
              <w:rPr>
                <w:rFonts w:hAnsi="標楷體"/>
              </w:rPr>
              <w:t>勞</w:t>
            </w:r>
            <w:proofErr w:type="gramEnd"/>
            <w:r w:rsidRPr="007319CD">
              <w:rPr>
                <w:rFonts w:hAnsi="標楷體"/>
              </w:rPr>
              <w:t>職務：維持70制（15年+55歲）。</w:t>
            </w:r>
          </w:p>
          <w:p w:rsidR="00424A6C" w:rsidRPr="007319CD" w:rsidRDefault="00424A6C" w:rsidP="00424A6C">
            <w:pPr>
              <w:pStyle w:val="121"/>
              <w:rPr>
                <w:rFonts w:hAnsi="標楷體"/>
              </w:rPr>
            </w:pPr>
            <w:r w:rsidRPr="007319CD">
              <w:rPr>
                <w:rFonts w:hAnsi="標楷體"/>
              </w:rPr>
              <w:t>公務人員任職滿15年，</w:t>
            </w:r>
            <w:proofErr w:type="gramStart"/>
            <w:r w:rsidRPr="007319CD">
              <w:rPr>
                <w:rFonts w:hAnsi="標楷體"/>
              </w:rPr>
              <w:t>達公保半失</w:t>
            </w:r>
            <w:proofErr w:type="gramEnd"/>
            <w:r w:rsidRPr="007319CD">
              <w:rPr>
                <w:rFonts w:hAnsi="標楷體"/>
              </w:rPr>
              <w:t>能、</w:t>
            </w:r>
            <w:proofErr w:type="gramStart"/>
            <w:r w:rsidRPr="007319CD">
              <w:rPr>
                <w:rFonts w:hAnsi="標楷體"/>
              </w:rPr>
              <w:t>身障重度</w:t>
            </w:r>
            <w:proofErr w:type="gramEnd"/>
            <w:r w:rsidRPr="007319CD">
              <w:rPr>
                <w:rFonts w:hAnsi="標楷體"/>
              </w:rPr>
              <w:t>以上、惡性腫瘤末期、安寧緩和醫療條</w:t>
            </w:r>
            <w:r w:rsidRPr="007319CD">
              <w:rPr>
                <w:rFonts w:hAnsi="標楷體"/>
              </w:rPr>
              <w:lastRenderedPageBreak/>
              <w:t>例所稱末期病人及永久重大</w:t>
            </w:r>
            <w:proofErr w:type="gramStart"/>
            <w:r w:rsidRPr="007319CD">
              <w:rPr>
                <w:rFonts w:hAnsi="標楷體"/>
              </w:rPr>
              <w:t>傷病且不能</w:t>
            </w:r>
            <w:proofErr w:type="gramEnd"/>
            <w:r w:rsidRPr="007319CD">
              <w:rPr>
                <w:rFonts w:hAnsi="標楷體"/>
              </w:rPr>
              <w:t>勝任工作者，自願退休月</w:t>
            </w:r>
            <w:proofErr w:type="gramStart"/>
            <w:r w:rsidRPr="007319CD">
              <w:rPr>
                <w:rFonts w:hAnsi="標楷體"/>
              </w:rPr>
              <w:t>退休金起支年齡</w:t>
            </w:r>
            <w:proofErr w:type="gramEnd"/>
            <w:r w:rsidRPr="007319CD">
              <w:rPr>
                <w:rFonts w:hAnsi="標楷體"/>
              </w:rPr>
              <w:t>為55歲。</w:t>
            </w:r>
          </w:p>
          <w:p w:rsidR="00424A6C" w:rsidRPr="007319CD" w:rsidRDefault="00424A6C" w:rsidP="00424A6C">
            <w:pPr>
              <w:pStyle w:val="121"/>
              <w:rPr>
                <w:rFonts w:hAnsi="標楷體"/>
              </w:rPr>
            </w:pPr>
            <w:r w:rsidRPr="007319CD">
              <w:rPr>
                <w:rFonts w:hAnsi="標楷體"/>
              </w:rPr>
              <w:t>原住民公務人員自願退休月</w:t>
            </w:r>
            <w:proofErr w:type="gramStart"/>
            <w:r w:rsidRPr="007319CD">
              <w:rPr>
                <w:rFonts w:hAnsi="標楷體"/>
              </w:rPr>
              <w:t>退休金起支年齡</w:t>
            </w:r>
            <w:proofErr w:type="gramEnd"/>
            <w:r w:rsidRPr="007319CD">
              <w:rPr>
                <w:rFonts w:hAnsi="標楷體"/>
              </w:rPr>
              <w:t>及條件規範如下：</w:t>
            </w:r>
          </w:p>
          <w:p w:rsidR="00424A6C" w:rsidRPr="007319CD" w:rsidRDefault="00424A6C" w:rsidP="00424A6C">
            <w:pPr>
              <w:pStyle w:val="121"/>
              <w:rPr>
                <w:rFonts w:hAnsi="標楷體"/>
              </w:rPr>
            </w:pPr>
            <w:r w:rsidRPr="007319CD">
              <w:rPr>
                <w:rFonts w:hAnsi="標楷體"/>
              </w:rPr>
              <w:t>109年以前，任職滿25年且年滿55歲。</w:t>
            </w:r>
          </w:p>
          <w:p w:rsidR="00424A6C" w:rsidRPr="007319CD" w:rsidRDefault="00424A6C" w:rsidP="00424A6C">
            <w:pPr>
              <w:pStyle w:val="121"/>
              <w:rPr>
                <w:rFonts w:hAnsi="標楷體"/>
              </w:rPr>
            </w:pPr>
            <w:r w:rsidRPr="007319CD">
              <w:rPr>
                <w:rFonts w:hAnsi="標楷體"/>
              </w:rPr>
              <w:t>110年起逐年加1歲，至115年為任職滿25年且60歲。</w:t>
            </w:r>
          </w:p>
        </w:tc>
        <w:tc>
          <w:tcPr>
            <w:tcW w:w="447" w:type="pct"/>
          </w:tcPr>
          <w:p w:rsidR="00424A6C" w:rsidRPr="007319CD" w:rsidRDefault="00424A6C" w:rsidP="00424A6C">
            <w:pPr>
              <w:pStyle w:val="121"/>
              <w:rPr>
                <w:rFonts w:hAnsi="標楷體"/>
              </w:rPr>
            </w:pPr>
            <w:r w:rsidRPr="007319CD">
              <w:rPr>
                <w:rFonts w:hAnsi="標楷體"/>
              </w:rPr>
              <w:lastRenderedPageBreak/>
              <w:t>第31條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lastRenderedPageBreak/>
              <w:t>給付</w:t>
            </w:r>
          </w:p>
        </w:tc>
        <w:tc>
          <w:tcPr>
            <w:tcW w:w="424" w:type="pct"/>
          </w:tcPr>
          <w:p w:rsidR="00424A6C" w:rsidRPr="007319CD" w:rsidRDefault="00424A6C" w:rsidP="00424A6C">
            <w:pPr>
              <w:pStyle w:val="121"/>
              <w:rPr>
                <w:rFonts w:hAnsi="標楷體"/>
              </w:rPr>
            </w:pPr>
            <w:r w:rsidRPr="007319CD">
              <w:rPr>
                <w:rFonts w:hAnsi="標楷體"/>
              </w:rPr>
              <w:t>調整退休金計算基準</w:t>
            </w:r>
          </w:p>
        </w:tc>
        <w:tc>
          <w:tcPr>
            <w:tcW w:w="1247" w:type="pct"/>
          </w:tcPr>
          <w:p w:rsidR="00424A6C" w:rsidRPr="007319CD" w:rsidRDefault="00424A6C" w:rsidP="00424A6C">
            <w:pPr>
              <w:pStyle w:val="121"/>
              <w:rPr>
                <w:rFonts w:hAnsi="標楷體"/>
              </w:rPr>
            </w:pPr>
            <w:r w:rsidRPr="007319CD">
              <w:rPr>
                <w:rFonts w:hAnsi="標楷體"/>
              </w:rPr>
              <w:t>退休生效日在職同等級人員本（年功）</w:t>
            </w:r>
            <w:proofErr w:type="gramStart"/>
            <w:r w:rsidRPr="007319CD">
              <w:rPr>
                <w:rFonts w:hAnsi="標楷體"/>
              </w:rPr>
              <w:t>俸</w:t>
            </w:r>
            <w:proofErr w:type="gramEnd"/>
            <w:r w:rsidRPr="007319CD">
              <w:rPr>
                <w:rFonts w:hAnsi="標楷體"/>
              </w:rPr>
              <w:t>額</w:t>
            </w:r>
          </w:p>
          <w:p w:rsidR="00424A6C" w:rsidRPr="007319CD" w:rsidRDefault="00424A6C" w:rsidP="00424A6C">
            <w:pPr>
              <w:pStyle w:val="121"/>
              <w:rPr>
                <w:rFonts w:hAnsi="標楷體"/>
              </w:rPr>
            </w:pPr>
          </w:p>
        </w:tc>
        <w:tc>
          <w:tcPr>
            <w:tcW w:w="416" w:type="pct"/>
          </w:tcPr>
          <w:p w:rsidR="00424A6C" w:rsidRPr="007319CD" w:rsidRDefault="00424A6C" w:rsidP="00424A6C">
            <w:pPr>
              <w:pStyle w:val="121"/>
              <w:rPr>
                <w:rFonts w:hAnsi="標楷體"/>
              </w:rPr>
            </w:pPr>
            <w:r w:rsidRPr="007319CD">
              <w:rPr>
                <w:rFonts w:hAnsi="標楷體"/>
              </w:rPr>
              <w:t>第9條第2、3項；第31條第4項第1、2款</w:t>
            </w:r>
          </w:p>
        </w:tc>
        <w:tc>
          <w:tcPr>
            <w:tcW w:w="2316" w:type="pct"/>
          </w:tcPr>
          <w:p w:rsidR="00424A6C" w:rsidRPr="007319CD" w:rsidRDefault="00424A6C" w:rsidP="00424A6C">
            <w:pPr>
              <w:pStyle w:val="121"/>
              <w:rPr>
                <w:rFonts w:hAnsi="標楷體"/>
              </w:rPr>
            </w:pPr>
            <w:r w:rsidRPr="007319CD">
              <w:rPr>
                <w:rFonts w:hAnsi="標楷體"/>
              </w:rPr>
              <w:t>逐步調整為最後在職前15年平均</w:t>
            </w:r>
            <w:proofErr w:type="gramStart"/>
            <w:r w:rsidRPr="007319CD">
              <w:rPr>
                <w:rFonts w:hAnsi="標楷體"/>
              </w:rPr>
              <w:t>俸</w:t>
            </w:r>
            <w:proofErr w:type="gramEnd"/>
            <w:r w:rsidRPr="007319CD">
              <w:rPr>
                <w:rFonts w:hAnsi="標楷體"/>
              </w:rPr>
              <w:t>（薪）額：</w:t>
            </w:r>
            <w:r w:rsidRPr="007319CD">
              <w:rPr>
                <w:rFonts w:hAnsi="標楷體"/>
              </w:rPr>
              <w:br/>
              <w:t>107.7.1至108.12.31訂為「最後在職往前5年平均</w:t>
            </w:r>
            <w:proofErr w:type="gramStart"/>
            <w:r w:rsidRPr="007319CD">
              <w:rPr>
                <w:rFonts w:hAnsi="標楷體"/>
              </w:rPr>
              <w:t>俸</w:t>
            </w:r>
            <w:proofErr w:type="gramEnd"/>
            <w:r w:rsidRPr="007319CD">
              <w:rPr>
                <w:rFonts w:hAnsi="標楷體"/>
              </w:rPr>
              <w:t>（薪）額」，之後逐年拉長1年（109年為6年均</w:t>
            </w:r>
            <w:proofErr w:type="gramStart"/>
            <w:r w:rsidRPr="007319CD">
              <w:rPr>
                <w:rFonts w:hAnsi="標楷體"/>
              </w:rPr>
              <w:t>俸</w:t>
            </w:r>
            <w:proofErr w:type="gramEnd"/>
            <w:r w:rsidRPr="007319CD">
              <w:rPr>
                <w:rFonts w:hAnsi="標楷體"/>
              </w:rPr>
              <w:t>，以此類推），調整至118年以後為「最後在職往前15年平均</w:t>
            </w:r>
            <w:proofErr w:type="gramStart"/>
            <w:r w:rsidRPr="007319CD">
              <w:rPr>
                <w:rFonts w:hAnsi="標楷體"/>
              </w:rPr>
              <w:t>俸</w:t>
            </w:r>
            <w:proofErr w:type="gramEnd"/>
            <w:r w:rsidRPr="007319CD">
              <w:rPr>
                <w:rFonts w:hAnsi="標楷體"/>
              </w:rPr>
              <w:t>（薪）額」。</w:t>
            </w:r>
          </w:p>
          <w:p w:rsidR="00424A6C" w:rsidRPr="007319CD" w:rsidRDefault="00424A6C" w:rsidP="00424A6C">
            <w:pPr>
              <w:pStyle w:val="121"/>
              <w:rPr>
                <w:rFonts w:hAnsi="標楷體"/>
              </w:rPr>
            </w:pPr>
            <w:r w:rsidRPr="007319CD">
              <w:rPr>
                <w:rFonts w:hAnsi="標楷體"/>
              </w:rPr>
              <w:t>107年6月30日以前已達月</w:t>
            </w:r>
            <w:proofErr w:type="gramStart"/>
            <w:r w:rsidRPr="007319CD">
              <w:rPr>
                <w:rFonts w:hAnsi="標楷體"/>
              </w:rPr>
              <w:t>退休金起支條件</w:t>
            </w:r>
            <w:proofErr w:type="gramEnd"/>
            <w:r w:rsidRPr="007319CD">
              <w:rPr>
                <w:rFonts w:hAnsi="標楷體"/>
              </w:rPr>
              <w:t>者，於公務人員退撫法施行後退休生效者，仍得以最後在職本（年功）</w:t>
            </w:r>
            <w:proofErr w:type="gramStart"/>
            <w:r w:rsidRPr="007319CD">
              <w:rPr>
                <w:rFonts w:hAnsi="標楷體"/>
              </w:rPr>
              <w:t>俸</w:t>
            </w:r>
            <w:proofErr w:type="gramEnd"/>
            <w:r w:rsidRPr="007319CD">
              <w:rPr>
                <w:rFonts w:hAnsi="標楷體"/>
              </w:rPr>
              <w:t>額計算退休金，不受均</w:t>
            </w:r>
            <w:proofErr w:type="gramStart"/>
            <w:r w:rsidRPr="007319CD">
              <w:rPr>
                <w:rFonts w:hAnsi="標楷體"/>
              </w:rPr>
              <w:t>俸</w:t>
            </w:r>
            <w:proofErr w:type="gramEnd"/>
            <w:r w:rsidRPr="007319CD">
              <w:rPr>
                <w:rFonts w:hAnsi="標楷體"/>
              </w:rPr>
              <w:t>影響。</w:t>
            </w:r>
          </w:p>
        </w:tc>
        <w:tc>
          <w:tcPr>
            <w:tcW w:w="447" w:type="pct"/>
          </w:tcPr>
          <w:p w:rsidR="00424A6C" w:rsidRPr="007319CD" w:rsidRDefault="00424A6C" w:rsidP="00424A6C">
            <w:pPr>
              <w:pStyle w:val="121"/>
              <w:rPr>
                <w:rFonts w:hAnsi="標楷體"/>
              </w:rPr>
            </w:pPr>
            <w:r w:rsidRPr="007319CD">
              <w:rPr>
                <w:rFonts w:hAnsi="標楷體"/>
              </w:rPr>
              <w:t>第27條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調降退休所得</w:t>
            </w:r>
          </w:p>
        </w:tc>
        <w:tc>
          <w:tcPr>
            <w:tcW w:w="1247" w:type="pct"/>
          </w:tcPr>
          <w:p w:rsidR="00424A6C" w:rsidRPr="007319CD" w:rsidRDefault="00424A6C" w:rsidP="00424A6C">
            <w:pPr>
              <w:pStyle w:val="121"/>
              <w:rPr>
                <w:rFonts w:hAnsi="標楷體"/>
              </w:rPr>
            </w:pPr>
            <w:r w:rsidRPr="007319CD">
              <w:rPr>
                <w:rFonts w:hAnsi="標楷體"/>
              </w:rPr>
              <w:t>退休所得不得超過最後在職同等級人員「本（年功）</w:t>
            </w:r>
            <w:proofErr w:type="gramStart"/>
            <w:r w:rsidRPr="007319CD">
              <w:rPr>
                <w:rFonts w:hAnsi="標楷體"/>
              </w:rPr>
              <w:t>俸</w:t>
            </w:r>
            <w:proofErr w:type="gramEnd"/>
            <w:r w:rsidRPr="007319CD">
              <w:rPr>
                <w:rFonts w:hAnsi="標楷體"/>
              </w:rPr>
              <w:t>加</w:t>
            </w:r>
            <w:r w:rsidR="00B83B03" w:rsidRPr="007319CD">
              <w:rPr>
                <w:rFonts w:hAnsi="標楷體" w:hint="eastAsia"/>
              </w:rPr>
              <w:t>1</w:t>
            </w:r>
            <w:r w:rsidRPr="007319CD">
              <w:rPr>
                <w:rFonts w:hAnsi="標楷體"/>
              </w:rPr>
              <w:t>倍」之75%（年資25年）至95%（年資35年）【公式1】，亦不得超過「同等級現職人員待遇」之70%（年資15年）至90%（年資35年）【公式2】；超過者，調降其公保養老給付辦理優惠存款之金額。</w:t>
            </w:r>
          </w:p>
          <w:p w:rsidR="00424A6C" w:rsidRPr="007319CD" w:rsidRDefault="00424A6C" w:rsidP="00424A6C">
            <w:pPr>
              <w:pStyle w:val="121"/>
              <w:rPr>
                <w:rFonts w:hAnsi="標楷體"/>
              </w:rPr>
            </w:pPr>
            <w:r w:rsidRPr="007319CD">
              <w:rPr>
                <w:rFonts w:hAnsi="標楷體" w:cs="新細明體" w:hint="eastAsia"/>
              </w:rPr>
              <w:t>※</w:t>
            </w:r>
            <w:r w:rsidRPr="007319CD">
              <w:rPr>
                <w:rFonts w:hAnsi="標楷體"/>
              </w:rPr>
              <w:t>計算公式：</w:t>
            </w:r>
          </w:p>
          <w:tbl>
            <w:tblPr>
              <w:tblStyle w:val="afb"/>
              <w:tblW w:w="2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23"/>
              <w:gridCol w:w="1208"/>
              <w:gridCol w:w="1324"/>
            </w:tblGrid>
            <w:tr w:rsidR="007319CD" w:rsidRPr="007319CD" w:rsidTr="00CA543E">
              <w:trPr>
                <w:trHeight w:val="275"/>
                <w:jc w:val="center"/>
              </w:trPr>
              <w:tc>
                <w:tcPr>
                  <w:tcW w:w="323" w:type="dxa"/>
                  <w:vMerge w:val="restart"/>
                </w:tcPr>
                <w:p w:rsidR="00424A6C" w:rsidRPr="007319CD" w:rsidRDefault="00424A6C" w:rsidP="00424A6C">
                  <w:pPr>
                    <w:pStyle w:val="121"/>
                    <w:rPr>
                      <w:rFonts w:hAnsi="標楷體"/>
                    </w:rPr>
                  </w:pPr>
                  <w:r w:rsidRPr="007319CD">
                    <w:rPr>
                      <w:rFonts w:hAnsi="標楷體"/>
                    </w:rPr>
                    <w:t>1</w:t>
                  </w:r>
                </w:p>
              </w:tc>
              <w:tc>
                <w:tcPr>
                  <w:tcW w:w="1208" w:type="dxa"/>
                  <w:tcBorders>
                    <w:bottom w:val="single" w:sz="4" w:space="0" w:color="auto"/>
                  </w:tcBorders>
                  <w:vAlign w:val="center"/>
                </w:tcPr>
                <w:p w:rsidR="00424A6C" w:rsidRPr="007319CD" w:rsidRDefault="00424A6C" w:rsidP="00424A6C">
                  <w:pPr>
                    <w:pStyle w:val="121"/>
                    <w:rPr>
                      <w:rFonts w:hAnsi="標楷體"/>
                    </w:rPr>
                  </w:pPr>
                  <w:r w:rsidRPr="007319CD">
                    <w:rPr>
                      <w:rFonts w:hAnsi="標楷體"/>
                    </w:rPr>
                    <w:t>月退休金+公保養老給付優惠存款每月利息</w:t>
                  </w:r>
                </w:p>
              </w:tc>
              <w:tc>
                <w:tcPr>
                  <w:tcW w:w="1324" w:type="dxa"/>
                  <w:vMerge w:val="restart"/>
                  <w:vAlign w:val="center"/>
                </w:tcPr>
                <w:p w:rsidR="00424A6C" w:rsidRPr="007319CD" w:rsidRDefault="00424A6C" w:rsidP="00424A6C">
                  <w:pPr>
                    <w:pStyle w:val="121"/>
                    <w:rPr>
                      <w:rFonts w:hAnsi="標楷體"/>
                    </w:rPr>
                  </w:pPr>
                </w:p>
                <w:p w:rsidR="00424A6C" w:rsidRPr="007319CD" w:rsidRDefault="00424A6C" w:rsidP="00424A6C">
                  <w:pPr>
                    <w:pStyle w:val="121"/>
                    <w:rPr>
                      <w:rFonts w:hAnsi="標楷體"/>
                    </w:rPr>
                  </w:pPr>
                </w:p>
                <w:p w:rsidR="00424A6C" w:rsidRPr="007319CD" w:rsidRDefault="00424A6C" w:rsidP="00424A6C">
                  <w:pPr>
                    <w:pStyle w:val="121"/>
                    <w:rPr>
                      <w:rFonts w:hAnsi="標楷體"/>
                    </w:rPr>
                  </w:pPr>
                  <w:proofErr w:type="gramStart"/>
                  <w:r w:rsidRPr="007319CD">
                    <w:rPr>
                      <w:rFonts w:hAnsi="標楷體" w:cs="新細明體" w:hint="eastAsia"/>
                    </w:rPr>
                    <w:t>≦</w:t>
                  </w:r>
                  <w:proofErr w:type="gramEnd"/>
                  <w:r w:rsidRPr="007319CD">
                    <w:rPr>
                      <w:rFonts w:hAnsi="標楷體"/>
                    </w:rPr>
                    <w:t>75%~95%</w:t>
                  </w:r>
                </w:p>
              </w:tc>
            </w:tr>
            <w:tr w:rsidR="007319CD" w:rsidRPr="007319CD" w:rsidTr="00CA543E">
              <w:trPr>
                <w:trHeight w:val="97"/>
                <w:jc w:val="center"/>
              </w:trPr>
              <w:tc>
                <w:tcPr>
                  <w:tcW w:w="323" w:type="dxa"/>
                  <w:vMerge/>
                </w:tcPr>
                <w:p w:rsidR="00424A6C" w:rsidRPr="007319CD" w:rsidRDefault="00424A6C" w:rsidP="00424A6C">
                  <w:pPr>
                    <w:pStyle w:val="121"/>
                    <w:rPr>
                      <w:rFonts w:hAnsi="標楷體"/>
                    </w:rPr>
                  </w:pPr>
                </w:p>
              </w:tc>
              <w:tc>
                <w:tcPr>
                  <w:tcW w:w="1208" w:type="dxa"/>
                  <w:tcBorders>
                    <w:top w:val="single" w:sz="4" w:space="0" w:color="auto"/>
                  </w:tcBorders>
                  <w:vAlign w:val="center"/>
                </w:tcPr>
                <w:p w:rsidR="00424A6C" w:rsidRPr="007319CD" w:rsidRDefault="00424A6C" w:rsidP="00424A6C">
                  <w:pPr>
                    <w:pStyle w:val="121"/>
                    <w:rPr>
                      <w:rFonts w:hAnsi="標楷體"/>
                    </w:rPr>
                  </w:pPr>
                  <w:r w:rsidRPr="007319CD">
                    <w:rPr>
                      <w:rFonts w:hAnsi="標楷體"/>
                    </w:rPr>
                    <w:t>本（年功）</w:t>
                  </w:r>
                  <w:proofErr w:type="gramStart"/>
                  <w:r w:rsidRPr="007319CD">
                    <w:rPr>
                      <w:rFonts w:hAnsi="標楷體"/>
                    </w:rPr>
                    <w:t>俸</w:t>
                  </w:r>
                  <w:proofErr w:type="gramEnd"/>
                  <w:r w:rsidRPr="007319CD">
                    <w:rPr>
                      <w:rFonts w:hAnsi="標楷體"/>
                    </w:rPr>
                    <w:t>×2</w:t>
                  </w:r>
                </w:p>
              </w:tc>
              <w:tc>
                <w:tcPr>
                  <w:tcW w:w="1324" w:type="dxa"/>
                  <w:vMerge/>
                  <w:vAlign w:val="center"/>
                </w:tcPr>
                <w:p w:rsidR="00424A6C" w:rsidRPr="007319CD" w:rsidRDefault="00424A6C" w:rsidP="00424A6C">
                  <w:pPr>
                    <w:pStyle w:val="121"/>
                    <w:rPr>
                      <w:rFonts w:hAnsi="標楷體"/>
                    </w:rPr>
                  </w:pPr>
                </w:p>
              </w:tc>
            </w:tr>
            <w:tr w:rsidR="007319CD" w:rsidRPr="007319CD" w:rsidTr="00CA543E">
              <w:trPr>
                <w:trHeight w:val="125"/>
                <w:jc w:val="center"/>
              </w:trPr>
              <w:tc>
                <w:tcPr>
                  <w:tcW w:w="2855" w:type="dxa"/>
                  <w:gridSpan w:val="3"/>
                </w:tcPr>
                <w:p w:rsidR="00424A6C" w:rsidRPr="007319CD" w:rsidRDefault="00424A6C" w:rsidP="00424A6C">
                  <w:pPr>
                    <w:pStyle w:val="121"/>
                    <w:rPr>
                      <w:rFonts w:hAnsi="標楷體"/>
                    </w:rPr>
                  </w:pPr>
                </w:p>
              </w:tc>
            </w:tr>
            <w:tr w:rsidR="007319CD" w:rsidRPr="007319CD" w:rsidTr="00CA543E">
              <w:trPr>
                <w:trHeight w:val="275"/>
                <w:jc w:val="center"/>
              </w:trPr>
              <w:tc>
                <w:tcPr>
                  <w:tcW w:w="323" w:type="dxa"/>
                  <w:vMerge w:val="restart"/>
                </w:tcPr>
                <w:p w:rsidR="00424A6C" w:rsidRPr="007319CD" w:rsidRDefault="00424A6C" w:rsidP="00424A6C">
                  <w:pPr>
                    <w:pStyle w:val="121"/>
                    <w:rPr>
                      <w:rFonts w:hAnsi="標楷體"/>
                    </w:rPr>
                  </w:pPr>
                  <w:r w:rsidRPr="007319CD">
                    <w:rPr>
                      <w:rFonts w:hAnsi="標楷體"/>
                    </w:rPr>
                    <w:t>2</w:t>
                  </w:r>
                </w:p>
              </w:tc>
              <w:tc>
                <w:tcPr>
                  <w:tcW w:w="1208" w:type="dxa"/>
                  <w:tcBorders>
                    <w:bottom w:val="single" w:sz="4" w:space="0" w:color="auto"/>
                  </w:tcBorders>
                  <w:vAlign w:val="center"/>
                </w:tcPr>
                <w:p w:rsidR="00424A6C" w:rsidRPr="007319CD" w:rsidRDefault="00424A6C" w:rsidP="00424A6C">
                  <w:pPr>
                    <w:pStyle w:val="121"/>
                    <w:rPr>
                      <w:rFonts w:hAnsi="標楷體"/>
                    </w:rPr>
                  </w:pPr>
                  <w:r w:rsidRPr="007319CD">
                    <w:rPr>
                      <w:rFonts w:hAnsi="標楷體"/>
                    </w:rPr>
                    <w:t>月退休金+公保養老給付優惠存款每月利息</w:t>
                  </w:r>
                </w:p>
              </w:tc>
              <w:tc>
                <w:tcPr>
                  <w:tcW w:w="1324" w:type="dxa"/>
                  <w:vMerge w:val="restart"/>
                </w:tcPr>
                <w:p w:rsidR="00424A6C" w:rsidRPr="007319CD" w:rsidRDefault="00424A6C" w:rsidP="00424A6C">
                  <w:pPr>
                    <w:pStyle w:val="121"/>
                    <w:rPr>
                      <w:rFonts w:hAnsi="標楷體"/>
                    </w:rPr>
                  </w:pPr>
                </w:p>
                <w:p w:rsidR="00424A6C" w:rsidRPr="007319CD" w:rsidRDefault="00424A6C" w:rsidP="00424A6C">
                  <w:pPr>
                    <w:pStyle w:val="121"/>
                    <w:rPr>
                      <w:rFonts w:hAnsi="標楷體"/>
                    </w:rPr>
                  </w:pPr>
                </w:p>
                <w:p w:rsidR="00424A6C" w:rsidRPr="007319CD" w:rsidRDefault="00424A6C" w:rsidP="00424A6C">
                  <w:pPr>
                    <w:pStyle w:val="121"/>
                    <w:rPr>
                      <w:rFonts w:hAnsi="標楷體"/>
                    </w:rPr>
                  </w:pPr>
                </w:p>
                <w:p w:rsidR="00424A6C" w:rsidRPr="007319CD" w:rsidRDefault="00424A6C" w:rsidP="00424A6C">
                  <w:pPr>
                    <w:pStyle w:val="121"/>
                    <w:rPr>
                      <w:rFonts w:hAnsi="標楷體"/>
                    </w:rPr>
                  </w:pPr>
                  <w:proofErr w:type="gramStart"/>
                  <w:r w:rsidRPr="007319CD">
                    <w:rPr>
                      <w:rFonts w:hAnsi="標楷體" w:cs="新細明體" w:hint="eastAsia"/>
                    </w:rPr>
                    <w:t>≦</w:t>
                  </w:r>
                  <w:proofErr w:type="gramEnd"/>
                  <w:r w:rsidRPr="007319CD">
                    <w:rPr>
                      <w:rFonts w:hAnsi="標楷體"/>
                    </w:rPr>
                    <w:t>70%~90%</w:t>
                  </w:r>
                </w:p>
              </w:tc>
            </w:tr>
            <w:tr w:rsidR="007319CD" w:rsidRPr="007319CD" w:rsidTr="00CA543E">
              <w:trPr>
                <w:trHeight w:val="97"/>
                <w:jc w:val="center"/>
              </w:trPr>
              <w:tc>
                <w:tcPr>
                  <w:tcW w:w="323" w:type="dxa"/>
                  <w:vMerge/>
                  <w:vAlign w:val="center"/>
                </w:tcPr>
                <w:p w:rsidR="00424A6C" w:rsidRPr="007319CD" w:rsidRDefault="00424A6C" w:rsidP="00424A6C">
                  <w:pPr>
                    <w:pStyle w:val="121"/>
                    <w:rPr>
                      <w:rFonts w:hAnsi="標楷體"/>
                    </w:rPr>
                  </w:pPr>
                </w:p>
              </w:tc>
              <w:tc>
                <w:tcPr>
                  <w:tcW w:w="1208" w:type="dxa"/>
                  <w:tcBorders>
                    <w:top w:val="single" w:sz="4" w:space="0" w:color="auto"/>
                  </w:tcBorders>
                  <w:vAlign w:val="center"/>
                </w:tcPr>
                <w:p w:rsidR="00424A6C" w:rsidRPr="007319CD" w:rsidRDefault="00424A6C" w:rsidP="00424A6C">
                  <w:pPr>
                    <w:pStyle w:val="121"/>
                    <w:rPr>
                      <w:rFonts w:hAnsi="標楷體"/>
                    </w:rPr>
                  </w:pPr>
                  <w:r w:rsidRPr="007319CD">
                    <w:rPr>
                      <w:rFonts w:hAnsi="標楷體"/>
                    </w:rPr>
                    <w:t>本（年功）</w:t>
                  </w:r>
                  <w:proofErr w:type="gramStart"/>
                  <w:r w:rsidRPr="007319CD">
                    <w:rPr>
                      <w:rFonts w:hAnsi="標楷體"/>
                    </w:rPr>
                    <w:t>俸</w:t>
                  </w:r>
                  <w:proofErr w:type="gramEnd"/>
                  <w:r w:rsidRPr="007319CD">
                    <w:rPr>
                      <w:rFonts w:hAnsi="標楷體"/>
                    </w:rPr>
                    <w:t>+專業加</w:t>
                  </w:r>
                  <w:r w:rsidRPr="007319CD">
                    <w:rPr>
                      <w:rFonts w:hAnsi="標楷體"/>
                    </w:rPr>
                    <w:lastRenderedPageBreak/>
                    <w:t>給加權平均數+主管職務加給+年終工作獎金1/12</w:t>
                  </w:r>
                </w:p>
              </w:tc>
              <w:tc>
                <w:tcPr>
                  <w:tcW w:w="1324" w:type="dxa"/>
                  <w:vMerge/>
                  <w:vAlign w:val="center"/>
                </w:tcPr>
                <w:p w:rsidR="00424A6C" w:rsidRPr="007319CD" w:rsidRDefault="00424A6C" w:rsidP="00424A6C">
                  <w:pPr>
                    <w:pStyle w:val="121"/>
                    <w:rPr>
                      <w:rFonts w:hAnsi="標楷體"/>
                    </w:rPr>
                  </w:pPr>
                </w:p>
              </w:tc>
            </w:tr>
          </w:tbl>
          <w:p w:rsidR="00424A6C" w:rsidRPr="007319CD" w:rsidRDefault="00424A6C" w:rsidP="00424A6C">
            <w:pPr>
              <w:pStyle w:val="121"/>
              <w:rPr>
                <w:rFonts w:hAnsi="標楷體"/>
              </w:rPr>
            </w:pPr>
          </w:p>
        </w:tc>
        <w:tc>
          <w:tcPr>
            <w:tcW w:w="416" w:type="pct"/>
          </w:tcPr>
          <w:p w:rsidR="00424A6C" w:rsidRPr="007319CD" w:rsidRDefault="00424A6C" w:rsidP="00424A6C">
            <w:pPr>
              <w:pStyle w:val="121"/>
              <w:rPr>
                <w:rFonts w:hAnsi="標楷體"/>
              </w:rPr>
            </w:pPr>
            <w:r w:rsidRPr="007319CD">
              <w:rPr>
                <w:rFonts w:hAnsi="標楷體"/>
              </w:rPr>
              <w:lastRenderedPageBreak/>
              <w:t>第32條、優存辦法</w:t>
            </w:r>
          </w:p>
        </w:tc>
        <w:tc>
          <w:tcPr>
            <w:tcW w:w="2316" w:type="pct"/>
          </w:tcPr>
          <w:p w:rsidR="00424A6C" w:rsidRPr="007319CD" w:rsidRDefault="00424A6C" w:rsidP="00424A6C">
            <w:pPr>
              <w:pStyle w:val="121"/>
              <w:rPr>
                <w:rFonts w:hAnsi="標楷體"/>
              </w:rPr>
            </w:pPr>
            <w:r w:rsidRPr="007319CD">
              <w:rPr>
                <w:rFonts w:hAnsi="標楷體"/>
              </w:rPr>
              <w:t>退休所得替代率計算公式：</w:t>
            </w:r>
          </w:p>
          <w:p w:rsidR="00424A6C" w:rsidRPr="007319CD" w:rsidRDefault="00424A6C" w:rsidP="00424A6C">
            <w:pPr>
              <w:pStyle w:val="121"/>
              <w:rPr>
                <w:rFonts w:hAnsi="標楷體"/>
              </w:rPr>
            </w:pPr>
            <w:r w:rsidRPr="007319CD">
              <w:rPr>
                <w:rFonts w:hAnsi="標楷體"/>
              </w:rPr>
              <w:t>分子：月退休金（含月補償金）+優存利息（或社會保險年金）</w:t>
            </w:r>
          </w:p>
          <w:p w:rsidR="00424A6C" w:rsidRPr="007319CD" w:rsidRDefault="00424A6C" w:rsidP="00424A6C">
            <w:pPr>
              <w:pStyle w:val="121"/>
              <w:rPr>
                <w:rFonts w:hAnsi="標楷體"/>
              </w:rPr>
            </w:pPr>
            <w:r w:rsidRPr="007319CD">
              <w:rPr>
                <w:rFonts w:hAnsi="標楷體"/>
              </w:rPr>
              <w:t>分母：本（年功）</w:t>
            </w:r>
            <w:proofErr w:type="gramStart"/>
            <w:r w:rsidRPr="007319CD">
              <w:rPr>
                <w:rFonts w:hAnsi="標楷體"/>
              </w:rPr>
              <w:t>俸</w:t>
            </w:r>
            <w:proofErr w:type="gramEnd"/>
            <w:r w:rsidRPr="007319CD">
              <w:rPr>
                <w:rFonts w:hAnsi="標楷體"/>
              </w:rPr>
              <w:t>（薪）2倍</w:t>
            </w:r>
          </w:p>
          <w:p w:rsidR="00424A6C" w:rsidRPr="007319CD" w:rsidRDefault="00424A6C" w:rsidP="00424A6C">
            <w:pPr>
              <w:pStyle w:val="121"/>
              <w:rPr>
                <w:rFonts w:hAnsi="標楷體"/>
              </w:rPr>
            </w:pPr>
            <w:r w:rsidRPr="007319CD">
              <w:rPr>
                <w:rFonts w:hAnsi="標楷體"/>
              </w:rPr>
              <w:t>公式：</w:t>
            </w:r>
          </w:p>
          <w:tbl>
            <w:tblPr>
              <w:tblStyle w:val="afb"/>
              <w:tblW w:w="32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034"/>
              <w:gridCol w:w="1232"/>
            </w:tblGrid>
            <w:tr w:rsidR="007319CD" w:rsidRPr="007319CD" w:rsidTr="00CA543E">
              <w:trPr>
                <w:cantSplit/>
                <w:trHeight w:val="106"/>
                <w:jc w:val="center"/>
              </w:trPr>
              <w:tc>
                <w:tcPr>
                  <w:tcW w:w="2034" w:type="dxa"/>
                  <w:tcBorders>
                    <w:top w:val="nil"/>
                    <w:left w:val="nil"/>
                    <w:bottom w:val="single" w:sz="4" w:space="0" w:color="auto"/>
                    <w:right w:val="nil"/>
                  </w:tcBorders>
                  <w:vAlign w:val="center"/>
                  <w:hideMark/>
                </w:tcPr>
                <w:p w:rsidR="00424A6C" w:rsidRPr="007319CD" w:rsidRDefault="00424A6C" w:rsidP="00424A6C">
                  <w:pPr>
                    <w:pStyle w:val="121"/>
                    <w:rPr>
                      <w:rFonts w:hAnsi="標楷體"/>
                      <w:spacing w:val="-10"/>
                    </w:rPr>
                  </w:pPr>
                  <w:r w:rsidRPr="007319CD">
                    <w:rPr>
                      <w:rFonts w:hAnsi="標楷體"/>
                      <w:spacing w:val="-10"/>
                    </w:rPr>
                    <w:t>退休金（含月補償金）+優存利息（或社會保險年金）</w:t>
                  </w:r>
                </w:p>
              </w:tc>
              <w:tc>
                <w:tcPr>
                  <w:tcW w:w="1232" w:type="dxa"/>
                  <w:vMerge w:val="restart"/>
                  <w:vAlign w:val="center"/>
                  <w:hideMark/>
                </w:tcPr>
                <w:p w:rsidR="00424A6C" w:rsidRPr="007319CD" w:rsidRDefault="00424A6C" w:rsidP="00424A6C">
                  <w:pPr>
                    <w:pStyle w:val="121"/>
                    <w:rPr>
                      <w:rFonts w:hAnsi="標楷體"/>
                      <w:spacing w:val="-20"/>
                    </w:rPr>
                  </w:pPr>
                  <w:proofErr w:type="gramStart"/>
                  <w:r w:rsidRPr="007319CD">
                    <w:rPr>
                      <w:rFonts w:hAnsi="標楷體" w:cs="新細明體" w:hint="eastAsia"/>
                      <w:spacing w:val="-20"/>
                    </w:rPr>
                    <w:t>≦</w:t>
                  </w:r>
                  <w:proofErr w:type="gramEnd"/>
                  <w:r w:rsidRPr="007319CD">
                    <w:rPr>
                      <w:rFonts w:hAnsi="標楷體"/>
                    </w:rPr>
                    <w:t>退休所得替代率%</w:t>
                  </w:r>
                </w:p>
              </w:tc>
            </w:tr>
            <w:tr w:rsidR="007319CD" w:rsidRPr="007319CD" w:rsidTr="00CA543E">
              <w:trPr>
                <w:cantSplit/>
                <w:trHeight w:val="37"/>
                <w:jc w:val="center"/>
              </w:trPr>
              <w:tc>
                <w:tcPr>
                  <w:tcW w:w="2034" w:type="dxa"/>
                  <w:tcBorders>
                    <w:top w:val="single" w:sz="4" w:space="0" w:color="auto"/>
                    <w:left w:val="nil"/>
                    <w:bottom w:val="nil"/>
                    <w:right w:val="nil"/>
                  </w:tcBorders>
                  <w:vAlign w:val="center"/>
                  <w:hideMark/>
                </w:tcPr>
                <w:p w:rsidR="00424A6C" w:rsidRPr="007319CD" w:rsidRDefault="00424A6C" w:rsidP="00424A6C">
                  <w:pPr>
                    <w:pStyle w:val="121"/>
                    <w:rPr>
                      <w:rFonts w:hAnsi="標楷體"/>
                      <w:spacing w:val="-10"/>
                    </w:rPr>
                  </w:pPr>
                  <w:r w:rsidRPr="007319CD">
                    <w:rPr>
                      <w:rFonts w:hAnsi="標楷體"/>
                      <w:spacing w:val="-10"/>
                    </w:rPr>
                    <w:t>最後在職本（年功）</w:t>
                  </w:r>
                  <w:proofErr w:type="gramStart"/>
                  <w:r w:rsidRPr="007319CD">
                    <w:rPr>
                      <w:rFonts w:hAnsi="標楷體"/>
                      <w:spacing w:val="-10"/>
                    </w:rPr>
                    <w:t>俸</w:t>
                  </w:r>
                  <w:proofErr w:type="gramEnd"/>
                  <w:r w:rsidRPr="007319CD">
                    <w:rPr>
                      <w:rFonts w:hAnsi="標楷體"/>
                      <w:spacing w:val="-10"/>
                    </w:rPr>
                    <w:t>（薪）×2</w:t>
                  </w:r>
                </w:p>
              </w:tc>
              <w:tc>
                <w:tcPr>
                  <w:tcW w:w="1232" w:type="dxa"/>
                  <w:vMerge/>
                  <w:vAlign w:val="center"/>
                  <w:hideMark/>
                </w:tcPr>
                <w:p w:rsidR="00424A6C" w:rsidRPr="007319CD" w:rsidRDefault="00424A6C" w:rsidP="00424A6C">
                  <w:pPr>
                    <w:pStyle w:val="121"/>
                    <w:rPr>
                      <w:rFonts w:hAnsi="標楷體"/>
                      <w:spacing w:val="-20"/>
                    </w:rPr>
                  </w:pPr>
                </w:p>
              </w:tc>
            </w:tr>
          </w:tbl>
          <w:p w:rsidR="00424A6C" w:rsidRPr="007319CD" w:rsidRDefault="00424A6C" w:rsidP="00424A6C">
            <w:pPr>
              <w:pStyle w:val="121"/>
              <w:rPr>
                <w:rFonts w:hAnsi="標楷體"/>
              </w:rPr>
            </w:pPr>
            <w:r w:rsidRPr="007319CD">
              <w:rPr>
                <w:rFonts w:hAnsi="標楷體"/>
              </w:rPr>
              <w:t>所得替代率上限：以10年時間（107年7月1日至118年1月1日）逐年調降如下：</w:t>
            </w:r>
          </w:p>
          <w:p w:rsidR="00424A6C" w:rsidRPr="007319CD" w:rsidRDefault="00424A6C" w:rsidP="00424A6C">
            <w:pPr>
              <w:pStyle w:val="121"/>
              <w:rPr>
                <w:rFonts w:hAnsi="標楷體"/>
              </w:rPr>
            </w:pPr>
            <w:r w:rsidRPr="007319CD">
              <w:rPr>
                <w:rFonts w:hAnsi="標楷體"/>
              </w:rPr>
              <w:t>已退人員：</w:t>
            </w:r>
          </w:p>
          <w:p w:rsidR="00424A6C" w:rsidRPr="007319CD" w:rsidRDefault="00424A6C" w:rsidP="00424A6C">
            <w:pPr>
              <w:pStyle w:val="121"/>
              <w:rPr>
                <w:rFonts w:hAnsi="標楷體"/>
              </w:rPr>
            </w:pPr>
            <w:r w:rsidRPr="007319CD">
              <w:rPr>
                <w:rFonts w:hAnsi="標楷體"/>
              </w:rPr>
              <w:t>年資35年從75%降至60%。</w:t>
            </w:r>
          </w:p>
          <w:p w:rsidR="00424A6C" w:rsidRPr="007319CD" w:rsidRDefault="00424A6C" w:rsidP="00424A6C">
            <w:pPr>
              <w:pStyle w:val="121"/>
              <w:rPr>
                <w:rFonts w:hAnsi="標楷體"/>
              </w:rPr>
            </w:pPr>
            <w:r w:rsidRPr="007319CD">
              <w:rPr>
                <w:rFonts w:hAnsi="標楷體"/>
              </w:rPr>
              <w:t>年資30年從67.5%降至52.5%。</w:t>
            </w:r>
          </w:p>
          <w:p w:rsidR="00424A6C" w:rsidRPr="007319CD" w:rsidRDefault="00424A6C" w:rsidP="00424A6C">
            <w:pPr>
              <w:pStyle w:val="121"/>
              <w:rPr>
                <w:rFonts w:hAnsi="標楷體"/>
              </w:rPr>
            </w:pPr>
            <w:r w:rsidRPr="007319CD">
              <w:rPr>
                <w:rFonts w:hAnsi="標楷體"/>
              </w:rPr>
              <w:t>年資25年從60%降至45%。</w:t>
            </w:r>
          </w:p>
          <w:p w:rsidR="00424A6C" w:rsidRPr="007319CD" w:rsidRDefault="00424A6C" w:rsidP="00424A6C">
            <w:pPr>
              <w:pStyle w:val="121"/>
              <w:rPr>
                <w:rFonts w:hAnsi="標楷體"/>
              </w:rPr>
            </w:pPr>
            <w:r w:rsidRPr="007319CD">
              <w:rPr>
                <w:rFonts w:hAnsi="標楷體"/>
              </w:rPr>
              <w:t>年資15年從45%降至30%。</w:t>
            </w:r>
          </w:p>
          <w:p w:rsidR="00424A6C" w:rsidRPr="007319CD" w:rsidRDefault="00424A6C" w:rsidP="00424A6C">
            <w:pPr>
              <w:pStyle w:val="121"/>
              <w:rPr>
                <w:rFonts w:hAnsi="標楷體"/>
              </w:rPr>
            </w:pPr>
            <w:r w:rsidRPr="007319CD">
              <w:rPr>
                <w:rFonts w:hAnsi="標楷體"/>
              </w:rPr>
              <w:t>現職人員：</w:t>
            </w:r>
            <w:r w:rsidRPr="007319CD">
              <w:rPr>
                <w:rFonts w:hAnsi="標楷體"/>
              </w:rPr>
              <w:br/>
              <w:t>可</w:t>
            </w:r>
            <w:proofErr w:type="gramStart"/>
            <w:r w:rsidRPr="007319CD">
              <w:rPr>
                <w:rFonts w:hAnsi="標楷體"/>
              </w:rPr>
              <w:t>採</w:t>
            </w:r>
            <w:proofErr w:type="gramEnd"/>
            <w:r w:rsidRPr="007319CD">
              <w:rPr>
                <w:rFonts w:hAnsi="標楷體"/>
              </w:rPr>
              <w:t>計40年年資，上限為77.5%降至62.5%；替代率同已退人員。</w:t>
            </w:r>
          </w:p>
          <w:p w:rsidR="00424A6C" w:rsidRPr="007319CD" w:rsidRDefault="00424A6C" w:rsidP="00424A6C">
            <w:pPr>
              <w:pStyle w:val="121"/>
              <w:rPr>
                <w:rFonts w:hAnsi="標楷體"/>
              </w:rPr>
            </w:pPr>
            <w:r w:rsidRPr="007319CD">
              <w:rPr>
                <w:rFonts w:hAnsi="標楷體"/>
              </w:rPr>
              <w:t>新進人員：</w:t>
            </w:r>
            <w:r w:rsidRPr="007319CD">
              <w:rPr>
                <w:rFonts w:hAnsi="標楷體"/>
              </w:rPr>
              <w:br/>
              <w:t>與現職人員同</w:t>
            </w:r>
          </w:p>
          <w:p w:rsidR="00424A6C" w:rsidRPr="007319CD" w:rsidRDefault="00424A6C" w:rsidP="00424A6C">
            <w:pPr>
              <w:pStyle w:val="121"/>
              <w:rPr>
                <w:rFonts w:hAnsi="標楷體"/>
              </w:rPr>
            </w:pPr>
            <w:r w:rsidRPr="007319CD">
              <w:rPr>
                <w:rFonts w:hAnsi="標楷體"/>
              </w:rPr>
              <w:t>退休所得調降至最低保障金額（32,160元）時，維持領取最低保障金額；如調降前之月退休總所得已低於最低保障金額，則不予調</w:t>
            </w:r>
            <w:r w:rsidRPr="007319CD">
              <w:rPr>
                <w:rFonts w:hAnsi="標楷體"/>
              </w:rPr>
              <w:lastRenderedPageBreak/>
              <w:t>降。</w:t>
            </w:r>
          </w:p>
        </w:tc>
        <w:tc>
          <w:tcPr>
            <w:tcW w:w="447" w:type="pct"/>
          </w:tcPr>
          <w:p w:rsidR="00424A6C" w:rsidRPr="007319CD" w:rsidRDefault="00424A6C" w:rsidP="00424A6C">
            <w:pPr>
              <w:pStyle w:val="121"/>
              <w:rPr>
                <w:rFonts w:hAnsi="標楷體"/>
              </w:rPr>
            </w:pPr>
            <w:r w:rsidRPr="007319CD">
              <w:rPr>
                <w:rFonts w:hAnsi="標楷體"/>
              </w:rPr>
              <w:lastRenderedPageBreak/>
              <w:t>第4條第4款、第37條至第39條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調整優惠存款制度</w:t>
            </w:r>
          </w:p>
        </w:tc>
        <w:tc>
          <w:tcPr>
            <w:tcW w:w="1247" w:type="pct"/>
          </w:tcPr>
          <w:p w:rsidR="00424A6C" w:rsidRPr="007319CD" w:rsidRDefault="00424A6C" w:rsidP="00424A6C">
            <w:pPr>
              <w:pStyle w:val="121"/>
              <w:rPr>
                <w:rFonts w:hAnsi="標楷體"/>
              </w:rPr>
            </w:pPr>
            <w:r w:rsidRPr="007319CD">
              <w:rPr>
                <w:rFonts w:hAnsi="標楷體"/>
              </w:rPr>
              <w:t>同上</w:t>
            </w:r>
          </w:p>
        </w:tc>
        <w:tc>
          <w:tcPr>
            <w:tcW w:w="416" w:type="pct"/>
          </w:tcPr>
          <w:p w:rsidR="00424A6C" w:rsidRPr="007319CD" w:rsidRDefault="00424A6C" w:rsidP="00424A6C">
            <w:pPr>
              <w:pStyle w:val="121"/>
              <w:rPr>
                <w:rFonts w:hAnsi="標楷體"/>
              </w:rPr>
            </w:pPr>
            <w:r w:rsidRPr="007319CD">
              <w:rPr>
                <w:rFonts w:hAnsi="標楷體"/>
              </w:rPr>
              <w:t>同上</w:t>
            </w:r>
          </w:p>
        </w:tc>
        <w:tc>
          <w:tcPr>
            <w:tcW w:w="2316" w:type="pct"/>
          </w:tcPr>
          <w:p w:rsidR="00424A6C" w:rsidRPr="007319CD" w:rsidRDefault="00424A6C" w:rsidP="00424A6C">
            <w:pPr>
              <w:pStyle w:val="121"/>
              <w:rPr>
                <w:rFonts w:hAnsi="標楷體"/>
              </w:rPr>
            </w:pPr>
            <w:r w:rsidRPr="007319CD">
              <w:rPr>
                <w:rFonts w:hAnsi="標楷體"/>
              </w:rPr>
              <w:t>支（兼）領月退休金者：</w:t>
            </w:r>
          </w:p>
          <w:p w:rsidR="00424A6C" w:rsidRPr="007319CD" w:rsidRDefault="00424A6C" w:rsidP="00424A6C">
            <w:pPr>
              <w:pStyle w:val="121"/>
              <w:rPr>
                <w:rFonts w:hAnsi="標楷體"/>
              </w:rPr>
            </w:pPr>
            <w:r w:rsidRPr="007319CD">
              <w:rPr>
                <w:rFonts w:hAnsi="標楷體"/>
              </w:rPr>
              <w:t>107年7月1日至109年12月31日降為9%，110年1月1日起歸零。</w:t>
            </w:r>
          </w:p>
          <w:p w:rsidR="00424A6C" w:rsidRPr="007319CD" w:rsidRDefault="00424A6C" w:rsidP="00424A6C">
            <w:pPr>
              <w:pStyle w:val="121"/>
              <w:rPr>
                <w:rFonts w:hAnsi="標楷體"/>
              </w:rPr>
            </w:pPr>
            <w:r w:rsidRPr="007319CD">
              <w:rPr>
                <w:rFonts w:hAnsi="標楷體"/>
              </w:rPr>
              <w:t>月退休所得經調降後，低於替代率調降方案最</w:t>
            </w:r>
            <w:proofErr w:type="gramStart"/>
            <w:r w:rsidRPr="007319CD">
              <w:rPr>
                <w:rFonts w:hAnsi="標楷體"/>
              </w:rPr>
              <w:t>末年（</w:t>
            </w:r>
            <w:proofErr w:type="gramEnd"/>
            <w:r w:rsidRPr="007319CD">
              <w:rPr>
                <w:rFonts w:hAnsi="標楷體"/>
              </w:rPr>
              <w:t>第11年）之上限金額中，屬於</w:t>
            </w:r>
            <w:proofErr w:type="gramStart"/>
            <w:r w:rsidRPr="007319CD">
              <w:rPr>
                <w:rFonts w:hAnsi="標楷體"/>
              </w:rPr>
              <w:t>公保優存</w:t>
            </w:r>
            <w:proofErr w:type="gramEnd"/>
            <w:r w:rsidRPr="007319CD">
              <w:rPr>
                <w:rFonts w:hAnsi="標楷體"/>
              </w:rPr>
              <w:t>部分，仍照18%利率計算其相應可辦理優惠存款之本金。</w:t>
            </w:r>
          </w:p>
          <w:p w:rsidR="00424A6C" w:rsidRPr="007319CD" w:rsidRDefault="00424A6C" w:rsidP="00424A6C">
            <w:pPr>
              <w:pStyle w:val="121"/>
              <w:rPr>
                <w:rFonts w:hAnsi="標楷體"/>
              </w:rPr>
            </w:pPr>
            <w:r w:rsidRPr="007319CD">
              <w:rPr>
                <w:rFonts w:hAnsi="標楷體"/>
              </w:rPr>
              <w:t>支領一次退休金者：</w:t>
            </w:r>
          </w:p>
          <w:p w:rsidR="00424A6C" w:rsidRPr="007319CD" w:rsidRDefault="00424A6C" w:rsidP="00424A6C">
            <w:pPr>
              <w:pStyle w:val="121"/>
              <w:rPr>
                <w:rFonts w:hAnsi="標楷體"/>
              </w:rPr>
            </w:pPr>
            <w:r w:rsidRPr="007319CD">
              <w:rPr>
                <w:rFonts w:hAnsi="標楷體"/>
              </w:rPr>
              <w:t>保障其最低保障金額範圍內之利息相應之本金，仍按年息18%計息，超過最低保障金額之利息相應之本金，107年7月1日至109年12月31日利率降至12%；110年1月1日至111年12月31日為10%；112年1月1日至113年12月31日為8%；114年1月1日起為6%。</w:t>
            </w:r>
          </w:p>
          <w:p w:rsidR="00424A6C" w:rsidRPr="007319CD" w:rsidRDefault="00424A6C" w:rsidP="00424A6C">
            <w:pPr>
              <w:pStyle w:val="121"/>
              <w:rPr>
                <w:rFonts w:hAnsi="標楷體"/>
              </w:rPr>
            </w:pPr>
            <w:r w:rsidRPr="007319CD">
              <w:rPr>
                <w:rFonts w:hAnsi="標楷體"/>
              </w:rPr>
              <w:t>未超過最低保障金額者，維持原領金額不予變動。</w:t>
            </w:r>
          </w:p>
          <w:p w:rsidR="00424A6C" w:rsidRPr="007319CD" w:rsidRDefault="00424A6C" w:rsidP="00424A6C">
            <w:pPr>
              <w:pStyle w:val="121"/>
              <w:rPr>
                <w:rFonts w:hAnsi="標楷體"/>
              </w:rPr>
            </w:pPr>
            <w:r w:rsidRPr="007319CD">
              <w:rPr>
                <w:rFonts w:hAnsi="標楷體"/>
              </w:rPr>
              <w:t>兼領月退休金者：其月退休給與中，</w:t>
            </w:r>
            <w:proofErr w:type="gramStart"/>
            <w:r w:rsidRPr="007319CD">
              <w:rPr>
                <w:rFonts w:hAnsi="標楷體"/>
              </w:rPr>
              <w:t>按兼領</w:t>
            </w:r>
            <w:proofErr w:type="gramEnd"/>
            <w:r w:rsidRPr="007319CD">
              <w:rPr>
                <w:rFonts w:hAnsi="標楷體"/>
              </w:rPr>
              <w:t>月退休金比率計得之</w:t>
            </w:r>
            <w:proofErr w:type="gramStart"/>
            <w:r w:rsidRPr="007319CD">
              <w:rPr>
                <w:rFonts w:hAnsi="標楷體"/>
              </w:rPr>
              <w:t>公保優存</w:t>
            </w:r>
            <w:proofErr w:type="gramEnd"/>
            <w:r w:rsidRPr="007319CD">
              <w:rPr>
                <w:rFonts w:hAnsi="標楷體"/>
              </w:rPr>
              <w:t>金額，依上開第1點所定方式調降；</w:t>
            </w:r>
            <w:proofErr w:type="gramStart"/>
            <w:r w:rsidRPr="007319CD">
              <w:rPr>
                <w:rFonts w:hAnsi="標楷體"/>
              </w:rPr>
              <w:t>按兼領</w:t>
            </w:r>
            <w:proofErr w:type="gramEnd"/>
            <w:r w:rsidRPr="007319CD">
              <w:rPr>
                <w:rFonts w:hAnsi="標楷體"/>
              </w:rPr>
              <w:t>之一次退休金，加</w:t>
            </w:r>
            <w:proofErr w:type="gramStart"/>
            <w:r w:rsidRPr="007319CD">
              <w:rPr>
                <w:rFonts w:hAnsi="標楷體"/>
              </w:rPr>
              <w:t>計按兼</w:t>
            </w:r>
            <w:proofErr w:type="gramEnd"/>
            <w:r w:rsidRPr="007319CD">
              <w:rPr>
                <w:rFonts w:hAnsi="標楷體"/>
              </w:rPr>
              <w:t>領一次退休金比率計得之</w:t>
            </w:r>
            <w:proofErr w:type="gramStart"/>
            <w:r w:rsidRPr="007319CD">
              <w:rPr>
                <w:rFonts w:hAnsi="標楷體"/>
              </w:rPr>
              <w:t>公保優存</w:t>
            </w:r>
            <w:proofErr w:type="gramEnd"/>
            <w:r w:rsidRPr="007319CD">
              <w:rPr>
                <w:rFonts w:hAnsi="標楷體"/>
              </w:rPr>
              <w:t>金額，依上開第2點所定一次退休金人員調降方式規定計算。但最低保障金額</w:t>
            </w:r>
            <w:proofErr w:type="gramStart"/>
            <w:r w:rsidRPr="007319CD">
              <w:rPr>
                <w:rFonts w:hAnsi="標楷體"/>
              </w:rPr>
              <w:t>應按兼領</w:t>
            </w:r>
            <w:proofErr w:type="gramEnd"/>
            <w:r w:rsidRPr="007319CD">
              <w:rPr>
                <w:rFonts w:hAnsi="標楷體"/>
              </w:rPr>
              <w:t>月退休金及一次退休金之比率分別計算。</w:t>
            </w:r>
          </w:p>
          <w:p w:rsidR="00424A6C" w:rsidRPr="007319CD" w:rsidRDefault="00424A6C" w:rsidP="00424A6C">
            <w:pPr>
              <w:pStyle w:val="121"/>
              <w:rPr>
                <w:rFonts w:hAnsi="標楷體"/>
              </w:rPr>
            </w:pPr>
            <w:r w:rsidRPr="007319CD">
              <w:rPr>
                <w:rFonts w:hAnsi="標楷體"/>
              </w:rPr>
              <w:t>優惠存款金額：公保養老給付優惠存款按退休人員於退撫新制實施前實際得領取之養老給付金額辦理【即同步廢止優存辦法第3條第1項附表（即從優逆算表）】。</w:t>
            </w:r>
          </w:p>
        </w:tc>
        <w:tc>
          <w:tcPr>
            <w:tcW w:w="447" w:type="pct"/>
          </w:tcPr>
          <w:p w:rsidR="00424A6C" w:rsidRPr="007319CD" w:rsidRDefault="00424A6C" w:rsidP="00424A6C">
            <w:pPr>
              <w:pStyle w:val="121"/>
              <w:rPr>
                <w:rFonts w:hAnsi="標楷體"/>
              </w:rPr>
            </w:pPr>
            <w:r w:rsidRPr="007319CD">
              <w:rPr>
                <w:rFonts w:hAnsi="標楷體"/>
              </w:rPr>
              <w:t>第35條及第36條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取消年資補償金</w:t>
            </w:r>
          </w:p>
        </w:tc>
        <w:tc>
          <w:tcPr>
            <w:tcW w:w="1247" w:type="pct"/>
          </w:tcPr>
          <w:p w:rsidR="00424A6C" w:rsidRPr="007319CD" w:rsidRDefault="00424A6C" w:rsidP="00424A6C">
            <w:pPr>
              <w:pStyle w:val="121"/>
              <w:rPr>
                <w:rFonts w:hAnsi="標楷體"/>
              </w:rPr>
            </w:pPr>
            <w:r w:rsidRPr="007319CD">
              <w:rPr>
                <w:rFonts w:hAnsi="標楷體"/>
              </w:rPr>
              <w:t>退撫新制實施前已有任職年資未滿15年，於退撫新制實施後退休，其前、後任職年資合計滿15年以上，擇領月退休金者，另按退撫新制實施前未滿15年之年資為</w:t>
            </w:r>
            <w:proofErr w:type="gramStart"/>
            <w:r w:rsidRPr="007319CD">
              <w:rPr>
                <w:rFonts w:hAnsi="標楷體"/>
              </w:rPr>
              <w:t>準</w:t>
            </w:r>
            <w:proofErr w:type="gramEnd"/>
            <w:r w:rsidRPr="007319CD">
              <w:rPr>
                <w:rFonts w:hAnsi="標楷體"/>
              </w:rPr>
              <w:t>，依規定擇支領一次補償金或月補償金（每</w:t>
            </w:r>
            <w:r w:rsidRPr="007319CD">
              <w:rPr>
                <w:rFonts w:hAnsi="標楷體"/>
              </w:rPr>
              <w:lastRenderedPageBreak/>
              <w:t>減1年增給1/2個基數之一次補償金，或增給基數1/200之月補償金）。</w:t>
            </w:r>
          </w:p>
          <w:p w:rsidR="00424A6C" w:rsidRPr="007319CD" w:rsidRDefault="00424A6C" w:rsidP="00424A6C">
            <w:pPr>
              <w:pStyle w:val="121"/>
              <w:rPr>
                <w:rFonts w:hAnsi="標楷體"/>
              </w:rPr>
            </w:pPr>
            <w:r w:rsidRPr="007319CD">
              <w:rPr>
                <w:rFonts w:hAnsi="標楷體"/>
              </w:rPr>
              <w:t>退撫新制實施前已有任職年資未滿20年，於退撫新制實施後退休，其前後任職年資合計滿15年擇領月退休金者，依其在退撫新制實施後年資按</w:t>
            </w:r>
            <w:proofErr w:type="gramStart"/>
            <w:r w:rsidRPr="007319CD">
              <w:rPr>
                <w:rFonts w:hAnsi="標楷體"/>
              </w:rPr>
              <w:t>規定計給再</w:t>
            </w:r>
            <w:proofErr w:type="gramEnd"/>
            <w:r w:rsidRPr="007319CD">
              <w:rPr>
                <w:rFonts w:hAnsi="標楷體"/>
              </w:rPr>
              <w:t>一次補償金。</w:t>
            </w:r>
          </w:p>
        </w:tc>
        <w:tc>
          <w:tcPr>
            <w:tcW w:w="416" w:type="pct"/>
          </w:tcPr>
          <w:p w:rsidR="00424A6C" w:rsidRPr="007319CD" w:rsidRDefault="00424A6C" w:rsidP="00424A6C">
            <w:pPr>
              <w:pStyle w:val="121"/>
              <w:rPr>
                <w:rFonts w:hAnsi="標楷體"/>
              </w:rPr>
            </w:pPr>
            <w:r w:rsidRPr="007319CD">
              <w:rPr>
                <w:rFonts w:hAnsi="標楷體"/>
              </w:rPr>
              <w:lastRenderedPageBreak/>
              <w:t>第30條</w:t>
            </w:r>
          </w:p>
        </w:tc>
        <w:tc>
          <w:tcPr>
            <w:tcW w:w="2316" w:type="pct"/>
          </w:tcPr>
          <w:p w:rsidR="00424A6C" w:rsidRPr="007319CD" w:rsidRDefault="00424A6C" w:rsidP="00424A6C">
            <w:pPr>
              <w:pStyle w:val="121"/>
              <w:rPr>
                <w:rFonts w:hAnsi="標楷體"/>
              </w:rPr>
            </w:pPr>
            <w:r w:rsidRPr="007319CD">
              <w:rPr>
                <w:rFonts w:hAnsi="標楷體"/>
              </w:rPr>
              <w:t>108年7月1日以後退休者：不再發給年資補償金。</w:t>
            </w:r>
          </w:p>
          <w:p w:rsidR="00424A6C" w:rsidRPr="007319CD" w:rsidRDefault="00424A6C" w:rsidP="00424A6C">
            <w:pPr>
              <w:pStyle w:val="121"/>
              <w:rPr>
                <w:rFonts w:hAnsi="標楷體"/>
              </w:rPr>
            </w:pPr>
            <w:proofErr w:type="gramStart"/>
            <w:r w:rsidRPr="007319CD">
              <w:rPr>
                <w:rFonts w:hAnsi="標楷體"/>
              </w:rPr>
              <w:t>原審定擇領</w:t>
            </w:r>
            <w:proofErr w:type="gramEnd"/>
            <w:r w:rsidRPr="007319CD">
              <w:rPr>
                <w:rFonts w:hAnsi="標楷體"/>
              </w:rPr>
              <w:t>月補償金者，於107年7月1日前、後，所領月補償金總額未</w:t>
            </w:r>
            <w:proofErr w:type="gramStart"/>
            <w:r w:rsidRPr="007319CD">
              <w:rPr>
                <w:rFonts w:hAnsi="標楷體"/>
              </w:rPr>
              <w:t>達原得領取</w:t>
            </w:r>
            <w:proofErr w:type="gramEnd"/>
            <w:r w:rsidRPr="007319CD">
              <w:rPr>
                <w:rFonts w:hAnsi="標楷體"/>
              </w:rPr>
              <w:t>之一次補償金金額者，補發其餘額。</w:t>
            </w:r>
          </w:p>
        </w:tc>
        <w:tc>
          <w:tcPr>
            <w:tcW w:w="447" w:type="pct"/>
          </w:tcPr>
          <w:p w:rsidR="00424A6C" w:rsidRPr="007319CD" w:rsidRDefault="00424A6C" w:rsidP="00424A6C">
            <w:pPr>
              <w:pStyle w:val="121"/>
              <w:rPr>
                <w:rFonts w:hAnsi="標楷體"/>
              </w:rPr>
            </w:pPr>
            <w:r w:rsidRPr="007319CD">
              <w:rPr>
                <w:rFonts w:hAnsi="標楷體"/>
              </w:rPr>
              <w:t>第34條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調整月撫慰金制度</w:t>
            </w:r>
          </w:p>
        </w:tc>
        <w:tc>
          <w:tcPr>
            <w:tcW w:w="1247" w:type="pct"/>
          </w:tcPr>
          <w:p w:rsidR="00424A6C" w:rsidRPr="007319CD" w:rsidRDefault="00424A6C" w:rsidP="00424A6C">
            <w:pPr>
              <w:pStyle w:val="121"/>
              <w:rPr>
                <w:rFonts w:hAnsi="標楷體"/>
              </w:rPr>
            </w:pPr>
            <w:r w:rsidRPr="007319CD">
              <w:rPr>
                <w:rFonts w:hAnsi="標楷體"/>
              </w:rPr>
              <w:t>請領對象：</w:t>
            </w:r>
            <w:r w:rsidRPr="007319CD">
              <w:rPr>
                <w:rFonts w:hAnsi="標楷體"/>
              </w:rPr>
              <w:br/>
              <w:t>配偶、子女、父母。</w:t>
            </w:r>
          </w:p>
          <w:p w:rsidR="00424A6C" w:rsidRPr="007319CD" w:rsidRDefault="00424A6C" w:rsidP="00424A6C">
            <w:pPr>
              <w:pStyle w:val="121"/>
              <w:rPr>
                <w:rFonts w:hAnsi="標楷體"/>
              </w:rPr>
            </w:pPr>
            <w:r w:rsidRPr="007319CD">
              <w:rPr>
                <w:rFonts w:hAnsi="標楷體"/>
              </w:rPr>
              <w:t>請領條件：</w:t>
            </w:r>
          </w:p>
          <w:p w:rsidR="00424A6C" w:rsidRPr="007319CD" w:rsidRDefault="00424A6C" w:rsidP="00424A6C">
            <w:pPr>
              <w:pStyle w:val="121"/>
              <w:rPr>
                <w:rFonts w:hAnsi="標楷體"/>
              </w:rPr>
            </w:pPr>
            <w:r w:rsidRPr="007319CD">
              <w:rPr>
                <w:rFonts w:hAnsi="標楷體"/>
              </w:rPr>
              <w:t>配偶：年滿55歲（未滿55歲者，得自年滿55歲之日起支領），其婚姻關係於退休人員退休生效時已存續2年以上，且未再婚者為限；如因身心障礙而無工作能力者，</w:t>
            </w:r>
            <w:proofErr w:type="gramStart"/>
            <w:r w:rsidRPr="007319CD">
              <w:rPr>
                <w:rFonts w:hAnsi="標楷體"/>
              </w:rPr>
              <w:t>不受須年</w:t>
            </w:r>
            <w:proofErr w:type="gramEnd"/>
            <w:r w:rsidRPr="007319CD">
              <w:rPr>
                <w:rFonts w:hAnsi="標楷體"/>
              </w:rPr>
              <w:t>滿55歲之限制。</w:t>
            </w:r>
          </w:p>
          <w:p w:rsidR="00424A6C" w:rsidRPr="007319CD" w:rsidRDefault="00424A6C" w:rsidP="00424A6C">
            <w:pPr>
              <w:pStyle w:val="121"/>
              <w:rPr>
                <w:rFonts w:hAnsi="標楷體"/>
              </w:rPr>
            </w:pPr>
            <w:r w:rsidRPr="007319CD">
              <w:rPr>
                <w:rFonts w:hAnsi="標楷體"/>
              </w:rPr>
              <w:t>子女：未成年或已成年因身心障礙而無謀生能力。</w:t>
            </w:r>
          </w:p>
          <w:p w:rsidR="00424A6C" w:rsidRPr="007319CD" w:rsidRDefault="00424A6C" w:rsidP="00424A6C">
            <w:pPr>
              <w:pStyle w:val="121"/>
              <w:rPr>
                <w:rFonts w:hAnsi="標楷體"/>
              </w:rPr>
            </w:pPr>
            <w:r w:rsidRPr="007319CD">
              <w:rPr>
                <w:rFonts w:hAnsi="標楷體"/>
              </w:rPr>
              <w:t>父母：必須退休人員已無第</w:t>
            </w:r>
            <w:r w:rsidR="00590F84" w:rsidRPr="007319CD">
              <w:rPr>
                <w:rFonts w:hAnsi="標楷體" w:hint="eastAsia"/>
              </w:rPr>
              <w:t>1</w:t>
            </w:r>
            <w:r w:rsidRPr="007319CD">
              <w:rPr>
                <w:rFonts w:hAnsi="標楷體"/>
              </w:rPr>
              <w:t>順序之子女時，始有第</w:t>
            </w:r>
            <w:r w:rsidR="00590F84" w:rsidRPr="007319CD">
              <w:rPr>
                <w:rFonts w:hAnsi="標楷體" w:hint="eastAsia"/>
              </w:rPr>
              <w:t>2</w:t>
            </w:r>
            <w:r w:rsidRPr="007319CD">
              <w:rPr>
                <w:rFonts w:hAnsi="標楷體"/>
              </w:rPr>
              <w:t>順序之父母與配偶同時領受月撫慰金之餘地。</w:t>
            </w:r>
          </w:p>
          <w:p w:rsidR="00424A6C" w:rsidRPr="007319CD" w:rsidRDefault="00424A6C" w:rsidP="00424A6C">
            <w:pPr>
              <w:pStyle w:val="121"/>
              <w:rPr>
                <w:rFonts w:hAnsi="標楷體"/>
              </w:rPr>
            </w:pPr>
            <w:r w:rsidRPr="007319CD">
              <w:rPr>
                <w:rFonts w:hAnsi="標楷體"/>
              </w:rPr>
              <w:t>支領期限：</w:t>
            </w:r>
            <w:r w:rsidRPr="007319CD">
              <w:rPr>
                <w:rFonts w:hAnsi="標楷體"/>
              </w:rPr>
              <w:br/>
              <w:t>配偶終身支領；未成年</w:t>
            </w:r>
            <w:proofErr w:type="gramStart"/>
            <w:r w:rsidRPr="007319CD">
              <w:rPr>
                <w:rFonts w:hAnsi="標楷體"/>
              </w:rPr>
              <w:t>子女給至成年</w:t>
            </w:r>
            <w:proofErr w:type="gramEnd"/>
            <w:r w:rsidRPr="007319CD">
              <w:rPr>
                <w:rFonts w:hAnsi="標楷體"/>
              </w:rPr>
              <w:t>為止，已成年因身心障礙而無謀生能力之子女終身支領；父母給與終身。</w:t>
            </w:r>
          </w:p>
          <w:p w:rsidR="00424A6C" w:rsidRPr="007319CD" w:rsidRDefault="00424A6C" w:rsidP="00424A6C">
            <w:pPr>
              <w:pStyle w:val="121"/>
              <w:rPr>
                <w:rFonts w:hAnsi="標楷體"/>
              </w:rPr>
            </w:pPr>
            <w:r w:rsidRPr="007319CD">
              <w:rPr>
                <w:rFonts w:hAnsi="標楷體"/>
              </w:rPr>
              <w:t>給與標準：</w:t>
            </w:r>
            <w:r w:rsidRPr="007319CD">
              <w:rPr>
                <w:rFonts w:hAnsi="標楷體"/>
              </w:rPr>
              <w:br/>
              <w:t>按原支（兼）領月退休金之1/2發給。</w:t>
            </w:r>
          </w:p>
        </w:tc>
        <w:tc>
          <w:tcPr>
            <w:tcW w:w="416" w:type="pct"/>
          </w:tcPr>
          <w:p w:rsidR="00424A6C" w:rsidRPr="007319CD" w:rsidRDefault="00424A6C" w:rsidP="00424A6C">
            <w:pPr>
              <w:pStyle w:val="121"/>
              <w:rPr>
                <w:rFonts w:hAnsi="標楷體"/>
              </w:rPr>
            </w:pPr>
            <w:r w:rsidRPr="007319CD">
              <w:rPr>
                <w:rFonts w:hAnsi="標楷體"/>
              </w:rPr>
              <w:t>第18條第4、5項</w:t>
            </w:r>
          </w:p>
        </w:tc>
        <w:tc>
          <w:tcPr>
            <w:tcW w:w="2316" w:type="pct"/>
          </w:tcPr>
          <w:p w:rsidR="00424A6C" w:rsidRPr="007319CD" w:rsidRDefault="00424A6C" w:rsidP="00424A6C">
            <w:pPr>
              <w:pStyle w:val="121"/>
              <w:rPr>
                <w:rFonts w:hAnsi="標楷體"/>
              </w:rPr>
            </w:pPr>
            <w:r w:rsidRPr="007319CD">
              <w:rPr>
                <w:rFonts w:hAnsi="標楷體"/>
              </w:rPr>
              <w:t>將月撫慰金和一次撫慰金之用語修正為「遺屬年金」及「遺屬一次金」</w:t>
            </w:r>
          </w:p>
          <w:p w:rsidR="00424A6C" w:rsidRPr="007319CD" w:rsidRDefault="00424A6C" w:rsidP="00424A6C">
            <w:pPr>
              <w:pStyle w:val="121"/>
              <w:rPr>
                <w:rFonts w:hAnsi="標楷體"/>
              </w:rPr>
            </w:pPr>
            <w:r w:rsidRPr="007319CD">
              <w:rPr>
                <w:rFonts w:hAnsi="標楷體"/>
              </w:rPr>
              <w:t>按原支（兼）領月退休金之1/2發給「遺屬年金」；至於遺族擇領遺屬年金的條件如下：</w:t>
            </w:r>
          </w:p>
          <w:p w:rsidR="00424A6C" w:rsidRPr="007319CD" w:rsidRDefault="00424A6C" w:rsidP="00424A6C">
            <w:pPr>
              <w:pStyle w:val="121"/>
              <w:rPr>
                <w:rFonts w:hAnsi="標楷體"/>
              </w:rPr>
            </w:pPr>
            <w:r w:rsidRPr="007319CD">
              <w:rPr>
                <w:rFonts w:hAnsi="標楷體"/>
              </w:rPr>
              <w:t>配偶支領「遺屬年金」</w:t>
            </w:r>
            <w:proofErr w:type="gramStart"/>
            <w:r w:rsidRPr="007319CD">
              <w:rPr>
                <w:rFonts w:hAnsi="標楷體"/>
              </w:rPr>
              <w:t>起支年齡</w:t>
            </w:r>
            <w:proofErr w:type="gramEnd"/>
            <w:r w:rsidRPr="007319CD">
              <w:rPr>
                <w:rFonts w:hAnsi="標楷體"/>
              </w:rPr>
              <w:t>維持為55歲；婚姻關係改為於退休人員亡故時累積存續10年以上。</w:t>
            </w:r>
          </w:p>
          <w:p w:rsidR="00424A6C" w:rsidRPr="007319CD" w:rsidRDefault="00424A6C" w:rsidP="00424A6C">
            <w:pPr>
              <w:pStyle w:val="121"/>
              <w:rPr>
                <w:rFonts w:hAnsi="標楷體"/>
              </w:rPr>
            </w:pPr>
            <w:r w:rsidRPr="007319CD">
              <w:rPr>
                <w:rFonts w:hAnsi="標楷體"/>
              </w:rPr>
              <w:t>維持身心障礙之成年子女擇領終身月撫慰金規定。</w:t>
            </w:r>
          </w:p>
          <w:p w:rsidR="00424A6C" w:rsidRPr="007319CD" w:rsidRDefault="00424A6C" w:rsidP="00424A6C">
            <w:pPr>
              <w:pStyle w:val="121"/>
              <w:rPr>
                <w:rFonts w:hAnsi="標楷體"/>
              </w:rPr>
            </w:pPr>
            <w:r w:rsidRPr="007319CD">
              <w:rPr>
                <w:rFonts w:hAnsi="標楷體"/>
              </w:rPr>
              <w:t>遺族已依公務人員退撫法或其他法令規定領有退休金、撫卹金、優惠存款利息，或其他由政府預算、公營事業機構支給之定期性給與者，不得擇領遺屬年金。但選擇放棄本人應領之定期給與並經原發給定期給與之權責機關同意者，仍可以支領遺屬年金。</w:t>
            </w:r>
          </w:p>
        </w:tc>
        <w:tc>
          <w:tcPr>
            <w:tcW w:w="447" w:type="pct"/>
          </w:tcPr>
          <w:p w:rsidR="00424A6C" w:rsidRPr="007319CD" w:rsidRDefault="00424A6C" w:rsidP="00424A6C">
            <w:pPr>
              <w:pStyle w:val="121"/>
              <w:rPr>
                <w:rFonts w:hAnsi="標楷體"/>
              </w:rPr>
            </w:pPr>
            <w:r w:rsidRPr="007319CD">
              <w:rPr>
                <w:rFonts w:hAnsi="標楷體"/>
              </w:rPr>
              <w:t>第45條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t>財源</w:t>
            </w:r>
          </w:p>
        </w:tc>
        <w:tc>
          <w:tcPr>
            <w:tcW w:w="424" w:type="pct"/>
          </w:tcPr>
          <w:p w:rsidR="00424A6C" w:rsidRPr="007319CD" w:rsidRDefault="00424A6C" w:rsidP="00424A6C">
            <w:pPr>
              <w:pStyle w:val="121"/>
              <w:rPr>
                <w:rFonts w:hAnsi="標楷體"/>
              </w:rPr>
            </w:pPr>
            <w:r w:rsidRPr="007319CD">
              <w:rPr>
                <w:rFonts w:hAnsi="標楷體"/>
              </w:rPr>
              <w:t>法定</w:t>
            </w:r>
            <w:proofErr w:type="gramStart"/>
            <w:r w:rsidRPr="007319CD">
              <w:rPr>
                <w:rFonts w:hAnsi="標楷體"/>
              </w:rPr>
              <w:t>提撥</w:t>
            </w:r>
            <w:proofErr w:type="gramEnd"/>
            <w:r w:rsidRPr="007319CD">
              <w:rPr>
                <w:rFonts w:hAnsi="標楷體"/>
              </w:rPr>
              <w:t>費率</w:t>
            </w:r>
            <w:r w:rsidRPr="007319CD">
              <w:rPr>
                <w:rFonts w:hAnsi="標楷體"/>
              </w:rPr>
              <w:lastRenderedPageBreak/>
              <w:t>上限</w:t>
            </w:r>
          </w:p>
        </w:tc>
        <w:tc>
          <w:tcPr>
            <w:tcW w:w="1247" w:type="pct"/>
          </w:tcPr>
          <w:p w:rsidR="00424A6C" w:rsidRPr="007319CD" w:rsidRDefault="00424A6C" w:rsidP="00424A6C">
            <w:pPr>
              <w:pStyle w:val="121"/>
              <w:rPr>
                <w:rFonts w:hAnsi="標楷體"/>
              </w:rPr>
            </w:pPr>
            <w:r w:rsidRPr="007319CD">
              <w:rPr>
                <w:rFonts w:hAnsi="標楷體"/>
              </w:rPr>
              <w:lastRenderedPageBreak/>
              <w:t>12%至15%（現行</w:t>
            </w:r>
            <w:proofErr w:type="gramStart"/>
            <w:r w:rsidRPr="007319CD">
              <w:rPr>
                <w:rFonts w:hAnsi="標楷體"/>
              </w:rPr>
              <w:t>提撥</w:t>
            </w:r>
            <w:proofErr w:type="gramEnd"/>
            <w:r w:rsidRPr="007319CD">
              <w:rPr>
                <w:rFonts w:hAnsi="標楷體"/>
              </w:rPr>
              <w:t>費率為12%）</w:t>
            </w:r>
          </w:p>
        </w:tc>
        <w:tc>
          <w:tcPr>
            <w:tcW w:w="416" w:type="pct"/>
          </w:tcPr>
          <w:p w:rsidR="00424A6C" w:rsidRPr="007319CD" w:rsidRDefault="00424A6C" w:rsidP="00424A6C">
            <w:pPr>
              <w:pStyle w:val="121"/>
              <w:rPr>
                <w:rFonts w:hAnsi="標楷體"/>
              </w:rPr>
            </w:pPr>
            <w:r w:rsidRPr="007319CD">
              <w:rPr>
                <w:rFonts w:hAnsi="標楷體"/>
              </w:rPr>
              <w:t>第14條第4項</w:t>
            </w:r>
          </w:p>
        </w:tc>
        <w:tc>
          <w:tcPr>
            <w:tcW w:w="2316" w:type="pct"/>
          </w:tcPr>
          <w:p w:rsidR="00424A6C" w:rsidRPr="007319CD" w:rsidRDefault="00424A6C" w:rsidP="00424A6C">
            <w:pPr>
              <w:pStyle w:val="121"/>
              <w:rPr>
                <w:rFonts w:hAnsi="標楷體"/>
              </w:rPr>
            </w:pPr>
            <w:r w:rsidRPr="007319CD">
              <w:rPr>
                <w:rFonts w:hAnsi="標楷體"/>
              </w:rPr>
              <w:t>12%至18%</w:t>
            </w:r>
          </w:p>
        </w:tc>
        <w:tc>
          <w:tcPr>
            <w:tcW w:w="447" w:type="pct"/>
          </w:tcPr>
          <w:p w:rsidR="00424A6C" w:rsidRPr="007319CD" w:rsidRDefault="00424A6C" w:rsidP="00424A6C">
            <w:pPr>
              <w:pStyle w:val="121"/>
              <w:rPr>
                <w:rFonts w:hAnsi="標楷體"/>
              </w:rPr>
            </w:pPr>
            <w:r w:rsidRPr="007319CD">
              <w:rPr>
                <w:rFonts w:hAnsi="標楷體"/>
              </w:rPr>
              <w:t>第7條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費用</w:t>
            </w:r>
            <w:proofErr w:type="gramStart"/>
            <w:r w:rsidRPr="007319CD">
              <w:rPr>
                <w:rFonts w:hAnsi="標楷體"/>
              </w:rPr>
              <w:t>挹</w:t>
            </w:r>
            <w:proofErr w:type="gramEnd"/>
            <w:r w:rsidRPr="007319CD">
              <w:rPr>
                <w:rFonts w:hAnsi="標楷體"/>
              </w:rPr>
              <w:t>注</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各級政府調降退休所得和優惠存款利率所節省經費，應全部</w:t>
            </w:r>
            <w:proofErr w:type="gramStart"/>
            <w:r w:rsidRPr="007319CD">
              <w:rPr>
                <w:rFonts w:hAnsi="標楷體"/>
              </w:rPr>
              <w:t>挹</w:t>
            </w:r>
            <w:proofErr w:type="gramEnd"/>
            <w:r w:rsidRPr="007319CD">
              <w:rPr>
                <w:rFonts w:hAnsi="標楷體"/>
              </w:rPr>
              <w:t>注退撫基金。</w:t>
            </w:r>
          </w:p>
        </w:tc>
        <w:tc>
          <w:tcPr>
            <w:tcW w:w="447" w:type="pct"/>
          </w:tcPr>
          <w:p w:rsidR="00424A6C" w:rsidRPr="007319CD" w:rsidRDefault="00424A6C" w:rsidP="00424A6C">
            <w:pPr>
              <w:pStyle w:val="121"/>
              <w:rPr>
                <w:rFonts w:hAnsi="標楷體"/>
              </w:rPr>
            </w:pPr>
            <w:r w:rsidRPr="007319CD">
              <w:rPr>
                <w:rFonts w:hAnsi="標楷體"/>
              </w:rPr>
              <w:t>第40條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t>制度轉銜</w:t>
            </w:r>
          </w:p>
        </w:tc>
        <w:tc>
          <w:tcPr>
            <w:tcW w:w="424" w:type="pct"/>
          </w:tcPr>
          <w:p w:rsidR="00424A6C" w:rsidRPr="007319CD" w:rsidRDefault="00424A6C" w:rsidP="00424A6C">
            <w:pPr>
              <w:pStyle w:val="121"/>
              <w:rPr>
                <w:rFonts w:hAnsi="標楷體"/>
              </w:rPr>
            </w:pPr>
            <w:r w:rsidRPr="007319CD">
              <w:rPr>
                <w:rFonts w:hAnsi="標楷體"/>
              </w:rPr>
              <w:t>年資保留</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法案公布施行後，任職已滿5年且未辦理退休或資遣而離職者，其年資得保留至年滿65歲後之6個月內，再依規定請領退休金（未滿15年者，給一次退休金，滿15年以上者，可擇領一次退休金或月退休金）。</w:t>
            </w:r>
          </w:p>
        </w:tc>
        <w:tc>
          <w:tcPr>
            <w:tcW w:w="447" w:type="pct"/>
          </w:tcPr>
          <w:p w:rsidR="00424A6C" w:rsidRPr="007319CD" w:rsidRDefault="00424A6C" w:rsidP="00424A6C">
            <w:pPr>
              <w:pStyle w:val="121"/>
              <w:rPr>
                <w:rFonts w:hAnsi="標楷體"/>
              </w:rPr>
            </w:pPr>
            <w:r w:rsidRPr="007319CD">
              <w:rPr>
                <w:rFonts w:hAnsi="標楷體"/>
              </w:rPr>
              <w:t>第85條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年資</w:t>
            </w:r>
            <w:proofErr w:type="gramStart"/>
            <w:r w:rsidRPr="007319CD">
              <w:rPr>
                <w:rFonts w:hAnsi="標楷體"/>
              </w:rPr>
              <w:t>併</w:t>
            </w:r>
            <w:proofErr w:type="gramEnd"/>
            <w:r w:rsidRPr="007319CD">
              <w:rPr>
                <w:rFonts w:hAnsi="標楷體"/>
              </w:rPr>
              <w:t>計、年金分計</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在職公務人員</w:t>
            </w:r>
            <w:proofErr w:type="gramStart"/>
            <w:r w:rsidRPr="007319CD">
              <w:rPr>
                <w:rFonts w:hAnsi="標楷體"/>
              </w:rPr>
              <w:t>辦理屆齡或</w:t>
            </w:r>
            <w:proofErr w:type="gramEnd"/>
            <w:r w:rsidRPr="007319CD">
              <w:rPr>
                <w:rFonts w:hAnsi="標楷體"/>
              </w:rPr>
              <w:t>命令退休時，公務年資未滿15年，得</w:t>
            </w:r>
            <w:proofErr w:type="gramStart"/>
            <w:r w:rsidRPr="007319CD">
              <w:rPr>
                <w:rFonts w:hAnsi="標楷體"/>
              </w:rPr>
              <w:t>併</w:t>
            </w:r>
            <w:proofErr w:type="gramEnd"/>
            <w:r w:rsidRPr="007319CD">
              <w:rPr>
                <w:rFonts w:hAnsi="標楷體"/>
              </w:rPr>
              <w:t>計</w:t>
            </w:r>
            <w:proofErr w:type="gramStart"/>
            <w:r w:rsidRPr="007319CD">
              <w:rPr>
                <w:rFonts w:hAnsi="標楷體"/>
              </w:rPr>
              <w:t>其他職域年資</w:t>
            </w:r>
            <w:proofErr w:type="gramEnd"/>
            <w:r w:rsidRPr="007319CD">
              <w:rPr>
                <w:rFonts w:hAnsi="標楷體"/>
              </w:rPr>
              <w:t>成就支領月退休金條件。</w:t>
            </w:r>
          </w:p>
          <w:p w:rsidR="00424A6C" w:rsidRPr="007319CD" w:rsidRDefault="00424A6C" w:rsidP="00424A6C">
            <w:pPr>
              <w:pStyle w:val="121"/>
              <w:rPr>
                <w:rFonts w:hAnsi="標楷體"/>
              </w:rPr>
            </w:pPr>
            <w:r w:rsidRPr="007319CD">
              <w:rPr>
                <w:rFonts w:hAnsi="標楷體"/>
              </w:rPr>
              <w:t>法案公布施行後，任職已滿5年且未辦理退休或資遣而離職者，於年滿65歲後之6個月內，得</w:t>
            </w:r>
            <w:proofErr w:type="gramStart"/>
            <w:r w:rsidRPr="007319CD">
              <w:rPr>
                <w:rFonts w:hAnsi="標楷體"/>
              </w:rPr>
              <w:t>併</w:t>
            </w:r>
            <w:proofErr w:type="gramEnd"/>
            <w:r w:rsidRPr="007319CD">
              <w:rPr>
                <w:rFonts w:hAnsi="標楷體"/>
              </w:rPr>
              <w:t>計</w:t>
            </w:r>
            <w:proofErr w:type="gramStart"/>
            <w:r w:rsidRPr="007319CD">
              <w:rPr>
                <w:rFonts w:hAnsi="標楷體"/>
              </w:rPr>
              <w:t>其他職域年資</w:t>
            </w:r>
            <w:proofErr w:type="gramEnd"/>
            <w:r w:rsidRPr="007319CD">
              <w:rPr>
                <w:rFonts w:hAnsi="標楷體"/>
              </w:rPr>
              <w:t>成就支領月退休金條件。</w:t>
            </w:r>
          </w:p>
        </w:tc>
        <w:tc>
          <w:tcPr>
            <w:tcW w:w="447" w:type="pct"/>
          </w:tcPr>
          <w:p w:rsidR="00424A6C" w:rsidRPr="007319CD" w:rsidRDefault="00424A6C" w:rsidP="00424A6C">
            <w:pPr>
              <w:pStyle w:val="121"/>
              <w:rPr>
                <w:rFonts w:hAnsi="標楷體"/>
              </w:rPr>
            </w:pPr>
            <w:r w:rsidRPr="007319CD">
              <w:rPr>
                <w:rFonts w:hAnsi="標楷體"/>
              </w:rPr>
              <w:t>第86條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t>其他</w:t>
            </w:r>
          </w:p>
        </w:tc>
        <w:tc>
          <w:tcPr>
            <w:tcW w:w="424" w:type="pct"/>
          </w:tcPr>
          <w:p w:rsidR="00424A6C" w:rsidRPr="007319CD" w:rsidRDefault="00424A6C" w:rsidP="00424A6C">
            <w:pPr>
              <w:pStyle w:val="121"/>
              <w:rPr>
                <w:rFonts w:hAnsi="標楷體"/>
              </w:rPr>
            </w:pPr>
            <w:r w:rsidRPr="007319CD">
              <w:rPr>
                <w:rFonts w:hAnsi="標楷體"/>
              </w:rPr>
              <w:t>育嬰留職停薪年資</w:t>
            </w:r>
            <w:proofErr w:type="gramStart"/>
            <w:r w:rsidRPr="007319CD">
              <w:rPr>
                <w:rFonts w:hAnsi="標楷體"/>
              </w:rPr>
              <w:t>採</w:t>
            </w:r>
            <w:proofErr w:type="gramEnd"/>
            <w:r w:rsidRPr="007319CD">
              <w:rPr>
                <w:rFonts w:hAnsi="標楷體"/>
              </w:rPr>
              <w:t>計</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公務人員退撫法公布後之育嬰留職停薪年資，得選擇全額負擔</w:t>
            </w:r>
            <w:proofErr w:type="gramStart"/>
            <w:r w:rsidRPr="007319CD">
              <w:rPr>
                <w:rFonts w:hAnsi="標楷體"/>
              </w:rPr>
              <w:t>繼續撥繳退撫</w:t>
            </w:r>
            <w:proofErr w:type="gramEnd"/>
            <w:r w:rsidRPr="007319CD">
              <w:rPr>
                <w:rFonts w:hAnsi="標楷體"/>
              </w:rPr>
              <w:t>基金費用，</w:t>
            </w:r>
            <w:proofErr w:type="gramStart"/>
            <w:r w:rsidRPr="007319CD">
              <w:rPr>
                <w:rFonts w:hAnsi="標楷體"/>
              </w:rPr>
              <w:t>併</w:t>
            </w:r>
            <w:proofErr w:type="gramEnd"/>
            <w:r w:rsidRPr="007319CD">
              <w:rPr>
                <w:rFonts w:hAnsi="標楷體"/>
              </w:rPr>
              <w:t>計公務人員退休、資遣或撫</w:t>
            </w:r>
            <w:proofErr w:type="gramStart"/>
            <w:r w:rsidRPr="007319CD">
              <w:rPr>
                <w:rFonts w:hAnsi="標楷體"/>
              </w:rPr>
              <w:t>卹</w:t>
            </w:r>
            <w:proofErr w:type="gramEnd"/>
            <w:r w:rsidRPr="007319CD">
              <w:rPr>
                <w:rFonts w:hAnsi="標楷體"/>
              </w:rPr>
              <w:t>年資。</w:t>
            </w:r>
          </w:p>
        </w:tc>
        <w:tc>
          <w:tcPr>
            <w:tcW w:w="447" w:type="pct"/>
          </w:tcPr>
          <w:p w:rsidR="00424A6C" w:rsidRPr="007319CD" w:rsidRDefault="00424A6C" w:rsidP="00424A6C">
            <w:pPr>
              <w:pStyle w:val="121"/>
              <w:rPr>
                <w:rFonts w:hAnsi="標楷體"/>
              </w:rPr>
            </w:pPr>
            <w:r w:rsidRPr="007319CD">
              <w:rPr>
                <w:rFonts w:hAnsi="標楷體"/>
              </w:rPr>
              <w:t>第7條第4項</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590F84">
            <w:pPr>
              <w:pStyle w:val="121"/>
              <w:rPr>
                <w:rFonts w:hAnsi="標楷體"/>
              </w:rPr>
            </w:pPr>
            <w:r w:rsidRPr="007319CD">
              <w:rPr>
                <w:rFonts w:hAnsi="標楷體"/>
              </w:rPr>
              <w:t>離婚配偶請求權</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公務人員具婚姻關係滿2年以上之離婚配偶，就婚姻關係期間占公職之部分，按其在審定退休年資所占比率之1/2請求分配該公務人員退休金，但若該分配比率「顯失公平」，當事人可聲請法院調整或免除。</w:t>
            </w:r>
          </w:p>
          <w:p w:rsidR="00424A6C" w:rsidRPr="007319CD" w:rsidRDefault="00424A6C" w:rsidP="00424A6C">
            <w:pPr>
              <w:pStyle w:val="121"/>
              <w:rPr>
                <w:rFonts w:hAnsi="標楷體"/>
              </w:rPr>
            </w:pPr>
            <w:r w:rsidRPr="007319CD">
              <w:rPr>
                <w:rFonts w:hAnsi="標楷體"/>
              </w:rPr>
              <w:t>離婚配偶得請求之退休金，以一次給付為限。</w:t>
            </w:r>
          </w:p>
        </w:tc>
        <w:tc>
          <w:tcPr>
            <w:tcW w:w="447" w:type="pct"/>
          </w:tcPr>
          <w:p w:rsidR="00424A6C" w:rsidRPr="007319CD" w:rsidRDefault="00424A6C" w:rsidP="00424A6C">
            <w:pPr>
              <w:pStyle w:val="121"/>
              <w:rPr>
                <w:rFonts w:hAnsi="標楷體"/>
              </w:rPr>
            </w:pPr>
            <w:r w:rsidRPr="007319CD">
              <w:rPr>
                <w:rFonts w:hAnsi="標楷體"/>
              </w:rPr>
              <w:t>第82條至第84條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再任</w:t>
            </w:r>
            <w:proofErr w:type="gramStart"/>
            <w:r w:rsidRPr="007319CD">
              <w:rPr>
                <w:rFonts w:hAnsi="標楷體"/>
              </w:rPr>
              <w:t>公職停領月</w:t>
            </w:r>
            <w:proofErr w:type="gramEnd"/>
            <w:r w:rsidRPr="007319CD">
              <w:rPr>
                <w:rFonts w:hAnsi="標楷體"/>
              </w:rPr>
              <w:t>退休金</w:t>
            </w:r>
          </w:p>
        </w:tc>
        <w:tc>
          <w:tcPr>
            <w:tcW w:w="1247" w:type="pct"/>
          </w:tcPr>
          <w:p w:rsidR="00424A6C" w:rsidRPr="007319CD" w:rsidRDefault="00424A6C" w:rsidP="00424A6C">
            <w:pPr>
              <w:pStyle w:val="121"/>
              <w:rPr>
                <w:rFonts w:hAnsi="標楷體"/>
              </w:rPr>
            </w:pPr>
            <w:r w:rsidRPr="007319CD">
              <w:rPr>
                <w:rFonts w:hAnsi="標楷體"/>
              </w:rPr>
              <w:t>擇（兼）領月退休金之退休公務人員再任下列職務，且每月薪</w:t>
            </w:r>
            <w:proofErr w:type="gramStart"/>
            <w:r w:rsidRPr="007319CD">
              <w:rPr>
                <w:rFonts w:hAnsi="標楷體"/>
              </w:rPr>
              <w:t>酬</w:t>
            </w:r>
            <w:proofErr w:type="gramEnd"/>
            <w:r w:rsidRPr="007319CD">
              <w:rPr>
                <w:rFonts w:hAnsi="標楷體"/>
              </w:rPr>
              <w:t>超過法定基本工資，應停發月退休金及優惠存款利息：</w:t>
            </w:r>
          </w:p>
          <w:p w:rsidR="00424A6C" w:rsidRPr="007319CD" w:rsidRDefault="00424A6C" w:rsidP="00424A6C">
            <w:pPr>
              <w:pStyle w:val="121"/>
              <w:rPr>
                <w:rFonts w:hAnsi="標楷體"/>
              </w:rPr>
            </w:pPr>
            <w:r w:rsidRPr="007319CD">
              <w:rPr>
                <w:rFonts w:hAnsi="標楷體"/>
              </w:rPr>
              <w:t>再任由政府編列預算支應薪資報酬之職務。</w:t>
            </w:r>
          </w:p>
          <w:p w:rsidR="00424A6C" w:rsidRPr="007319CD" w:rsidRDefault="00424A6C" w:rsidP="00424A6C">
            <w:pPr>
              <w:pStyle w:val="121"/>
              <w:rPr>
                <w:rFonts w:hAnsi="標楷體"/>
              </w:rPr>
            </w:pPr>
            <w:r w:rsidRPr="007319CD">
              <w:rPr>
                <w:rFonts w:hAnsi="標楷體"/>
              </w:rPr>
              <w:t>再任政府原始捐助（贈）之財團法人（政府為原始捐助人，不論占有比率）職務。</w:t>
            </w:r>
          </w:p>
          <w:p w:rsidR="00424A6C" w:rsidRPr="007319CD" w:rsidRDefault="00424A6C" w:rsidP="00424A6C">
            <w:pPr>
              <w:pStyle w:val="121"/>
              <w:rPr>
                <w:rFonts w:hAnsi="標楷體"/>
              </w:rPr>
            </w:pPr>
            <w:r w:rsidRPr="007319CD">
              <w:rPr>
                <w:rFonts w:hAnsi="標楷體"/>
              </w:rPr>
              <w:t>再任由政府捐助（贈）之財團法人累計達財產總額20%以上之職務。</w:t>
            </w:r>
          </w:p>
          <w:p w:rsidR="00424A6C" w:rsidRPr="007319CD" w:rsidRDefault="00424A6C" w:rsidP="00424A6C">
            <w:pPr>
              <w:pStyle w:val="121"/>
              <w:rPr>
                <w:rFonts w:hAnsi="標楷體"/>
              </w:rPr>
            </w:pPr>
            <w:r w:rsidRPr="007319CD">
              <w:rPr>
                <w:rFonts w:hAnsi="標楷體"/>
              </w:rPr>
              <w:t>再任行政法人或公法人</w:t>
            </w:r>
            <w:r w:rsidRPr="007319CD">
              <w:rPr>
                <w:rFonts w:hAnsi="標楷體"/>
              </w:rPr>
              <w:lastRenderedPageBreak/>
              <w:t>職務。</w:t>
            </w:r>
          </w:p>
          <w:p w:rsidR="00424A6C" w:rsidRPr="007319CD" w:rsidRDefault="00424A6C" w:rsidP="00424A6C">
            <w:pPr>
              <w:pStyle w:val="121"/>
              <w:rPr>
                <w:rFonts w:hAnsi="標楷體"/>
              </w:rPr>
            </w:pPr>
            <w:r w:rsidRPr="007319CD">
              <w:rPr>
                <w:rFonts w:hAnsi="標楷體"/>
              </w:rPr>
              <w:t>再任政府及其所屬營業基金、非營業基金轉投資金額累計占該事業資本額20%以上之事業職務（政府各機關或各事業機構交叉持股亦屬之）。</w:t>
            </w:r>
          </w:p>
          <w:p w:rsidR="00424A6C" w:rsidRPr="007319CD" w:rsidRDefault="00424A6C" w:rsidP="00424A6C">
            <w:pPr>
              <w:pStyle w:val="121"/>
              <w:rPr>
                <w:rFonts w:hAnsi="標楷體"/>
              </w:rPr>
            </w:pPr>
            <w:r w:rsidRPr="007319CD">
              <w:rPr>
                <w:rFonts w:hAnsi="標楷體"/>
              </w:rPr>
              <w:t>任職政府直接或間接控制其人事、財務或業務之財團法人（及其所屬團體或機構）或事業機構（及其所屬團體或機構）之職務或擔任政府代表、公股代表（再任本項所列職務，均不論政府捐助或占有比率）。</w:t>
            </w:r>
          </w:p>
        </w:tc>
        <w:tc>
          <w:tcPr>
            <w:tcW w:w="416" w:type="pct"/>
          </w:tcPr>
          <w:p w:rsidR="00424A6C" w:rsidRPr="007319CD" w:rsidRDefault="00424A6C" w:rsidP="00424A6C">
            <w:pPr>
              <w:pStyle w:val="121"/>
              <w:rPr>
                <w:rFonts w:hAnsi="標楷體"/>
              </w:rPr>
            </w:pPr>
            <w:r w:rsidRPr="007319CD">
              <w:rPr>
                <w:rFonts w:hAnsi="標楷體"/>
              </w:rPr>
              <w:lastRenderedPageBreak/>
              <w:t>第23條第1項</w:t>
            </w:r>
          </w:p>
        </w:tc>
        <w:tc>
          <w:tcPr>
            <w:tcW w:w="2316" w:type="pct"/>
          </w:tcPr>
          <w:p w:rsidR="00424A6C" w:rsidRPr="007319CD" w:rsidRDefault="00424A6C" w:rsidP="00424A6C">
            <w:pPr>
              <w:pStyle w:val="121"/>
              <w:rPr>
                <w:rFonts w:hAnsi="標楷體"/>
              </w:rPr>
            </w:pPr>
            <w:r w:rsidRPr="007319CD">
              <w:rPr>
                <w:rFonts w:hAnsi="標楷體"/>
              </w:rPr>
              <w:t>擇（兼）領月退休金之退休公務人員再任下列職務，且每月薪</w:t>
            </w:r>
            <w:proofErr w:type="gramStart"/>
            <w:r w:rsidRPr="007319CD">
              <w:rPr>
                <w:rFonts w:hAnsi="標楷體"/>
              </w:rPr>
              <w:t>酬</w:t>
            </w:r>
            <w:proofErr w:type="gramEnd"/>
            <w:r w:rsidRPr="007319CD">
              <w:rPr>
                <w:rFonts w:hAnsi="標楷體"/>
              </w:rPr>
              <w:t>超過法定基本工資，應停發月退休金及優惠存款利息：</w:t>
            </w:r>
          </w:p>
          <w:p w:rsidR="00424A6C" w:rsidRPr="007319CD" w:rsidRDefault="00424A6C" w:rsidP="00424A6C">
            <w:pPr>
              <w:pStyle w:val="121"/>
              <w:rPr>
                <w:rFonts w:hAnsi="標楷體"/>
              </w:rPr>
            </w:pPr>
            <w:r w:rsidRPr="007319CD">
              <w:rPr>
                <w:rFonts w:hAnsi="標楷體"/>
              </w:rPr>
              <w:t>再任由政府編列預算支應薪資報酬之職務。</w:t>
            </w:r>
          </w:p>
          <w:p w:rsidR="00424A6C" w:rsidRPr="007319CD" w:rsidRDefault="00424A6C" w:rsidP="00424A6C">
            <w:pPr>
              <w:pStyle w:val="121"/>
              <w:rPr>
                <w:rFonts w:hAnsi="標楷體"/>
              </w:rPr>
            </w:pPr>
            <w:r w:rsidRPr="007319CD">
              <w:rPr>
                <w:rFonts w:hAnsi="標楷體"/>
              </w:rPr>
              <w:t>再任政府原始捐助（贈）之財團法人（政府為原始捐助人，不論占有比率）職務。</w:t>
            </w:r>
          </w:p>
          <w:p w:rsidR="00424A6C" w:rsidRPr="007319CD" w:rsidRDefault="00424A6C" w:rsidP="00424A6C">
            <w:pPr>
              <w:pStyle w:val="121"/>
              <w:rPr>
                <w:rFonts w:hAnsi="標楷體"/>
              </w:rPr>
            </w:pPr>
            <w:r w:rsidRPr="007319CD">
              <w:rPr>
                <w:rFonts w:hAnsi="標楷體"/>
              </w:rPr>
              <w:t>再任由政府捐助（贈）之財團法人累計達財產總額20%以上之職務。</w:t>
            </w:r>
          </w:p>
          <w:p w:rsidR="00424A6C" w:rsidRPr="007319CD" w:rsidRDefault="00424A6C" w:rsidP="00424A6C">
            <w:pPr>
              <w:pStyle w:val="121"/>
              <w:rPr>
                <w:rFonts w:hAnsi="標楷體"/>
              </w:rPr>
            </w:pPr>
            <w:r w:rsidRPr="007319CD">
              <w:rPr>
                <w:rFonts w:hAnsi="標楷體"/>
              </w:rPr>
              <w:t>再任行政法人或公法人職務。</w:t>
            </w:r>
          </w:p>
          <w:p w:rsidR="00424A6C" w:rsidRPr="007319CD" w:rsidRDefault="00424A6C" w:rsidP="00424A6C">
            <w:pPr>
              <w:pStyle w:val="121"/>
              <w:rPr>
                <w:rFonts w:hAnsi="標楷體"/>
              </w:rPr>
            </w:pPr>
            <w:r w:rsidRPr="007319CD">
              <w:rPr>
                <w:rFonts w:hAnsi="標楷體"/>
              </w:rPr>
              <w:t>再任政府及其所屬營業基金、非營業基金轉投資金額累計占該事業資本額20%以上之事業職務（政府各機關或各事業機構交叉持股亦屬之）。</w:t>
            </w:r>
          </w:p>
          <w:p w:rsidR="00424A6C" w:rsidRPr="007319CD" w:rsidRDefault="00424A6C" w:rsidP="00424A6C">
            <w:pPr>
              <w:pStyle w:val="121"/>
              <w:rPr>
                <w:rFonts w:hAnsi="標楷體"/>
              </w:rPr>
            </w:pPr>
            <w:r w:rsidRPr="007319CD">
              <w:rPr>
                <w:rFonts w:hAnsi="標楷體"/>
              </w:rPr>
              <w:t>任職政府直接或間接控制其人事、財務或業務之財團法人（及其所屬團體或機構）或事業機構（及其所屬團體或機構）之職務（再</w:t>
            </w:r>
            <w:r w:rsidRPr="007319CD">
              <w:rPr>
                <w:rFonts w:hAnsi="標楷體"/>
              </w:rPr>
              <w:lastRenderedPageBreak/>
              <w:t>任本項所列職務，均不論政府捐助或占有比率）。</w:t>
            </w:r>
          </w:p>
          <w:p w:rsidR="00424A6C" w:rsidRPr="007319CD" w:rsidRDefault="00424A6C" w:rsidP="00424A6C">
            <w:pPr>
              <w:pStyle w:val="121"/>
              <w:rPr>
                <w:rFonts w:hAnsi="標楷體"/>
              </w:rPr>
            </w:pPr>
            <w:r w:rsidRPr="007319CD">
              <w:rPr>
                <w:rFonts w:hAnsi="標楷體"/>
              </w:rPr>
              <w:t>再任私立學校職務。</w:t>
            </w:r>
          </w:p>
        </w:tc>
        <w:tc>
          <w:tcPr>
            <w:tcW w:w="447" w:type="pct"/>
          </w:tcPr>
          <w:p w:rsidR="00424A6C" w:rsidRPr="007319CD" w:rsidRDefault="00424A6C" w:rsidP="00424A6C">
            <w:pPr>
              <w:pStyle w:val="121"/>
              <w:rPr>
                <w:rFonts w:hAnsi="標楷體"/>
              </w:rPr>
            </w:pPr>
            <w:r w:rsidRPr="007319CD">
              <w:rPr>
                <w:rFonts w:hAnsi="標楷體"/>
              </w:rPr>
              <w:lastRenderedPageBreak/>
              <w:t>第77條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590F84">
            <w:pPr>
              <w:pStyle w:val="121"/>
              <w:rPr>
                <w:rFonts w:hAnsi="標楷體"/>
              </w:rPr>
            </w:pPr>
            <w:r w:rsidRPr="007319CD">
              <w:rPr>
                <w:rFonts w:hAnsi="標楷體"/>
              </w:rPr>
              <w:t>月退休金調整機制</w:t>
            </w:r>
          </w:p>
        </w:tc>
        <w:tc>
          <w:tcPr>
            <w:tcW w:w="1247" w:type="pct"/>
          </w:tcPr>
          <w:p w:rsidR="00424A6C" w:rsidRPr="007319CD" w:rsidRDefault="00424A6C" w:rsidP="00424A6C">
            <w:pPr>
              <w:pStyle w:val="121"/>
              <w:rPr>
                <w:rFonts w:hAnsi="標楷體"/>
              </w:rPr>
            </w:pPr>
            <w:r w:rsidRPr="007319CD">
              <w:rPr>
                <w:rFonts w:hAnsi="標楷體"/>
              </w:rPr>
              <w:t>月退休金發給後，如遇公務人員俸給調整時，應於下次發給月退休金時，配合補發或調整。</w:t>
            </w:r>
          </w:p>
        </w:tc>
        <w:tc>
          <w:tcPr>
            <w:tcW w:w="416" w:type="pct"/>
          </w:tcPr>
          <w:p w:rsidR="00424A6C" w:rsidRPr="007319CD" w:rsidRDefault="00424A6C" w:rsidP="00424A6C">
            <w:pPr>
              <w:pStyle w:val="121"/>
              <w:rPr>
                <w:rFonts w:hAnsi="標楷體"/>
              </w:rPr>
            </w:pPr>
            <w:r w:rsidRPr="007319CD">
              <w:rPr>
                <w:rFonts w:hAnsi="標楷體"/>
              </w:rPr>
              <w:t>施行細則第31條</w:t>
            </w:r>
          </w:p>
        </w:tc>
        <w:tc>
          <w:tcPr>
            <w:tcW w:w="2316" w:type="pct"/>
          </w:tcPr>
          <w:p w:rsidR="00424A6C" w:rsidRPr="007319CD" w:rsidRDefault="00424A6C" w:rsidP="00424A6C">
            <w:pPr>
              <w:pStyle w:val="121"/>
              <w:rPr>
                <w:rFonts w:hAnsi="標楷體"/>
              </w:rPr>
            </w:pPr>
            <w:r w:rsidRPr="007319CD">
              <w:rPr>
                <w:rFonts w:hAnsi="標楷體"/>
              </w:rPr>
              <w:t>公務人員退休後所領月退休金，或遺族所領的月</w:t>
            </w:r>
            <w:proofErr w:type="gramStart"/>
            <w:r w:rsidRPr="007319CD">
              <w:rPr>
                <w:rFonts w:hAnsi="標楷體"/>
              </w:rPr>
              <w:t>撫卹金或遺屬</w:t>
            </w:r>
            <w:proofErr w:type="gramEnd"/>
            <w:r w:rsidRPr="007319CD">
              <w:rPr>
                <w:rFonts w:hAnsi="標楷體"/>
              </w:rPr>
              <w:t>年金，得由考試院會同行政院，衡酌國家整體財政狀況、人口與經濟成長率、</w:t>
            </w:r>
            <w:proofErr w:type="gramStart"/>
            <w:r w:rsidRPr="007319CD">
              <w:rPr>
                <w:rFonts w:hAnsi="標楷體"/>
              </w:rPr>
              <w:t>平均餘命</w:t>
            </w:r>
            <w:proofErr w:type="gramEnd"/>
            <w:r w:rsidRPr="007319CD">
              <w:rPr>
                <w:rFonts w:hAnsi="標楷體"/>
              </w:rPr>
              <w:t>、退撫基金準備率與其財務投資績效及消費者物價指數等因素調整；調整結果超過原領所得5%以上或低於原領所得者，應經立法院同意。</w:t>
            </w:r>
          </w:p>
        </w:tc>
        <w:tc>
          <w:tcPr>
            <w:tcW w:w="447" w:type="pct"/>
          </w:tcPr>
          <w:p w:rsidR="00424A6C" w:rsidRPr="007319CD" w:rsidRDefault="00424A6C" w:rsidP="00424A6C">
            <w:pPr>
              <w:pStyle w:val="121"/>
              <w:rPr>
                <w:rFonts w:hAnsi="標楷體"/>
              </w:rPr>
            </w:pPr>
            <w:r w:rsidRPr="007319CD">
              <w:rPr>
                <w:rFonts w:hAnsi="標楷體"/>
              </w:rPr>
              <w:t>第67條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定期檢討機制</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公務人員退撫法107年7月1日施行後，考試院應會同行政院建立年金制度監控機制，5年內檢討制度設計與財務永續發展，之後定期檢討。</w:t>
            </w:r>
          </w:p>
        </w:tc>
        <w:tc>
          <w:tcPr>
            <w:tcW w:w="447" w:type="pct"/>
          </w:tcPr>
          <w:p w:rsidR="00424A6C" w:rsidRPr="007319CD" w:rsidRDefault="00424A6C" w:rsidP="00424A6C">
            <w:pPr>
              <w:pStyle w:val="121"/>
              <w:rPr>
                <w:rFonts w:hAnsi="標楷體"/>
              </w:rPr>
            </w:pPr>
            <w:r w:rsidRPr="007319CD">
              <w:rPr>
                <w:rFonts w:hAnsi="標楷體"/>
              </w:rPr>
              <w:t>第92條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新進人員制度</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針對「112年7月1日</w:t>
            </w:r>
            <w:proofErr w:type="gramStart"/>
            <w:r w:rsidRPr="007319CD">
              <w:rPr>
                <w:rFonts w:hAnsi="標楷體"/>
              </w:rPr>
              <w:t>以後初</w:t>
            </w:r>
            <w:proofErr w:type="gramEnd"/>
            <w:r w:rsidRPr="007319CD">
              <w:rPr>
                <w:rFonts w:hAnsi="標楷體"/>
              </w:rPr>
              <w:t>任公務人員」重行建立全新退撫制度</w:t>
            </w:r>
          </w:p>
        </w:tc>
        <w:tc>
          <w:tcPr>
            <w:tcW w:w="447" w:type="pct"/>
          </w:tcPr>
          <w:p w:rsidR="00424A6C" w:rsidRPr="007319CD" w:rsidRDefault="00424A6C" w:rsidP="00424A6C">
            <w:pPr>
              <w:pStyle w:val="121"/>
              <w:rPr>
                <w:rFonts w:hAnsi="標楷體"/>
              </w:rPr>
            </w:pPr>
            <w:r w:rsidRPr="007319CD">
              <w:rPr>
                <w:rFonts w:hAnsi="標楷體"/>
              </w:rPr>
              <w:t>第93條</w:t>
            </w:r>
          </w:p>
        </w:tc>
      </w:tr>
    </w:tbl>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rPr>
      </w:pPr>
    </w:p>
    <w:p w:rsidR="00DD44C1" w:rsidRPr="007319CD" w:rsidRDefault="00DD44C1" w:rsidP="00DD44C1">
      <w:pPr>
        <w:tabs>
          <w:tab w:val="left" w:pos="709"/>
        </w:tabs>
        <w:snapToGrid w:val="0"/>
        <w:spacing w:after="240" w:line="180" w:lineRule="atLeast"/>
        <w:ind w:leftChars="-303" w:left="-1010" w:hangingChars="7" w:hanging="21"/>
        <w:jc w:val="center"/>
        <w:rPr>
          <w:rFonts w:hAnsi="標楷體"/>
          <w:b/>
          <w:sz w:val="28"/>
          <w:szCs w:val="28"/>
        </w:rPr>
        <w:sectPr w:rsidR="00DD44C1" w:rsidRPr="007319CD" w:rsidSect="00897AB5">
          <w:footerReference w:type="default" r:id="rId11"/>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教育人員退休法令年金改革前後規定重要差異彙整表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3"/>
        <w:gridCol w:w="938"/>
        <w:gridCol w:w="2745"/>
        <w:gridCol w:w="712"/>
        <w:gridCol w:w="3192"/>
        <w:gridCol w:w="790"/>
      </w:tblGrid>
      <w:tr w:rsidR="007319CD" w:rsidRPr="007319CD" w:rsidTr="00897AB5">
        <w:trPr>
          <w:tblHeader/>
          <w:jc w:val="center"/>
        </w:trPr>
        <w:tc>
          <w:tcPr>
            <w:tcW w:w="294" w:type="pct"/>
            <w:vMerge w:val="restart"/>
            <w:tcBorders>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議題</w:t>
            </w:r>
          </w:p>
        </w:tc>
        <w:tc>
          <w:tcPr>
            <w:tcW w:w="527" w:type="pct"/>
            <w:vMerge w:val="restar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項目</w:t>
            </w:r>
          </w:p>
        </w:tc>
        <w:tc>
          <w:tcPr>
            <w:tcW w:w="1942" w:type="pct"/>
            <w:gridSpan w:val="2"/>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原規定</w:t>
            </w:r>
            <w:r w:rsidRPr="007319CD">
              <w:rPr>
                <w:rFonts w:hAnsi="標楷體"/>
              </w:rPr>
              <w:br/>
              <w:t>法律依據：</w:t>
            </w:r>
            <w:r w:rsidRPr="007319CD">
              <w:rPr>
                <w:rFonts w:hAnsi="標楷體"/>
                <w:sz w:val="22"/>
              </w:rPr>
              <w:t>學校教職員退休條例</w:t>
            </w:r>
          </w:p>
        </w:tc>
        <w:tc>
          <w:tcPr>
            <w:tcW w:w="2237" w:type="pct"/>
            <w:gridSpan w:val="2"/>
            <w:tcBorders>
              <w:lef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年金改革後規定</w:t>
            </w:r>
            <w:r w:rsidRPr="007319CD">
              <w:rPr>
                <w:rFonts w:hAnsi="標楷體"/>
              </w:rPr>
              <w:br/>
              <w:t>法律依據：</w:t>
            </w:r>
            <w:r w:rsidR="00914E2B" w:rsidRPr="007319CD">
              <w:rPr>
                <w:rFonts w:hAnsi="標楷體" w:hint="eastAsia"/>
              </w:rPr>
              <w:t>公立學校教職員退撫條例</w:t>
            </w:r>
          </w:p>
        </w:tc>
      </w:tr>
      <w:tr w:rsidR="007319CD" w:rsidRPr="007319CD" w:rsidTr="00897AB5">
        <w:trPr>
          <w:tblHeader/>
          <w:jc w:val="center"/>
        </w:trPr>
        <w:tc>
          <w:tcPr>
            <w:tcW w:w="294" w:type="pct"/>
            <w:vMerge/>
            <w:tcBorders>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p>
        </w:tc>
        <w:tc>
          <w:tcPr>
            <w:tcW w:w="527" w:type="pct"/>
            <w:vMerge/>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p>
        </w:tc>
        <w:tc>
          <w:tcPr>
            <w:tcW w:w="1542"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內容</w:t>
            </w:r>
          </w:p>
        </w:tc>
        <w:tc>
          <w:tcPr>
            <w:tcW w:w="400"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sz w:val="22"/>
              </w:rPr>
            </w:pPr>
            <w:r w:rsidRPr="007319CD">
              <w:rPr>
                <w:rFonts w:hAnsi="標楷體"/>
              </w:rPr>
              <w:t>條次</w:t>
            </w:r>
          </w:p>
        </w:tc>
        <w:tc>
          <w:tcPr>
            <w:tcW w:w="1793"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內容</w:t>
            </w:r>
          </w:p>
        </w:tc>
        <w:tc>
          <w:tcPr>
            <w:tcW w:w="444"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條次</w:t>
            </w:r>
          </w:p>
        </w:tc>
      </w:tr>
      <w:tr w:rsidR="007319CD" w:rsidRPr="007319CD" w:rsidTr="00897AB5">
        <w:trPr>
          <w:jc w:val="center"/>
        </w:trPr>
        <w:tc>
          <w:tcPr>
            <w:tcW w:w="294" w:type="pc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請領資格</w:t>
            </w:r>
          </w:p>
        </w:tc>
        <w:tc>
          <w:tcPr>
            <w:tcW w:w="527"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rPr>
              <w:t>延後月</w:t>
            </w:r>
            <w:proofErr w:type="gramStart"/>
            <w:r w:rsidRPr="007319CD">
              <w:rPr>
                <w:rFonts w:hAnsi="標楷體"/>
              </w:rPr>
              <w:t>退休金起支年齡</w:t>
            </w:r>
            <w:proofErr w:type="gramEnd"/>
          </w:p>
        </w:tc>
        <w:tc>
          <w:tcPr>
            <w:tcW w:w="1542"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任職滿15年以上，且年滿60歲。</w:t>
            </w:r>
          </w:p>
          <w:p w:rsidR="00DD44C1" w:rsidRPr="007319CD" w:rsidRDefault="00DD44C1" w:rsidP="00897AB5">
            <w:pPr>
              <w:pStyle w:val="121"/>
              <w:kinsoku w:val="0"/>
              <w:overflowPunct/>
              <w:rPr>
                <w:rFonts w:hAnsi="標楷體"/>
              </w:rPr>
            </w:pPr>
            <w:r w:rsidRPr="007319CD">
              <w:rPr>
                <w:rFonts w:hAnsi="標楷體"/>
              </w:rPr>
              <w:t>任職滿25年，且年滿50歲。</w:t>
            </w:r>
          </w:p>
        </w:tc>
        <w:tc>
          <w:tcPr>
            <w:tcW w:w="400"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第3條、第5條</w:t>
            </w:r>
          </w:p>
        </w:tc>
        <w:tc>
          <w:tcPr>
            <w:tcW w:w="1793"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高級中等以下學校校長及教師月</w:t>
            </w:r>
            <w:proofErr w:type="gramStart"/>
            <w:r w:rsidRPr="007319CD">
              <w:rPr>
                <w:rFonts w:hAnsi="標楷體"/>
              </w:rPr>
              <w:t>退休金起支年齡</w:t>
            </w:r>
            <w:proofErr w:type="gramEnd"/>
            <w:r w:rsidRPr="007319CD">
              <w:rPr>
                <w:rFonts w:hAnsi="標楷體"/>
              </w:rPr>
              <w:t>為58歲。</w:t>
            </w:r>
          </w:p>
          <w:p w:rsidR="00DD44C1" w:rsidRPr="007319CD" w:rsidRDefault="00DD44C1" w:rsidP="00897AB5">
            <w:pPr>
              <w:pStyle w:val="121"/>
              <w:kinsoku w:val="0"/>
              <w:overflowPunct/>
              <w:rPr>
                <w:rFonts w:hAnsi="標楷體"/>
              </w:rPr>
            </w:pPr>
            <w:r w:rsidRPr="007319CD">
              <w:rPr>
                <w:rFonts w:hAnsi="標楷體"/>
              </w:rPr>
              <w:t>其餘教職員自115年起逐年加1歲至65歲止。</w:t>
            </w:r>
          </w:p>
          <w:p w:rsidR="00DD44C1" w:rsidRPr="007319CD" w:rsidRDefault="00DD44C1" w:rsidP="00897AB5">
            <w:pPr>
              <w:pStyle w:val="121"/>
              <w:kinsoku w:val="0"/>
              <w:overflowPunct/>
              <w:rPr>
                <w:rFonts w:hAnsi="標楷體"/>
              </w:rPr>
            </w:pPr>
            <w:r w:rsidRPr="007319CD">
              <w:rPr>
                <w:rFonts w:hAnsi="標楷體"/>
              </w:rPr>
              <w:t>未符合法定</w:t>
            </w:r>
            <w:proofErr w:type="gramStart"/>
            <w:r w:rsidRPr="007319CD">
              <w:rPr>
                <w:rFonts w:hAnsi="標楷體"/>
              </w:rPr>
              <w:t>起支年</w:t>
            </w:r>
            <w:proofErr w:type="gramEnd"/>
            <w:r w:rsidRPr="007319CD">
              <w:rPr>
                <w:rFonts w:hAnsi="標楷體"/>
              </w:rPr>
              <w:t>龄者，可選擇支領展期或減額月退休金（每提前1年，扣減4%，最多提前5年），並以法定起支年齡為計算基準。</w:t>
            </w:r>
          </w:p>
          <w:p w:rsidR="00DD44C1" w:rsidRPr="007319CD" w:rsidRDefault="00DD44C1" w:rsidP="00897AB5">
            <w:pPr>
              <w:pStyle w:val="121"/>
              <w:kinsoku w:val="0"/>
              <w:overflowPunct/>
              <w:rPr>
                <w:rFonts w:hAnsi="標楷體"/>
              </w:rPr>
            </w:pPr>
            <w:r w:rsidRPr="007319CD">
              <w:rPr>
                <w:rFonts w:hAnsi="標楷體" w:cs="新細明體" w:hint="eastAsia"/>
              </w:rPr>
              <w:t>※</w:t>
            </w:r>
            <w:r w:rsidRPr="007319CD">
              <w:rPr>
                <w:rFonts w:hAnsi="標楷體"/>
              </w:rPr>
              <w:t>同時規劃15年過渡期，107年指標數為76，過渡至121年指標數為90，過渡期間符合當年度指標數者，可擇領全額月退休金，不須受法定</w:t>
            </w:r>
            <w:proofErr w:type="gramStart"/>
            <w:r w:rsidRPr="007319CD">
              <w:rPr>
                <w:rFonts w:hAnsi="標楷體"/>
              </w:rPr>
              <w:t>起支年</w:t>
            </w:r>
            <w:proofErr w:type="gramEnd"/>
            <w:r w:rsidRPr="007319CD">
              <w:rPr>
                <w:rFonts w:hAnsi="標楷體"/>
              </w:rPr>
              <w:t>龄影響。（107至115年適用指標數之基本年齡為50歲，116至121年之基本年齡為55歲）。</w:t>
            </w:r>
          </w:p>
        </w:tc>
        <w:tc>
          <w:tcPr>
            <w:tcW w:w="444"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第32條</w:t>
            </w: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給付</w:t>
            </w:r>
          </w:p>
        </w:tc>
        <w:tc>
          <w:tcPr>
            <w:tcW w:w="527"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調整退休金計算基準</w:t>
            </w:r>
          </w:p>
        </w:tc>
        <w:tc>
          <w:tcPr>
            <w:tcW w:w="1542"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退休生效日在職同薪級人員。</w:t>
            </w:r>
          </w:p>
          <w:p w:rsidR="00DD44C1" w:rsidRPr="007319CD" w:rsidRDefault="00DD44C1" w:rsidP="00897AB5">
            <w:pPr>
              <w:pStyle w:val="121"/>
              <w:kinsoku w:val="0"/>
              <w:overflowPunct/>
              <w:rPr>
                <w:rFonts w:hAnsi="標楷體"/>
              </w:rPr>
            </w:pPr>
          </w:p>
        </w:tc>
        <w:tc>
          <w:tcPr>
            <w:tcW w:w="400"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第5條第2項、第3項</w:t>
            </w:r>
          </w:p>
        </w:tc>
        <w:tc>
          <w:tcPr>
            <w:tcW w:w="1793" w:type="pct"/>
            <w:tcBorders>
              <w:left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施行前已退休者：</w:t>
            </w:r>
          </w:p>
          <w:p w:rsidR="00DD44C1" w:rsidRPr="007319CD" w:rsidRDefault="00DD44C1" w:rsidP="00897AB5">
            <w:pPr>
              <w:pStyle w:val="121"/>
              <w:kinsoku w:val="0"/>
              <w:overflowPunct/>
              <w:rPr>
                <w:rFonts w:hAnsi="標楷體"/>
              </w:rPr>
            </w:pPr>
            <w:r w:rsidRPr="007319CD">
              <w:rPr>
                <w:rFonts w:hAnsi="標楷體"/>
              </w:rPr>
              <w:t>最後</w:t>
            </w:r>
            <w:proofErr w:type="gramStart"/>
            <w:r w:rsidRPr="007319CD">
              <w:rPr>
                <w:rFonts w:hAnsi="標楷體"/>
              </w:rPr>
              <w:t>在職經敘定</w:t>
            </w:r>
            <w:proofErr w:type="gramEnd"/>
            <w:r w:rsidRPr="007319CD">
              <w:rPr>
                <w:rFonts w:hAnsi="標楷體"/>
              </w:rPr>
              <w:t>之本（年功）薪。</w:t>
            </w:r>
          </w:p>
          <w:p w:rsidR="00DD44C1" w:rsidRPr="007319CD" w:rsidRDefault="00DD44C1" w:rsidP="00897AB5">
            <w:pPr>
              <w:pStyle w:val="121"/>
              <w:kinsoku w:val="0"/>
              <w:overflowPunct/>
              <w:rPr>
                <w:rFonts w:hAnsi="標楷體"/>
              </w:rPr>
            </w:pPr>
            <w:r w:rsidRPr="007319CD">
              <w:rPr>
                <w:rFonts w:hAnsi="標楷體"/>
              </w:rPr>
              <w:t>2.</w:t>
            </w:r>
            <w:r w:rsidR="00914E2B" w:rsidRPr="007319CD">
              <w:rPr>
                <w:rFonts w:hAnsi="標楷體"/>
              </w:rPr>
              <w:t>公立學校教職員退撫條例</w:t>
            </w:r>
            <w:r w:rsidRPr="007319CD">
              <w:rPr>
                <w:rFonts w:hAnsi="標楷體"/>
              </w:rPr>
              <w:t>施行後退休者：</w:t>
            </w:r>
          </w:p>
          <w:p w:rsidR="00DD44C1" w:rsidRPr="007319CD" w:rsidRDefault="00DD44C1" w:rsidP="00897AB5">
            <w:pPr>
              <w:pStyle w:val="121"/>
              <w:kinsoku w:val="0"/>
              <w:overflowPunct/>
              <w:rPr>
                <w:rFonts w:hAnsi="標楷體"/>
              </w:rPr>
            </w:pPr>
            <w:r w:rsidRPr="007319CD">
              <w:rPr>
                <w:rFonts w:hAnsi="標楷體"/>
              </w:rPr>
              <w:t>（1）逐步調整為最後在職前15年平均薪額，107.7.1至108.12.31訂為「最後在職往前5年平均薪額」，之後逐年拉長1年，調整至118年以後為「最後在職往前15年平均薪額」。</w:t>
            </w:r>
          </w:p>
          <w:p w:rsidR="00DD44C1" w:rsidRPr="007319CD" w:rsidRDefault="00DD44C1" w:rsidP="00897AB5">
            <w:pPr>
              <w:pStyle w:val="121"/>
              <w:kinsoku w:val="0"/>
              <w:overflowPunct/>
              <w:rPr>
                <w:rFonts w:hAnsi="標楷體"/>
              </w:rPr>
            </w:pPr>
            <w:r w:rsidRPr="007319CD">
              <w:rPr>
                <w:rFonts w:hAnsi="標楷體"/>
              </w:rPr>
              <w:t>（2）</w:t>
            </w:r>
            <w:r w:rsidR="00914E2B" w:rsidRPr="007319CD">
              <w:rPr>
                <w:rFonts w:hAnsi="標楷體"/>
              </w:rPr>
              <w:t>公立學校教職員退撫條例</w:t>
            </w:r>
            <w:r w:rsidRPr="007319CD">
              <w:rPr>
                <w:rFonts w:hAnsi="標楷體"/>
              </w:rPr>
              <w:t>施行前已達月</w:t>
            </w:r>
            <w:proofErr w:type="gramStart"/>
            <w:r w:rsidRPr="007319CD">
              <w:rPr>
                <w:rFonts w:hAnsi="標楷體"/>
              </w:rPr>
              <w:t>退休金起支條件</w:t>
            </w:r>
            <w:proofErr w:type="gramEnd"/>
            <w:r w:rsidRPr="007319CD">
              <w:rPr>
                <w:rFonts w:hAnsi="標楷體"/>
              </w:rPr>
              <w:t>者，於新法施行後退休生效者，仍得以最後在職之本（年功）薪額計算，不</w:t>
            </w:r>
            <w:proofErr w:type="gramStart"/>
            <w:r w:rsidRPr="007319CD">
              <w:rPr>
                <w:rFonts w:hAnsi="標楷體"/>
              </w:rPr>
              <w:t>受均薪影響</w:t>
            </w:r>
            <w:proofErr w:type="gramEnd"/>
            <w:r w:rsidRPr="007319CD">
              <w:rPr>
                <w:rFonts w:hAnsi="標楷體"/>
              </w:rPr>
              <w:t>。</w:t>
            </w:r>
          </w:p>
        </w:tc>
        <w:tc>
          <w:tcPr>
            <w:tcW w:w="444"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第28條</w:t>
            </w: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退休所得上限及下限</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退休所得不得超過最後在職級人員「本（年功）薪加</w:t>
            </w:r>
            <w:r w:rsidR="00B83B03" w:rsidRPr="007319CD">
              <w:rPr>
                <w:rFonts w:hAnsi="標楷體" w:hint="eastAsia"/>
              </w:rPr>
              <w:t>1</w:t>
            </w:r>
            <w:r w:rsidRPr="007319CD">
              <w:rPr>
                <w:rFonts w:hAnsi="標楷體"/>
              </w:rPr>
              <w:t>倍」之75%（年資25年）至95%</w:t>
            </w:r>
            <w:proofErr w:type="gramStart"/>
            <w:r w:rsidRPr="007319CD">
              <w:rPr>
                <w:rFonts w:hAnsi="標楷體"/>
              </w:rPr>
              <w:t>（</w:t>
            </w:r>
            <w:proofErr w:type="gramEnd"/>
            <w:r w:rsidRPr="007319CD">
              <w:rPr>
                <w:rFonts w:hAnsi="標楷體"/>
              </w:rPr>
              <w:t>年資35年；</w:t>
            </w:r>
            <w:proofErr w:type="gramStart"/>
            <w:r w:rsidRPr="007319CD">
              <w:rPr>
                <w:rFonts w:hAnsi="標楷體"/>
              </w:rPr>
              <w:t>符合增核給與</w:t>
            </w:r>
            <w:proofErr w:type="gramEnd"/>
            <w:r w:rsidRPr="007319CD">
              <w:rPr>
                <w:rFonts w:hAnsi="標楷體"/>
              </w:rPr>
              <w:t>者，得至97.5%</w:t>
            </w:r>
            <w:proofErr w:type="gramStart"/>
            <w:r w:rsidRPr="007319CD">
              <w:rPr>
                <w:rFonts w:hAnsi="標楷體"/>
              </w:rPr>
              <w:t>）</w:t>
            </w:r>
            <w:proofErr w:type="gramEnd"/>
            <w:r w:rsidRPr="007319CD">
              <w:rPr>
                <w:rFonts w:hAnsi="標楷體"/>
              </w:rPr>
              <w:t>，亦不得超過「同等級現職人員待遇」之70%（年資15年）至90%</w:t>
            </w:r>
            <w:proofErr w:type="gramStart"/>
            <w:r w:rsidRPr="007319CD">
              <w:rPr>
                <w:rFonts w:hAnsi="標楷體"/>
              </w:rPr>
              <w:t>（</w:t>
            </w:r>
            <w:proofErr w:type="gramEnd"/>
            <w:r w:rsidRPr="007319CD">
              <w:rPr>
                <w:rFonts w:hAnsi="標楷體"/>
              </w:rPr>
              <w:t>年資35年；</w:t>
            </w:r>
            <w:proofErr w:type="gramStart"/>
            <w:r w:rsidRPr="007319CD">
              <w:rPr>
                <w:rFonts w:hAnsi="標楷體"/>
              </w:rPr>
              <w:t>符合增核給與</w:t>
            </w:r>
            <w:proofErr w:type="gramEnd"/>
            <w:r w:rsidRPr="007319CD">
              <w:rPr>
                <w:rFonts w:hAnsi="標楷體"/>
              </w:rPr>
              <w:t>者，得至91.25%</w:t>
            </w:r>
            <w:proofErr w:type="gramStart"/>
            <w:r w:rsidRPr="007319CD">
              <w:rPr>
                <w:rFonts w:hAnsi="標楷體"/>
              </w:rPr>
              <w:lastRenderedPageBreak/>
              <w:t>）</w:t>
            </w:r>
            <w:proofErr w:type="gramEnd"/>
            <w:r w:rsidRPr="007319CD">
              <w:rPr>
                <w:rFonts w:hAnsi="標楷體"/>
              </w:rPr>
              <w:t>；超過者，調降其公保養老給付辦理優惠存款之金額。</w:t>
            </w:r>
          </w:p>
          <w:p w:rsidR="00DD44C1" w:rsidRPr="007319CD" w:rsidRDefault="00DD44C1" w:rsidP="00897AB5">
            <w:pPr>
              <w:pStyle w:val="121"/>
              <w:kinsoku w:val="0"/>
              <w:overflowPunct/>
              <w:rPr>
                <w:rFonts w:hAnsi="標楷體"/>
              </w:rPr>
            </w:pP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lastRenderedPageBreak/>
              <w:t>公立學校退休教職員一次退休金及養老給付優惠存款辦</w:t>
            </w:r>
            <w:r w:rsidRPr="007319CD">
              <w:rPr>
                <w:rFonts w:hAnsi="標楷體"/>
              </w:rPr>
              <w:lastRenderedPageBreak/>
              <w:t>法</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lastRenderedPageBreak/>
              <w:t>1、分子：月退休金（含月補償金）+公保養老給付優惠存款每月利息（或社會保險年金）。</w:t>
            </w:r>
          </w:p>
          <w:p w:rsidR="00DD44C1" w:rsidRPr="007319CD" w:rsidRDefault="00DD44C1" w:rsidP="00897AB5">
            <w:pPr>
              <w:pStyle w:val="121"/>
              <w:kinsoku w:val="0"/>
              <w:overflowPunct/>
              <w:rPr>
                <w:rFonts w:hAnsi="標楷體"/>
              </w:rPr>
            </w:pPr>
            <w:r w:rsidRPr="007319CD">
              <w:rPr>
                <w:rFonts w:hAnsi="標楷體"/>
              </w:rPr>
              <w:t>2、分母：最後在職本（年功）薪2倍。</w:t>
            </w:r>
          </w:p>
          <w:p w:rsidR="00DD44C1" w:rsidRPr="007319CD" w:rsidRDefault="00DD44C1" w:rsidP="00897AB5">
            <w:pPr>
              <w:pStyle w:val="121"/>
              <w:kinsoku w:val="0"/>
              <w:overflowPunct/>
              <w:rPr>
                <w:rFonts w:hAnsi="標楷體"/>
              </w:rPr>
            </w:pPr>
            <w:r w:rsidRPr="007319CD">
              <w:rPr>
                <w:rFonts w:hAnsi="標楷體"/>
              </w:rPr>
              <w:t xml:space="preserve">（1）上限： </w:t>
            </w:r>
          </w:p>
          <w:p w:rsidR="00DD44C1" w:rsidRPr="007319CD" w:rsidRDefault="00DD44C1" w:rsidP="00897AB5">
            <w:pPr>
              <w:pStyle w:val="121"/>
              <w:kinsoku w:val="0"/>
              <w:overflowPunct/>
              <w:rPr>
                <w:rFonts w:hAnsi="標楷體"/>
              </w:rPr>
            </w:pPr>
            <w:r w:rsidRPr="007319CD">
              <w:rPr>
                <w:rFonts w:hAnsi="標楷體" w:cs="新細明體" w:hint="eastAsia"/>
              </w:rPr>
              <w:t>◎</w:t>
            </w:r>
            <w:r w:rsidRPr="007319CD">
              <w:rPr>
                <w:rFonts w:hAnsi="標楷體"/>
              </w:rPr>
              <w:t>已退人員分10年調降</w:t>
            </w:r>
          </w:p>
          <w:p w:rsidR="00DD44C1" w:rsidRPr="007319CD" w:rsidRDefault="00DD44C1" w:rsidP="00897AB5">
            <w:pPr>
              <w:pStyle w:val="121"/>
              <w:kinsoku w:val="0"/>
              <w:overflowPunct/>
              <w:rPr>
                <w:rFonts w:hAnsi="標楷體"/>
              </w:rPr>
            </w:pPr>
            <w:r w:rsidRPr="007319CD">
              <w:rPr>
                <w:rFonts w:hAnsi="標楷體"/>
              </w:rPr>
              <w:t xml:space="preserve">  40年：77.5%降至62.5%。</w:t>
            </w:r>
          </w:p>
          <w:p w:rsidR="00DD44C1" w:rsidRPr="007319CD" w:rsidRDefault="00DD44C1" w:rsidP="00897AB5">
            <w:pPr>
              <w:pStyle w:val="121"/>
              <w:kinsoku w:val="0"/>
              <w:overflowPunct/>
              <w:rPr>
                <w:rFonts w:hAnsi="標楷體"/>
              </w:rPr>
            </w:pPr>
            <w:r w:rsidRPr="007319CD">
              <w:rPr>
                <w:rFonts w:hAnsi="標楷體"/>
              </w:rPr>
              <w:lastRenderedPageBreak/>
              <w:t xml:space="preserve">  35年：75%</w:t>
            </w:r>
            <w:r w:rsidR="000533ED" w:rsidRPr="007319CD">
              <w:rPr>
                <w:rFonts w:hAnsi="標楷體"/>
              </w:rPr>
              <w:t>降</w:t>
            </w:r>
            <w:r w:rsidRPr="007319CD">
              <w:rPr>
                <w:rFonts w:hAnsi="標楷體"/>
              </w:rPr>
              <w:t>至60%。</w:t>
            </w:r>
          </w:p>
          <w:p w:rsidR="00DD44C1" w:rsidRPr="007319CD" w:rsidRDefault="00DD44C1" w:rsidP="00897AB5">
            <w:pPr>
              <w:pStyle w:val="121"/>
              <w:kinsoku w:val="0"/>
              <w:overflowPunct/>
              <w:rPr>
                <w:rFonts w:hAnsi="標楷體"/>
              </w:rPr>
            </w:pPr>
            <w:r w:rsidRPr="007319CD">
              <w:rPr>
                <w:rFonts w:hAnsi="標楷體"/>
              </w:rPr>
              <w:t xml:space="preserve">  30年：67.5%</w:t>
            </w:r>
            <w:r w:rsidR="000533ED" w:rsidRPr="007319CD">
              <w:rPr>
                <w:rFonts w:hAnsi="標楷體"/>
              </w:rPr>
              <w:t>降</w:t>
            </w:r>
            <w:r w:rsidRPr="007319CD">
              <w:rPr>
                <w:rFonts w:hAnsi="標楷體"/>
              </w:rPr>
              <w:t>至52.5%。</w:t>
            </w:r>
          </w:p>
          <w:p w:rsidR="00DD44C1" w:rsidRPr="007319CD" w:rsidRDefault="00DD44C1" w:rsidP="00897AB5">
            <w:pPr>
              <w:pStyle w:val="121"/>
              <w:kinsoku w:val="0"/>
              <w:overflowPunct/>
              <w:rPr>
                <w:rFonts w:hAnsi="標楷體"/>
              </w:rPr>
            </w:pPr>
            <w:r w:rsidRPr="007319CD">
              <w:rPr>
                <w:rFonts w:hAnsi="標楷體"/>
              </w:rPr>
              <w:t xml:space="preserve">  25年：60%</w:t>
            </w:r>
            <w:r w:rsidR="000533ED" w:rsidRPr="007319CD">
              <w:rPr>
                <w:rFonts w:hAnsi="標楷體"/>
              </w:rPr>
              <w:t>降</w:t>
            </w:r>
            <w:r w:rsidRPr="007319CD">
              <w:rPr>
                <w:rFonts w:hAnsi="標楷體"/>
              </w:rPr>
              <w:t>至45%。</w:t>
            </w:r>
          </w:p>
          <w:p w:rsidR="00DD44C1" w:rsidRPr="007319CD" w:rsidRDefault="00DD44C1" w:rsidP="00897AB5">
            <w:pPr>
              <w:pStyle w:val="121"/>
              <w:kinsoku w:val="0"/>
              <w:overflowPunct/>
              <w:rPr>
                <w:rFonts w:hAnsi="標楷體"/>
              </w:rPr>
            </w:pPr>
            <w:r w:rsidRPr="007319CD">
              <w:rPr>
                <w:rFonts w:hAnsi="標楷體"/>
              </w:rPr>
              <w:t xml:space="preserve">  20年：52.5%</w:t>
            </w:r>
            <w:r w:rsidR="000533ED" w:rsidRPr="007319CD">
              <w:rPr>
                <w:rFonts w:hAnsi="標楷體"/>
              </w:rPr>
              <w:t>降</w:t>
            </w:r>
            <w:r w:rsidRPr="007319CD">
              <w:rPr>
                <w:rFonts w:hAnsi="標楷體"/>
              </w:rPr>
              <w:t>至37.5%。</w:t>
            </w:r>
          </w:p>
          <w:p w:rsidR="00DD44C1" w:rsidRPr="007319CD" w:rsidRDefault="00DD44C1" w:rsidP="00897AB5">
            <w:pPr>
              <w:pStyle w:val="121"/>
              <w:kinsoku w:val="0"/>
              <w:overflowPunct/>
              <w:rPr>
                <w:rFonts w:hAnsi="標楷體"/>
              </w:rPr>
            </w:pPr>
            <w:r w:rsidRPr="007319CD">
              <w:rPr>
                <w:rFonts w:hAnsi="標楷體"/>
              </w:rPr>
              <w:t xml:space="preserve">  15年：45%</w:t>
            </w:r>
            <w:r w:rsidR="000533ED" w:rsidRPr="007319CD">
              <w:rPr>
                <w:rFonts w:hAnsi="標楷體"/>
              </w:rPr>
              <w:t>降</w:t>
            </w:r>
            <w:r w:rsidRPr="007319CD">
              <w:rPr>
                <w:rFonts w:hAnsi="標楷體"/>
              </w:rPr>
              <w:t>至30%。</w:t>
            </w:r>
          </w:p>
          <w:p w:rsidR="00DD44C1" w:rsidRPr="007319CD" w:rsidRDefault="00DD44C1" w:rsidP="00897AB5">
            <w:pPr>
              <w:pStyle w:val="121"/>
              <w:kinsoku w:val="0"/>
              <w:overflowPunct/>
              <w:rPr>
                <w:rFonts w:hAnsi="標楷體"/>
              </w:rPr>
            </w:pPr>
            <w:r w:rsidRPr="007319CD">
              <w:rPr>
                <w:rFonts w:hAnsi="標楷體" w:cs="新細明體" w:hint="eastAsia"/>
              </w:rPr>
              <w:t>◎</w:t>
            </w:r>
            <w:r w:rsidRPr="007319CD">
              <w:rPr>
                <w:rFonts w:hAnsi="標楷體"/>
              </w:rPr>
              <w:t>現職人員可</w:t>
            </w:r>
            <w:proofErr w:type="gramStart"/>
            <w:r w:rsidRPr="007319CD">
              <w:rPr>
                <w:rFonts w:hAnsi="標楷體"/>
              </w:rPr>
              <w:t>採</w:t>
            </w:r>
            <w:proofErr w:type="gramEnd"/>
            <w:r w:rsidRPr="007319CD">
              <w:rPr>
                <w:rFonts w:hAnsi="標楷體"/>
              </w:rPr>
              <w:t>計40年，替代率同已退人員。</w:t>
            </w:r>
          </w:p>
          <w:p w:rsidR="00DD44C1" w:rsidRPr="007319CD" w:rsidRDefault="00DD44C1" w:rsidP="00897AB5">
            <w:pPr>
              <w:pStyle w:val="121"/>
              <w:kinsoku w:val="0"/>
              <w:overflowPunct/>
              <w:rPr>
                <w:rFonts w:hAnsi="標楷體"/>
              </w:rPr>
            </w:pPr>
            <w:r w:rsidRPr="007319CD">
              <w:rPr>
                <w:rFonts w:hAnsi="標楷體"/>
              </w:rPr>
              <w:t>（2）下限：最低保障金額為公務人員委任第</w:t>
            </w:r>
            <w:r w:rsidR="00B83B03" w:rsidRPr="007319CD">
              <w:rPr>
                <w:rFonts w:hAnsi="標楷體" w:hint="eastAsia"/>
              </w:rPr>
              <w:t>1</w:t>
            </w:r>
            <w:r w:rsidRPr="007319CD">
              <w:rPr>
                <w:rFonts w:hAnsi="標楷體"/>
              </w:rPr>
              <w:t>職等本</w:t>
            </w:r>
            <w:proofErr w:type="gramStart"/>
            <w:r w:rsidRPr="007319CD">
              <w:rPr>
                <w:rFonts w:hAnsi="標楷體"/>
              </w:rPr>
              <w:t>俸</w:t>
            </w:r>
            <w:proofErr w:type="gramEnd"/>
            <w:r w:rsidRPr="007319CD">
              <w:rPr>
                <w:rFonts w:hAnsi="標楷體"/>
              </w:rPr>
              <w:t>最高級之本</w:t>
            </w:r>
            <w:proofErr w:type="gramStart"/>
            <w:r w:rsidRPr="007319CD">
              <w:rPr>
                <w:rFonts w:hAnsi="標楷體"/>
              </w:rPr>
              <w:t>俸</w:t>
            </w:r>
            <w:proofErr w:type="gramEnd"/>
            <w:r w:rsidRPr="007319CD">
              <w:rPr>
                <w:rFonts w:hAnsi="標楷體"/>
              </w:rPr>
              <w:t xml:space="preserve">額與該職等一般公務人員專業加給合計數額。 </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lastRenderedPageBreak/>
              <w:t>第4條第1項第4款、第37條、第38條</w:t>
            </w: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調整優惠存款制度</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同上。</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1、支（兼）領月退休金者：</w:t>
            </w:r>
          </w:p>
          <w:p w:rsidR="00DD44C1" w:rsidRPr="007319CD" w:rsidRDefault="00DD44C1" w:rsidP="00897AB5">
            <w:pPr>
              <w:pStyle w:val="121"/>
              <w:kinsoku w:val="0"/>
              <w:overflowPunct/>
              <w:rPr>
                <w:rFonts w:hAnsi="標楷體"/>
              </w:rPr>
            </w:pPr>
            <w:r w:rsidRPr="007319CD">
              <w:rPr>
                <w:rFonts w:hAnsi="標楷體"/>
              </w:rPr>
              <w:t>（1）107年7月1日至109年12月31日降為9%，110年1月1日起歸零。</w:t>
            </w:r>
          </w:p>
          <w:p w:rsidR="00DD44C1" w:rsidRPr="007319CD" w:rsidRDefault="00DD44C1" w:rsidP="00897AB5">
            <w:pPr>
              <w:pStyle w:val="121"/>
              <w:kinsoku w:val="0"/>
              <w:overflowPunct/>
              <w:rPr>
                <w:rFonts w:hAnsi="標楷體"/>
              </w:rPr>
            </w:pPr>
            <w:r w:rsidRPr="007319CD">
              <w:rPr>
                <w:rFonts w:hAnsi="標楷體"/>
              </w:rPr>
              <w:t>（2）月退休所得經調降後，低於替代率調降方案最</w:t>
            </w:r>
            <w:proofErr w:type="gramStart"/>
            <w:r w:rsidRPr="007319CD">
              <w:rPr>
                <w:rFonts w:hAnsi="標楷體"/>
              </w:rPr>
              <w:t>末年（</w:t>
            </w:r>
            <w:proofErr w:type="gramEnd"/>
            <w:r w:rsidRPr="007319CD">
              <w:rPr>
                <w:rFonts w:hAnsi="標楷體"/>
              </w:rPr>
              <w:t>第11年）之上限金額中，屬於</w:t>
            </w:r>
            <w:proofErr w:type="gramStart"/>
            <w:r w:rsidRPr="007319CD">
              <w:rPr>
                <w:rFonts w:hAnsi="標楷體"/>
              </w:rPr>
              <w:t>公保優存</w:t>
            </w:r>
            <w:proofErr w:type="gramEnd"/>
            <w:r w:rsidRPr="007319CD">
              <w:rPr>
                <w:rFonts w:hAnsi="標楷體"/>
              </w:rPr>
              <w:t>部分，仍照18%利率計算其相應可辦理優惠存款之本金。</w:t>
            </w:r>
          </w:p>
          <w:p w:rsidR="00DD44C1" w:rsidRPr="007319CD" w:rsidRDefault="00DD44C1" w:rsidP="00897AB5">
            <w:pPr>
              <w:pStyle w:val="121"/>
              <w:kinsoku w:val="0"/>
              <w:overflowPunct/>
              <w:rPr>
                <w:rFonts w:hAnsi="標楷體"/>
              </w:rPr>
            </w:pPr>
            <w:r w:rsidRPr="007319CD">
              <w:rPr>
                <w:rFonts w:hAnsi="標楷體"/>
              </w:rPr>
              <w:t>2、支領一次退休金者：</w:t>
            </w:r>
          </w:p>
          <w:p w:rsidR="00DD44C1" w:rsidRPr="007319CD" w:rsidRDefault="00DD44C1" w:rsidP="00897AB5">
            <w:pPr>
              <w:pStyle w:val="121"/>
              <w:kinsoku w:val="0"/>
              <w:overflowPunct/>
              <w:rPr>
                <w:rFonts w:hAnsi="標楷體"/>
              </w:rPr>
            </w:pPr>
            <w:r w:rsidRPr="007319CD">
              <w:rPr>
                <w:rFonts w:hAnsi="標楷體"/>
              </w:rPr>
              <w:t>（1）保障其最低保障金額範圍內之利息相應之本金，仍按年息18%計息，超過最低保障金額之利息相應之本金，107年7月1日至109年12月31日利率降至12%；110年1月1日至111年12月31日為10%；112年1月1日至113年12月31日為8%；114年1月1日起為6%。</w:t>
            </w:r>
          </w:p>
          <w:p w:rsidR="00DD44C1" w:rsidRPr="007319CD" w:rsidRDefault="00DD44C1" w:rsidP="00897AB5">
            <w:pPr>
              <w:pStyle w:val="121"/>
              <w:kinsoku w:val="0"/>
              <w:overflowPunct/>
              <w:rPr>
                <w:rFonts w:hAnsi="標楷體"/>
              </w:rPr>
            </w:pPr>
            <w:r w:rsidRPr="007319CD">
              <w:rPr>
                <w:rFonts w:hAnsi="標楷體"/>
              </w:rPr>
              <w:t>（2）未超過最低保障金額者，維持原領金額不予變動。</w:t>
            </w:r>
          </w:p>
          <w:p w:rsidR="00DD44C1" w:rsidRPr="007319CD" w:rsidRDefault="00DD44C1" w:rsidP="00897AB5">
            <w:pPr>
              <w:pStyle w:val="121"/>
              <w:kinsoku w:val="0"/>
              <w:overflowPunct/>
              <w:rPr>
                <w:rFonts w:hAnsi="標楷體"/>
              </w:rPr>
            </w:pPr>
            <w:r w:rsidRPr="007319CD">
              <w:rPr>
                <w:rFonts w:hAnsi="標楷體"/>
              </w:rPr>
              <w:t>3.兼領月退休金者：其月退休給與中，</w:t>
            </w:r>
            <w:proofErr w:type="gramStart"/>
            <w:r w:rsidRPr="007319CD">
              <w:rPr>
                <w:rFonts w:hAnsi="標楷體"/>
              </w:rPr>
              <w:t>按兼領</w:t>
            </w:r>
            <w:proofErr w:type="gramEnd"/>
            <w:r w:rsidRPr="007319CD">
              <w:rPr>
                <w:rFonts w:hAnsi="標楷體"/>
              </w:rPr>
              <w:t>月退休金比率計得之</w:t>
            </w:r>
            <w:proofErr w:type="gramStart"/>
            <w:r w:rsidRPr="007319CD">
              <w:rPr>
                <w:rFonts w:hAnsi="標楷體"/>
              </w:rPr>
              <w:t>公保優存</w:t>
            </w:r>
            <w:proofErr w:type="gramEnd"/>
            <w:r w:rsidRPr="007319CD">
              <w:rPr>
                <w:rFonts w:hAnsi="標楷體"/>
              </w:rPr>
              <w:t>金額，依上開第1點所定方式調降；</w:t>
            </w:r>
            <w:proofErr w:type="gramStart"/>
            <w:r w:rsidRPr="007319CD">
              <w:rPr>
                <w:rFonts w:hAnsi="標楷體"/>
              </w:rPr>
              <w:t>按兼領</w:t>
            </w:r>
            <w:proofErr w:type="gramEnd"/>
            <w:r w:rsidRPr="007319CD">
              <w:rPr>
                <w:rFonts w:hAnsi="標楷體"/>
              </w:rPr>
              <w:t>之一次退休金，加</w:t>
            </w:r>
            <w:proofErr w:type="gramStart"/>
            <w:r w:rsidRPr="007319CD">
              <w:rPr>
                <w:rFonts w:hAnsi="標楷體"/>
              </w:rPr>
              <w:t>計按兼</w:t>
            </w:r>
            <w:proofErr w:type="gramEnd"/>
            <w:r w:rsidRPr="007319CD">
              <w:rPr>
                <w:rFonts w:hAnsi="標楷體"/>
              </w:rPr>
              <w:t>領一次退休金比率計得之</w:t>
            </w:r>
            <w:proofErr w:type="gramStart"/>
            <w:r w:rsidRPr="007319CD">
              <w:rPr>
                <w:rFonts w:hAnsi="標楷體"/>
              </w:rPr>
              <w:t>公保優存</w:t>
            </w:r>
            <w:proofErr w:type="gramEnd"/>
            <w:r w:rsidRPr="007319CD">
              <w:rPr>
                <w:rFonts w:hAnsi="標楷體"/>
              </w:rPr>
              <w:t>金額，依上開第2點所定一次退休金人員調降方式規定計算。但最低保障金額</w:t>
            </w:r>
            <w:proofErr w:type="gramStart"/>
            <w:r w:rsidRPr="007319CD">
              <w:rPr>
                <w:rFonts w:hAnsi="標楷體"/>
              </w:rPr>
              <w:t>應按兼領</w:t>
            </w:r>
            <w:proofErr w:type="gramEnd"/>
            <w:r w:rsidRPr="007319CD">
              <w:rPr>
                <w:rFonts w:hAnsi="標楷體"/>
              </w:rPr>
              <w:t>月退休金及一次退休金之比率分別計算。</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第36條</w:t>
            </w: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取消年資補償金</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1、本條例修正施行前在職人員已有任職年資未滿15年，於</w:t>
            </w:r>
            <w:r w:rsidRPr="007319CD">
              <w:rPr>
                <w:rFonts w:hAnsi="標楷體"/>
              </w:rPr>
              <w:lastRenderedPageBreak/>
              <w:t>本條例修正施行後退休，擇領月退休金者，另按未滿15年之年資為</w:t>
            </w:r>
            <w:proofErr w:type="gramStart"/>
            <w:r w:rsidRPr="007319CD">
              <w:rPr>
                <w:rFonts w:hAnsi="標楷體"/>
              </w:rPr>
              <w:t>準</w:t>
            </w:r>
            <w:proofErr w:type="gramEnd"/>
            <w:r w:rsidRPr="007319CD">
              <w:rPr>
                <w:rFonts w:hAnsi="標楷體"/>
              </w:rPr>
              <w:t>，依左列規定擇一支給補償金：</w:t>
            </w:r>
          </w:p>
          <w:p w:rsidR="00DD44C1" w:rsidRPr="007319CD" w:rsidRDefault="00DD44C1" w:rsidP="00897AB5">
            <w:pPr>
              <w:pStyle w:val="121"/>
              <w:kinsoku w:val="0"/>
              <w:overflowPunct/>
              <w:rPr>
                <w:rFonts w:hAnsi="標楷體"/>
              </w:rPr>
            </w:pPr>
            <w:r w:rsidRPr="007319CD">
              <w:rPr>
                <w:rFonts w:hAnsi="標楷體"/>
              </w:rPr>
              <w:t>（1）</w:t>
            </w:r>
            <w:proofErr w:type="gramStart"/>
            <w:r w:rsidRPr="007319CD">
              <w:rPr>
                <w:rFonts w:hAnsi="標楷體"/>
              </w:rPr>
              <w:t>每減1年</w:t>
            </w:r>
            <w:proofErr w:type="gramEnd"/>
            <w:r w:rsidRPr="007319CD">
              <w:rPr>
                <w:rFonts w:hAnsi="標楷體"/>
              </w:rPr>
              <w:t>，增給</w:t>
            </w:r>
            <w:r w:rsidR="00860CDD" w:rsidRPr="007319CD">
              <w:rPr>
                <w:rFonts w:hAnsi="標楷體" w:hint="eastAsia"/>
              </w:rPr>
              <w:t>0.5</w:t>
            </w:r>
            <w:r w:rsidRPr="007319CD">
              <w:rPr>
                <w:rFonts w:hAnsi="標楷體"/>
              </w:rPr>
              <w:t>個基數之一次補償金。</w:t>
            </w:r>
          </w:p>
          <w:p w:rsidR="00DD44C1" w:rsidRPr="007319CD" w:rsidRDefault="00DD44C1" w:rsidP="00897AB5">
            <w:pPr>
              <w:pStyle w:val="121"/>
              <w:kinsoku w:val="0"/>
              <w:overflowPunct/>
              <w:rPr>
                <w:rFonts w:hAnsi="標楷體"/>
              </w:rPr>
            </w:pPr>
            <w:r w:rsidRPr="007319CD">
              <w:rPr>
                <w:rFonts w:hAnsi="標楷體"/>
              </w:rPr>
              <w:t>（2）</w:t>
            </w:r>
            <w:proofErr w:type="gramStart"/>
            <w:r w:rsidRPr="007319CD">
              <w:rPr>
                <w:rFonts w:hAnsi="標楷體"/>
              </w:rPr>
              <w:t>每減1年</w:t>
            </w:r>
            <w:proofErr w:type="gramEnd"/>
            <w:r w:rsidRPr="007319CD">
              <w:rPr>
                <w:rFonts w:hAnsi="標楷體"/>
              </w:rPr>
              <w:t>，增給基數0.5%之月補償金。</w:t>
            </w:r>
          </w:p>
          <w:p w:rsidR="00DD44C1" w:rsidRPr="007319CD" w:rsidRDefault="00DD44C1" w:rsidP="00897AB5">
            <w:pPr>
              <w:pStyle w:val="121"/>
              <w:kinsoku w:val="0"/>
              <w:overflowPunct/>
              <w:rPr>
                <w:rFonts w:hAnsi="標楷體"/>
              </w:rPr>
            </w:pPr>
            <w:r w:rsidRPr="007319CD">
              <w:rPr>
                <w:rFonts w:hAnsi="標楷體"/>
              </w:rPr>
              <w:t>2、本條例修正施行前任職未滿20年，於本條例修正施行後退休，其前後任職年資合計滿15年支領月退休金者，依其在本條例修正施行後年資，每滿</w:t>
            </w:r>
            <w:r w:rsidR="00860CDD" w:rsidRPr="007319CD">
              <w:rPr>
                <w:rFonts w:hAnsi="標楷體" w:hint="eastAsia"/>
              </w:rPr>
              <w:t>0.5</w:t>
            </w:r>
            <w:r w:rsidRPr="007319CD">
              <w:rPr>
                <w:rFonts w:hAnsi="標楷體"/>
              </w:rPr>
              <w:t>年一次增發</w:t>
            </w:r>
            <w:r w:rsidR="00860CDD" w:rsidRPr="007319CD">
              <w:rPr>
                <w:rFonts w:hAnsi="標楷體" w:hint="eastAsia"/>
              </w:rPr>
              <w:t>0.5</w:t>
            </w:r>
            <w:r w:rsidRPr="007319CD">
              <w:rPr>
                <w:rFonts w:hAnsi="標楷體"/>
              </w:rPr>
              <w:t>個基數之補償金，最高一次增發3個基數，至20年止。其前後任職年資超過20年者，每滿</w:t>
            </w:r>
            <w:proofErr w:type="gramStart"/>
            <w:r w:rsidRPr="007319CD">
              <w:rPr>
                <w:rFonts w:hAnsi="標楷體"/>
              </w:rPr>
              <w:t>1年減發</w:t>
            </w:r>
            <w:r w:rsidR="00860CDD" w:rsidRPr="007319CD">
              <w:rPr>
                <w:rFonts w:hAnsi="標楷體" w:hint="eastAsia"/>
              </w:rPr>
              <w:t>0.5</w:t>
            </w:r>
            <w:r w:rsidRPr="007319CD">
              <w:rPr>
                <w:rFonts w:hAnsi="標楷體"/>
              </w:rPr>
              <w:t>個</w:t>
            </w:r>
            <w:proofErr w:type="gramEnd"/>
            <w:r w:rsidRPr="007319CD">
              <w:rPr>
                <w:rFonts w:hAnsi="標楷體"/>
              </w:rPr>
              <w:t>基數，至滿26年者不再增減。</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lastRenderedPageBreak/>
              <w:t>第21條之1第5</w:t>
            </w:r>
            <w:r w:rsidRPr="007319CD">
              <w:rPr>
                <w:rFonts w:hAnsi="標楷體"/>
              </w:rPr>
              <w:lastRenderedPageBreak/>
              <w:t>項、第6項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lastRenderedPageBreak/>
              <w:t>公立學校教職員退撫條例</w:t>
            </w:r>
            <w:r w:rsidR="00DD44C1" w:rsidRPr="007319CD">
              <w:rPr>
                <w:rFonts w:hAnsi="標楷體"/>
              </w:rPr>
              <w:t>施行起1年後退休者，不再發給年資補償金</w:t>
            </w:r>
            <w:r w:rsidR="00DD44C1" w:rsidRPr="007319CD">
              <w:rPr>
                <w:rFonts w:hAnsi="標楷體"/>
              </w:rPr>
              <w:lastRenderedPageBreak/>
              <w:t>。</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lastRenderedPageBreak/>
              <w:t>第34條</w:t>
            </w: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調整月撫慰金制度</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1、支領月退休金或兼領月退休金人員死亡時另給與遺族一次撫慰金。</w:t>
            </w:r>
          </w:p>
          <w:p w:rsidR="00DD44C1" w:rsidRPr="007319CD" w:rsidRDefault="00DD44C1" w:rsidP="00897AB5">
            <w:pPr>
              <w:pStyle w:val="121"/>
              <w:kinsoku w:val="0"/>
              <w:overflowPunct/>
              <w:rPr>
                <w:rFonts w:hAnsi="標楷體"/>
              </w:rPr>
            </w:pPr>
            <w:r w:rsidRPr="007319CD">
              <w:rPr>
                <w:rFonts w:hAnsi="標楷體"/>
              </w:rPr>
              <w:t>2、遺族為父母、配偶或未成年子女者，如不領一次撫慰金時，得按原領月退休金之半數，或兼領月退休金之半數，</w:t>
            </w:r>
            <w:proofErr w:type="gramStart"/>
            <w:r w:rsidRPr="007319CD">
              <w:rPr>
                <w:rFonts w:hAnsi="標楷體"/>
              </w:rPr>
              <w:t>改領月</w:t>
            </w:r>
            <w:proofErr w:type="gramEnd"/>
            <w:r w:rsidRPr="007319CD">
              <w:rPr>
                <w:rFonts w:hAnsi="標楷體"/>
              </w:rPr>
              <w:t>撫慰金。</w:t>
            </w:r>
          </w:p>
          <w:p w:rsidR="00DD44C1" w:rsidRPr="007319CD" w:rsidRDefault="00DD44C1" w:rsidP="00897AB5">
            <w:pPr>
              <w:pStyle w:val="121"/>
              <w:kinsoku w:val="0"/>
              <w:overflowPunct/>
              <w:rPr>
                <w:rFonts w:hAnsi="標楷體"/>
              </w:rPr>
            </w:pPr>
            <w:r w:rsidRPr="007319CD">
              <w:rPr>
                <w:rFonts w:hAnsi="標楷體"/>
              </w:rPr>
              <w:t>3.領受月撫慰金之遺族如為父母或配偶，給與終身。但配偶以未再婚者為限；如為未成年子女，給與至成年為止。</w:t>
            </w:r>
          </w:p>
          <w:p w:rsidR="00DD44C1" w:rsidRPr="007319CD" w:rsidRDefault="00DD44C1" w:rsidP="00897AB5">
            <w:pPr>
              <w:pStyle w:val="121"/>
              <w:kinsoku w:val="0"/>
              <w:overflowPunct/>
              <w:rPr>
                <w:rFonts w:hAnsi="標楷體"/>
              </w:rPr>
            </w:pPr>
            <w:r w:rsidRPr="007319CD">
              <w:rPr>
                <w:rFonts w:hAnsi="標楷體"/>
              </w:rPr>
              <w:t>4.遺族之範圍及順序，依民法第1138條之規定。</w:t>
            </w:r>
          </w:p>
          <w:p w:rsidR="00DD44C1" w:rsidRPr="007319CD" w:rsidRDefault="00DD44C1" w:rsidP="00897AB5">
            <w:pPr>
              <w:pStyle w:val="121"/>
              <w:kinsoku w:val="0"/>
              <w:overflowPunct/>
              <w:rPr>
                <w:rFonts w:hAnsi="標楷體"/>
              </w:rPr>
            </w:pPr>
            <w:r w:rsidRPr="007319CD">
              <w:rPr>
                <w:rFonts w:hAnsi="標楷體"/>
              </w:rPr>
              <w:t>5.合於支領月撫慰金之遺族，如</w:t>
            </w:r>
            <w:proofErr w:type="gramStart"/>
            <w:r w:rsidRPr="007319CD">
              <w:rPr>
                <w:rFonts w:hAnsi="標楷體"/>
              </w:rPr>
              <w:t>擬改領全額</w:t>
            </w:r>
            <w:proofErr w:type="gramEnd"/>
            <w:r w:rsidRPr="007319CD">
              <w:rPr>
                <w:rFonts w:hAnsi="標楷體"/>
              </w:rPr>
              <w:t>月撫慰金時，須經協調獲同一順序其他遺族同意時，始得為之。</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第14條之1</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 xml:space="preserve">1、月撫慰金和一次撫慰金之用語修正為「遺屬年金」及「遺屬一次金」。 </w:t>
            </w:r>
          </w:p>
          <w:p w:rsidR="00DD44C1" w:rsidRPr="007319CD" w:rsidRDefault="00DD44C1" w:rsidP="00897AB5">
            <w:pPr>
              <w:pStyle w:val="121"/>
              <w:kinsoku w:val="0"/>
              <w:overflowPunct/>
              <w:rPr>
                <w:rFonts w:hAnsi="標楷體"/>
              </w:rPr>
            </w:pPr>
            <w:r w:rsidRPr="007319CD">
              <w:rPr>
                <w:rFonts w:hAnsi="標楷體"/>
              </w:rPr>
              <w:t xml:space="preserve">2、遺族請領遺屬年金的條件如下： </w:t>
            </w:r>
          </w:p>
          <w:p w:rsidR="00DD44C1" w:rsidRPr="007319CD" w:rsidRDefault="00DD44C1" w:rsidP="00897AB5">
            <w:pPr>
              <w:pStyle w:val="121"/>
              <w:kinsoku w:val="0"/>
              <w:overflowPunct/>
              <w:rPr>
                <w:rFonts w:hAnsi="標楷體"/>
              </w:rPr>
            </w:pPr>
            <w:r w:rsidRPr="007319CD">
              <w:rPr>
                <w:rFonts w:hAnsi="標楷體"/>
              </w:rPr>
              <w:t>（1）配偶請領年齡為55歲（身心障礙且無工作能力之配偶則不受限）；婚姻關係於退休人員亡故時婚姻關係已累積存續達10年以上。</w:t>
            </w:r>
          </w:p>
          <w:p w:rsidR="00DD44C1" w:rsidRPr="007319CD" w:rsidRDefault="00DD44C1" w:rsidP="00897AB5">
            <w:pPr>
              <w:pStyle w:val="121"/>
              <w:kinsoku w:val="0"/>
              <w:overflowPunct/>
              <w:rPr>
                <w:rFonts w:hAnsi="標楷體"/>
              </w:rPr>
            </w:pPr>
            <w:r w:rsidRPr="007319CD">
              <w:rPr>
                <w:rFonts w:hAnsi="標楷體"/>
              </w:rPr>
              <w:t xml:space="preserve">（2）身心障礙且無工作能力之成年子女得擇領遺屬年金（未成年子女給與至成年為止）。 </w:t>
            </w:r>
          </w:p>
          <w:p w:rsidR="00DD44C1" w:rsidRPr="007319CD" w:rsidRDefault="00DD44C1" w:rsidP="00897AB5">
            <w:pPr>
              <w:pStyle w:val="121"/>
              <w:kinsoku w:val="0"/>
              <w:overflowPunct/>
              <w:rPr>
                <w:rFonts w:hAnsi="標楷體"/>
              </w:rPr>
            </w:pPr>
            <w:r w:rsidRPr="007319CD">
              <w:rPr>
                <w:rFonts w:hAnsi="標楷體"/>
              </w:rPr>
              <w:t>（3）遺族已依本法或其他法令規定領有退休金、撫慰金、遺屬年金、優惠存款利息，或其他由政府預算、公營事業機構支給之定期性給與者，不得擇領遺屬年金。</w:t>
            </w:r>
            <w:proofErr w:type="gramStart"/>
            <w:r w:rsidRPr="007319CD">
              <w:rPr>
                <w:rFonts w:hAnsi="標楷體"/>
              </w:rPr>
              <w:t>（</w:t>
            </w:r>
            <w:proofErr w:type="gramEnd"/>
            <w:r w:rsidR="00914E2B" w:rsidRPr="007319CD">
              <w:rPr>
                <w:rFonts w:hAnsi="標楷體"/>
              </w:rPr>
              <w:t>公立學校教職員退撫條例</w:t>
            </w:r>
            <w:r w:rsidRPr="007319CD">
              <w:rPr>
                <w:rFonts w:hAnsi="標楷體"/>
              </w:rPr>
              <w:t>施行之日起1年內死亡者，不適用本項規定。）</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第45條</w:t>
            </w: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財源</w:t>
            </w: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調整退撫基金</w:t>
            </w:r>
            <w:proofErr w:type="gramStart"/>
            <w:r w:rsidRPr="007319CD">
              <w:rPr>
                <w:rFonts w:hAnsi="標楷體"/>
                <w:spacing w:val="-20"/>
              </w:rPr>
              <w:t>提撥</w:t>
            </w:r>
            <w:proofErr w:type="gramEnd"/>
            <w:r w:rsidRPr="007319CD">
              <w:rPr>
                <w:rFonts w:hAnsi="標楷體"/>
                <w:spacing w:val="-20"/>
              </w:rPr>
              <w:t>費率</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bCs/>
              </w:rPr>
              <w:t>8%至12%（現行</w:t>
            </w:r>
            <w:proofErr w:type="gramStart"/>
            <w:r w:rsidRPr="007319CD">
              <w:rPr>
                <w:rFonts w:hAnsi="標楷體"/>
                <w:bCs/>
              </w:rPr>
              <w:t>提撥</w:t>
            </w:r>
            <w:proofErr w:type="gramEnd"/>
            <w:r w:rsidRPr="007319CD">
              <w:rPr>
                <w:rFonts w:hAnsi="標楷體"/>
                <w:bCs/>
              </w:rPr>
              <w:t>費率為12%）。</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12%</w:t>
            </w:r>
            <w:r w:rsidR="005A3AFC" w:rsidRPr="007319CD">
              <w:rPr>
                <w:rFonts w:hAnsi="標楷體" w:hint="eastAsia"/>
              </w:rPr>
              <w:t>-</w:t>
            </w:r>
            <w:r w:rsidRPr="007319CD">
              <w:rPr>
                <w:rFonts w:hAnsi="標楷體"/>
              </w:rPr>
              <w:t>18%</w:t>
            </w:r>
            <w:r w:rsidRPr="007319CD">
              <w:rPr>
                <w:rFonts w:hAnsi="標楷體"/>
                <w:bCs/>
              </w:rPr>
              <w:t>（現行</w:t>
            </w:r>
            <w:proofErr w:type="gramStart"/>
            <w:r w:rsidRPr="007319CD">
              <w:rPr>
                <w:rFonts w:hAnsi="標楷體"/>
                <w:bCs/>
              </w:rPr>
              <w:t>提撥</w:t>
            </w:r>
            <w:proofErr w:type="gramEnd"/>
            <w:r w:rsidRPr="007319CD">
              <w:rPr>
                <w:rFonts w:hAnsi="標楷體"/>
                <w:bCs/>
              </w:rPr>
              <w:t>費率為12%）。</w:t>
            </w:r>
          </w:p>
          <w:p w:rsidR="00DD44C1" w:rsidRPr="007319CD" w:rsidRDefault="00DD44C1" w:rsidP="00897AB5">
            <w:pPr>
              <w:pStyle w:val="121"/>
              <w:kinsoku w:val="0"/>
              <w:overflowPunct/>
              <w:rPr>
                <w:rFonts w:hAnsi="標楷體"/>
              </w:rPr>
            </w:pP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proofErr w:type="gramStart"/>
            <w:r w:rsidRPr="007319CD">
              <w:rPr>
                <w:rFonts w:hAnsi="標楷體"/>
              </w:rPr>
              <w:t>提撥</w:t>
            </w:r>
            <w:proofErr w:type="gramEnd"/>
            <w:r w:rsidRPr="007319CD">
              <w:rPr>
                <w:rFonts w:hAnsi="標楷體"/>
              </w:rPr>
              <w:t>分擔比率</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政府65%、個人35%</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政府65%、個人35%</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F27C2B">
            <w:pPr>
              <w:pStyle w:val="121"/>
              <w:kinsoku w:val="0"/>
              <w:overflowPunct/>
              <w:rPr>
                <w:rFonts w:hAnsi="標楷體"/>
                <w:spacing w:val="-20"/>
              </w:rPr>
            </w:pPr>
            <w:r w:rsidRPr="007319CD">
              <w:rPr>
                <w:rFonts w:hAnsi="標楷體"/>
                <w:spacing w:val="-20"/>
              </w:rPr>
              <w:t>退休所得</w:t>
            </w:r>
            <w:proofErr w:type="gramStart"/>
            <w:r w:rsidRPr="007319CD">
              <w:rPr>
                <w:rFonts w:hAnsi="標楷體"/>
                <w:spacing w:val="-20"/>
              </w:rPr>
              <w:t>挹</w:t>
            </w:r>
            <w:proofErr w:type="gramEnd"/>
            <w:r w:rsidRPr="007319CD">
              <w:rPr>
                <w:rFonts w:hAnsi="標楷體"/>
                <w:spacing w:val="-20"/>
              </w:rPr>
              <w:t>注退撫基金</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各級政府調降退休所得和優惠存款利率所節省經費，應全部</w:t>
            </w:r>
            <w:proofErr w:type="gramStart"/>
            <w:r w:rsidRPr="007319CD">
              <w:rPr>
                <w:rFonts w:hAnsi="標楷體"/>
              </w:rPr>
              <w:t>挹</w:t>
            </w:r>
            <w:proofErr w:type="gramEnd"/>
            <w:r w:rsidRPr="007319CD">
              <w:rPr>
                <w:rFonts w:hAnsi="標楷體"/>
              </w:rPr>
              <w:t>注退撫基金。</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第40條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制度轉銜</w:t>
            </w: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年資保留</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施行後，任職已滿5年且未辦理退休或資遣而離職者，其年資得保留至年滿65歲後之6個月內，再依規定請領退休金</w:t>
            </w:r>
            <w:proofErr w:type="gramStart"/>
            <w:r w:rsidR="00DD44C1" w:rsidRPr="007319CD">
              <w:rPr>
                <w:rFonts w:hAnsi="標楷體"/>
              </w:rPr>
              <w:t>（</w:t>
            </w:r>
            <w:proofErr w:type="gramEnd"/>
            <w:r w:rsidR="00DD44C1" w:rsidRPr="007319CD">
              <w:rPr>
                <w:rFonts w:hAnsi="標楷體"/>
              </w:rPr>
              <w:t>未滿15年者，給一次退休金；滿15年以上者，可擇領一次退休金或月退休金</w:t>
            </w:r>
            <w:proofErr w:type="gramStart"/>
            <w:r w:rsidR="00DD44C1" w:rsidRPr="007319CD">
              <w:rPr>
                <w:rFonts w:hAnsi="標楷體"/>
              </w:rPr>
              <w:t>）</w:t>
            </w:r>
            <w:proofErr w:type="gramEnd"/>
            <w:r w:rsidR="00DD44C1" w:rsidRPr="007319CD">
              <w:rPr>
                <w:rFonts w:hAnsi="標楷體"/>
              </w:rPr>
              <w:t>。</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第86條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年資</w:t>
            </w:r>
            <w:proofErr w:type="gramStart"/>
            <w:r w:rsidRPr="007319CD">
              <w:rPr>
                <w:rFonts w:hAnsi="標楷體"/>
                <w:spacing w:val="-20"/>
              </w:rPr>
              <w:t>併</w:t>
            </w:r>
            <w:proofErr w:type="gramEnd"/>
            <w:r w:rsidRPr="007319CD">
              <w:rPr>
                <w:rFonts w:hAnsi="標楷體"/>
                <w:spacing w:val="-20"/>
              </w:rPr>
              <w:t>計、年金分計</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在職公立學校教職員</w:t>
            </w:r>
            <w:proofErr w:type="gramStart"/>
            <w:r w:rsidRPr="007319CD">
              <w:rPr>
                <w:rFonts w:hAnsi="標楷體"/>
              </w:rPr>
              <w:t>辦理屆齡或</w:t>
            </w:r>
            <w:proofErr w:type="gramEnd"/>
            <w:r w:rsidRPr="007319CD">
              <w:rPr>
                <w:rFonts w:hAnsi="標楷體"/>
              </w:rPr>
              <w:t>命令退休時，任職年資未滿15年，得</w:t>
            </w:r>
            <w:proofErr w:type="gramStart"/>
            <w:r w:rsidRPr="007319CD">
              <w:rPr>
                <w:rFonts w:hAnsi="標楷體"/>
              </w:rPr>
              <w:t>併</w:t>
            </w:r>
            <w:proofErr w:type="gramEnd"/>
            <w:r w:rsidRPr="007319CD">
              <w:rPr>
                <w:rFonts w:hAnsi="標楷體"/>
              </w:rPr>
              <w:t>計</w:t>
            </w:r>
            <w:proofErr w:type="gramStart"/>
            <w:r w:rsidRPr="007319CD">
              <w:rPr>
                <w:rFonts w:hAnsi="標楷體"/>
              </w:rPr>
              <w:t>其他職域年資</w:t>
            </w:r>
            <w:proofErr w:type="gramEnd"/>
            <w:r w:rsidRPr="007319CD">
              <w:rPr>
                <w:rFonts w:hAnsi="標楷體"/>
              </w:rPr>
              <w:t>成就支領月退休金條件。</w:t>
            </w:r>
          </w:p>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施行後，任職已滿5年且未辦理退休或資遣而離職者，</w:t>
            </w:r>
            <w:proofErr w:type="gramStart"/>
            <w:r w:rsidR="00DD44C1" w:rsidRPr="007319CD">
              <w:rPr>
                <w:rFonts w:hAnsi="標楷體"/>
              </w:rPr>
              <w:t>於轉任其他職域工作</w:t>
            </w:r>
            <w:proofErr w:type="gramEnd"/>
            <w:r w:rsidR="00DD44C1" w:rsidRPr="007319CD">
              <w:rPr>
                <w:rFonts w:hAnsi="標楷體"/>
              </w:rPr>
              <w:t>後辦理退休（職）時，得</w:t>
            </w:r>
            <w:proofErr w:type="gramStart"/>
            <w:r w:rsidR="00DD44C1" w:rsidRPr="007319CD">
              <w:rPr>
                <w:rFonts w:hAnsi="標楷體"/>
              </w:rPr>
              <w:t>併計原</w:t>
            </w:r>
            <w:proofErr w:type="gramEnd"/>
            <w:r w:rsidR="00DD44C1" w:rsidRPr="007319CD">
              <w:rPr>
                <w:rFonts w:hAnsi="標楷體"/>
              </w:rPr>
              <w:t>教職員年資成就請領月退休金條件，並於年滿65歲後之6個月內，送原服務學校函轉主管機關審定其年資及月退休金。</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第87條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其他</w:t>
            </w: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育嬰留職停薪年資</w:t>
            </w:r>
            <w:proofErr w:type="gramStart"/>
            <w:r w:rsidRPr="007319CD">
              <w:rPr>
                <w:rFonts w:hAnsi="標楷體"/>
                <w:spacing w:val="-20"/>
              </w:rPr>
              <w:t>採</w:t>
            </w:r>
            <w:proofErr w:type="gramEnd"/>
            <w:r w:rsidRPr="007319CD">
              <w:rPr>
                <w:rFonts w:hAnsi="標楷體"/>
                <w:spacing w:val="-20"/>
              </w:rPr>
              <w:t>計</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法案公布施行後之育嬰留職停薪年資，得選擇全額自費，</w:t>
            </w:r>
            <w:proofErr w:type="gramStart"/>
            <w:r w:rsidRPr="007319CD">
              <w:rPr>
                <w:rFonts w:hAnsi="標楷體"/>
              </w:rPr>
              <w:t>繼續撥繳退撫</w:t>
            </w:r>
            <w:proofErr w:type="gramEnd"/>
            <w:r w:rsidRPr="007319CD">
              <w:rPr>
                <w:rFonts w:hAnsi="標楷體"/>
              </w:rPr>
              <w:t>基金費用，</w:t>
            </w:r>
            <w:proofErr w:type="gramStart"/>
            <w:r w:rsidRPr="007319CD">
              <w:rPr>
                <w:rFonts w:hAnsi="標楷體"/>
              </w:rPr>
              <w:t>併</w:t>
            </w:r>
            <w:proofErr w:type="gramEnd"/>
            <w:r w:rsidRPr="007319CD">
              <w:rPr>
                <w:rFonts w:hAnsi="標楷體"/>
              </w:rPr>
              <w:t>計教職員退休、資遣或撫</w:t>
            </w:r>
            <w:proofErr w:type="gramStart"/>
            <w:r w:rsidRPr="007319CD">
              <w:rPr>
                <w:rFonts w:hAnsi="標楷體"/>
              </w:rPr>
              <w:t>卹</w:t>
            </w:r>
            <w:proofErr w:type="gramEnd"/>
            <w:r w:rsidRPr="007319CD">
              <w:rPr>
                <w:rFonts w:hAnsi="標楷體"/>
              </w:rPr>
              <w:t>年資。</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第8條第4項</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定期檢討</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施行後，行政院應會同考試院建立年金制度監控機制，5年內檢討制度設計與財務永續發展，之後定期檢討。</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第97條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月退休金調整機制</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隨現職人員待遇調整。</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學校教職員退休條例施行細則第34條第2項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公立學校教職員退休後所領月退休金，或遺族所領的月</w:t>
            </w:r>
            <w:proofErr w:type="gramStart"/>
            <w:r w:rsidRPr="007319CD">
              <w:rPr>
                <w:rFonts w:hAnsi="標楷體"/>
              </w:rPr>
              <w:t>撫卹金或遺屬</w:t>
            </w:r>
            <w:proofErr w:type="gramEnd"/>
            <w:r w:rsidRPr="007319CD">
              <w:rPr>
                <w:rFonts w:hAnsi="標楷體"/>
              </w:rPr>
              <w:t>年金，得由行政院會同考試院，衡酌國家整體財政狀況人口與經濟成長率、</w:t>
            </w:r>
            <w:proofErr w:type="gramStart"/>
            <w:r w:rsidRPr="007319CD">
              <w:rPr>
                <w:rFonts w:hAnsi="標楷體"/>
              </w:rPr>
              <w:t>平均餘命</w:t>
            </w:r>
            <w:proofErr w:type="gramEnd"/>
            <w:r w:rsidRPr="007319CD">
              <w:rPr>
                <w:rFonts w:hAnsi="標楷體"/>
              </w:rPr>
              <w:t>、退撫基金準備率與其財務投資績效及</w:t>
            </w:r>
            <w:proofErr w:type="gramStart"/>
            <w:r w:rsidRPr="007319CD">
              <w:rPr>
                <w:rFonts w:hAnsi="標楷體"/>
              </w:rPr>
              <w:t>及</w:t>
            </w:r>
            <w:proofErr w:type="gramEnd"/>
            <w:r w:rsidRPr="007319CD">
              <w:rPr>
                <w:rFonts w:hAnsi="標楷體"/>
              </w:rPr>
              <w:t>消費者物價指數等因素調整；調整結果超過原領所得5%以上或低於原領所得者，應經立法院同意。</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第67條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離婚配偶請求權</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公立學校教職員具婚姻關係滿2年以上之離婚配偶，就婚姻關係期間</w:t>
            </w:r>
            <w:r w:rsidRPr="007319CD">
              <w:rPr>
                <w:rFonts w:hAnsi="標楷體"/>
              </w:rPr>
              <w:lastRenderedPageBreak/>
              <w:t>占公職之部分，按其在審定退休年資所占比率二分之一請求分配該公立學校教職員退休金，但若該分配比率「顯失公平」，當事人可聲請法院調整或免除。</w:t>
            </w:r>
          </w:p>
          <w:p w:rsidR="00DD44C1" w:rsidRPr="007319CD" w:rsidRDefault="00DD44C1" w:rsidP="00897AB5">
            <w:pPr>
              <w:pStyle w:val="121"/>
              <w:kinsoku w:val="0"/>
              <w:overflowPunct/>
              <w:rPr>
                <w:rFonts w:hAnsi="標楷體"/>
              </w:rPr>
            </w:pPr>
            <w:r w:rsidRPr="007319CD">
              <w:rPr>
                <w:rFonts w:hAnsi="標楷體"/>
              </w:rPr>
              <w:t>離婚配偶得請求之退休金，以一次給付為限。</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lastRenderedPageBreak/>
              <w:t>第83條至第85</w:t>
            </w:r>
            <w:r w:rsidRPr="007319CD">
              <w:rPr>
                <w:rFonts w:hAnsi="標楷體"/>
              </w:rPr>
              <w:lastRenderedPageBreak/>
              <w:t>條</w:t>
            </w:r>
          </w:p>
          <w:p w:rsidR="00DD44C1" w:rsidRPr="007319CD" w:rsidRDefault="00DD44C1" w:rsidP="00897AB5">
            <w:pPr>
              <w:pStyle w:val="121"/>
              <w:kinsoku w:val="0"/>
              <w:overflowPunct/>
              <w:rPr>
                <w:rFonts w:hAnsi="標楷體"/>
              </w:rPr>
            </w:pPr>
          </w:p>
        </w:tc>
      </w:tr>
    </w:tbl>
    <w:p w:rsidR="00DD44C1" w:rsidRPr="007319CD" w:rsidRDefault="00DD44C1" w:rsidP="00DD44C1">
      <w:pPr>
        <w:pStyle w:val="afa"/>
        <w:rPr>
          <w:rFonts w:hAnsi="標楷體"/>
        </w:rPr>
      </w:pPr>
      <w:r w:rsidRPr="007319CD">
        <w:rPr>
          <w:rFonts w:hAnsi="標楷體"/>
        </w:rPr>
        <w:lastRenderedPageBreak/>
        <w:t>資料來源：教育部。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歷年全國公務人員人數按年齡分</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單位：人</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850"/>
        <w:gridCol w:w="694"/>
        <w:gridCol w:w="694"/>
        <w:gridCol w:w="692"/>
        <w:gridCol w:w="692"/>
        <w:gridCol w:w="692"/>
        <w:gridCol w:w="692"/>
        <w:gridCol w:w="692"/>
        <w:gridCol w:w="692"/>
        <w:gridCol w:w="692"/>
        <w:gridCol w:w="692"/>
        <w:gridCol w:w="688"/>
      </w:tblGrid>
      <w:tr w:rsidR="007319CD" w:rsidRPr="007319CD" w:rsidTr="00897AB5">
        <w:trPr>
          <w:trHeight w:val="945"/>
        </w:trPr>
        <w:tc>
          <w:tcPr>
            <w:tcW w:w="329" w:type="pct"/>
            <w:shd w:val="clear" w:color="auto" w:fill="EEECE1" w:themeFill="background2"/>
            <w:vAlign w:val="center"/>
            <w:hideMark/>
          </w:tcPr>
          <w:p w:rsidR="00DD44C1" w:rsidRPr="007319CD" w:rsidRDefault="00DD44C1" w:rsidP="00897AB5">
            <w:pPr>
              <w:pStyle w:val="121"/>
              <w:jc w:val="center"/>
              <w:rPr>
                <w:rFonts w:hAnsi="標楷體"/>
              </w:rPr>
            </w:pPr>
            <w:proofErr w:type="gramStart"/>
            <w:r w:rsidRPr="007319CD">
              <w:rPr>
                <w:rFonts w:hAnsi="標楷體"/>
              </w:rPr>
              <w:t>年別</w:t>
            </w:r>
            <w:proofErr w:type="gramEnd"/>
          </w:p>
        </w:tc>
        <w:tc>
          <w:tcPr>
            <w:tcW w:w="469" w:type="pct"/>
            <w:shd w:val="clear" w:color="auto" w:fill="EEECE1" w:themeFill="background2"/>
            <w:vAlign w:val="center"/>
            <w:hideMark/>
          </w:tcPr>
          <w:p w:rsidR="00DD44C1" w:rsidRPr="007319CD" w:rsidRDefault="00DD44C1" w:rsidP="00897AB5">
            <w:pPr>
              <w:pStyle w:val="121"/>
              <w:jc w:val="center"/>
              <w:rPr>
                <w:rFonts w:hAnsi="標楷體"/>
                <w:b/>
                <w:bCs/>
              </w:rPr>
            </w:pPr>
            <w:r w:rsidRPr="007319CD">
              <w:rPr>
                <w:rFonts w:hAnsi="標楷體"/>
                <w:b/>
                <w:bCs/>
              </w:rPr>
              <w:t>總計</w:t>
            </w:r>
          </w:p>
        </w:tc>
        <w:tc>
          <w:tcPr>
            <w:tcW w:w="383"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18-25歲</w:t>
            </w:r>
          </w:p>
        </w:tc>
        <w:tc>
          <w:tcPr>
            <w:tcW w:w="383"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25-30歲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30-35歲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35-40歲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40-45歲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45-50歲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50-55歲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55-60歲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60-65歲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65歲</w:t>
            </w:r>
            <w:r w:rsidRPr="007319CD">
              <w:rPr>
                <w:rFonts w:hAnsi="標楷體"/>
              </w:rPr>
              <w:br/>
              <w:t>以上</w:t>
            </w:r>
          </w:p>
        </w:tc>
        <w:tc>
          <w:tcPr>
            <w:tcW w:w="380"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平均</w:t>
            </w:r>
            <w:r w:rsidRPr="007319CD">
              <w:rPr>
                <w:rFonts w:hAnsi="標楷體"/>
              </w:rPr>
              <w:br/>
              <w:t>年齡</w:t>
            </w:r>
            <w:r w:rsidRPr="007319CD">
              <w:rPr>
                <w:rFonts w:hAnsi="標楷體"/>
              </w:rPr>
              <w:br/>
              <w:t>(歲)</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87</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417,381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11,451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49,205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67,022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76,300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75,913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64,329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34,649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23,957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13,369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1,186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88</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409,995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7,387</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44,215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66,123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74,318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75,588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66,276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37,823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23,466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13,653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1,146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89</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408,515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5,345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38,973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66,151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72,829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74,653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69,965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42,542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22,969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13,895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1,193</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90</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395,523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4,200</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34,461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63,341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69,026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73,001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69,963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46,489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20,554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13,104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1,384</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91</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389,957</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3,244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29,152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61,876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67,506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72,569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69,903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50,280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21,455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12,395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1,577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42.02</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92</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376,128</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3,734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24,599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58,395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66,116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70,452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69,030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50,713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21,673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10,459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957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42.16</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93</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368,899</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3,563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20,676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53,337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67,318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69,481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68,774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51,354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22,519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10,710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1,167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42.52</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94</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337,261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3,518</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17,212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46,518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65,167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64,440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61,915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45,747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22,300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9,200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1,244</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42.59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95</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335,274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4,454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16,010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42,356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64,009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64,077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62,346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46,285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25,203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9,124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1,410</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42.88</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96</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336,842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4,883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18,269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38,037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62,979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63,383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63,413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47,551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27,220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9,711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1,396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43.10</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97</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338,305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5,892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20,818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35,084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59,655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63,877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64,098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48,915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28,345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10,834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787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43.19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98</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339,875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5,718</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22,202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33,750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55,813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65,753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64,184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49,871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29,338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12,525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721</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43.38</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99</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340,106</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5,121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24,982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34,209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51,521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66,415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63,946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49,545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30,369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13,472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526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43.42</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100</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343,323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5,291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25,978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36,391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48,805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65,672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64,117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49,636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30,728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15,875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830</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43.49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101</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343,861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6,074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26,166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40,488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45,551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65,143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63,894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48,928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30,449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16,282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886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102</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346,059</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6,609</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26,550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43,493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43,605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62,607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64,624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48,931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31,676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16,964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1,000</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43.38</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103</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347,816</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7,876</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26,052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45,337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43,103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58,759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66,345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49,160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32,484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17,693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1,007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43.37</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104</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347,552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8,935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25,688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46,390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43,977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54,660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67,228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49,045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32,445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18,073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1,111</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43.31</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105</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347,572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10,152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25,988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45,546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45,939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52,211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66,457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50,035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32,084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17,901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1,259</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43.22</w:t>
            </w:r>
          </w:p>
        </w:tc>
      </w:tr>
    </w:tbl>
    <w:p w:rsidR="00DD44C1" w:rsidRPr="007319CD" w:rsidRDefault="00DD44C1" w:rsidP="00DD44C1">
      <w:pPr>
        <w:kinsoku w:val="0"/>
        <w:overflowPunct/>
        <w:adjustRightInd w:val="0"/>
        <w:snapToGrid w:val="0"/>
        <w:spacing w:before="40" w:line="360" w:lineRule="exact"/>
        <w:ind w:left="756" w:hangingChars="270" w:hanging="756"/>
        <w:rPr>
          <w:rFonts w:hAnsi="標楷體"/>
          <w:spacing w:val="-10"/>
          <w:kern w:val="0"/>
          <w:sz w:val="28"/>
          <w:szCs w:val="22"/>
        </w:rPr>
      </w:pPr>
      <w:r w:rsidRPr="007319CD">
        <w:rPr>
          <w:rFonts w:hAnsi="標楷體"/>
          <w:spacing w:val="-10"/>
          <w:kern w:val="0"/>
          <w:sz w:val="28"/>
          <w:szCs w:val="22"/>
        </w:rPr>
        <w:t>說明：89年以前係調查資料，業剔除公立學校教師資料；90年起資料來源為全國公務人力資料庫，未含公立學校教師。</w:t>
      </w:r>
    </w:p>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b/>
        </w:rPr>
      </w:pPr>
    </w:p>
    <w:p w:rsidR="00DD44C1" w:rsidRPr="007319CD" w:rsidRDefault="00DD44C1" w:rsidP="00DD44C1">
      <w:pPr>
        <w:pStyle w:val="afa"/>
        <w:rPr>
          <w:rFonts w:hAnsi="標楷體"/>
          <w:b/>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公務人員</w:t>
      </w:r>
      <w:r w:rsidRPr="007319CD">
        <w:rPr>
          <w:rFonts w:hAnsi="標楷體" w:cs="新細明體" w:hint="eastAsia"/>
        </w:rPr>
        <w:t>‐</w:t>
      </w:r>
      <w:r w:rsidRPr="007319CD">
        <w:rPr>
          <w:rFonts w:hAnsi="標楷體"/>
        </w:rPr>
        <w:t>純舊制，任職30年：</w:t>
      </w:r>
      <w:proofErr w:type="gramStart"/>
      <w:r w:rsidRPr="007319CD">
        <w:rPr>
          <w:rFonts w:hAnsi="標楷體"/>
        </w:rPr>
        <w:t>採</w:t>
      </w:r>
      <w:proofErr w:type="gramEnd"/>
      <w:r w:rsidRPr="007319CD">
        <w:rPr>
          <w:rFonts w:hAnsi="標楷體"/>
        </w:rPr>
        <w:t>10年調降67.5%→52.5%（84年7月1日退休）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3"/>
        <w:gridCol w:w="749"/>
        <w:gridCol w:w="696"/>
        <w:gridCol w:w="696"/>
        <w:gridCol w:w="696"/>
        <w:gridCol w:w="767"/>
        <w:gridCol w:w="696"/>
        <w:gridCol w:w="696"/>
        <w:gridCol w:w="767"/>
        <w:gridCol w:w="696"/>
        <w:gridCol w:w="696"/>
        <w:gridCol w:w="762"/>
      </w:tblGrid>
      <w:tr w:rsidR="007319CD" w:rsidRPr="007319CD" w:rsidTr="00897AB5">
        <w:trPr>
          <w:trHeight w:val="20"/>
          <w:tblHeader/>
          <w:jc w:val="center"/>
        </w:trPr>
        <w:tc>
          <w:tcPr>
            <w:tcW w:w="552" w:type="pct"/>
            <w:vMerge w:val="restart"/>
            <w:shd w:val="clear" w:color="auto" w:fill="EEECE1" w:themeFill="background2"/>
            <w:noWrap/>
            <w:vAlign w:val="center"/>
            <w:hideMark/>
          </w:tcPr>
          <w:p w:rsidR="00DD44C1" w:rsidRPr="007319CD" w:rsidRDefault="00DD44C1" w:rsidP="00897AB5">
            <w:pPr>
              <w:pStyle w:val="121"/>
              <w:kinsoku w:val="0"/>
              <w:overflowPunct/>
              <w:rPr>
                <w:rFonts w:hAnsi="標楷體"/>
              </w:rPr>
            </w:pPr>
            <w:r w:rsidRPr="007319CD">
              <w:rPr>
                <w:rFonts w:hAnsi="標楷體"/>
              </w:rPr>
              <w:t>退休等級</w:t>
            </w:r>
          </w:p>
        </w:tc>
        <w:tc>
          <w:tcPr>
            <w:tcW w:w="421" w:type="pct"/>
            <w:vMerge w:val="restart"/>
            <w:shd w:val="clear" w:color="auto" w:fill="EEECE1" w:themeFill="background2"/>
            <w:noWrap/>
            <w:vAlign w:val="center"/>
            <w:hideMark/>
          </w:tcPr>
          <w:p w:rsidR="00DD44C1" w:rsidRPr="007319CD" w:rsidRDefault="00DD44C1" w:rsidP="00897AB5">
            <w:pPr>
              <w:pStyle w:val="121"/>
              <w:kinsoku w:val="0"/>
              <w:overflowPunct/>
              <w:rPr>
                <w:rFonts w:hAnsi="標楷體"/>
              </w:rPr>
            </w:pPr>
            <w:r w:rsidRPr="007319CD">
              <w:rPr>
                <w:rFonts w:hAnsi="標楷體"/>
              </w:rPr>
              <w:t>職務別</w:t>
            </w:r>
          </w:p>
        </w:tc>
        <w:tc>
          <w:tcPr>
            <w:tcW w:w="391" w:type="pct"/>
            <w:vMerge w:val="restart"/>
            <w:shd w:val="clear" w:color="auto" w:fill="EEECE1" w:themeFill="background2"/>
            <w:vAlign w:val="center"/>
            <w:hideMark/>
          </w:tcPr>
          <w:p w:rsidR="00DD44C1" w:rsidRPr="007319CD" w:rsidRDefault="00DD44C1" w:rsidP="00897AB5">
            <w:pPr>
              <w:pStyle w:val="121"/>
              <w:kinsoku w:val="0"/>
              <w:overflowPunct/>
              <w:jc w:val="left"/>
              <w:rPr>
                <w:rFonts w:hAnsi="標楷體"/>
              </w:rPr>
            </w:pPr>
            <w:r w:rsidRPr="007319CD">
              <w:rPr>
                <w:rFonts w:hAnsi="標楷體"/>
              </w:rPr>
              <w:t>改革前月退休所得</w:t>
            </w:r>
          </w:p>
          <w:p w:rsidR="00DD44C1" w:rsidRPr="007319CD" w:rsidRDefault="00DD44C1" w:rsidP="00897AB5">
            <w:pPr>
              <w:pStyle w:val="121"/>
              <w:kinsoku w:val="0"/>
              <w:overflowPunct/>
              <w:jc w:val="left"/>
              <w:rPr>
                <w:rFonts w:hAnsi="標楷體"/>
              </w:rPr>
            </w:pPr>
            <w:r w:rsidRPr="007319CD">
              <w:rPr>
                <w:rFonts w:hAnsi="標楷體"/>
              </w:rPr>
              <w:t>（月退+18%）</w:t>
            </w:r>
          </w:p>
        </w:tc>
        <w:tc>
          <w:tcPr>
            <w:tcW w:w="3636" w:type="pct"/>
            <w:gridSpan w:val="9"/>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改革後月退所得：分母為本</w:t>
            </w:r>
            <w:proofErr w:type="gramStart"/>
            <w:r w:rsidRPr="007319CD">
              <w:rPr>
                <w:rFonts w:hAnsi="標楷體"/>
              </w:rPr>
              <w:t>俸</w:t>
            </w:r>
            <w:proofErr w:type="gramEnd"/>
            <w:r w:rsidRPr="007319CD">
              <w:rPr>
                <w:rFonts w:hAnsi="標楷體"/>
              </w:rPr>
              <w:t>2倍</w:t>
            </w:r>
          </w:p>
        </w:tc>
      </w:tr>
      <w:tr w:rsidR="007319CD" w:rsidRPr="007319CD" w:rsidTr="00897AB5">
        <w:trPr>
          <w:trHeight w:val="20"/>
          <w:tblHeader/>
          <w:jc w:val="center"/>
        </w:trPr>
        <w:tc>
          <w:tcPr>
            <w:tcW w:w="552"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421"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121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107.7.1~108.12.31</w:t>
            </w:r>
          </w:p>
        </w:tc>
        <w:tc>
          <w:tcPr>
            <w:tcW w:w="121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114.1.1~114.12.31</w:t>
            </w:r>
          </w:p>
        </w:tc>
        <w:tc>
          <w:tcPr>
            <w:tcW w:w="1210"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20"/>
          <w:tblHeader/>
          <w:jc w:val="center"/>
        </w:trPr>
        <w:tc>
          <w:tcPr>
            <w:tcW w:w="552"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2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1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替代率67.5%（優存9%）</w:t>
            </w:r>
          </w:p>
        </w:tc>
        <w:tc>
          <w:tcPr>
            <w:tcW w:w="121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替代率58.5%（優存0%）</w:t>
            </w:r>
          </w:p>
        </w:tc>
        <w:tc>
          <w:tcPr>
            <w:tcW w:w="1210"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替代率52.5%（優存0%）</w:t>
            </w:r>
          </w:p>
        </w:tc>
      </w:tr>
      <w:tr w:rsidR="007319CD" w:rsidRPr="007319CD" w:rsidTr="00897AB5">
        <w:trPr>
          <w:trHeight w:val="20"/>
          <w:tblHeader/>
          <w:jc w:val="center"/>
        </w:trPr>
        <w:tc>
          <w:tcPr>
            <w:tcW w:w="552"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2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28"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委任5等年功10級520</w:t>
            </w:r>
            <w:proofErr w:type="gramStart"/>
            <w:r w:rsidRPr="007319CD">
              <w:rPr>
                <w:rFonts w:hAnsi="標楷體"/>
              </w:rPr>
              <w:t>俸</w:t>
            </w:r>
            <w:proofErr w:type="gramEnd"/>
            <w:r w:rsidRPr="007319CD">
              <w:rPr>
                <w:rFonts w:hAnsi="標楷體"/>
              </w:rPr>
              <w:t>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46,605</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39,261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7,344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15.76%</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46,605</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39,261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7,344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15.76%</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薦任6等年功6級535</w:t>
            </w:r>
            <w:proofErr w:type="gramStart"/>
            <w:r w:rsidRPr="007319CD">
              <w:rPr>
                <w:rFonts w:hAnsi="標楷體"/>
              </w:rPr>
              <w:t>俸</w:t>
            </w:r>
            <w:proofErr w:type="gramEnd"/>
            <w:r w:rsidRPr="007319CD">
              <w:rPr>
                <w:rFonts w:hAnsi="標楷體"/>
              </w:rPr>
              <w:t>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47,933</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40,373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7,560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15.77%</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47,933</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40,373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7,560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15.77%</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薦任7等年功6級590</w:t>
            </w:r>
            <w:proofErr w:type="gramStart"/>
            <w:r w:rsidRPr="007319CD">
              <w:rPr>
                <w:rFonts w:hAnsi="標楷體"/>
              </w:rPr>
              <w:t>俸</w:t>
            </w:r>
            <w:proofErr w:type="gramEnd"/>
            <w:r w:rsidRPr="007319CD">
              <w:rPr>
                <w:rFonts w:hAnsi="標楷體"/>
              </w:rPr>
              <w:t>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52,851</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44,481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8,370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52,851</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44,481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8,370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薦任8等年功6級630</w:t>
            </w:r>
            <w:proofErr w:type="gramStart"/>
            <w:r w:rsidRPr="007319CD">
              <w:rPr>
                <w:rFonts w:hAnsi="標楷體"/>
              </w:rPr>
              <w:t>俸</w:t>
            </w:r>
            <w:proofErr w:type="gramEnd"/>
            <w:r w:rsidRPr="007319CD">
              <w:rPr>
                <w:rFonts w:hAnsi="標楷體"/>
              </w:rPr>
              <w:t>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56,384</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47,447</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8,937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56,384</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47,447</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8,937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薦任9等年功7級710</w:t>
            </w:r>
            <w:proofErr w:type="gramStart"/>
            <w:r w:rsidRPr="007319CD">
              <w:rPr>
                <w:rFonts w:hAnsi="標楷體"/>
              </w:rPr>
              <w:t>俸</w:t>
            </w:r>
            <w:proofErr w:type="gramEnd"/>
            <w:r w:rsidRPr="007319CD">
              <w:rPr>
                <w:rFonts w:hAnsi="標楷體"/>
              </w:rPr>
              <w:t>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63,498</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53,400</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10,098</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63,498</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53,400</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10,098</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簡任12等年功4級800</w:t>
            </w:r>
            <w:proofErr w:type="gramStart"/>
            <w:r w:rsidRPr="007319CD">
              <w:rPr>
                <w:rFonts w:hAnsi="標楷體"/>
              </w:rPr>
              <w:t>俸</w:t>
            </w:r>
            <w:proofErr w:type="gramEnd"/>
            <w:r w:rsidRPr="007319CD">
              <w:rPr>
                <w:rFonts w:hAnsi="標楷體"/>
              </w:rPr>
              <w:t>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71,486</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60,092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11,394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71,486</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60,092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11,394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r>
    </w:tbl>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公務人員-新舊制，任職35年：</w:t>
      </w:r>
      <w:proofErr w:type="gramStart"/>
      <w:r w:rsidRPr="007319CD">
        <w:rPr>
          <w:rFonts w:hAnsi="標楷體"/>
        </w:rPr>
        <w:t>採</w:t>
      </w:r>
      <w:proofErr w:type="gramEnd"/>
      <w:r w:rsidRPr="007319CD">
        <w:rPr>
          <w:rFonts w:hAnsi="標楷體"/>
        </w:rPr>
        <w:t>10年調降75%→60%（105年7月1日退休）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021"/>
        <w:gridCol w:w="694"/>
        <w:gridCol w:w="940"/>
        <w:gridCol w:w="694"/>
        <w:gridCol w:w="694"/>
        <w:gridCol w:w="694"/>
        <w:gridCol w:w="694"/>
        <w:gridCol w:w="694"/>
        <w:gridCol w:w="694"/>
        <w:gridCol w:w="694"/>
        <w:gridCol w:w="694"/>
        <w:gridCol w:w="693"/>
      </w:tblGrid>
      <w:tr w:rsidR="007319CD" w:rsidRPr="007319CD" w:rsidTr="00897AB5">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退休等級</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職務別</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改革前月退休所得（月退+18%）</w:t>
            </w:r>
          </w:p>
        </w:tc>
        <w:tc>
          <w:tcPr>
            <w:tcW w:w="3508" w:type="pct"/>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改革後月退所得：分母為本</w:t>
            </w:r>
            <w:proofErr w:type="gramStart"/>
            <w:r w:rsidRPr="007319CD">
              <w:rPr>
                <w:rFonts w:hAnsi="標楷體"/>
              </w:rPr>
              <w:t>俸</w:t>
            </w:r>
            <w:proofErr w:type="gramEnd"/>
            <w:r w:rsidRPr="007319CD">
              <w:rPr>
                <w:rFonts w:hAnsi="標楷體"/>
              </w:rPr>
              <w:t>2倍</w:t>
            </w:r>
          </w:p>
        </w:tc>
      </w:tr>
      <w:tr w:rsidR="007319CD" w:rsidRPr="007319CD" w:rsidTr="00897AB5">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1170" w:type="pct"/>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107.7.1~108.12.31</w:t>
            </w:r>
          </w:p>
        </w:tc>
        <w:tc>
          <w:tcPr>
            <w:tcW w:w="1170" w:type="pct"/>
            <w:gridSpan w:val="3"/>
            <w:tcBorders>
              <w:top w:val="single" w:sz="4" w:space="0" w:color="auto"/>
              <w:left w:val="single" w:sz="18"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114.1.1~114.12.31</w:t>
            </w:r>
          </w:p>
        </w:tc>
        <w:tc>
          <w:tcPr>
            <w:tcW w:w="1169" w:type="pct"/>
            <w:gridSpan w:val="3"/>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1170" w:type="pct"/>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替代率75%（優存9%）</w:t>
            </w:r>
          </w:p>
        </w:tc>
        <w:tc>
          <w:tcPr>
            <w:tcW w:w="1170" w:type="pct"/>
            <w:gridSpan w:val="3"/>
            <w:tcBorders>
              <w:top w:val="single" w:sz="4" w:space="0" w:color="auto"/>
              <w:left w:val="single" w:sz="18"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替代率66%（優存0%）</w:t>
            </w:r>
          </w:p>
        </w:tc>
        <w:tc>
          <w:tcPr>
            <w:tcW w:w="1169" w:type="pct"/>
            <w:gridSpan w:val="3"/>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替代率60%（優存0%）</w:t>
            </w:r>
          </w:p>
        </w:tc>
      </w:tr>
      <w:tr w:rsidR="007319CD" w:rsidRPr="007319CD" w:rsidTr="00897AB5">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39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0" w:type="pct"/>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39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0" w:type="pct"/>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3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委任5等</w:t>
            </w:r>
          </w:p>
          <w:p w:rsidR="00DD44C1" w:rsidRPr="007319CD" w:rsidRDefault="00DD44C1" w:rsidP="00897AB5">
            <w:pPr>
              <w:pStyle w:val="121"/>
              <w:kinsoku w:val="0"/>
              <w:overflowPunct/>
              <w:rPr>
                <w:rFonts w:hAnsi="標楷體"/>
              </w:rPr>
            </w:pPr>
            <w:r w:rsidRPr="007319CD">
              <w:rPr>
                <w:rFonts w:hAnsi="標楷體"/>
              </w:rPr>
              <w:t>年功10級520</w:t>
            </w:r>
            <w:proofErr w:type="gramStart"/>
            <w:r w:rsidRPr="007319CD">
              <w:rPr>
                <w:rFonts w:hAnsi="標楷體"/>
              </w:rPr>
              <w:t>俸</w:t>
            </w:r>
            <w:proofErr w:type="gramEnd"/>
            <w:r w:rsidRPr="007319CD">
              <w:rPr>
                <w:rFonts w:hAnsi="標楷體"/>
              </w:rPr>
              <w:t>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58,847</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51,645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7,202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12.24%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45,448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13,399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22.77%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41,316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17,531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29.79%</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55,060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51,645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3,415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6.20%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45,448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9,612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17.46%</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41,316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13,744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24.96%</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薦任6等</w:t>
            </w:r>
          </w:p>
          <w:p w:rsidR="00DD44C1" w:rsidRPr="007319CD" w:rsidRDefault="00DD44C1" w:rsidP="00897AB5">
            <w:pPr>
              <w:pStyle w:val="121"/>
              <w:kinsoku w:val="0"/>
              <w:overflowPunct/>
              <w:rPr>
                <w:rFonts w:hAnsi="標楷體"/>
              </w:rPr>
            </w:pPr>
            <w:r w:rsidRPr="007319CD">
              <w:rPr>
                <w:rFonts w:hAnsi="標楷體"/>
              </w:rPr>
              <w:t>年功6級535</w:t>
            </w:r>
            <w:proofErr w:type="gramStart"/>
            <w:r w:rsidRPr="007319CD">
              <w:rPr>
                <w:rFonts w:hAnsi="標楷體"/>
              </w:rPr>
              <w:t>俸</w:t>
            </w:r>
            <w:proofErr w:type="gramEnd"/>
            <w:r w:rsidRPr="007319CD">
              <w:rPr>
                <w:rFonts w:hAnsi="標楷體"/>
              </w:rPr>
              <w:t>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63,054</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53,138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9,916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15.73%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46,761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16,293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25.84%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42,510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20,544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32.58%</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58,781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53,138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5,643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9.60%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46,761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12,020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20.45%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42,510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16,271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27.68%</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薦任7等</w:t>
            </w:r>
          </w:p>
          <w:p w:rsidR="00DD44C1" w:rsidRPr="007319CD" w:rsidRDefault="00DD44C1" w:rsidP="00897AB5">
            <w:pPr>
              <w:pStyle w:val="121"/>
              <w:kinsoku w:val="0"/>
              <w:overflowPunct/>
              <w:rPr>
                <w:rFonts w:hAnsi="標楷體"/>
              </w:rPr>
            </w:pPr>
            <w:r w:rsidRPr="007319CD">
              <w:rPr>
                <w:rFonts w:hAnsi="標楷體"/>
              </w:rPr>
              <w:t>年功6級590</w:t>
            </w:r>
            <w:proofErr w:type="gramStart"/>
            <w:r w:rsidRPr="007319CD">
              <w:rPr>
                <w:rFonts w:hAnsi="標楷體"/>
              </w:rPr>
              <w:t>俸</w:t>
            </w:r>
            <w:proofErr w:type="gramEnd"/>
            <w:r w:rsidRPr="007319CD">
              <w:rPr>
                <w:rFonts w:hAnsi="標楷體"/>
              </w:rPr>
              <w:t>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68,646</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58,635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10,011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14.58%</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51,599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17,047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24.83%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46,908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21,738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31.67%</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63,441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58,635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4,806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7.57%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51,599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11,842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18.67%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46,908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16,533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26.06%</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薦任8等</w:t>
            </w:r>
          </w:p>
          <w:p w:rsidR="00DD44C1" w:rsidRPr="007319CD" w:rsidRDefault="00DD44C1" w:rsidP="00897AB5">
            <w:pPr>
              <w:pStyle w:val="121"/>
              <w:kinsoku w:val="0"/>
              <w:overflowPunct/>
              <w:rPr>
                <w:rFonts w:hAnsi="標楷體"/>
              </w:rPr>
            </w:pPr>
            <w:r w:rsidRPr="007319CD">
              <w:rPr>
                <w:rFonts w:hAnsi="標楷體"/>
              </w:rPr>
              <w:t>年功6級630</w:t>
            </w:r>
            <w:proofErr w:type="gramStart"/>
            <w:r w:rsidRPr="007319CD">
              <w:rPr>
                <w:rFonts w:hAnsi="標楷體"/>
              </w:rPr>
              <w:t>俸</w:t>
            </w:r>
            <w:proofErr w:type="gramEnd"/>
            <w:r w:rsidRPr="007319CD">
              <w:rPr>
                <w:rFonts w:hAnsi="標楷體"/>
              </w:rPr>
              <w:t>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75,828</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62,633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13,196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17.40%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55,117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20,712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27.31%</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50,106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25,722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33.92%</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69,004</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62,633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6,372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9.23%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55,117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13,888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20.13%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50,106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18,898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27.39%</w:t>
            </w:r>
          </w:p>
        </w:tc>
      </w:tr>
      <w:tr w:rsidR="007319CD" w:rsidRPr="007319CD" w:rsidTr="00897AB5">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薦任9等</w:t>
            </w:r>
          </w:p>
          <w:p w:rsidR="00DD44C1" w:rsidRPr="007319CD" w:rsidRDefault="00DD44C1" w:rsidP="00897AB5">
            <w:pPr>
              <w:pStyle w:val="121"/>
              <w:kinsoku w:val="0"/>
              <w:overflowPunct/>
              <w:rPr>
                <w:rFonts w:hAnsi="標楷體"/>
              </w:rPr>
            </w:pPr>
            <w:r w:rsidRPr="007319CD">
              <w:rPr>
                <w:rFonts w:hAnsi="標楷體"/>
              </w:rPr>
              <w:t>年功7級710</w:t>
            </w:r>
            <w:proofErr w:type="gramStart"/>
            <w:r w:rsidRPr="007319CD">
              <w:rPr>
                <w:rFonts w:hAnsi="標楷體"/>
              </w:rPr>
              <w:t>俸</w:t>
            </w:r>
            <w:proofErr w:type="gramEnd"/>
            <w:r w:rsidRPr="007319CD">
              <w:rPr>
                <w:rFonts w:hAnsi="標楷體"/>
              </w:rPr>
              <w:t>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84,370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70,620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13,750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16.30%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62,146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22,224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26.34%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56,496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27,874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33.04%</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75,561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70,620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4,941</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6.54%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62,146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13,415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17.75%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56,496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19,065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25.23%</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簡任12</w:t>
            </w:r>
          </w:p>
          <w:p w:rsidR="00DD44C1" w:rsidRPr="007319CD" w:rsidRDefault="00DD44C1" w:rsidP="00897AB5">
            <w:pPr>
              <w:pStyle w:val="121"/>
              <w:kinsoku w:val="0"/>
              <w:overflowPunct/>
              <w:rPr>
                <w:rFonts w:hAnsi="標楷體"/>
              </w:rPr>
            </w:pPr>
            <w:r w:rsidRPr="007319CD">
              <w:rPr>
                <w:rFonts w:hAnsi="標楷體"/>
              </w:rPr>
              <w:t>等年功4級800</w:t>
            </w:r>
            <w:proofErr w:type="gramStart"/>
            <w:r w:rsidRPr="007319CD">
              <w:rPr>
                <w:rFonts w:hAnsi="標楷體"/>
              </w:rPr>
              <w:t>俸</w:t>
            </w:r>
            <w:proofErr w:type="gramEnd"/>
            <w:r w:rsidRPr="007319CD">
              <w:rPr>
                <w:rFonts w:hAnsi="標楷體"/>
              </w:rPr>
              <w:t>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100,842</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79,613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21,230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21.05%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70,059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30,783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30.53%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63,690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37,152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36.84%</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92,435</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79,613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12,823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13.87%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70,059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22,376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24.21%</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63,690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28,745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31.10%</w:t>
            </w:r>
          </w:p>
        </w:tc>
      </w:tr>
    </w:tbl>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szCs w:val="32"/>
        </w:rPr>
        <w:lastRenderedPageBreak/>
        <w:t>公務人員-純新制，任職35年：</w:t>
      </w:r>
      <w:proofErr w:type="gramStart"/>
      <w:r w:rsidRPr="007319CD">
        <w:rPr>
          <w:rFonts w:hAnsi="標楷體"/>
          <w:szCs w:val="32"/>
        </w:rPr>
        <w:t>採</w:t>
      </w:r>
      <w:proofErr w:type="gramEnd"/>
      <w:r w:rsidRPr="007319CD">
        <w:rPr>
          <w:rFonts w:hAnsi="標楷體"/>
          <w:szCs w:val="32"/>
        </w:rPr>
        <w:t>10年調降75%→60%（119年7月1日退休）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170"/>
        <w:gridCol w:w="825"/>
        <w:gridCol w:w="767"/>
        <w:gridCol w:w="767"/>
        <w:gridCol w:w="767"/>
        <w:gridCol w:w="767"/>
        <w:gridCol w:w="767"/>
        <w:gridCol w:w="767"/>
        <w:gridCol w:w="767"/>
        <w:gridCol w:w="767"/>
        <w:gridCol w:w="769"/>
      </w:tblGrid>
      <w:tr w:rsidR="007319CD" w:rsidRPr="007319CD" w:rsidTr="00897AB5">
        <w:trPr>
          <w:trHeight w:val="20"/>
          <w:jc w:val="center"/>
        </w:trPr>
        <w:tc>
          <w:tcPr>
            <w:tcW w:w="657" w:type="pct"/>
            <w:vMerge w:val="restart"/>
            <w:shd w:val="clear" w:color="auto" w:fill="EEECE1" w:themeFill="background2"/>
            <w:noWrap/>
            <w:vAlign w:val="center"/>
            <w:hideMark/>
          </w:tcPr>
          <w:p w:rsidR="00DD44C1" w:rsidRPr="007319CD" w:rsidRDefault="00DD44C1" w:rsidP="00897AB5">
            <w:pPr>
              <w:pStyle w:val="121"/>
              <w:kinsoku w:val="0"/>
              <w:overflowPunct/>
              <w:rPr>
                <w:rFonts w:hAnsi="標楷體"/>
              </w:rPr>
            </w:pPr>
            <w:r w:rsidRPr="007319CD">
              <w:rPr>
                <w:rFonts w:hAnsi="標楷體"/>
              </w:rPr>
              <w:t>退休等級</w:t>
            </w:r>
          </w:p>
          <w:p w:rsidR="00DD44C1" w:rsidRPr="007319CD" w:rsidRDefault="00DD44C1" w:rsidP="00897AB5">
            <w:pPr>
              <w:pStyle w:val="121"/>
              <w:kinsoku w:val="0"/>
              <w:overflowPunct/>
              <w:rPr>
                <w:rFonts w:hAnsi="標楷體"/>
              </w:rPr>
            </w:pPr>
            <w:r w:rsidRPr="007319CD">
              <w:rPr>
                <w:rFonts w:hAnsi="標楷體"/>
              </w:rPr>
              <w:t>職務別</w:t>
            </w:r>
          </w:p>
        </w:tc>
        <w:tc>
          <w:tcPr>
            <w:tcW w:w="463" w:type="pct"/>
            <w:vMerge w:val="restart"/>
            <w:shd w:val="clear" w:color="auto" w:fill="EEECE1" w:themeFill="background2"/>
            <w:vAlign w:val="center"/>
            <w:hideMark/>
          </w:tcPr>
          <w:p w:rsidR="00DD44C1" w:rsidRPr="007319CD" w:rsidRDefault="00DD44C1" w:rsidP="00897AB5">
            <w:pPr>
              <w:pStyle w:val="121"/>
              <w:kinsoku w:val="0"/>
              <w:overflowPunct/>
              <w:rPr>
                <w:rFonts w:hAnsi="標楷體"/>
              </w:rPr>
            </w:pPr>
            <w:r w:rsidRPr="007319CD">
              <w:rPr>
                <w:rFonts w:hAnsi="標楷體"/>
              </w:rPr>
              <w:t>改革前月退休金</w:t>
            </w:r>
          </w:p>
        </w:tc>
        <w:tc>
          <w:tcPr>
            <w:tcW w:w="3879" w:type="pct"/>
            <w:gridSpan w:val="9"/>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改革後月退所得；分母為本</w:t>
            </w:r>
            <w:proofErr w:type="gramStart"/>
            <w:r w:rsidRPr="007319CD">
              <w:rPr>
                <w:rFonts w:hAnsi="標楷體"/>
              </w:rPr>
              <w:t>俸</w:t>
            </w:r>
            <w:proofErr w:type="gramEnd"/>
            <w:r w:rsidRPr="007319CD">
              <w:rPr>
                <w:rFonts w:hAnsi="標楷體"/>
              </w:rPr>
              <w:t>2倍</w:t>
            </w:r>
          </w:p>
        </w:tc>
      </w:tr>
      <w:tr w:rsidR="007319CD" w:rsidRPr="007319CD" w:rsidTr="00897AB5">
        <w:trPr>
          <w:trHeight w:val="20"/>
          <w:jc w:val="center"/>
        </w:trPr>
        <w:tc>
          <w:tcPr>
            <w:tcW w:w="657"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463"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129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109.1.1~109.12.31</w:t>
            </w:r>
          </w:p>
        </w:tc>
        <w:tc>
          <w:tcPr>
            <w:tcW w:w="129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114.1.1~114.12.31</w:t>
            </w:r>
          </w:p>
        </w:tc>
        <w:tc>
          <w:tcPr>
            <w:tcW w:w="1294"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20"/>
          <w:jc w:val="center"/>
        </w:trPr>
        <w:tc>
          <w:tcPr>
            <w:tcW w:w="657"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63"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9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替代率73.5%</w:t>
            </w:r>
          </w:p>
        </w:tc>
        <w:tc>
          <w:tcPr>
            <w:tcW w:w="129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替代率66%</w:t>
            </w:r>
          </w:p>
        </w:tc>
        <w:tc>
          <w:tcPr>
            <w:tcW w:w="1294"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替代率60%</w:t>
            </w:r>
          </w:p>
        </w:tc>
      </w:tr>
      <w:tr w:rsidR="007319CD" w:rsidRPr="007319CD" w:rsidTr="00897AB5">
        <w:trPr>
          <w:trHeight w:val="20"/>
          <w:jc w:val="center"/>
        </w:trPr>
        <w:tc>
          <w:tcPr>
            <w:tcW w:w="657"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63"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31"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43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43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43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43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43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2"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委任5等</w:t>
            </w:r>
          </w:p>
          <w:p w:rsidR="00DD44C1" w:rsidRPr="007319CD" w:rsidRDefault="00DD44C1" w:rsidP="00897AB5">
            <w:pPr>
              <w:pStyle w:val="121"/>
              <w:kinsoku w:val="0"/>
              <w:overflowPunct/>
              <w:rPr>
                <w:rFonts w:hAnsi="標楷體"/>
              </w:rPr>
            </w:pPr>
            <w:r w:rsidRPr="007319CD">
              <w:rPr>
                <w:rFonts w:hAnsi="標楷體"/>
              </w:rPr>
              <w:t>年功10級520</w:t>
            </w:r>
            <w:proofErr w:type="gramStart"/>
            <w:r w:rsidRPr="007319CD">
              <w:rPr>
                <w:rFonts w:hAnsi="標楷體"/>
              </w:rPr>
              <w:t>俸</w:t>
            </w:r>
            <w:proofErr w:type="gramEnd"/>
            <w:r w:rsidRPr="007319CD">
              <w:rPr>
                <w:rFonts w:hAnsi="標楷體"/>
              </w:rPr>
              <w:t>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48,202</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41,316</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6,886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薦任6等</w:t>
            </w:r>
          </w:p>
          <w:p w:rsidR="00DD44C1" w:rsidRPr="007319CD" w:rsidRDefault="00DD44C1" w:rsidP="00897AB5">
            <w:pPr>
              <w:pStyle w:val="121"/>
              <w:kinsoku w:val="0"/>
              <w:overflowPunct/>
              <w:rPr>
                <w:rFonts w:hAnsi="標楷體"/>
              </w:rPr>
            </w:pPr>
            <w:r w:rsidRPr="007319CD">
              <w:rPr>
                <w:rFonts w:hAnsi="標楷體"/>
              </w:rPr>
              <w:t>年功6級</w:t>
            </w:r>
          </w:p>
          <w:p w:rsidR="00DD44C1" w:rsidRPr="007319CD" w:rsidRDefault="00DD44C1" w:rsidP="00897AB5">
            <w:pPr>
              <w:pStyle w:val="121"/>
              <w:kinsoku w:val="0"/>
              <w:overflowPunct/>
              <w:rPr>
                <w:rFonts w:hAnsi="標楷體"/>
              </w:rPr>
            </w:pPr>
            <w:r w:rsidRPr="007319CD">
              <w:rPr>
                <w:rFonts w:hAnsi="標楷體"/>
              </w:rPr>
              <w:t>535</w:t>
            </w:r>
            <w:proofErr w:type="gramStart"/>
            <w:r w:rsidRPr="007319CD">
              <w:rPr>
                <w:rFonts w:hAnsi="標楷體"/>
              </w:rPr>
              <w:t>俸</w:t>
            </w:r>
            <w:proofErr w:type="gramEnd"/>
            <w:r w:rsidRPr="007319CD">
              <w:rPr>
                <w:rFonts w:hAnsi="標楷體"/>
              </w:rPr>
              <w:t>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49,595</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42,510</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7,085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薦任7等</w:t>
            </w:r>
          </w:p>
          <w:p w:rsidR="00DD44C1" w:rsidRPr="007319CD" w:rsidRDefault="00DD44C1" w:rsidP="00897AB5">
            <w:pPr>
              <w:pStyle w:val="121"/>
              <w:kinsoku w:val="0"/>
              <w:overflowPunct/>
              <w:rPr>
                <w:rFonts w:hAnsi="標楷體"/>
              </w:rPr>
            </w:pPr>
            <w:r w:rsidRPr="007319CD">
              <w:rPr>
                <w:rFonts w:hAnsi="標楷體"/>
              </w:rPr>
              <w:t>年功6級</w:t>
            </w:r>
          </w:p>
          <w:p w:rsidR="00DD44C1" w:rsidRPr="007319CD" w:rsidRDefault="00DD44C1" w:rsidP="00897AB5">
            <w:pPr>
              <w:pStyle w:val="121"/>
              <w:kinsoku w:val="0"/>
              <w:overflowPunct/>
              <w:rPr>
                <w:rFonts w:hAnsi="標楷體"/>
              </w:rPr>
            </w:pPr>
            <w:r w:rsidRPr="007319CD">
              <w:rPr>
                <w:rFonts w:hAnsi="標楷體"/>
              </w:rPr>
              <w:t>590</w:t>
            </w:r>
            <w:proofErr w:type="gramStart"/>
            <w:r w:rsidRPr="007319CD">
              <w:rPr>
                <w:rFonts w:hAnsi="標楷體"/>
              </w:rPr>
              <w:t>俸</w:t>
            </w:r>
            <w:proofErr w:type="gramEnd"/>
            <w:r w:rsidRPr="007319CD">
              <w:rPr>
                <w:rFonts w:hAnsi="標楷體"/>
              </w:rPr>
              <w:t>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54,726</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46,908</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7,818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薦任8等</w:t>
            </w:r>
          </w:p>
          <w:p w:rsidR="00DD44C1" w:rsidRPr="007319CD" w:rsidRDefault="00DD44C1" w:rsidP="00897AB5">
            <w:pPr>
              <w:pStyle w:val="121"/>
              <w:kinsoku w:val="0"/>
              <w:overflowPunct/>
              <w:rPr>
                <w:rFonts w:hAnsi="標楷體"/>
              </w:rPr>
            </w:pPr>
            <w:r w:rsidRPr="007319CD">
              <w:rPr>
                <w:rFonts w:hAnsi="標楷體"/>
              </w:rPr>
              <w:t>年功6級</w:t>
            </w:r>
          </w:p>
          <w:p w:rsidR="00DD44C1" w:rsidRPr="007319CD" w:rsidRDefault="00DD44C1" w:rsidP="00897AB5">
            <w:pPr>
              <w:pStyle w:val="121"/>
              <w:kinsoku w:val="0"/>
              <w:overflowPunct/>
              <w:rPr>
                <w:rFonts w:hAnsi="標楷體"/>
              </w:rPr>
            </w:pPr>
            <w:r w:rsidRPr="007319CD">
              <w:rPr>
                <w:rFonts w:hAnsi="標楷體"/>
              </w:rPr>
              <w:t>630</w:t>
            </w:r>
            <w:proofErr w:type="gramStart"/>
            <w:r w:rsidRPr="007319CD">
              <w:rPr>
                <w:rFonts w:hAnsi="標楷體"/>
              </w:rPr>
              <w:t>俸</w:t>
            </w:r>
            <w:proofErr w:type="gramEnd"/>
            <w:r w:rsidRPr="007319CD">
              <w:rPr>
                <w:rFonts w:hAnsi="標楷體"/>
              </w:rPr>
              <w:t>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58,457</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50,106</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8,351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薦任9等</w:t>
            </w:r>
          </w:p>
          <w:p w:rsidR="00DD44C1" w:rsidRPr="007319CD" w:rsidRDefault="00DD44C1" w:rsidP="00897AB5">
            <w:pPr>
              <w:pStyle w:val="121"/>
              <w:kinsoku w:val="0"/>
              <w:overflowPunct/>
              <w:rPr>
                <w:rFonts w:hAnsi="標楷體"/>
              </w:rPr>
            </w:pPr>
            <w:r w:rsidRPr="007319CD">
              <w:rPr>
                <w:rFonts w:hAnsi="標楷體"/>
              </w:rPr>
              <w:t>年功7級</w:t>
            </w:r>
          </w:p>
          <w:p w:rsidR="00DD44C1" w:rsidRPr="007319CD" w:rsidRDefault="00DD44C1" w:rsidP="00897AB5">
            <w:pPr>
              <w:pStyle w:val="121"/>
              <w:kinsoku w:val="0"/>
              <w:overflowPunct/>
              <w:rPr>
                <w:rFonts w:hAnsi="標楷體"/>
              </w:rPr>
            </w:pPr>
            <w:r w:rsidRPr="007319CD">
              <w:rPr>
                <w:rFonts w:hAnsi="標楷體"/>
              </w:rPr>
              <w:t>710</w:t>
            </w:r>
            <w:proofErr w:type="gramStart"/>
            <w:r w:rsidRPr="007319CD">
              <w:rPr>
                <w:rFonts w:hAnsi="標楷體"/>
              </w:rPr>
              <w:t>俸</w:t>
            </w:r>
            <w:proofErr w:type="gramEnd"/>
            <w:r w:rsidRPr="007319CD">
              <w:rPr>
                <w:rFonts w:hAnsi="標楷體"/>
              </w:rPr>
              <w:t>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65,912</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56,496</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9,416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簡任12等</w:t>
            </w:r>
          </w:p>
          <w:p w:rsidR="00DD44C1" w:rsidRPr="007319CD" w:rsidRDefault="00DD44C1" w:rsidP="00897AB5">
            <w:pPr>
              <w:pStyle w:val="121"/>
              <w:kinsoku w:val="0"/>
              <w:overflowPunct/>
              <w:rPr>
                <w:rFonts w:hAnsi="標楷體"/>
              </w:rPr>
            </w:pPr>
            <w:r w:rsidRPr="007319CD">
              <w:rPr>
                <w:rFonts w:hAnsi="標楷體"/>
              </w:rPr>
              <w:t>年功4級</w:t>
            </w:r>
          </w:p>
          <w:p w:rsidR="00DD44C1" w:rsidRPr="007319CD" w:rsidRDefault="00DD44C1" w:rsidP="00897AB5">
            <w:pPr>
              <w:pStyle w:val="121"/>
              <w:kinsoku w:val="0"/>
              <w:overflowPunct/>
              <w:rPr>
                <w:rFonts w:hAnsi="標楷體"/>
              </w:rPr>
            </w:pPr>
            <w:r w:rsidRPr="007319CD">
              <w:rPr>
                <w:rFonts w:hAnsi="標楷體"/>
              </w:rPr>
              <w:t>800</w:t>
            </w:r>
            <w:proofErr w:type="gramStart"/>
            <w:r w:rsidRPr="007319CD">
              <w:rPr>
                <w:rFonts w:hAnsi="標楷體"/>
              </w:rPr>
              <w:t>俸</w:t>
            </w:r>
            <w:proofErr w:type="gramEnd"/>
            <w:r w:rsidRPr="007319CD">
              <w:rPr>
                <w:rFonts w:hAnsi="標楷體"/>
              </w:rPr>
              <w:t>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74,305</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63,690</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10,615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bl>
    <w:p w:rsidR="00DD44C1" w:rsidRPr="007319CD" w:rsidRDefault="00DD44C1" w:rsidP="00DD44C1">
      <w:pPr>
        <w:kinsoku w:val="0"/>
        <w:overflowPunct/>
        <w:adjustRightInd w:val="0"/>
        <w:snapToGrid w:val="0"/>
        <w:spacing w:before="40" w:line="360" w:lineRule="exact"/>
        <w:ind w:left="1191" w:hangingChars="425" w:hanging="1191"/>
        <w:rPr>
          <w:rFonts w:hAnsi="標楷體"/>
          <w:spacing w:val="-10"/>
          <w:kern w:val="0"/>
          <w:sz w:val="28"/>
          <w:szCs w:val="22"/>
        </w:rPr>
      </w:pPr>
      <w:r w:rsidRPr="007319CD">
        <w:rPr>
          <w:rFonts w:hAnsi="標楷體"/>
          <w:spacing w:val="-10"/>
          <w:kern w:val="0"/>
          <w:sz w:val="28"/>
          <w:szCs w:val="22"/>
        </w:rPr>
        <w:t>說明：1、退休金計算基準，以</w:t>
      </w:r>
      <w:proofErr w:type="gramStart"/>
      <w:r w:rsidRPr="007319CD">
        <w:rPr>
          <w:rFonts w:hAnsi="標楷體"/>
          <w:spacing w:val="-10"/>
          <w:kern w:val="0"/>
          <w:sz w:val="28"/>
          <w:szCs w:val="22"/>
        </w:rPr>
        <w:t>119</w:t>
      </w:r>
      <w:proofErr w:type="gramEnd"/>
      <w:r w:rsidRPr="007319CD">
        <w:rPr>
          <w:rFonts w:hAnsi="標楷體"/>
          <w:spacing w:val="-10"/>
          <w:kern w:val="0"/>
          <w:sz w:val="28"/>
          <w:szCs w:val="22"/>
        </w:rPr>
        <w:t>年度實施之均</w:t>
      </w:r>
      <w:proofErr w:type="gramStart"/>
      <w:r w:rsidRPr="007319CD">
        <w:rPr>
          <w:rFonts w:hAnsi="標楷體"/>
          <w:spacing w:val="-10"/>
          <w:kern w:val="0"/>
          <w:sz w:val="28"/>
          <w:szCs w:val="22"/>
        </w:rPr>
        <w:t>俸</w:t>
      </w:r>
      <w:proofErr w:type="gramEnd"/>
      <w:r w:rsidRPr="007319CD">
        <w:rPr>
          <w:rFonts w:hAnsi="標楷體"/>
          <w:spacing w:val="-10"/>
          <w:kern w:val="0"/>
          <w:sz w:val="28"/>
          <w:szCs w:val="22"/>
        </w:rPr>
        <w:t>年數15年計算，之後不再調整均</w:t>
      </w:r>
      <w:proofErr w:type="gramStart"/>
      <w:r w:rsidRPr="007319CD">
        <w:rPr>
          <w:rFonts w:hAnsi="標楷體"/>
          <w:spacing w:val="-10"/>
          <w:kern w:val="0"/>
          <w:sz w:val="28"/>
          <w:szCs w:val="22"/>
        </w:rPr>
        <w:t>俸</w:t>
      </w:r>
      <w:proofErr w:type="gramEnd"/>
      <w:r w:rsidRPr="007319CD">
        <w:rPr>
          <w:rFonts w:hAnsi="標楷體"/>
          <w:spacing w:val="-10"/>
          <w:kern w:val="0"/>
          <w:sz w:val="28"/>
          <w:szCs w:val="22"/>
        </w:rPr>
        <w:t>年數。但均</w:t>
      </w:r>
      <w:proofErr w:type="gramStart"/>
      <w:r w:rsidRPr="007319CD">
        <w:rPr>
          <w:rFonts w:hAnsi="標楷體"/>
          <w:spacing w:val="-10"/>
          <w:kern w:val="0"/>
          <w:sz w:val="28"/>
          <w:szCs w:val="22"/>
        </w:rPr>
        <w:t>俸</w:t>
      </w:r>
      <w:proofErr w:type="gramEnd"/>
      <w:r w:rsidRPr="007319CD">
        <w:rPr>
          <w:rFonts w:hAnsi="標楷體"/>
          <w:spacing w:val="-10"/>
          <w:kern w:val="0"/>
          <w:sz w:val="28"/>
          <w:szCs w:val="22"/>
        </w:rPr>
        <w:t xml:space="preserve">影響仍應視個人經歷為據。 </w:t>
      </w:r>
    </w:p>
    <w:p w:rsidR="00DD44C1" w:rsidRPr="007319CD" w:rsidRDefault="00DD44C1" w:rsidP="00DD44C1">
      <w:pPr>
        <w:kinsoku w:val="0"/>
        <w:overflowPunct/>
        <w:adjustRightInd w:val="0"/>
        <w:snapToGrid w:val="0"/>
        <w:spacing w:before="40" w:line="360" w:lineRule="exact"/>
        <w:ind w:leftChars="230" w:left="1202" w:hangingChars="150" w:hanging="420"/>
        <w:rPr>
          <w:rFonts w:hAnsi="標楷體"/>
          <w:spacing w:val="-20"/>
          <w:sz w:val="24"/>
          <w:szCs w:val="28"/>
        </w:rPr>
      </w:pPr>
      <w:r w:rsidRPr="007319CD">
        <w:rPr>
          <w:rFonts w:hAnsi="標楷體"/>
          <w:spacing w:val="-10"/>
          <w:kern w:val="0"/>
          <w:sz w:val="28"/>
          <w:szCs w:val="22"/>
        </w:rPr>
        <w:t>2、假設純新制人員之公</w:t>
      </w:r>
      <w:proofErr w:type="gramStart"/>
      <w:r w:rsidRPr="007319CD">
        <w:rPr>
          <w:rFonts w:hAnsi="標楷體"/>
          <w:spacing w:val="-10"/>
          <w:kern w:val="0"/>
          <w:sz w:val="28"/>
          <w:szCs w:val="22"/>
        </w:rPr>
        <w:t>保均擇領</w:t>
      </w:r>
      <w:proofErr w:type="gramEnd"/>
      <w:r w:rsidRPr="007319CD">
        <w:rPr>
          <w:rFonts w:hAnsi="標楷體"/>
          <w:spacing w:val="-10"/>
          <w:kern w:val="0"/>
          <w:sz w:val="28"/>
          <w:szCs w:val="22"/>
        </w:rPr>
        <w:t>一次給付，故</w:t>
      </w:r>
      <w:proofErr w:type="gramStart"/>
      <w:r w:rsidRPr="007319CD">
        <w:rPr>
          <w:rFonts w:hAnsi="標楷體"/>
          <w:spacing w:val="-10"/>
          <w:kern w:val="0"/>
          <w:sz w:val="28"/>
          <w:szCs w:val="22"/>
        </w:rPr>
        <w:t>所列月退休</w:t>
      </w:r>
      <w:proofErr w:type="gramEnd"/>
      <w:r w:rsidRPr="007319CD">
        <w:rPr>
          <w:rFonts w:hAnsi="標楷體"/>
          <w:spacing w:val="-10"/>
          <w:kern w:val="0"/>
          <w:sz w:val="28"/>
          <w:szCs w:val="22"/>
        </w:rPr>
        <w:t>所得</w:t>
      </w:r>
      <w:proofErr w:type="gramStart"/>
      <w:r w:rsidRPr="007319CD">
        <w:rPr>
          <w:rFonts w:hAnsi="標楷體"/>
          <w:spacing w:val="-10"/>
          <w:kern w:val="0"/>
          <w:sz w:val="28"/>
          <w:szCs w:val="22"/>
        </w:rPr>
        <w:t>金額均不含</w:t>
      </w:r>
      <w:proofErr w:type="gramEnd"/>
      <w:r w:rsidRPr="007319CD">
        <w:rPr>
          <w:rFonts w:hAnsi="標楷體"/>
          <w:spacing w:val="-10"/>
          <w:kern w:val="0"/>
          <w:sz w:val="28"/>
          <w:szCs w:val="22"/>
        </w:rPr>
        <w:t>公保年金。</w:t>
      </w:r>
    </w:p>
    <w:p w:rsidR="00DD44C1" w:rsidRPr="007319CD" w:rsidRDefault="00DD44C1" w:rsidP="00DD44C1">
      <w:pPr>
        <w:pStyle w:val="afa"/>
        <w:rPr>
          <w:rFonts w:hAnsi="標楷體"/>
          <w:noProof/>
        </w:rPr>
      </w:pPr>
      <w:r w:rsidRPr="007319CD">
        <w:rPr>
          <w:rFonts w:hAnsi="標楷體"/>
          <w:noProof/>
        </w:rPr>
        <w:t>資料來源：銓敘部。</w:t>
      </w:r>
    </w:p>
    <w:p w:rsidR="00DD44C1" w:rsidRPr="007319CD" w:rsidRDefault="00DD44C1" w:rsidP="00DD44C1">
      <w:pPr>
        <w:pStyle w:val="afa"/>
        <w:rPr>
          <w:rFonts w:hAnsi="標楷體"/>
          <w:noProof/>
        </w:rPr>
      </w:pPr>
    </w:p>
    <w:p w:rsidR="00DD44C1" w:rsidRPr="007319CD" w:rsidRDefault="00DD44C1" w:rsidP="00DD44C1">
      <w:pPr>
        <w:pStyle w:val="a0"/>
        <w:numPr>
          <w:ilvl w:val="0"/>
          <w:numId w:val="0"/>
        </w:numPr>
        <w:ind w:left="1418"/>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教育人員-純舊制，任職30年：</w:t>
      </w:r>
      <w:proofErr w:type="gramStart"/>
      <w:r w:rsidRPr="007319CD">
        <w:rPr>
          <w:rFonts w:hAnsi="標楷體"/>
        </w:rPr>
        <w:t>採</w:t>
      </w:r>
      <w:proofErr w:type="gramEnd"/>
      <w:r w:rsidRPr="007319CD">
        <w:rPr>
          <w:rFonts w:hAnsi="標楷體"/>
        </w:rPr>
        <w:t>10年調降67.5%→52.5%（85年2月1日退休）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1"/>
        <w:gridCol w:w="696"/>
        <w:gridCol w:w="737"/>
        <w:gridCol w:w="753"/>
        <w:gridCol w:w="698"/>
        <w:gridCol w:w="751"/>
        <w:gridCol w:w="749"/>
        <w:gridCol w:w="698"/>
        <w:gridCol w:w="751"/>
        <w:gridCol w:w="749"/>
        <w:gridCol w:w="698"/>
        <w:gridCol w:w="749"/>
      </w:tblGrid>
      <w:tr w:rsidR="007319CD" w:rsidRPr="007319CD" w:rsidTr="00897AB5">
        <w:trPr>
          <w:trHeight w:val="315"/>
          <w:jc w:val="center"/>
        </w:trPr>
        <w:tc>
          <w:tcPr>
            <w:tcW w:w="489" w:type="pct"/>
            <w:vMerge w:val="restar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退休</w:t>
            </w:r>
          </w:p>
          <w:p w:rsidR="00DD44C1" w:rsidRPr="007319CD" w:rsidRDefault="00DD44C1" w:rsidP="00897AB5">
            <w:pPr>
              <w:pStyle w:val="121"/>
              <w:kinsoku w:val="0"/>
              <w:overflowPunct/>
              <w:jc w:val="center"/>
              <w:rPr>
                <w:rFonts w:hAnsi="標楷體"/>
              </w:rPr>
            </w:pPr>
            <w:r w:rsidRPr="007319CD">
              <w:rPr>
                <w:rFonts w:hAnsi="標楷體"/>
              </w:rPr>
              <w:t>等級</w:t>
            </w:r>
          </w:p>
        </w:tc>
        <w:tc>
          <w:tcPr>
            <w:tcW w:w="391" w:type="pct"/>
            <w:vMerge w:val="restart"/>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職務別</w:t>
            </w:r>
          </w:p>
        </w:tc>
        <w:tc>
          <w:tcPr>
            <w:tcW w:w="414" w:type="pct"/>
            <w:vMerge w:val="restart"/>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改革前月退休所得</w:t>
            </w:r>
          </w:p>
          <w:p w:rsidR="00DD44C1" w:rsidRPr="007319CD" w:rsidRDefault="00DD44C1" w:rsidP="00897AB5">
            <w:pPr>
              <w:pStyle w:val="121"/>
              <w:kinsoku w:val="0"/>
              <w:overflowPunct/>
              <w:rPr>
                <w:rFonts w:hAnsi="標楷體"/>
              </w:rPr>
            </w:pPr>
            <w:r w:rsidRPr="007319CD">
              <w:rPr>
                <w:rFonts w:hAnsi="標楷體"/>
              </w:rPr>
              <w:t>（月退+18%）</w:t>
            </w:r>
          </w:p>
        </w:tc>
        <w:tc>
          <w:tcPr>
            <w:tcW w:w="3706" w:type="pct"/>
            <w:gridSpan w:val="9"/>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改革後月退所得：分母為本</w:t>
            </w:r>
            <w:proofErr w:type="gramStart"/>
            <w:r w:rsidRPr="007319CD">
              <w:rPr>
                <w:rFonts w:hAnsi="標楷體"/>
              </w:rPr>
              <w:t>俸</w:t>
            </w:r>
            <w:proofErr w:type="gramEnd"/>
            <w:r w:rsidRPr="007319CD">
              <w:rPr>
                <w:rFonts w:hAnsi="標楷體"/>
              </w:rPr>
              <w:t>2倍</w:t>
            </w:r>
          </w:p>
        </w:tc>
      </w:tr>
      <w:tr w:rsidR="007319CD" w:rsidRPr="007319CD" w:rsidTr="00897AB5">
        <w:trPr>
          <w:trHeight w:val="315"/>
          <w:jc w:val="center"/>
        </w:trPr>
        <w:tc>
          <w:tcPr>
            <w:tcW w:w="489"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14"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37" w:type="pct"/>
            <w:gridSpan w:val="3"/>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107.7.1~108.12.31</w:t>
            </w:r>
          </w:p>
        </w:tc>
        <w:tc>
          <w:tcPr>
            <w:tcW w:w="1235" w:type="pct"/>
            <w:gridSpan w:val="3"/>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113.1.1~113.12.31</w:t>
            </w:r>
          </w:p>
        </w:tc>
        <w:tc>
          <w:tcPr>
            <w:tcW w:w="1235" w:type="pct"/>
            <w:gridSpan w:val="3"/>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315"/>
          <w:jc w:val="center"/>
        </w:trPr>
        <w:tc>
          <w:tcPr>
            <w:tcW w:w="489"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14"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37" w:type="pct"/>
            <w:gridSpan w:val="3"/>
            <w:tcBorders>
              <w:right w:val="single" w:sz="4" w:space="0" w:color="auto"/>
            </w:tcBorders>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替代率67.5%</w:t>
            </w:r>
          </w:p>
          <w:p w:rsidR="00DD44C1" w:rsidRPr="007319CD" w:rsidRDefault="00DD44C1" w:rsidP="00897AB5">
            <w:pPr>
              <w:pStyle w:val="121"/>
              <w:kinsoku w:val="0"/>
              <w:overflowPunct/>
              <w:jc w:val="center"/>
              <w:rPr>
                <w:rFonts w:hAnsi="標楷體"/>
              </w:rPr>
            </w:pPr>
            <w:r w:rsidRPr="007319CD">
              <w:rPr>
                <w:rFonts w:hAnsi="標楷體"/>
              </w:rPr>
              <w:t>（優存9%）</w:t>
            </w:r>
          </w:p>
        </w:tc>
        <w:tc>
          <w:tcPr>
            <w:tcW w:w="1235" w:type="pct"/>
            <w:gridSpan w:val="3"/>
            <w:tcBorders>
              <w:left w:val="single" w:sz="4" w:space="0" w:color="auto"/>
              <w:right w:val="single" w:sz="4" w:space="0" w:color="auto"/>
            </w:tcBorders>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替代率60%</w:t>
            </w:r>
          </w:p>
          <w:p w:rsidR="00DD44C1" w:rsidRPr="007319CD" w:rsidRDefault="00DD44C1" w:rsidP="00897AB5">
            <w:pPr>
              <w:pStyle w:val="121"/>
              <w:kinsoku w:val="0"/>
              <w:overflowPunct/>
              <w:jc w:val="center"/>
              <w:rPr>
                <w:rFonts w:hAnsi="標楷體"/>
              </w:rPr>
            </w:pPr>
            <w:r w:rsidRPr="007319CD">
              <w:rPr>
                <w:rFonts w:hAnsi="標楷體"/>
              </w:rPr>
              <w:t>（優存0%）</w:t>
            </w:r>
          </w:p>
        </w:tc>
        <w:tc>
          <w:tcPr>
            <w:tcW w:w="1235" w:type="pct"/>
            <w:gridSpan w:val="3"/>
            <w:tcBorders>
              <w:left w:val="single" w:sz="4" w:space="0" w:color="auto"/>
              <w:right w:val="single" w:sz="4" w:space="0" w:color="auto"/>
            </w:tcBorders>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替代率52.5%</w:t>
            </w:r>
          </w:p>
          <w:p w:rsidR="00DD44C1" w:rsidRPr="007319CD" w:rsidRDefault="00DD44C1" w:rsidP="00897AB5">
            <w:pPr>
              <w:pStyle w:val="121"/>
              <w:kinsoku w:val="0"/>
              <w:overflowPunct/>
              <w:jc w:val="center"/>
              <w:rPr>
                <w:rFonts w:hAnsi="標楷體"/>
              </w:rPr>
            </w:pPr>
            <w:r w:rsidRPr="007319CD">
              <w:rPr>
                <w:rFonts w:hAnsi="標楷體"/>
              </w:rPr>
              <w:t>（優存0%）</w:t>
            </w:r>
          </w:p>
        </w:tc>
      </w:tr>
      <w:tr w:rsidR="007319CD" w:rsidRPr="007319CD" w:rsidTr="00897AB5">
        <w:trPr>
          <w:trHeight w:val="315"/>
          <w:jc w:val="center"/>
        </w:trPr>
        <w:tc>
          <w:tcPr>
            <w:tcW w:w="489"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14"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23" w:type="pct"/>
            <w:tcBorders>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扣減後所得</w:t>
            </w:r>
          </w:p>
        </w:tc>
        <w:tc>
          <w:tcPr>
            <w:tcW w:w="392" w:type="pct"/>
            <w:tcBorders>
              <w:top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w:t>
            </w:r>
          </w:p>
          <w:p w:rsidR="00DD44C1" w:rsidRPr="007319CD" w:rsidRDefault="00DD44C1" w:rsidP="00897AB5">
            <w:pPr>
              <w:pStyle w:val="121"/>
              <w:kinsoku w:val="0"/>
              <w:overflowPunct/>
              <w:jc w:val="center"/>
              <w:rPr>
                <w:rFonts w:hAnsi="標楷體"/>
              </w:rPr>
            </w:pPr>
            <w:r w:rsidRPr="007319CD">
              <w:rPr>
                <w:rFonts w:hAnsi="標楷體"/>
              </w:rPr>
              <w:t>金額</w:t>
            </w:r>
          </w:p>
        </w:tc>
        <w:tc>
          <w:tcPr>
            <w:tcW w:w="422" w:type="pct"/>
            <w:tcBorders>
              <w:bottom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扣減額占比</w:t>
            </w:r>
          </w:p>
        </w:tc>
        <w:tc>
          <w:tcPr>
            <w:tcW w:w="421" w:type="pct"/>
            <w:tcBorders>
              <w:left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扣減後所得</w:t>
            </w:r>
          </w:p>
        </w:tc>
        <w:tc>
          <w:tcPr>
            <w:tcW w:w="392" w:type="pct"/>
            <w:tcBorders>
              <w:top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w:t>
            </w:r>
          </w:p>
          <w:p w:rsidR="00DD44C1" w:rsidRPr="007319CD" w:rsidRDefault="00DD44C1" w:rsidP="00897AB5">
            <w:pPr>
              <w:pStyle w:val="121"/>
              <w:kinsoku w:val="0"/>
              <w:overflowPunct/>
              <w:jc w:val="center"/>
              <w:rPr>
                <w:rFonts w:hAnsi="標楷體"/>
              </w:rPr>
            </w:pPr>
            <w:r w:rsidRPr="007319CD">
              <w:rPr>
                <w:rFonts w:hAnsi="標楷體"/>
              </w:rPr>
              <w:t>金額</w:t>
            </w:r>
          </w:p>
        </w:tc>
        <w:tc>
          <w:tcPr>
            <w:tcW w:w="422" w:type="pct"/>
            <w:tcBorders>
              <w:bottom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扣減額占比</w:t>
            </w:r>
          </w:p>
        </w:tc>
        <w:tc>
          <w:tcPr>
            <w:tcW w:w="421" w:type="pct"/>
            <w:tcBorders>
              <w:left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扣減後所得</w:t>
            </w:r>
          </w:p>
        </w:tc>
        <w:tc>
          <w:tcPr>
            <w:tcW w:w="392" w:type="pct"/>
            <w:tcBorders>
              <w:top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w:t>
            </w:r>
          </w:p>
          <w:p w:rsidR="00DD44C1" w:rsidRPr="007319CD" w:rsidRDefault="00DD44C1" w:rsidP="00897AB5">
            <w:pPr>
              <w:pStyle w:val="121"/>
              <w:kinsoku w:val="0"/>
              <w:overflowPunct/>
              <w:jc w:val="center"/>
              <w:rPr>
                <w:rFonts w:hAnsi="標楷體"/>
              </w:rPr>
            </w:pPr>
            <w:r w:rsidRPr="007319CD">
              <w:rPr>
                <w:rFonts w:hAnsi="標楷體"/>
              </w:rPr>
              <w:t>金額</w:t>
            </w:r>
          </w:p>
        </w:tc>
        <w:tc>
          <w:tcPr>
            <w:tcW w:w="422" w:type="pct"/>
            <w:tcBorders>
              <w:bottom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扣減額占比</w:t>
            </w:r>
          </w:p>
        </w:tc>
      </w:tr>
      <w:tr w:rsidR="007319CD" w:rsidRPr="007319CD" w:rsidTr="00897AB5">
        <w:trPr>
          <w:trHeight w:val="315"/>
          <w:jc w:val="center"/>
        </w:trPr>
        <w:tc>
          <w:tcPr>
            <w:tcW w:w="489" w:type="pct"/>
            <w:vMerge w:val="restar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中小學</w:t>
            </w:r>
          </w:p>
          <w:p w:rsidR="00DD44C1" w:rsidRPr="007319CD" w:rsidRDefault="00DD44C1" w:rsidP="00897AB5">
            <w:pPr>
              <w:pStyle w:val="121"/>
              <w:kinsoku w:val="0"/>
              <w:overflowPunct/>
              <w:rPr>
                <w:rFonts w:hAnsi="標楷體"/>
              </w:rPr>
            </w:pPr>
            <w:r w:rsidRPr="007319CD">
              <w:rPr>
                <w:rFonts w:hAnsi="標楷體"/>
              </w:rPr>
              <w:t>教師</w:t>
            </w:r>
          </w:p>
          <w:p w:rsidR="00DD44C1" w:rsidRPr="007319CD" w:rsidRDefault="00DD44C1" w:rsidP="00897AB5">
            <w:pPr>
              <w:pStyle w:val="121"/>
              <w:kinsoku w:val="0"/>
              <w:overflowPunct/>
              <w:rPr>
                <w:rFonts w:hAnsi="標楷體"/>
              </w:rPr>
            </w:pPr>
            <w:r w:rsidRPr="007319CD">
              <w:rPr>
                <w:rFonts w:hAnsi="標楷體"/>
              </w:rPr>
              <w:t>625薪點</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主管</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64,524</w:t>
            </w:r>
          </w:p>
        </w:tc>
        <w:tc>
          <w:tcPr>
            <w:tcW w:w="423"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53,913</w:t>
            </w:r>
          </w:p>
        </w:tc>
        <w:tc>
          <w:tcPr>
            <w:tcW w:w="392"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10,611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16.45%</w:t>
            </w:r>
          </w:p>
        </w:tc>
        <w:tc>
          <w:tcPr>
            <w:tcW w:w="421"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c>
          <w:tcPr>
            <w:tcW w:w="421"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r>
      <w:tr w:rsidR="007319CD" w:rsidRPr="007319CD" w:rsidTr="00897AB5">
        <w:trPr>
          <w:trHeight w:val="315"/>
          <w:jc w:val="center"/>
        </w:trPr>
        <w:tc>
          <w:tcPr>
            <w:tcW w:w="489" w:type="pct"/>
            <w:vMerge/>
            <w:shd w:val="clear" w:color="auto" w:fill="auto"/>
          </w:tcPr>
          <w:p w:rsidR="00DD44C1" w:rsidRPr="007319CD" w:rsidRDefault="00DD44C1" w:rsidP="00897AB5">
            <w:pPr>
              <w:pStyle w:val="121"/>
              <w:kinsoku w:val="0"/>
              <w:overflowPunct/>
              <w:rPr>
                <w:rFonts w:hAnsi="標楷體"/>
              </w:rPr>
            </w:pP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非主管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64,524</w:t>
            </w:r>
          </w:p>
        </w:tc>
        <w:tc>
          <w:tcPr>
            <w:tcW w:w="423"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53,913</w:t>
            </w:r>
          </w:p>
        </w:tc>
        <w:tc>
          <w:tcPr>
            <w:tcW w:w="392"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10,611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16.45%</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r>
      <w:tr w:rsidR="007319CD" w:rsidRPr="007319CD" w:rsidTr="00897AB5">
        <w:trPr>
          <w:trHeight w:val="315"/>
          <w:jc w:val="center"/>
        </w:trPr>
        <w:tc>
          <w:tcPr>
            <w:tcW w:w="489" w:type="pct"/>
            <w:vMerge w:val="restart"/>
            <w:shd w:val="clear" w:color="auto" w:fill="auto"/>
          </w:tcPr>
          <w:p w:rsidR="00DD44C1" w:rsidRPr="007319CD" w:rsidRDefault="00DD44C1" w:rsidP="00897AB5">
            <w:pPr>
              <w:pStyle w:val="121"/>
              <w:kinsoku w:val="0"/>
              <w:overflowPunct/>
              <w:rPr>
                <w:rFonts w:hAnsi="標楷體"/>
              </w:rPr>
            </w:pPr>
            <w:r w:rsidRPr="007319CD">
              <w:rPr>
                <w:rFonts w:hAnsi="標楷體"/>
              </w:rPr>
              <w:t>教授</w:t>
            </w:r>
          </w:p>
          <w:p w:rsidR="00DD44C1" w:rsidRPr="007319CD" w:rsidRDefault="00DD44C1" w:rsidP="00897AB5">
            <w:pPr>
              <w:pStyle w:val="121"/>
              <w:kinsoku w:val="0"/>
              <w:overflowPunct/>
              <w:rPr>
                <w:rFonts w:hAnsi="標楷體"/>
              </w:rPr>
            </w:pPr>
            <w:r w:rsidRPr="007319CD">
              <w:rPr>
                <w:rFonts w:hAnsi="標楷體"/>
              </w:rPr>
              <w:t>770薪點</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72,620</w:t>
            </w:r>
          </w:p>
        </w:tc>
        <w:tc>
          <w:tcPr>
            <w:tcW w:w="423"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60,659</w:t>
            </w:r>
          </w:p>
        </w:tc>
        <w:tc>
          <w:tcPr>
            <w:tcW w:w="392"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11,961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16.47%</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r>
      <w:tr w:rsidR="007319CD" w:rsidRPr="007319CD" w:rsidTr="00897AB5">
        <w:trPr>
          <w:trHeight w:val="315"/>
          <w:jc w:val="center"/>
        </w:trPr>
        <w:tc>
          <w:tcPr>
            <w:tcW w:w="489" w:type="pct"/>
            <w:vMerge/>
            <w:tcBorders>
              <w:bottom w:val="single" w:sz="4" w:space="0" w:color="000000"/>
            </w:tcBorders>
            <w:shd w:val="clear" w:color="auto" w:fill="auto"/>
            <w:vAlign w:val="center"/>
          </w:tcPr>
          <w:p w:rsidR="00DD44C1" w:rsidRPr="007319CD" w:rsidRDefault="00DD44C1" w:rsidP="00897AB5">
            <w:pPr>
              <w:pStyle w:val="121"/>
              <w:kinsoku w:val="0"/>
              <w:overflowPunct/>
              <w:rPr>
                <w:rFonts w:hAnsi="標楷體"/>
              </w:rPr>
            </w:pP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非主管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72,620</w:t>
            </w:r>
          </w:p>
        </w:tc>
        <w:tc>
          <w:tcPr>
            <w:tcW w:w="423"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60,659</w:t>
            </w:r>
          </w:p>
        </w:tc>
        <w:tc>
          <w:tcPr>
            <w:tcW w:w="392"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11,961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16.47%</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r>
    </w:tbl>
    <w:p w:rsidR="00DD44C1" w:rsidRPr="007319CD" w:rsidRDefault="00DD44C1" w:rsidP="00DD44C1">
      <w:pPr>
        <w:pStyle w:val="afa"/>
        <w:rPr>
          <w:rFonts w:hAnsi="標楷體"/>
        </w:rPr>
      </w:pPr>
      <w:r w:rsidRPr="007319CD">
        <w:rPr>
          <w:rFonts w:hAnsi="標楷體"/>
        </w:rPr>
        <w:t>資料來源：教育部。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教育人員-新舊制，任職35年：</w:t>
      </w:r>
      <w:proofErr w:type="gramStart"/>
      <w:r w:rsidRPr="007319CD">
        <w:rPr>
          <w:rFonts w:hAnsi="標楷體"/>
        </w:rPr>
        <w:t>採</w:t>
      </w:r>
      <w:proofErr w:type="gramEnd"/>
      <w:r w:rsidRPr="007319CD">
        <w:rPr>
          <w:rFonts w:hAnsi="標楷體"/>
        </w:rPr>
        <w:t>10年調降75%→60%（105年2月1日退休）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Style w:val="afb"/>
        <w:tblW w:w="5000" w:type="pct"/>
        <w:jc w:val="center"/>
        <w:tblCellMar>
          <w:left w:w="28" w:type="dxa"/>
          <w:right w:w="28" w:type="dxa"/>
        </w:tblCellMar>
        <w:tblLook w:val="04A0" w:firstRow="1" w:lastRow="0" w:firstColumn="1" w:lastColumn="0" w:noHBand="0" w:noVBand="1"/>
      </w:tblPr>
      <w:tblGrid>
        <w:gridCol w:w="861"/>
        <w:gridCol w:w="725"/>
        <w:gridCol w:w="842"/>
        <w:gridCol w:w="623"/>
        <w:gridCol w:w="733"/>
        <w:gridCol w:w="732"/>
        <w:gridCol w:w="732"/>
        <w:gridCol w:w="733"/>
        <w:gridCol w:w="733"/>
        <w:gridCol w:w="732"/>
        <w:gridCol w:w="733"/>
        <w:gridCol w:w="721"/>
      </w:tblGrid>
      <w:tr w:rsidR="007319CD" w:rsidRPr="007319CD" w:rsidTr="00C371A3">
        <w:trPr>
          <w:trHeight w:val="315"/>
          <w:tblHeader/>
          <w:jc w:val="center"/>
        </w:trPr>
        <w:tc>
          <w:tcPr>
            <w:tcW w:w="483" w:type="pct"/>
            <w:vMerge w:val="restart"/>
            <w:shd w:val="clear" w:color="auto" w:fill="EEECE1" w:themeFill="background2"/>
            <w:vAlign w:val="center"/>
          </w:tcPr>
          <w:p w:rsidR="00654372" w:rsidRPr="007319CD" w:rsidRDefault="00654372" w:rsidP="00654372">
            <w:pPr>
              <w:pStyle w:val="121"/>
              <w:rPr>
                <w:rFonts w:hAnsi="標楷體"/>
              </w:rPr>
            </w:pPr>
            <w:r w:rsidRPr="007319CD">
              <w:rPr>
                <w:rFonts w:hAnsi="標楷體"/>
              </w:rPr>
              <w:t>退休</w:t>
            </w:r>
          </w:p>
          <w:p w:rsidR="00654372" w:rsidRPr="007319CD" w:rsidRDefault="00654372" w:rsidP="00654372">
            <w:pPr>
              <w:pStyle w:val="121"/>
              <w:rPr>
                <w:rFonts w:hAnsi="標楷體"/>
              </w:rPr>
            </w:pPr>
            <w:r w:rsidRPr="007319CD">
              <w:rPr>
                <w:rFonts w:hAnsi="標楷體"/>
              </w:rPr>
              <w:t>等級</w:t>
            </w:r>
          </w:p>
        </w:tc>
        <w:tc>
          <w:tcPr>
            <w:tcW w:w="407" w:type="pct"/>
            <w:vMerge w:val="restart"/>
            <w:shd w:val="clear" w:color="auto" w:fill="EEECE1" w:themeFill="background2"/>
            <w:vAlign w:val="center"/>
          </w:tcPr>
          <w:p w:rsidR="00654372" w:rsidRPr="007319CD" w:rsidRDefault="00654372" w:rsidP="00654372">
            <w:pPr>
              <w:pStyle w:val="121"/>
              <w:rPr>
                <w:rFonts w:hAnsi="標楷體"/>
              </w:rPr>
            </w:pPr>
            <w:r w:rsidRPr="007319CD">
              <w:rPr>
                <w:rFonts w:hAnsi="標楷體"/>
              </w:rPr>
              <w:t>職務別</w:t>
            </w:r>
          </w:p>
        </w:tc>
        <w:tc>
          <w:tcPr>
            <w:tcW w:w="473" w:type="pct"/>
            <w:vMerge w:val="restart"/>
            <w:shd w:val="clear" w:color="auto" w:fill="EEECE1" w:themeFill="background2"/>
            <w:vAlign w:val="center"/>
          </w:tcPr>
          <w:p w:rsidR="00654372" w:rsidRPr="007319CD" w:rsidRDefault="00654372" w:rsidP="00654372">
            <w:pPr>
              <w:pStyle w:val="121"/>
              <w:rPr>
                <w:rFonts w:hAnsi="標楷體"/>
              </w:rPr>
            </w:pPr>
            <w:r w:rsidRPr="007319CD">
              <w:rPr>
                <w:rFonts w:hAnsi="標楷體"/>
              </w:rPr>
              <w:t>改革前月退休所得</w:t>
            </w:r>
          </w:p>
          <w:p w:rsidR="00654372" w:rsidRPr="007319CD" w:rsidRDefault="00654372" w:rsidP="00654372">
            <w:pPr>
              <w:pStyle w:val="121"/>
              <w:rPr>
                <w:rFonts w:hAnsi="標楷體"/>
              </w:rPr>
            </w:pPr>
            <w:r w:rsidRPr="007319CD">
              <w:rPr>
                <w:rFonts w:hAnsi="標楷體"/>
              </w:rPr>
              <w:t>（月退+18%）</w:t>
            </w:r>
          </w:p>
        </w:tc>
        <w:tc>
          <w:tcPr>
            <w:tcW w:w="1173" w:type="pct"/>
            <w:gridSpan w:val="3"/>
            <w:tcBorders>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107.7.1~108.12.31</w:t>
            </w:r>
          </w:p>
        </w:tc>
        <w:tc>
          <w:tcPr>
            <w:tcW w:w="1235"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113.1.1~113.12.31</w:t>
            </w:r>
          </w:p>
        </w:tc>
        <w:tc>
          <w:tcPr>
            <w:tcW w:w="1228"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118.1.1以後</w:t>
            </w:r>
          </w:p>
        </w:tc>
      </w:tr>
      <w:tr w:rsidR="007319CD" w:rsidRPr="007319CD" w:rsidTr="00C371A3">
        <w:trPr>
          <w:trHeight w:val="315"/>
          <w:tblHeader/>
          <w:jc w:val="center"/>
        </w:trPr>
        <w:tc>
          <w:tcPr>
            <w:tcW w:w="483" w:type="pct"/>
            <w:vMerge/>
            <w:shd w:val="clear" w:color="auto" w:fill="EEECE1" w:themeFill="background2"/>
            <w:vAlign w:val="center"/>
          </w:tcPr>
          <w:p w:rsidR="00654372" w:rsidRPr="007319CD" w:rsidRDefault="00654372" w:rsidP="00654372">
            <w:pPr>
              <w:pStyle w:val="121"/>
              <w:rPr>
                <w:rFonts w:hAnsi="標楷體"/>
              </w:rPr>
            </w:pPr>
          </w:p>
        </w:tc>
        <w:tc>
          <w:tcPr>
            <w:tcW w:w="407" w:type="pct"/>
            <w:vMerge/>
            <w:shd w:val="clear" w:color="auto" w:fill="EEECE1" w:themeFill="background2"/>
            <w:vAlign w:val="center"/>
          </w:tcPr>
          <w:p w:rsidR="00654372" w:rsidRPr="007319CD" w:rsidRDefault="00654372" w:rsidP="00654372">
            <w:pPr>
              <w:pStyle w:val="121"/>
              <w:rPr>
                <w:rFonts w:hAnsi="標楷體"/>
              </w:rPr>
            </w:pPr>
          </w:p>
        </w:tc>
        <w:tc>
          <w:tcPr>
            <w:tcW w:w="473" w:type="pct"/>
            <w:vMerge/>
            <w:shd w:val="clear" w:color="auto" w:fill="EEECE1" w:themeFill="background2"/>
            <w:vAlign w:val="center"/>
          </w:tcPr>
          <w:p w:rsidR="00654372" w:rsidRPr="007319CD" w:rsidRDefault="00654372" w:rsidP="00654372">
            <w:pPr>
              <w:pStyle w:val="121"/>
              <w:rPr>
                <w:rFonts w:hAnsi="標楷體"/>
              </w:rPr>
            </w:pPr>
          </w:p>
        </w:tc>
        <w:tc>
          <w:tcPr>
            <w:tcW w:w="1173" w:type="pct"/>
            <w:gridSpan w:val="3"/>
            <w:tcBorders>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替代率75%（優存9%）</w:t>
            </w:r>
          </w:p>
        </w:tc>
        <w:tc>
          <w:tcPr>
            <w:tcW w:w="1235"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替代率67.5%（優存0%）</w:t>
            </w:r>
          </w:p>
        </w:tc>
        <w:tc>
          <w:tcPr>
            <w:tcW w:w="1228"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替代率60%（優存0%）</w:t>
            </w:r>
          </w:p>
        </w:tc>
      </w:tr>
      <w:tr w:rsidR="007319CD" w:rsidRPr="007319CD" w:rsidTr="00C371A3">
        <w:trPr>
          <w:trHeight w:val="315"/>
          <w:tblHeader/>
          <w:jc w:val="center"/>
        </w:trPr>
        <w:tc>
          <w:tcPr>
            <w:tcW w:w="483" w:type="pct"/>
            <w:vMerge/>
            <w:shd w:val="clear" w:color="auto" w:fill="EEECE1" w:themeFill="background2"/>
            <w:vAlign w:val="center"/>
          </w:tcPr>
          <w:p w:rsidR="00654372" w:rsidRPr="007319CD" w:rsidRDefault="00654372" w:rsidP="00654372">
            <w:pPr>
              <w:pStyle w:val="121"/>
              <w:rPr>
                <w:rFonts w:hAnsi="標楷體"/>
              </w:rPr>
            </w:pPr>
          </w:p>
        </w:tc>
        <w:tc>
          <w:tcPr>
            <w:tcW w:w="407" w:type="pct"/>
            <w:vMerge/>
            <w:shd w:val="clear" w:color="auto" w:fill="EEECE1" w:themeFill="background2"/>
            <w:vAlign w:val="center"/>
          </w:tcPr>
          <w:p w:rsidR="00654372" w:rsidRPr="007319CD" w:rsidRDefault="00654372" w:rsidP="00654372">
            <w:pPr>
              <w:pStyle w:val="121"/>
              <w:rPr>
                <w:rFonts w:hAnsi="標楷體"/>
              </w:rPr>
            </w:pPr>
          </w:p>
        </w:tc>
        <w:tc>
          <w:tcPr>
            <w:tcW w:w="473" w:type="pct"/>
            <w:vMerge/>
            <w:shd w:val="clear" w:color="auto" w:fill="EEECE1" w:themeFill="background2"/>
            <w:vAlign w:val="center"/>
          </w:tcPr>
          <w:p w:rsidR="00654372" w:rsidRPr="007319CD" w:rsidRDefault="00654372" w:rsidP="00654372">
            <w:pPr>
              <w:pStyle w:val="121"/>
              <w:rPr>
                <w:rFonts w:hAnsi="標楷體"/>
              </w:rPr>
            </w:pPr>
          </w:p>
        </w:tc>
        <w:tc>
          <w:tcPr>
            <w:tcW w:w="762" w:type="pct"/>
            <w:gridSpan w:val="2"/>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扣減金額</w:t>
            </w:r>
          </w:p>
        </w:tc>
        <w:tc>
          <w:tcPr>
            <w:tcW w:w="411" w:type="pct"/>
            <w:vMerge w:val="restart"/>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扣減後</w:t>
            </w:r>
            <w:r w:rsidRPr="007319CD">
              <w:rPr>
                <w:rFonts w:hAnsi="標楷體"/>
              </w:rPr>
              <w:br/>
              <w:t>所得</w:t>
            </w:r>
          </w:p>
        </w:tc>
        <w:tc>
          <w:tcPr>
            <w:tcW w:w="823" w:type="pct"/>
            <w:gridSpan w:val="2"/>
            <w:tcBorders>
              <w:left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扣減金額</w:t>
            </w:r>
          </w:p>
        </w:tc>
        <w:tc>
          <w:tcPr>
            <w:tcW w:w="412" w:type="pct"/>
            <w:vMerge w:val="restart"/>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扣減後</w:t>
            </w:r>
            <w:r w:rsidRPr="007319CD">
              <w:rPr>
                <w:rFonts w:hAnsi="標楷體"/>
              </w:rPr>
              <w:br/>
              <w:t>所得</w:t>
            </w:r>
          </w:p>
        </w:tc>
        <w:tc>
          <w:tcPr>
            <w:tcW w:w="823" w:type="pct"/>
            <w:gridSpan w:val="2"/>
            <w:tcBorders>
              <w:left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扣減金額</w:t>
            </w:r>
          </w:p>
        </w:tc>
        <w:tc>
          <w:tcPr>
            <w:tcW w:w="405" w:type="pct"/>
            <w:vMerge w:val="restart"/>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扣減後</w:t>
            </w:r>
            <w:r w:rsidRPr="007319CD">
              <w:rPr>
                <w:rFonts w:hAnsi="標楷體"/>
              </w:rPr>
              <w:br/>
              <w:t>所得</w:t>
            </w:r>
          </w:p>
        </w:tc>
      </w:tr>
      <w:tr w:rsidR="007319CD" w:rsidRPr="007319CD" w:rsidTr="00C371A3">
        <w:trPr>
          <w:trHeight w:val="315"/>
          <w:tblHeader/>
          <w:jc w:val="center"/>
        </w:trPr>
        <w:tc>
          <w:tcPr>
            <w:tcW w:w="483" w:type="pct"/>
            <w:vMerge/>
            <w:shd w:val="clear" w:color="auto" w:fill="auto"/>
            <w:vAlign w:val="center"/>
          </w:tcPr>
          <w:p w:rsidR="00654372" w:rsidRPr="007319CD" w:rsidRDefault="00654372" w:rsidP="00654372">
            <w:pPr>
              <w:pStyle w:val="121"/>
              <w:rPr>
                <w:rFonts w:hAnsi="標楷體"/>
              </w:rPr>
            </w:pPr>
          </w:p>
        </w:tc>
        <w:tc>
          <w:tcPr>
            <w:tcW w:w="407" w:type="pct"/>
            <w:vMerge/>
            <w:shd w:val="clear" w:color="auto" w:fill="auto"/>
            <w:vAlign w:val="center"/>
          </w:tcPr>
          <w:p w:rsidR="00654372" w:rsidRPr="007319CD" w:rsidRDefault="00654372" w:rsidP="00654372">
            <w:pPr>
              <w:pStyle w:val="121"/>
              <w:rPr>
                <w:rFonts w:hAnsi="標楷體"/>
              </w:rPr>
            </w:pPr>
          </w:p>
        </w:tc>
        <w:tc>
          <w:tcPr>
            <w:tcW w:w="473" w:type="pct"/>
            <w:vMerge/>
            <w:shd w:val="clear" w:color="auto" w:fill="auto"/>
            <w:vAlign w:val="center"/>
          </w:tcPr>
          <w:p w:rsidR="00654372" w:rsidRPr="007319CD" w:rsidRDefault="00654372" w:rsidP="00654372">
            <w:pPr>
              <w:pStyle w:val="121"/>
              <w:rPr>
                <w:rFonts w:hAnsi="標楷體"/>
              </w:rPr>
            </w:pPr>
          </w:p>
        </w:tc>
        <w:tc>
          <w:tcPr>
            <w:tcW w:w="350" w:type="pct"/>
            <w:tcBorders>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月退</w:t>
            </w:r>
          </w:p>
        </w:tc>
        <w:tc>
          <w:tcPr>
            <w:tcW w:w="412" w:type="pct"/>
            <w:tcBorders>
              <w:top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優存</w:t>
            </w:r>
          </w:p>
        </w:tc>
        <w:tc>
          <w:tcPr>
            <w:tcW w:w="411" w:type="pct"/>
            <w:vMerge/>
            <w:tcBorders>
              <w:bottom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p>
        </w:tc>
        <w:tc>
          <w:tcPr>
            <w:tcW w:w="411" w:type="pct"/>
            <w:tcBorders>
              <w:left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月退</w:t>
            </w:r>
          </w:p>
        </w:tc>
        <w:tc>
          <w:tcPr>
            <w:tcW w:w="412" w:type="pct"/>
            <w:tcBorders>
              <w:top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優存</w:t>
            </w:r>
          </w:p>
        </w:tc>
        <w:tc>
          <w:tcPr>
            <w:tcW w:w="412" w:type="pct"/>
            <w:vMerge/>
            <w:tcBorders>
              <w:bottom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p>
        </w:tc>
        <w:tc>
          <w:tcPr>
            <w:tcW w:w="411" w:type="pct"/>
            <w:tcBorders>
              <w:left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月退</w:t>
            </w:r>
          </w:p>
        </w:tc>
        <w:tc>
          <w:tcPr>
            <w:tcW w:w="412" w:type="pct"/>
            <w:tcBorders>
              <w:top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優存</w:t>
            </w:r>
          </w:p>
        </w:tc>
        <w:tc>
          <w:tcPr>
            <w:tcW w:w="405" w:type="pct"/>
            <w:vMerge/>
            <w:tcBorders>
              <w:bottom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p>
        </w:tc>
      </w:tr>
      <w:tr w:rsidR="007319CD" w:rsidRPr="007319CD" w:rsidTr="00C371A3">
        <w:trPr>
          <w:trHeight w:val="315"/>
          <w:jc w:val="center"/>
        </w:trPr>
        <w:tc>
          <w:tcPr>
            <w:tcW w:w="483" w:type="pct"/>
            <w:vMerge w:val="restart"/>
            <w:shd w:val="clear" w:color="auto" w:fill="auto"/>
            <w:vAlign w:val="center"/>
          </w:tcPr>
          <w:p w:rsidR="00654372" w:rsidRPr="007319CD" w:rsidRDefault="00654372" w:rsidP="00654372">
            <w:pPr>
              <w:pStyle w:val="121"/>
              <w:rPr>
                <w:rFonts w:hAnsi="標楷體"/>
              </w:rPr>
            </w:pPr>
            <w:r w:rsidRPr="007319CD">
              <w:rPr>
                <w:rFonts w:hAnsi="標楷體"/>
              </w:rPr>
              <w:t>中小學</w:t>
            </w:r>
          </w:p>
          <w:p w:rsidR="00654372" w:rsidRPr="007319CD" w:rsidRDefault="00654372" w:rsidP="00654372">
            <w:pPr>
              <w:pStyle w:val="121"/>
              <w:rPr>
                <w:rFonts w:hAnsi="標楷體"/>
              </w:rPr>
            </w:pPr>
            <w:r w:rsidRPr="007319CD">
              <w:rPr>
                <w:rFonts w:hAnsi="標楷體"/>
              </w:rPr>
              <w:t>教師</w:t>
            </w:r>
          </w:p>
          <w:p w:rsidR="00654372" w:rsidRPr="007319CD" w:rsidRDefault="00654372" w:rsidP="00654372">
            <w:pPr>
              <w:pStyle w:val="121"/>
              <w:rPr>
                <w:rFonts w:hAnsi="標楷體"/>
              </w:rPr>
            </w:pPr>
            <w:r w:rsidRPr="007319CD">
              <w:rPr>
                <w:rFonts w:hAnsi="標楷體"/>
              </w:rPr>
              <w:t>625薪點</w:t>
            </w:r>
          </w:p>
        </w:tc>
        <w:tc>
          <w:tcPr>
            <w:tcW w:w="407" w:type="pct"/>
            <w:shd w:val="clear" w:color="auto" w:fill="auto"/>
            <w:vAlign w:val="center"/>
          </w:tcPr>
          <w:p w:rsidR="00654372" w:rsidRPr="007319CD" w:rsidRDefault="00654372" w:rsidP="00654372">
            <w:pPr>
              <w:pStyle w:val="121"/>
              <w:rPr>
                <w:rFonts w:hAnsi="標楷體"/>
              </w:rPr>
            </w:pPr>
            <w:r w:rsidRPr="007319CD">
              <w:rPr>
                <w:rFonts w:hAnsi="標楷體"/>
              </w:rPr>
              <w:t>主管</w:t>
            </w:r>
          </w:p>
        </w:tc>
        <w:tc>
          <w:tcPr>
            <w:tcW w:w="473" w:type="pct"/>
            <w:tcBorders>
              <w:top w:val="single" w:sz="4" w:space="0" w:color="auto"/>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78,337</w:t>
            </w:r>
          </w:p>
        </w:tc>
        <w:tc>
          <w:tcPr>
            <w:tcW w:w="350"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3,284</w:t>
            </w:r>
          </w:p>
        </w:tc>
        <w:tc>
          <w:tcPr>
            <w:tcW w:w="412"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4,433</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70,620</w:t>
            </w:r>
          </w:p>
        </w:tc>
        <w:tc>
          <w:tcPr>
            <w:tcW w:w="411"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10,346</w:t>
            </w:r>
          </w:p>
        </w:tc>
        <w:tc>
          <w:tcPr>
            <w:tcW w:w="412"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4,433</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63,558</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17,408</w:t>
            </w:r>
          </w:p>
        </w:tc>
        <w:tc>
          <w:tcPr>
            <w:tcW w:w="412" w:type="pct"/>
            <w:tcBorders>
              <w:top w:val="single" w:sz="4" w:space="0" w:color="auto"/>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4,433</w:t>
            </w:r>
          </w:p>
        </w:tc>
        <w:tc>
          <w:tcPr>
            <w:tcW w:w="405" w:type="pct"/>
            <w:tcBorders>
              <w:top w:val="single" w:sz="4" w:space="0" w:color="auto"/>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56,496</w:t>
            </w:r>
          </w:p>
        </w:tc>
      </w:tr>
      <w:tr w:rsidR="007319CD" w:rsidRPr="007319CD" w:rsidTr="00C371A3">
        <w:trPr>
          <w:trHeight w:val="315"/>
          <w:jc w:val="center"/>
        </w:trPr>
        <w:tc>
          <w:tcPr>
            <w:tcW w:w="483" w:type="pct"/>
            <w:vMerge/>
          </w:tcPr>
          <w:p w:rsidR="00654372" w:rsidRPr="007319CD" w:rsidRDefault="00654372" w:rsidP="00654372">
            <w:pPr>
              <w:pStyle w:val="121"/>
              <w:rPr>
                <w:rFonts w:hAnsi="標楷體"/>
              </w:rPr>
            </w:pPr>
          </w:p>
        </w:tc>
        <w:tc>
          <w:tcPr>
            <w:tcW w:w="407" w:type="pct"/>
            <w:vAlign w:val="center"/>
          </w:tcPr>
          <w:p w:rsidR="00654372" w:rsidRPr="007319CD" w:rsidRDefault="00654372" w:rsidP="00654372">
            <w:pPr>
              <w:pStyle w:val="121"/>
              <w:rPr>
                <w:rFonts w:hAnsi="標楷體"/>
              </w:rPr>
            </w:pPr>
            <w:r w:rsidRPr="007319CD">
              <w:rPr>
                <w:rFonts w:hAnsi="標楷體"/>
              </w:rPr>
              <w:t>非主管</w:t>
            </w:r>
          </w:p>
        </w:tc>
        <w:tc>
          <w:tcPr>
            <w:tcW w:w="473"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74,287</w:t>
            </w:r>
          </w:p>
        </w:tc>
        <w:tc>
          <w:tcPr>
            <w:tcW w:w="350"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3,284</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383</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70,620</w:t>
            </w:r>
          </w:p>
        </w:tc>
        <w:tc>
          <w:tcPr>
            <w:tcW w:w="411"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10,346</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383</w:t>
            </w:r>
          </w:p>
        </w:tc>
        <w:tc>
          <w:tcPr>
            <w:tcW w:w="412"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63,558</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17,408</w:t>
            </w:r>
          </w:p>
        </w:tc>
        <w:tc>
          <w:tcPr>
            <w:tcW w:w="412"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383</w:t>
            </w:r>
          </w:p>
        </w:tc>
        <w:tc>
          <w:tcPr>
            <w:tcW w:w="405"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56,496</w:t>
            </w:r>
          </w:p>
        </w:tc>
      </w:tr>
      <w:tr w:rsidR="007319CD" w:rsidRPr="007319CD" w:rsidTr="00C371A3">
        <w:trPr>
          <w:trHeight w:val="315"/>
          <w:jc w:val="center"/>
        </w:trPr>
        <w:tc>
          <w:tcPr>
            <w:tcW w:w="483" w:type="pct"/>
            <w:vMerge w:val="restart"/>
          </w:tcPr>
          <w:p w:rsidR="00654372" w:rsidRPr="007319CD" w:rsidRDefault="00654372" w:rsidP="00654372">
            <w:pPr>
              <w:pStyle w:val="121"/>
              <w:rPr>
                <w:rFonts w:hAnsi="標楷體"/>
              </w:rPr>
            </w:pPr>
            <w:r w:rsidRPr="007319CD">
              <w:rPr>
                <w:rFonts w:hAnsi="標楷體"/>
              </w:rPr>
              <w:t>教授</w:t>
            </w:r>
          </w:p>
          <w:p w:rsidR="00654372" w:rsidRPr="007319CD" w:rsidRDefault="00654372" w:rsidP="00654372">
            <w:pPr>
              <w:pStyle w:val="121"/>
              <w:rPr>
                <w:rFonts w:hAnsi="標楷體"/>
              </w:rPr>
            </w:pPr>
            <w:r w:rsidRPr="007319CD">
              <w:rPr>
                <w:rFonts w:hAnsi="標楷體"/>
              </w:rPr>
              <w:t>770薪點</w:t>
            </w:r>
          </w:p>
        </w:tc>
        <w:tc>
          <w:tcPr>
            <w:tcW w:w="407" w:type="pct"/>
            <w:vAlign w:val="center"/>
          </w:tcPr>
          <w:p w:rsidR="00654372" w:rsidRPr="007319CD" w:rsidRDefault="00654372" w:rsidP="00654372">
            <w:pPr>
              <w:pStyle w:val="121"/>
              <w:rPr>
                <w:rFonts w:hAnsi="標楷體"/>
              </w:rPr>
            </w:pPr>
            <w:r w:rsidRPr="007319CD">
              <w:rPr>
                <w:rFonts w:hAnsi="標楷體"/>
              </w:rPr>
              <w:t>主管</w:t>
            </w:r>
          </w:p>
        </w:tc>
        <w:tc>
          <w:tcPr>
            <w:tcW w:w="473"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100,843</w:t>
            </w:r>
          </w:p>
        </w:tc>
        <w:tc>
          <w:tcPr>
            <w:tcW w:w="350"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3,583</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79,613</w:t>
            </w:r>
          </w:p>
        </w:tc>
        <w:tc>
          <w:tcPr>
            <w:tcW w:w="411"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11,545</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2"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71,651</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19,506</w:t>
            </w:r>
          </w:p>
        </w:tc>
        <w:tc>
          <w:tcPr>
            <w:tcW w:w="412"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05"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63,690</w:t>
            </w:r>
          </w:p>
        </w:tc>
      </w:tr>
      <w:tr w:rsidR="007319CD" w:rsidRPr="007319CD" w:rsidTr="004226C6">
        <w:trPr>
          <w:trHeight w:val="315"/>
          <w:jc w:val="center"/>
        </w:trPr>
        <w:tc>
          <w:tcPr>
            <w:tcW w:w="483" w:type="pct"/>
            <w:vMerge/>
            <w:tcBorders>
              <w:bottom w:val="single" w:sz="4" w:space="0" w:color="000000"/>
            </w:tcBorders>
            <w:shd w:val="clear" w:color="auto" w:fill="auto"/>
            <w:vAlign w:val="center"/>
          </w:tcPr>
          <w:p w:rsidR="00654372" w:rsidRPr="007319CD" w:rsidRDefault="00654372" w:rsidP="00654372">
            <w:pPr>
              <w:pStyle w:val="121"/>
              <w:rPr>
                <w:rFonts w:hAnsi="標楷體"/>
              </w:rPr>
            </w:pPr>
          </w:p>
        </w:tc>
        <w:tc>
          <w:tcPr>
            <w:tcW w:w="407" w:type="pct"/>
            <w:shd w:val="clear" w:color="auto" w:fill="auto"/>
            <w:vAlign w:val="center"/>
          </w:tcPr>
          <w:p w:rsidR="00654372" w:rsidRPr="007319CD" w:rsidRDefault="00654372" w:rsidP="00654372">
            <w:pPr>
              <w:pStyle w:val="121"/>
              <w:rPr>
                <w:rFonts w:hAnsi="標楷體"/>
              </w:rPr>
            </w:pPr>
            <w:r w:rsidRPr="007319CD">
              <w:rPr>
                <w:rFonts w:hAnsi="標楷體"/>
              </w:rPr>
              <w:t>非主管</w:t>
            </w:r>
          </w:p>
        </w:tc>
        <w:tc>
          <w:tcPr>
            <w:tcW w:w="473"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100,843</w:t>
            </w:r>
          </w:p>
        </w:tc>
        <w:tc>
          <w:tcPr>
            <w:tcW w:w="350"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3,583</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79,613</w:t>
            </w:r>
          </w:p>
        </w:tc>
        <w:tc>
          <w:tcPr>
            <w:tcW w:w="411"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11,545</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2"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71,651</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19,506</w:t>
            </w:r>
          </w:p>
        </w:tc>
        <w:tc>
          <w:tcPr>
            <w:tcW w:w="412"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05"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63,690</w:t>
            </w:r>
          </w:p>
        </w:tc>
      </w:tr>
    </w:tbl>
    <w:p w:rsidR="00DD44C1" w:rsidRPr="007319CD" w:rsidRDefault="00DD44C1" w:rsidP="00DD44C1">
      <w:pPr>
        <w:pStyle w:val="afa"/>
        <w:rPr>
          <w:rFonts w:hAnsi="標楷體"/>
        </w:rPr>
      </w:pPr>
      <w:r w:rsidRPr="007319CD">
        <w:rPr>
          <w:rFonts w:hAnsi="標楷體"/>
        </w:rPr>
        <w:t>資料來源：教育部。</w:t>
      </w:r>
    </w:p>
    <w:p w:rsidR="00DD44C1" w:rsidRPr="007319CD" w:rsidRDefault="00DD44C1" w:rsidP="00DD44C1">
      <w:pPr>
        <w:pStyle w:val="afa"/>
        <w:rPr>
          <w:rFonts w:hAnsi="標楷體"/>
        </w:rPr>
      </w:pPr>
    </w:p>
    <w:p w:rsidR="001F0F2C" w:rsidRPr="007319CD" w:rsidRDefault="001F0F2C" w:rsidP="00DD44C1">
      <w:pPr>
        <w:pStyle w:val="afa"/>
        <w:rPr>
          <w:rFonts w:hAnsi="標楷體"/>
        </w:rPr>
        <w:sectPr w:rsidR="001F0F2C"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教育人員-純新制，任職35年：</w:t>
      </w:r>
      <w:proofErr w:type="gramStart"/>
      <w:r w:rsidRPr="007319CD">
        <w:rPr>
          <w:rFonts w:hAnsi="標楷體"/>
        </w:rPr>
        <w:t>採</w:t>
      </w:r>
      <w:proofErr w:type="gramEnd"/>
      <w:r w:rsidRPr="007319CD">
        <w:rPr>
          <w:rFonts w:hAnsi="標楷體"/>
        </w:rPr>
        <w:t>10年調降75%→60%（120年2月1日退休）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Style w:val="afb"/>
        <w:tblW w:w="5000" w:type="pct"/>
        <w:jc w:val="center"/>
        <w:tblCellMar>
          <w:left w:w="28" w:type="dxa"/>
          <w:right w:w="28" w:type="dxa"/>
        </w:tblCellMar>
        <w:tblLook w:val="04A0" w:firstRow="1" w:lastRow="0" w:firstColumn="1" w:lastColumn="0" w:noHBand="0" w:noVBand="1"/>
      </w:tblPr>
      <w:tblGrid>
        <w:gridCol w:w="830"/>
        <w:gridCol w:w="924"/>
        <w:gridCol w:w="1189"/>
        <w:gridCol w:w="1193"/>
        <w:gridCol w:w="1193"/>
        <w:gridCol w:w="1189"/>
        <w:gridCol w:w="1193"/>
        <w:gridCol w:w="1189"/>
      </w:tblGrid>
      <w:tr w:rsidR="007319CD" w:rsidRPr="007319CD" w:rsidTr="00C371A3">
        <w:trPr>
          <w:trHeight w:val="315"/>
          <w:tblHeader/>
          <w:jc w:val="center"/>
        </w:trPr>
        <w:tc>
          <w:tcPr>
            <w:tcW w:w="467" w:type="pct"/>
            <w:vMerge w:val="restart"/>
            <w:shd w:val="clear" w:color="auto" w:fill="EEECE1" w:themeFill="background2"/>
            <w:vAlign w:val="center"/>
          </w:tcPr>
          <w:p w:rsidR="001F0F2C" w:rsidRPr="007319CD" w:rsidRDefault="001F0F2C" w:rsidP="001F0F2C">
            <w:pPr>
              <w:pStyle w:val="121"/>
              <w:rPr>
                <w:rFonts w:hAnsi="標楷體"/>
              </w:rPr>
            </w:pPr>
            <w:r w:rsidRPr="007319CD">
              <w:rPr>
                <w:rFonts w:hAnsi="標楷體"/>
              </w:rPr>
              <w:t>退休等級</w:t>
            </w:r>
          </w:p>
        </w:tc>
        <w:tc>
          <w:tcPr>
            <w:tcW w:w="519" w:type="pct"/>
            <w:vMerge w:val="restart"/>
            <w:shd w:val="clear" w:color="auto" w:fill="EEECE1" w:themeFill="background2"/>
            <w:vAlign w:val="center"/>
          </w:tcPr>
          <w:p w:rsidR="001F0F2C" w:rsidRPr="007319CD" w:rsidRDefault="001F0F2C" w:rsidP="001F0F2C">
            <w:pPr>
              <w:pStyle w:val="121"/>
              <w:rPr>
                <w:rFonts w:hAnsi="標楷體"/>
              </w:rPr>
            </w:pPr>
            <w:r w:rsidRPr="007319CD">
              <w:rPr>
                <w:rFonts w:hAnsi="標楷體"/>
              </w:rPr>
              <w:t>改革前</w:t>
            </w:r>
          </w:p>
          <w:p w:rsidR="001F0F2C" w:rsidRPr="007319CD" w:rsidRDefault="001F0F2C" w:rsidP="001F0F2C">
            <w:pPr>
              <w:pStyle w:val="121"/>
              <w:rPr>
                <w:rFonts w:hAnsi="標楷體"/>
              </w:rPr>
            </w:pPr>
            <w:r w:rsidRPr="007319CD">
              <w:rPr>
                <w:rFonts w:hAnsi="標楷體"/>
              </w:rPr>
              <w:t>月退休所得</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107.7.1~108.12.31</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113.1.1~113.12.31</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118.1.1以後</w:t>
            </w:r>
          </w:p>
        </w:tc>
      </w:tr>
      <w:tr w:rsidR="007319CD" w:rsidRPr="007319CD" w:rsidTr="00C371A3">
        <w:trPr>
          <w:trHeight w:val="315"/>
          <w:tblHeader/>
          <w:jc w:val="center"/>
        </w:trPr>
        <w:tc>
          <w:tcPr>
            <w:tcW w:w="467" w:type="pct"/>
            <w:vMerge/>
            <w:shd w:val="clear" w:color="auto" w:fill="EEECE1" w:themeFill="background2"/>
            <w:vAlign w:val="center"/>
          </w:tcPr>
          <w:p w:rsidR="001F0F2C" w:rsidRPr="007319CD" w:rsidRDefault="001F0F2C" w:rsidP="001F0F2C">
            <w:pPr>
              <w:pStyle w:val="121"/>
              <w:rPr>
                <w:rFonts w:hAnsi="標楷體"/>
              </w:rPr>
            </w:pPr>
          </w:p>
        </w:tc>
        <w:tc>
          <w:tcPr>
            <w:tcW w:w="519" w:type="pct"/>
            <w:vMerge/>
            <w:shd w:val="clear" w:color="auto" w:fill="EEECE1" w:themeFill="background2"/>
            <w:vAlign w:val="center"/>
          </w:tcPr>
          <w:p w:rsidR="001F0F2C" w:rsidRPr="007319CD" w:rsidRDefault="001F0F2C" w:rsidP="001F0F2C">
            <w:pPr>
              <w:pStyle w:val="121"/>
              <w:rPr>
                <w:rFonts w:hAnsi="標楷體"/>
              </w:rPr>
            </w:pP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替代率75%</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替代率67.5%</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替代率60%</w:t>
            </w:r>
          </w:p>
        </w:tc>
      </w:tr>
      <w:tr w:rsidR="007319CD" w:rsidRPr="007319CD" w:rsidTr="00C371A3">
        <w:trPr>
          <w:trHeight w:val="640"/>
          <w:tblHeader/>
          <w:jc w:val="center"/>
        </w:trPr>
        <w:tc>
          <w:tcPr>
            <w:tcW w:w="467" w:type="pct"/>
            <w:vMerge/>
            <w:shd w:val="clear" w:color="auto" w:fill="EEECE1" w:themeFill="background2"/>
            <w:vAlign w:val="center"/>
          </w:tcPr>
          <w:p w:rsidR="001F0F2C" w:rsidRPr="007319CD" w:rsidRDefault="001F0F2C" w:rsidP="001F0F2C">
            <w:pPr>
              <w:pStyle w:val="121"/>
              <w:rPr>
                <w:rFonts w:hAnsi="標楷體"/>
              </w:rPr>
            </w:pPr>
          </w:p>
        </w:tc>
        <w:tc>
          <w:tcPr>
            <w:tcW w:w="519" w:type="pct"/>
            <w:vMerge/>
            <w:shd w:val="clear" w:color="auto" w:fill="EEECE1" w:themeFill="background2"/>
            <w:vAlign w:val="center"/>
          </w:tcPr>
          <w:p w:rsidR="001F0F2C" w:rsidRPr="007319CD" w:rsidRDefault="001F0F2C" w:rsidP="001F0F2C">
            <w:pPr>
              <w:pStyle w:val="121"/>
              <w:rPr>
                <w:rFonts w:hAnsi="標楷體"/>
              </w:rPr>
            </w:pPr>
          </w:p>
        </w:tc>
        <w:tc>
          <w:tcPr>
            <w:tcW w:w="668"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扣減金額</w:t>
            </w:r>
          </w:p>
        </w:tc>
        <w:tc>
          <w:tcPr>
            <w:tcW w:w="670"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扣減後</w:t>
            </w:r>
            <w:r w:rsidRPr="007319CD">
              <w:rPr>
                <w:rFonts w:hAnsi="標楷體"/>
              </w:rPr>
              <w:br/>
              <w:t>所得</w:t>
            </w:r>
          </w:p>
        </w:tc>
        <w:tc>
          <w:tcPr>
            <w:tcW w:w="670" w:type="pct"/>
            <w:tcBorders>
              <w:left w:val="single" w:sz="4" w:space="0" w:color="auto"/>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w:t>
            </w:r>
            <w:r w:rsidRPr="007319CD">
              <w:rPr>
                <w:rFonts w:hAnsi="標楷體"/>
              </w:rPr>
              <w:br/>
              <w:t>金額</w:t>
            </w:r>
          </w:p>
        </w:tc>
        <w:tc>
          <w:tcPr>
            <w:tcW w:w="668"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扣減後</w:t>
            </w:r>
            <w:r w:rsidRPr="007319CD">
              <w:rPr>
                <w:rFonts w:hAnsi="標楷體"/>
              </w:rPr>
              <w:br/>
              <w:t>所得</w:t>
            </w:r>
          </w:p>
        </w:tc>
        <w:tc>
          <w:tcPr>
            <w:tcW w:w="670" w:type="pct"/>
            <w:tcBorders>
              <w:left w:val="single" w:sz="4" w:space="0" w:color="auto"/>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w:t>
            </w:r>
            <w:r w:rsidRPr="007319CD">
              <w:rPr>
                <w:rFonts w:hAnsi="標楷體"/>
              </w:rPr>
              <w:br/>
              <w:t>金額</w:t>
            </w:r>
          </w:p>
        </w:tc>
        <w:tc>
          <w:tcPr>
            <w:tcW w:w="668"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扣減後</w:t>
            </w:r>
            <w:r w:rsidRPr="007319CD">
              <w:rPr>
                <w:rFonts w:hAnsi="標楷體"/>
              </w:rPr>
              <w:br/>
              <w:t>所得</w:t>
            </w:r>
          </w:p>
        </w:tc>
      </w:tr>
      <w:tr w:rsidR="007319CD" w:rsidRPr="007319CD" w:rsidTr="00C371A3">
        <w:trPr>
          <w:trHeight w:val="730"/>
          <w:jc w:val="center"/>
        </w:trPr>
        <w:tc>
          <w:tcPr>
            <w:tcW w:w="467" w:type="pct"/>
            <w:shd w:val="clear" w:color="auto" w:fill="auto"/>
            <w:vAlign w:val="center"/>
          </w:tcPr>
          <w:p w:rsidR="001F0F2C" w:rsidRPr="007319CD" w:rsidRDefault="001F0F2C" w:rsidP="001F0F2C">
            <w:pPr>
              <w:pStyle w:val="121"/>
              <w:rPr>
                <w:rFonts w:hAnsi="標楷體"/>
              </w:rPr>
            </w:pPr>
            <w:r w:rsidRPr="007319CD">
              <w:rPr>
                <w:rFonts w:hAnsi="標楷體"/>
              </w:rPr>
              <w:t>中小學</w:t>
            </w:r>
          </w:p>
          <w:p w:rsidR="001F0F2C" w:rsidRPr="007319CD" w:rsidRDefault="001F0F2C" w:rsidP="001F0F2C">
            <w:pPr>
              <w:pStyle w:val="121"/>
              <w:rPr>
                <w:rFonts w:hAnsi="標楷體"/>
              </w:rPr>
            </w:pPr>
            <w:r w:rsidRPr="007319CD">
              <w:rPr>
                <w:rFonts w:hAnsi="標楷體"/>
              </w:rPr>
              <w:t>教師</w:t>
            </w:r>
          </w:p>
          <w:p w:rsidR="001F0F2C" w:rsidRPr="007319CD" w:rsidRDefault="001F0F2C" w:rsidP="001F0F2C">
            <w:pPr>
              <w:pStyle w:val="121"/>
              <w:rPr>
                <w:rFonts w:hAnsi="標楷體"/>
              </w:rPr>
            </w:pPr>
            <w:r w:rsidRPr="007319CD">
              <w:rPr>
                <w:rFonts w:hAnsi="標楷體"/>
              </w:rPr>
              <w:t>625薪點</w:t>
            </w:r>
          </w:p>
        </w:tc>
        <w:tc>
          <w:tcPr>
            <w:tcW w:w="519"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65,912</w:t>
            </w:r>
          </w:p>
        </w:tc>
        <w:tc>
          <w:tcPr>
            <w:tcW w:w="668" w:type="pct"/>
            <w:tcBorders>
              <w:top w:val="single" w:sz="4" w:space="0" w:color="auto"/>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single" w:sz="4" w:space="0" w:color="auto"/>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68"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9,416</w:t>
            </w:r>
          </w:p>
        </w:tc>
        <w:tc>
          <w:tcPr>
            <w:tcW w:w="668" w:type="pct"/>
            <w:tcBorders>
              <w:top w:val="single" w:sz="4" w:space="0" w:color="auto"/>
              <w:left w:val="nil"/>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56,496</w:t>
            </w:r>
          </w:p>
        </w:tc>
      </w:tr>
      <w:tr w:rsidR="007319CD" w:rsidRPr="007319CD" w:rsidTr="00C371A3">
        <w:trPr>
          <w:trHeight w:val="730"/>
          <w:jc w:val="center"/>
        </w:trPr>
        <w:tc>
          <w:tcPr>
            <w:tcW w:w="467" w:type="pct"/>
          </w:tcPr>
          <w:p w:rsidR="001F0F2C" w:rsidRPr="007319CD" w:rsidRDefault="001F0F2C" w:rsidP="001F0F2C">
            <w:pPr>
              <w:pStyle w:val="121"/>
              <w:rPr>
                <w:rFonts w:hAnsi="標楷體"/>
              </w:rPr>
            </w:pPr>
            <w:r w:rsidRPr="007319CD">
              <w:rPr>
                <w:rFonts w:hAnsi="標楷體"/>
              </w:rPr>
              <w:t>教授</w:t>
            </w:r>
          </w:p>
          <w:p w:rsidR="001F0F2C" w:rsidRPr="007319CD" w:rsidRDefault="001F0F2C" w:rsidP="001F0F2C">
            <w:pPr>
              <w:pStyle w:val="121"/>
              <w:rPr>
                <w:rFonts w:hAnsi="標楷體"/>
              </w:rPr>
            </w:pPr>
            <w:r w:rsidRPr="007319CD">
              <w:rPr>
                <w:rFonts w:hAnsi="標楷體"/>
              </w:rPr>
              <w:t>770薪點</w:t>
            </w:r>
          </w:p>
        </w:tc>
        <w:tc>
          <w:tcPr>
            <w:tcW w:w="519"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74,305</w:t>
            </w:r>
          </w:p>
        </w:tc>
        <w:tc>
          <w:tcPr>
            <w:tcW w:w="668" w:type="pct"/>
            <w:tcBorders>
              <w:top w:val="nil"/>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nil"/>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68"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10,615</w:t>
            </w:r>
          </w:p>
        </w:tc>
        <w:tc>
          <w:tcPr>
            <w:tcW w:w="668" w:type="pct"/>
            <w:tcBorders>
              <w:top w:val="nil"/>
              <w:left w:val="nil"/>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63,690</w:t>
            </w:r>
          </w:p>
        </w:tc>
      </w:tr>
    </w:tbl>
    <w:p w:rsidR="00DD44C1" w:rsidRPr="007319CD" w:rsidRDefault="00DD44C1" w:rsidP="00DD44C1">
      <w:pPr>
        <w:kinsoku w:val="0"/>
        <w:overflowPunct/>
        <w:adjustRightInd w:val="0"/>
        <w:snapToGrid w:val="0"/>
        <w:spacing w:before="40" w:line="360" w:lineRule="exact"/>
        <w:ind w:left="1191" w:hangingChars="425" w:hanging="1191"/>
        <w:rPr>
          <w:rFonts w:hAnsi="標楷體"/>
        </w:rPr>
      </w:pPr>
      <w:r w:rsidRPr="007319CD">
        <w:rPr>
          <w:rFonts w:hAnsi="標楷體"/>
          <w:spacing w:val="-10"/>
          <w:kern w:val="0"/>
          <w:sz w:val="28"/>
          <w:szCs w:val="22"/>
        </w:rPr>
        <w:t>說明：1、退休金計算基準，以</w:t>
      </w:r>
      <w:proofErr w:type="gramStart"/>
      <w:r w:rsidRPr="007319CD">
        <w:rPr>
          <w:rFonts w:hAnsi="標楷體"/>
          <w:spacing w:val="-10"/>
          <w:kern w:val="0"/>
          <w:sz w:val="28"/>
          <w:szCs w:val="22"/>
        </w:rPr>
        <w:t>120</w:t>
      </w:r>
      <w:proofErr w:type="gramEnd"/>
      <w:r w:rsidRPr="007319CD">
        <w:rPr>
          <w:rFonts w:hAnsi="標楷體"/>
          <w:spacing w:val="-10"/>
          <w:kern w:val="0"/>
          <w:sz w:val="28"/>
          <w:szCs w:val="22"/>
        </w:rPr>
        <w:t>年度實施之</w:t>
      </w:r>
      <w:proofErr w:type="gramStart"/>
      <w:r w:rsidRPr="007319CD">
        <w:rPr>
          <w:rFonts w:hAnsi="標楷體"/>
          <w:spacing w:val="-10"/>
          <w:kern w:val="0"/>
          <w:sz w:val="28"/>
          <w:szCs w:val="22"/>
        </w:rPr>
        <w:t>均薪年</w:t>
      </w:r>
      <w:proofErr w:type="gramEnd"/>
      <w:r w:rsidRPr="007319CD">
        <w:rPr>
          <w:rFonts w:hAnsi="標楷體"/>
          <w:spacing w:val="-10"/>
          <w:kern w:val="0"/>
          <w:sz w:val="28"/>
          <w:szCs w:val="22"/>
        </w:rPr>
        <w:t>數15年計算，之後不再調整</w:t>
      </w:r>
      <w:proofErr w:type="gramStart"/>
      <w:r w:rsidRPr="007319CD">
        <w:rPr>
          <w:rFonts w:hAnsi="標楷體"/>
          <w:spacing w:val="-10"/>
          <w:kern w:val="0"/>
          <w:sz w:val="28"/>
          <w:szCs w:val="22"/>
        </w:rPr>
        <w:t>均薪年</w:t>
      </w:r>
      <w:proofErr w:type="gramEnd"/>
      <w:r w:rsidRPr="007319CD">
        <w:rPr>
          <w:rFonts w:hAnsi="標楷體"/>
          <w:spacing w:val="-10"/>
          <w:kern w:val="0"/>
          <w:sz w:val="28"/>
          <w:szCs w:val="22"/>
        </w:rPr>
        <w:t>數。</w:t>
      </w:r>
      <w:proofErr w:type="gramStart"/>
      <w:r w:rsidRPr="007319CD">
        <w:rPr>
          <w:rFonts w:hAnsi="標楷體"/>
          <w:spacing w:val="-10"/>
          <w:kern w:val="0"/>
          <w:sz w:val="28"/>
          <w:szCs w:val="22"/>
        </w:rPr>
        <w:t>但均薪影響</w:t>
      </w:r>
      <w:proofErr w:type="gramEnd"/>
      <w:r w:rsidRPr="007319CD">
        <w:rPr>
          <w:rFonts w:hAnsi="標楷體"/>
          <w:spacing w:val="-10"/>
          <w:kern w:val="0"/>
          <w:sz w:val="28"/>
          <w:szCs w:val="22"/>
        </w:rPr>
        <w:t>仍應視個人經歷為據。</w:t>
      </w:r>
    </w:p>
    <w:p w:rsidR="00DD44C1" w:rsidRPr="007319CD" w:rsidRDefault="00DD44C1" w:rsidP="00DD44C1">
      <w:pPr>
        <w:kinsoku w:val="0"/>
        <w:overflowPunct/>
        <w:adjustRightInd w:val="0"/>
        <w:snapToGrid w:val="0"/>
        <w:spacing w:before="40" w:line="360" w:lineRule="exact"/>
        <w:ind w:leftChars="230" w:left="1202" w:hangingChars="150" w:hanging="420"/>
        <w:rPr>
          <w:rFonts w:hAnsi="標楷體"/>
        </w:rPr>
      </w:pPr>
      <w:r w:rsidRPr="007319CD">
        <w:rPr>
          <w:rFonts w:hAnsi="標楷體"/>
          <w:spacing w:val="-10"/>
          <w:kern w:val="0"/>
          <w:sz w:val="28"/>
          <w:szCs w:val="22"/>
        </w:rPr>
        <w:t>2、假設純新制人員之公</w:t>
      </w:r>
      <w:proofErr w:type="gramStart"/>
      <w:r w:rsidRPr="007319CD">
        <w:rPr>
          <w:rFonts w:hAnsi="標楷體"/>
          <w:spacing w:val="-10"/>
          <w:kern w:val="0"/>
          <w:sz w:val="28"/>
          <w:szCs w:val="22"/>
        </w:rPr>
        <w:t>保均擇領</w:t>
      </w:r>
      <w:proofErr w:type="gramEnd"/>
      <w:r w:rsidRPr="007319CD">
        <w:rPr>
          <w:rFonts w:hAnsi="標楷體"/>
          <w:spacing w:val="-10"/>
          <w:kern w:val="0"/>
          <w:sz w:val="28"/>
          <w:szCs w:val="22"/>
        </w:rPr>
        <w:t>一次給付，故</w:t>
      </w:r>
      <w:proofErr w:type="gramStart"/>
      <w:r w:rsidRPr="007319CD">
        <w:rPr>
          <w:rFonts w:hAnsi="標楷體"/>
          <w:spacing w:val="-10"/>
          <w:kern w:val="0"/>
          <w:sz w:val="28"/>
          <w:szCs w:val="22"/>
        </w:rPr>
        <w:t>所列月退休</w:t>
      </w:r>
      <w:proofErr w:type="gramEnd"/>
      <w:r w:rsidRPr="007319CD">
        <w:rPr>
          <w:rFonts w:hAnsi="標楷體"/>
          <w:spacing w:val="-10"/>
          <w:kern w:val="0"/>
          <w:sz w:val="28"/>
          <w:szCs w:val="22"/>
        </w:rPr>
        <w:t>所得</w:t>
      </w:r>
      <w:proofErr w:type="gramStart"/>
      <w:r w:rsidRPr="007319CD">
        <w:rPr>
          <w:rFonts w:hAnsi="標楷體"/>
          <w:spacing w:val="-10"/>
          <w:kern w:val="0"/>
          <w:sz w:val="28"/>
          <w:szCs w:val="22"/>
        </w:rPr>
        <w:t>金額均不含</w:t>
      </w:r>
      <w:proofErr w:type="gramEnd"/>
      <w:r w:rsidRPr="007319CD">
        <w:rPr>
          <w:rFonts w:hAnsi="標楷體"/>
          <w:spacing w:val="-10"/>
          <w:kern w:val="0"/>
          <w:sz w:val="28"/>
          <w:szCs w:val="22"/>
        </w:rPr>
        <w:t>公保年金。</w:t>
      </w:r>
    </w:p>
    <w:p w:rsidR="00DD44C1" w:rsidRPr="007319CD" w:rsidRDefault="00DD44C1" w:rsidP="00DD44C1">
      <w:pPr>
        <w:pStyle w:val="afa"/>
        <w:rPr>
          <w:rFonts w:hAnsi="標楷體"/>
        </w:rPr>
      </w:pPr>
      <w:r w:rsidRPr="007319CD">
        <w:rPr>
          <w:rFonts w:hAnsi="標楷體"/>
        </w:rPr>
        <w:t>資料來源：教育部。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b/>
          <w:szCs w:val="32"/>
        </w:rPr>
      </w:pPr>
      <w:r w:rsidRPr="007319CD">
        <w:rPr>
          <w:rFonts w:hAnsi="標楷體"/>
        </w:rPr>
        <w:lastRenderedPageBreak/>
        <w:t>近5年國富淨額-按經濟部門分</w:t>
      </w:r>
    </w:p>
    <w:tbl>
      <w:tblPr>
        <w:tblW w:w="8794" w:type="dxa"/>
        <w:tblInd w:w="23" w:type="dxa"/>
        <w:tblBorders>
          <w:top w:val="single" w:sz="4" w:space="0" w:color="auto"/>
          <w:bottom w:val="single" w:sz="4" w:space="0" w:color="auto"/>
          <w:insideV w:val="single" w:sz="4" w:space="0" w:color="auto"/>
        </w:tblBorders>
        <w:tblCellMar>
          <w:left w:w="28" w:type="dxa"/>
          <w:right w:w="28" w:type="dxa"/>
        </w:tblCellMar>
        <w:tblLook w:val="04A0" w:firstRow="1" w:lastRow="0" w:firstColumn="1" w:lastColumn="0" w:noHBand="0" w:noVBand="1"/>
      </w:tblPr>
      <w:tblGrid>
        <w:gridCol w:w="1172"/>
        <w:gridCol w:w="1172"/>
        <w:gridCol w:w="1157"/>
        <w:gridCol w:w="1236"/>
        <w:gridCol w:w="1505"/>
        <w:gridCol w:w="1418"/>
        <w:gridCol w:w="1134"/>
      </w:tblGrid>
      <w:tr w:rsidR="007319CD" w:rsidRPr="007319CD" w:rsidTr="00897AB5">
        <w:trPr>
          <w:trHeight w:val="465"/>
        </w:trPr>
        <w:tc>
          <w:tcPr>
            <w:tcW w:w="1172" w:type="dxa"/>
            <w:vMerge w:val="restart"/>
            <w:tcBorders>
              <w:top w:val="single" w:sz="4" w:space="0" w:color="auto"/>
            </w:tcBorders>
            <w:shd w:val="clear" w:color="auto" w:fill="EEECE1" w:themeFill="background2"/>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年</w:t>
            </w:r>
          </w:p>
        </w:tc>
        <w:tc>
          <w:tcPr>
            <w:tcW w:w="1172" w:type="dxa"/>
            <w:vMerge w:val="restart"/>
            <w:tcBorders>
              <w:top w:val="single" w:sz="4" w:space="0" w:color="auto"/>
              <w:bottom w:val="single" w:sz="4" w:space="0" w:color="auto"/>
              <w:right w:val="nil"/>
            </w:tcBorders>
            <w:shd w:val="clear" w:color="auto" w:fill="EEECE1" w:themeFill="background2"/>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國富</w:t>
            </w:r>
          </w:p>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淨額</w:t>
            </w:r>
          </w:p>
        </w:tc>
        <w:tc>
          <w:tcPr>
            <w:tcW w:w="6450" w:type="dxa"/>
            <w:gridSpan w:val="5"/>
            <w:tcBorders>
              <w:top w:val="single" w:sz="4" w:space="0" w:color="auto"/>
              <w:left w:val="nil"/>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p>
        </w:tc>
      </w:tr>
      <w:tr w:rsidR="007319CD" w:rsidRPr="007319CD" w:rsidTr="00897AB5">
        <w:trPr>
          <w:trHeight w:val="933"/>
        </w:trPr>
        <w:tc>
          <w:tcPr>
            <w:tcW w:w="1172" w:type="dxa"/>
            <w:vMerge/>
            <w:tcBorders>
              <w:bottom w:val="single" w:sz="4" w:space="0" w:color="auto"/>
            </w:tcBorders>
            <w:shd w:val="clear" w:color="auto" w:fill="EEECE1" w:themeFill="background2"/>
          </w:tcPr>
          <w:p w:rsidR="00DD44C1" w:rsidRPr="007319CD" w:rsidRDefault="00DD44C1" w:rsidP="00897AB5">
            <w:pPr>
              <w:widowControl/>
              <w:spacing w:line="460" w:lineRule="exact"/>
              <w:rPr>
                <w:rFonts w:hAnsi="標楷體"/>
                <w:kern w:val="0"/>
                <w:sz w:val="28"/>
                <w:szCs w:val="28"/>
              </w:rPr>
            </w:pPr>
          </w:p>
        </w:tc>
        <w:tc>
          <w:tcPr>
            <w:tcW w:w="1172" w:type="dxa"/>
            <w:vMerge/>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p>
        </w:tc>
        <w:tc>
          <w:tcPr>
            <w:tcW w:w="1157"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家庭</w:t>
            </w:r>
          </w:p>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部門</w:t>
            </w:r>
          </w:p>
        </w:tc>
        <w:tc>
          <w:tcPr>
            <w:tcW w:w="1236"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非營利團體</w:t>
            </w:r>
          </w:p>
        </w:tc>
        <w:tc>
          <w:tcPr>
            <w:tcW w:w="1505"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非金融企業部門</w:t>
            </w:r>
          </w:p>
        </w:tc>
        <w:tc>
          <w:tcPr>
            <w:tcW w:w="1418"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金融企業部門</w:t>
            </w:r>
          </w:p>
        </w:tc>
        <w:tc>
          <w:tcPr>
            <w:tcW w:w="1134" w:type="dxa"/>
            <w:tcBorders>
              <w:top w:val="single" w:sz="4" w:space="0" w:color="auto"/>
              <w:bottom w:val="single" w:sz="4" w:space="0" w:color="auto"/>
            </w:tcBorders>
            <w:shd w:val="clear" w:color="auto" w:fill="EEECE1" w:themeFill="background2"/>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政府</w:t>
            </w:r>
          </w:p>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部門</w:t>
            </w:r>
          </w:p>
        </w:tc>
      </w:tr>
      <w:tr w:rsidR="007319CD" w:rsidRPr="007319CD" w:rsidTr="00897AB5">
        <w:trPr>
          <w:trHeight w:val="340"/>
        </w:trPr>
        <w:tc>
          <w:tcPr>
            <w:tcW w:w="1172" w:type="dxa"/>
            <w:tcBorders>
              <w:top w:val="single" w:sz="4" w:space="0" w:color="auto"/>
            </w:tcBorders>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2011</w:t>
            </w:r>
          </w:p>
        </w:tc>
        <w:tc>
          <w:tcPr>
            <w:tcW w:w="1172"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148.98</w:t>
            </w:r>
          </w:p>
        </w:tc>
        <w:tc>
          <w:tcPr>
            <w:tcW w:w="1157"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84.02</w:t>
            </w:r>
          </w:p>
        </w:tc>
        <w:tc>
          <w:tcPr>
            <w:tcW w:w="1236"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6.39</w:t>
            </w:r>
          </w:p>
        </w:tc>
        <w:tc>
          <w:tcPr>
            <w:tcW w:w="1505"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20.04</w:t>
            </w:r>
          </w:p>
        </w:tc>
        <w:tc>
          <w:tcPr>
            <w:tcW w:w="1418"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0.44</w:t>
            </w:r>
          </w:p>
        </w:tc>
        <w:tc>
          <w:tcPr>
            <w:tcW w:w="1134"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38.10</w:t>
            </w:r>
          </w:p>
        </w:tc>
      </w:tr>
      <w:tr w:rsidR="007319CD" w:rsidRPr="007319CD" w:rsidTr="00897AB5">
        <w:trPr>
          <w:trHeight w:val="340"/>
        </w:trPr>
        <w:tc>
          <w:tcPr>
            <w:tcW w:w="1172" w:type="dxa"/>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2012</w:t>
            </w:r>
          </w:p>
        </w:tc>
        <w:tc>
          <w:tcPr>
            <w:tcW w:w="1172"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157.45</w:t>
            </w:r>
          </w:p>
        </w:tc>
        <w:tc>
          <w:tcPr>
            <w:tcW w:w="1157"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90.73</w:t>
            </w:r>
          </w:p>
        </w:tc>
        <w:tc>
          <w:tcPr>
            <w:tcW w:w="1236"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6.71</w:t>
            </w:r>
          </w:p>
        </w:tc>
        <w:tc>
          <w:tcPr>
            <w:tcW w:w="1505"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19.37</w:t>
            </w:r>
          </w:p>
        </w:tc>
        <w:tc>
          <w:tcPr>
            <w:tcW w:w="1418"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0.28</w:t>
            </w:r>
          </w:p>
        </w:tc>
        <w:tc>
          <w:tcPr>
            <w:tcW w:w="1134"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40.35</w:t>
            </w:r>
          </w:p>
        </w:tc>
      </w:tr>
      <w:tr w:rsidR="007319CD" w:rsidRPr="007319CD" w:rsidTr="00897AB5">
        <w:trPr>
          <w:trHeight w:val="340"/>
        </w:trPr>
        <w:tc>
          <w:tcPr>
            <w:tcW w:w="1172" w:type="dxa"/>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2013</w:t>
            </w:r>
          </w:p>
        </w:tc>
        <w:tc>
          <w:tcPr>
            <w:tcW w:w="1172"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172.03</w:t>
            </w:r>
          </w:p>
        </w:tc>
        <w:tc>
          <w:tcPr>
            <w:tcW w:w="1157"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99.31</w:t>
            </w:r>
          </w:p>
        </w:tc>
        <w:tc>
          <w:tcPr>
            <w:tcW w:w="1236"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7.03</w:t>
            </w:r>
          </w:p>
        </w:tc>
        <w:tc>
          <w:tcPr>
            <w:tcW w:w="1505"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20.23</w:t>
            </w:r>
          </w:p>
        </w:tc>
        <w:tc>
          <w:tcPr>
            <w:tcW w:w="1418"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0.66</w:t>
            </w:r>
          </w:p>
        </w:tc>
        <w:tc>
          <w:tcPr>
            <w:tcW w:w="1134"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44.80</w:t>
            </w:r>
          </w:p>
        </w:tc>
      </w:tr>
      <w:tr w:rsidR="007319CD" w:rsidRPr="007319CD" w:rsidTr="00897AB5">
        <w:trPr>
          <w:trHeight w:val="340"/>
        </w:trPr>
        <w:tc>
          <w:tcPr>
            <w:tcW w:w="1172" w:type="dxa"/>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2014</w:t>
            </w:r>
          </w:p>
        </w:tc>
        <w:tc>
          <w:tcPr>
            <w:tcW w:w="1172"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187.58</w:t>
            </w:r>
          </w:p>
        </w:tc>
        <w:tc>
          <w:tcPr>
            <w:tcW w:w="1157"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108.03</w:t>
            </w:r>
          </w:p>
        </w:tc>
        <w:tc>
          <w:tcPr>
            <w:tcW w:w="1236"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7.63</w:t>
            </w:r>
          </w:p>
        </w:tc>
        <w:tc>
          <w:tcPr>
            <w:tcW w:w="1505"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21.16</w:t>
            </w:r>
          </w:p>
        </w:tc>
        <w:tc>
          <w:tcPr>
            <w:tcW w:w="1418"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1.34</w:t>
            </w:r>
          </w:p>
        </w:tc>
        <w:tc>
          <w:tcPr>
            <w:tcW w:w="1134"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49.43</w:t>
            </w:r>
          </w:p>
        </w:tc>
      </w:tr>
      <w:tr w:rsidR="007319CD" w:rsidRPr="007319CD" w:rsidTr="00897AB5">
        <w:trPr>
          <w:trHeight w:val="340"/>
        </w:trPr>
        <w:tc>
          <w:tcPr>
            <w:tcW w:w="1172" w:type="dxa"/>
            <w:tcBorders>
              <w:bottom w:val="single" w:sz="4" w:space="0" w:color="auto"/>
            </w:tcBorders>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2015</w:t>
            </w:r>
          </w:p>
        </w:tc>
        <w:tc>
          <w:tcPr>
            <w:tcW w:w="1172"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198.22</w:t>
            </w:r>
          </w:p>
        </w:tc>
        <w:tc>
          <w:tcPr>
            <w:tcW w:w="1157"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113.42</w:t>
            </w:r>
          </w:p>
        </w:tc>
        <w:tc>
          <w:tcPr>
            <w:tcW w:w="1236"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7.60</w:t>
            </w:r>
          </w:p>
        </w:tc>
        <w:tc>
          <w:tcPr>
            <w:tcW w:w="1505"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24.82</w:t>
            </w:r>
          </w:p>
        </w:tc>
        <w:tc>
          <w:tcPr>
            <w:tcW w:w="1418"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0.71</w:t>
            </w:r>
          </w:p>
        </w:tc>
        <w:tc>
          <w:tcPr>
            <w:tcW w:w="1134"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51.67</w:t>
            </w:r>
          </w:p>
        </w:tc>
      </w:tr>
      <w:tr w:rsidR="007319CD" w:rsidRPr="007319CD" w:rsidTr="00897AB5">
        <w:trPr>
          <w:trHeight w:val="340"/>
        </w:trPr>
        <w:tc>
          <w:tcPr>
            <w:tcW w:w="1172" w:type="dxa"/>
            <w:tcBorders>
              <w:top w:val="single" w:sz="4" w:space="0" w:color="auto"/>
              <w:bottom w:val="single" w:sz="4" w:space="0" w:color="auto"/>
            </w:tcBorders>
            <w:vAlign w:val="center"/>
          </w:tcPr>
          <w:p w:rsidR="00DD44C1" w:rsidRPr="007319CD" w:rsidRDefault="00DD44C1" w:rsidP="00897AB5">
            <w:pPr>
              <w:widowControl/>
              <w:spacing w:line="340" w:lineRule="exact"/>
              <w:rPr>
                <w:rFonts w:hAnsi="標楷體"/>
                <w:kern w:val="0"/>
                <w:szCs w:val="24"/>
              </w:rPr>
            </w:pPr>
            <w:r w:rsidRPr="007319CD">
              <w:rPr>
                <w:rFonts w:hAnsi="標楷體"/>
                <w:kern w:val="0"/>
                <w:szCs w:val="24"/>
              </w:rPr>
              <w:t>2015年底較2011年底淨額增減率(%)</w:t>
            </w:r>
          </w:p>
        </w:tc>
        <w:tc>
          <w:tcPr>
            <w:tcW w:w="1172"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33.05</w:t>
            </w:r>
          </w:p>
        </w:tc>
        <w:tc>
          <w:tcPr>
            <w:tcW w:w="1157"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34.99</w:t>
            </w:r>
          </w:p>
        </w:tc>
        <w:tc>
          <w:tcPr>
            <w:tcW w:w="1236"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18.90</w:t>
            </w:r>
          </w:p>
        </w:tc>
        <w:tc>
          <w:tcPr>
            <w:tcW w:w="1505"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23.89</w:t>
            </w:r>
          </w:p>
        </w:tc>
        <w:tc>
          <w:tcPr>
            <w:tcW w:w="1418"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63.21</w:t>
            </w:r>
          </w:p>
        </w:tc>
        <w:tc>
          <w:tcPr>
            <w:tcW w:w="1134"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35.61</w:t>
            </w:r>
          </w:p>
        </w:tc>
      </w:tr>
    </w:tbl>
    <w:p w:rsidR="00DD44C1" w:rsidRPr="007319CD" w:rsidRDefault="00DD44C1" w:rsidP="00DD44C1">
      <w:pPr>
        <w:pStyle w:val="afa"/>
        <w:rPr>
          <w:rFonts w:hAnsi="標楷體"/>
        </w:rPr>
      </w:pPr>
      <w:r w:rsidRPr="007319CD">
        <w:rPr>
          <w:rFonts w:hAnsi="標楷體"/>
        </w:rPr>
        <w:t>資料來源：行政院主計總處。</w:t>
      </w:r>
    </w:p>
    <w:p w:rsidR="00DD44C1" w:rsidRPr="007319CD" w:rsidRDefault="00DD44C1" w:rsidP="00DD44C1">
      <w:pPr>
        <w:rPr>
          <w:rFonts w:hAnsi="標楷體"/>
        </w:rPr>
      </w:pPr>
      <w:r w:rsidRPr="007319CD">
        <w:rPr>
          <w:rFonts w:hAnsi="標楷體"/>
        </w:rPr>
        <w:br w:type="page"/>
      </w:r>
    </w:p>
    <w:p w:rsidR="00DD44C1" w:rsidRPr="007319CD" w:rsidRDefault="00DD44C1" w:rsidP="00012988">
      <w:pPr>
        <w:pStyle w:val="a0"/>
        <w:numPr>
          <w:ilvl w:val="0"/>
          <w:numId w:val="2"/>
        </w:numPr>
        <w:ind w:left="1361" w:hanging="1361"/>
        <w:rPr>
          <w:rFonts w:hAnsi="標楷體"/>
          <w:kern w:val="0"/>
          <w:szCs w:val="32"/>
        </w:rPr>
      </w:pPr>
      <w:r w:rsidRPr="007319CD">
        <w:rPr>
          <w:rFonts w:hAnsi="標楷體"/>
        </w:rPr>
        <w:lastRenderedPageBreak/>
        <w:t>戶數五等分位組之所得分配比與所得差距</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70"/>
        <w:gridCol w:w="1124"/>
        <w:gridCol w:w="1155"/>
        <w:gridCol w:w="1155"/>
        <w:gridCol w:w="1155"/>
        <w:gridCol w:w="1157"/>
        <w:gridCol w:w="1269"/>
        <w:gridCol w:w="999"/>
      </w:tblGrid>
      <w:tr w:rsidR="007319CD" w:rsidRPr="007319CD" w:rsidTr="00897AB5">
        <w:trPr>
          <w:trHeight w:val="20"/>
          <w:tblCellSpacing w:w="0" w:type="dxa"/>
        </w:trPr>
        <w:tc>
          <w:tcPr>
            <w:tcW w:w="490" w:type="pct"/>
            <w:vMerge w:val="restart"/>
            <w:tcBorders>
              <w:top w:val="single" w:sz="4" w:space="0" w:color="auto"/>
              <w:bottom w:val="single" w:sz="4" w:space="0" w:color="auto"/>
              <w:right w:val="single" w:sz="6" w:space="0" w:color="000000"/>
            </w:tcBorders>
            <w:shd w:val="clear" w:color="auto" w:fill="EEECE1" w:themeFill="background2"/>
            <w:vAlign w:val="center"/>
            <w:hideMark/>
          </w:tcPr>
          <w:p w:rsidR="00DD44C1" w:rsidRPr="007319CD" w:rsidRDefault="00DD44C1" w:rsidP="00897AB5">
            <w:pPr>
              <w:pStyle w:val="14"/>
              <w:rPr>
                <w:rFonts w:hAnsi="標楷體"/>
              </w:rPr>
            </w:pPr>
            <w:proofErr w:type="gramStart"/>
            <w:r w:rsidRPr="007319CD">
              <w:rPr>
                <w:rFonts w:hAnsi="標楷體"/>
              </w:rPr>
              <w:t>年別</w:t>
            </w:r>
            <w:proofErr w:type="gramEnd"/>
          </w:p>
        </w:tc>
        <w:tc>
          <w:tcPr>
            <w:tcW w:w="3234" w:type="pct"/>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4"/>
              <w:rPr>
                <w:rFonts w:hAnsi="標楷體"/>
              </w:rPr>
            </w:pPr>
            <w:r w:rsidRPr="007319CD">
              <w:rPr>
                <w:rFonts w:hAnsi="標楷體"/>
              </w:rPr>
              <w:t>可支配所得按戶數五等分位組之所得分配比(%)</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4"/>
              <w:rPr>
                <w:rFonts w:hAnsi="標楷體"/>
              </w:rPr>
            </w:pPr>
            <w:r w:rsidRPr="007319CD">
              <w:rPr>
                <w:rFonts w:hAnsi="標楷體"/>
              </w:rPr>
              <w:t>第五分位組為第一分位組之倍數(</w:t>
            </w:r>
            <w:proofErr w:type="gramStart"/>
            <w:r w:rsidRPr="007319CD">
              <w:rPr>
                <w:rFonts w:hAnsi="標楷體"/>
              </w:rPr>
              <w:t>倍</w:t>
            </w:r>
            <w:proofErr w:type="gramEnd"/>
            <w:r w:rsidRPr="007319CD">
              <w:rPr>
                <w:rFonts w:hAnsi="標楷體"/>
              </w:rPr>
              <w:t>)</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4"/>
              <w:rPr>
                <w:rFonts w:hAnsi="標楷體"/>
              </w:rPr>
            </w:pPr>
            <w:r w:rsidRPr="007319CD">
              <w:rPr>
                <w:rFonts w:hAnsi="標楷體"/>
              </w:rPr>
              <w:t>吉 尼</w:t>
            </w:r>
          </w:p>
          <w:p w:rsidR="00DD44C1" w:rsidRPr="007319CD" w:rsidRDefault="00DD44C1" w:rsidP="00897AB5">
            <w:pPr>
              <w:pStyle w:val="14"/>
              <w:rPr>
                <w:rFonts w:hAnsi="標楷體"/>
              </w:rPr>
            </w:pPr>
            <w:r w:rsidRPr="007319CD">
              <w:rPr>
                <w:rFonts w:hAnsi="標楷體"/>
              </w:rPr>
              <w:t>係 數</w:t>
            </w:r>
          </w:p>
        </w:tc>
      </w:tr>
      <w:tr w:rsidR="007319CD" w:rsidRPr="007319CD" w:rsidTr="00897AB5">
        <w:trPr>
          <w:trHeight w:val="20"/>
          <w:tblCellSpacing w:w="0" w:type="dxa"/>
        </w:trPr>
        <w:tc>
          <w:tcPr>
            <w:tcW w:w="490" w:type="pct"/>
            <w:vMerge/>
            <w:tcBorders>
              <w:top w:val="single" w:sz="6" w:space="0" w:color="000000"/>
              <w:bottom w:val="single" w:sz="6" w:space="0" w:color="000000"/>
              <w:right w:val="single" w:sz="6" w:space="0" w:color="000000"/>
            </w:tcBorders>
            <w:vAlign w:val="center"/>
            <w:hideMark/>
          </w:tcPr>
          <w:p w:rsidR="00DD44C1" w:rsidRPr="007319CD" w:rsidRDefault="00DD44C1" w:rsidP="00897AB5">
            <w:pPr>
              <w:pStyle w:val="14"/>
              <w:rPr>
                <w:rFonts w:hAnsi="標楷體"/>
              </w:rPr>
            </w:pPr>
          </w:p>
        </w:tc>
        <w:tc>
          <w:tcPr>
            <w:tcW w:w="63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1</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2</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3</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4</w:t>
            </w:r>
          </w:p>
        </w:tc>
        <w:tc>
          <w:tcPr>
            <w:tcW w:w="65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5</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r>
      <w:tr w:rsidR="007319CD" w:rsidRPr="007319CD" w:rsidTr="00897AB5">
        <w:trPr>
          <w:trHeight w:val="20"/>
          <w:tblCellSpacing w:w="0" w:type="dxa"/>
        </w:trPr>
        <w:tc>
          <w:tcPr>
            <w:tcW w:w="490" w:type="pct"/>
            <w:vMerge/>
            <w:tcBorders>
              <w:top w:val="single" w:sz="6" w:space="0" w:color="000000"/>
              <w:bottom w:val="single" w:sz="6" w:space="0" w:color="000000"/>
              <w:right w:val="single" w:sz="6" w:space="0" w:color="000000"/>
            </w:tcBorders>
            <w:vAlign w:val="center"/>
            <w:hideMark/>
          </w:tcPr>
          <w:p w:rsidR="00DD44C1" w:rsidRPr="007319CD" w:rsidRDefault="00DD44C1" w:rsidP="00897AB5">
            <w:pPr>
              <w:pStyle w:val="14"/>
              <w:rPr>
                <w:rFonts w:hAnsi="標楷體"/>
              </w:rPr>
            </w:pPr>
          </w:p>
        </w:tc>
        <w:tc>
          <w:tcPr>
            <w:tcW w:w="63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rPr>
              <w:t>最  低</w:t>
            </w:r>
          </w:p>
          <w:p w:rsidR="00DD44C1" w:rsidRPr="007319CD" w:rsidRDefault="00DD44C1" w:rsidP="00897AB5">
            <w:pPr>
              <w:pStyle w:val="14"/>
              <w:rPr>
                <w:rFonts w:hAnsi="標楷體"/>
              </w:rPr>
            </w:pPr>
            <w:r w:rsidRPr="007319CD">
              <w:rPr>
                <w:rFonts w:hAnsi="標楷體"/>
              </w:rPr>
              <w:t>所得組</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p>
        </w:tc>
        <w:tc>
          <w:tcPr>
            <w:tcW w:w="65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rPr>
              <w:t>最  高</w:t>
            </w:r>
          </w:p>
          <w:p w:rsidR="00DD44C1" w:rsidRPr="007319CD" w:rsidRDefault="00DD44C1" w:rsidP="00897AB5">
            <w:pPr>
              <w:pStyle w:val="14"/>
              <w:rPr>
                <w:rFonts w:hAnsi="標楷體"/>
              </w:rPr>
            </w:pPr>
            <w:r w:rsidRPr="007319CD">
              <w:rPr>
                <w:rFonts w:hAnsi="標楷體"/>
              </w:rPr>
              <w:t>所得組</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1991</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7.76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13.26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22.97</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38.60</w:t>
            </w:r>
          </w:p>
        </w:tc>
        <w:tc>
          <w:tcPr>
            <w:tcW w:w="714" w:type="pct"/>
            <w:vAlign w:val="center"/>
            <w:hideMark/>
          </w:tcPr>
          <w:p w:rsidR="00DD44C1" w:rsidRPr="007319CD" w:rsidRDefault="00DD44C1" w:rsidP="00897AB5">
            <w:pPr>
              <w:pStyle w:val="14"/>
              <w:jc w:val="right"/>
              <w:rPr>
                <w:rFonts w:hAnsi="標楷體"/>
              </w:rPr>
            </w:pPr>
            <w:r w:rsidRPr="007319CD">
              <w:rPr>
                <w:rFonts w:hAnsi="標楷體"/>
              </w:rPr>
              <w:t>4.97</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0.308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1992</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13.24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38.66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5.24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0.312</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1993</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7.13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13.12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17.65</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23.44</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38.66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5.43</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1994</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7.28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23.18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39.17</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5.38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1995</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7.30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38.99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5.34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0.317</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1996</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7.22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13.00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38.89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5.38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0.317</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1997</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7.24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23.25</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39.14</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5.41</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1998</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7.12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12.84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23.24</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39.26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5.51</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0.324</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1999</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7.13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39.24</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5.50</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2000</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7.07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12.82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23.41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39.23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5.55</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0.326</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2001</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6.43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12.08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17.04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23.33</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41.11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6.39</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0.350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2002</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16.99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22.95</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41.09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6.16</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2003</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6.72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16.91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23.17</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40.83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6.07</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0.343</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2004</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12.46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23.25</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40.21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6.03</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2005</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12.43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23.32</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40.17</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2006</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23.51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40.03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6.01</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0.339</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2007</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6.76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23.16</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40.41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5.98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2008</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23.40</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40.17</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6.05</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0.341</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2009</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6.36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23.64</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40.34</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6.34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2010</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6.49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23.72</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6.19</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0.342</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2011</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6.53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12.05</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23.86</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40.25</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6.17</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0.342</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2012</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6.53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39.98</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6.13</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2013</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6.57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23.60</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39.96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0.336</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2014</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23.59</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6.05</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0.336</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2015</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12.18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17.35</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23.63</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40.21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6.06</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0.338</w:t>
            </w:r>
          </w:p>
        </w:tc>
      </w:tr>
      <w:tr w:rsidR="007319CD" w:rsidRPr="007319CD" w:rsidTr="00897AB5">
        <w:trPr>
          <w:trHeight w:val="20"/>
          <w:tblCellSpacing w:w="0" w:type="dxa"/>
        </w:trPr>
        <w:tc>
          <w:tcPr>
            <w:tcW w:w="490" w:type="pct"/>
            <w:tcBorders>
              <w:bottom w:val="single" w:sz="6" w:space="0" w:color="000000"/>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2016</w:t>
            </w:r>
          </w:p>
        </w:tc>
        <w:tc>
          <w:tcPr>
            <w:tcW w:w="633"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6.63</w:t>
            </w:r>
          </w:p>
        </w:tc>
        <w:tc>
          <w:tcPr>
            <w:tcW w:w="650"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12.42</w:t>
            </w:r>
          </w:p>
        </w:tc>
        <w:tc>
          <w:tcPr>
            <w:tcW w:w="650"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17.35</w:t>
            </w:r>
          </w:p>
        </w:tc>
        <w:tc>
          <w:tcPr>
            <w:tcW w:w="650"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23.24</w:t>
            </w:r>
          </w:p>
        </w:tc>
        <w:tc>
          <w:tcPr>
            <w:tcW w:w="651"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40.36</w:t>
            </w:r>
          </w:p>
        </w:tc>
        <w:tc>
          <w:tcPr>
            <w:tcW w:w="714"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6.08</w:t>
            </w:r>
          </w:p>
        </w:tc>
        <w:tc>
          <w:tcPr>
            <w:tcW w:w="562"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0.336</w:t>
            </w:r>
          </w:p>
        </w:tc>
      </w:tr>
    </w:tbl>
    <w:p w:rsidR="00DD44C1" w:rsidRPr="007319CD" w:rsidRDefault="00DD44C1" w:rsidP="00DD44C1">
      <w:pPr>
        <w:pStyle w:val="afa"/>
        <w:rPr>
          <w:rFonts w:hAnsi="標楷體"/>
        </w:rPr>
      </w:pPr>
      <w:r w:rsidRPr="007319CD">
        <w:rPr>
          <w:rFonts w:hAnsi="標楷體"/>
        </w:rPr>
        <w:t>資料來源：行政院主計總處。</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歷年房價所得比</w:t>
      </w:r>
    </w:p>
    <w:tbl>
      <w:tblPr>
        <w:tblW w:w="5000" w:type="pct"/>
        <w:tblCellMar>
          <w:left w:w="28" w:type="dxa"/>
          <w:right w:w="28" w:type="dxa"/>
        </w:tblCellMar>
        <w:tblLook w:val="04A0" w:firstRow="1" w:lastRow="0" w:firstColumn="1" w:lastColumn="0" w:noHBand="0" w:noVBand="1"/>
      </w:tblPr>
      <w:tblGrid>
        <w:gridCol w:w="904"/>
        <w:gridCol w:w="1127"/>
        <w:gridCol w:w="3747"/>
        <w:gridCol w:w="3122"/>
      </w:tblGrid>
      <w:tr w:rsidR="007319CD" w:rsidRPr="007319CD" w:rsidTr="00897AB5">
        <w:trPr>
          <w:trHeight w:val="357"/>
          <w:tblHeader/>
        </w:trPr>
        <w:tc>
          <w:tcPr>
            <w:tcW w:w="1140" w:type="pct"/>
            <w:gridSpan w:val="2"/>
            <w:tcBorders>
              <w:top w:val="single" w:sz="4" w:space="0" w:color="000000"/>
              <w:left w:val="nil"/>
              <w:bottom w:val="single" w:sz="4" w:space="0" w:color="000000"/>
              <w:right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年度季別</w:t>
            </w:r>
          </w:p>
        </w:tc>
        <w:tc>
          <w:tcPr>
            <w:tcW w:w="2105" w:type="pct"/>
            <w:tcBorders>
              <w:top w:val="single" w:sz="4" w:space="0" w:color="000000"/>
              <w:left w:val="nil"/>
              <w:bottom w:val="single" w:sz="4" w:space="0" w:color="000000"/>
              <w:right w:val="single" w:sz="4" w:space="0" w:color="auto"/>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全國房價所得比（</w:t>
            </w:r>
            <w:proofErr w:type="gramStart"/>
            <w:r w:rsidRPr="007319CD">
              <w:rPr>
                <w:rFonts w:hAnsi="標楷體"/>
              </w:rPr>
              <w:t>倍</w:t>
            </w:r>
            <w:proofErr w:type="gramEnd"/>
            <w:r w:rsidRPr="007319CD">
              <w:rPr>
                <w:rFonts w:hAnsi="標楷體"/>
              </w:rPr>
              <w:t>）</w:t>
            </w:r>
          </w:p>
        </w:tc>
        <w:tc>
          <w:tcPr>
            <w:tcW w:w="1754" w:type="pct"/>
            <w:tcBorders>
              <w:top w:val="single" w:sz="4" w:space="0" w:color="000000"/>
              <w:left w:val="single" w:sz="4" w:space="0" w:color="auto"/>
              <w:bottom w:val="single" w:sz="4" w:space="0" w:color="000000"/>
            </w:tcBorders>
            <w:shd w:val="clear" w:color="auto" w:fill="EEECE1" w:themeFill="background2"/>
          </w:tcPr>
          <w:p w:rsidR="00DD44C1" w:rsidRPr="007319CD" w:rsidRDefault="00DD44C1" w:rsidP="00897AB5">
            <w:pPr>
              <w:pStyle w:val="121"/>
              <w:jc w:val="center"/>
              <w:rPr>
                <w:rFonts w:hAnsi="標楷體"/>
              </w:rPr>
            </w:pPr>
            <w:r w:rsidRPr="007319CD">
              <w:rPr>
                <w:rFonts w:hAnsi="標楷體"/>
              </w:rPr>
              <w:t>較上季增減倍數</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91</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4.47</w:t>
            </w:r>
          </w:p>
        </w:tc>
        <w:tc>
          <w:tcPr>
            <w:tcW w:w="1754" w:type="pct"/>
            <w:tcBorders>
              <w:top w:val="nil"/>
              <w:left w:val="single" w:sz="4" w:space="0" w:color="000000"/>
              <w:bottom w:val="nil"/>
            </w:tcBorders>
            <w:shd w:val="clear" w:color="auto" w:fill="auto"/>
          </w:tcPr>
          <w:p w:rsidR="00DD44C1" w:rsidRPr="007319CD" w:rsidRDefault="00DD44C1" w:rsidP="00897AB5">
            <w:pPr>
              <w:pStyle w:val="121"/>
              <w:jc w:val="right"/>
              <w:rPr>
                <w:rFonts w:hAnsi="標楷體"/>
                <w:sz w:val="26"/>
                <w:szCs w:val="26"/>
              </w:rPr>
            </w:pPr>
            <w:r w:rsidRPr="007319CD">
              <w:rPr>
                <w:rFonts w:hAnsi="標楷體"/>
                <w:sz w:val="26"/>
                <w:szCs w:val="26"/>
              </w:rPr>
              <w:t>-</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-0.04</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4.15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-0.28</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4.26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0.11</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92</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4.50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4.59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0.09</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93</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4.70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4.70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4.63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4.84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0.21</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94</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5.01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0.17</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5.25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0.24</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5.25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4.97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-0.28</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95</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5.19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5.17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5.30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4.97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96</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5.15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0.18</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5.33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5.76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0.43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97</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6.13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6.25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6.09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5.87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-0.22</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98</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6.19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6.45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6.55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6.67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0.12</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99</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6.80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6.99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0.19</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7.01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7.11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0.10</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100</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7.31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7.30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7.29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7.29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101</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7.44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8.05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0.61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-0.59</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7.79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102</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8.95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0.60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8.95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-0.58</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103</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7.51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-0.86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0.83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8.41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104</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8.69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8.52</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8.51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-0.01</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105</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8.97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9.35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0.38</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9.32</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106</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9.24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-0.08</w:t>
            </w:r>
          </w:p>
        </w:tc>
      </w:tr>
      <w:tr w:rsidR="007319CD" w:rsidRPr="007319CD" w:rsidTr="00897AB5">
        <w:trPr>
          <w:trHeight w:val="272"/>
        </w:trPr>
        <w:tc>
          <w:tcPr>
            <w:tcW w:w="508" w:type="pct"/>
            <w:tcBorders>
              <w:top w:val="nil"/>
              <w:left w:val="nil"/>
              <w:bottom w:val="single" w:sz="4" w:space="0" w:color="000000"/>
            </w:tcBorders>
            <w:shd w:val="clear" w:color="auto" w:fill="auto"/>
            <w:vAlign w:val="center"/>
            <w:hideMark/>
          </w:tcPr>
          <w:p w:rsidR="00DD44C1" w:rsidRPr="007319CD" w:rsidRDefault="00DD44C1" w:rsidP="00897AB5">
            <w:pPr>
              <w:pStyle w:val="121"/>
              <w:rPr>
                <w:rFonts w:hAnsi="標楷體"/>
                <w:sz w:val="26"/>
                <w:szCs w:val="26"/>
              </w:rPr>
            </w:pPr>
          </w:p>
        </w:tc>
        <w:tc>
          <w:tcPr>
            <w:tcW w:w="633" w:type="pct"/>
            <w:tcBorders>
              <w:top w:val="nil"/>
              <w:bottom w:val="single" w:sz="4" w:space="0" w:color="000000"/>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single" w:sz="4" w:space="0" w:color="000000"/>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9.46</w:t>
            </w:r>
          </w:p>
        </w:tc>
        <w:tc>
          <w:tcPr>
            <w:tcW w:w="1754" w:type="pct"/>
            <w:tcBorders>
              <w:top w:val="nil"/>
              <w:left w:val="single" w:sz="4" w:space="0" w:color="000000"/>
              <w:bottom w:val="single" w:sz="4" w:space="0" w:color="000000"/>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0.22</w:t>
            </w:r>
          </w:p>
        </w:tc>
      </w:tr>
    </w:tbl>
    <w:p w:rsidR="00DD44C1" w:rsidRPr="007319CD" w:rsidRDefault="00DD44C1" w:rsidP="00DD44C1">
      <w:pPr>
        <w:pStyle w:val="afa"/>
        <w:spacing w:after="0"/>
        <w:ind w:left="784" w:hangingChars="280" w:hanging="784"/>
        <w:rPr>
          <w:rFonts w:hAnsi="標楷體"/>
        </w:rPr>
      </w:pPr>
      <w:r w:rsidRPr="007319CD">
        <w:rPr>
          <w:rFonts w:hAnsi="標楷體"/>
        </w:rPr>
        <w:t>說明：房價所得比為中位數房價/家戶年可支配所得中位數。101年第2季(含)以前採用財團法人聯合徵信中心擔保</w:t>
      </w:r>
      <w:proofErr w:type="gramStart"/>
      <w:r w:rsidRPr="007319CD">
        <w:rPr>
          <w:rFonts w:hAnsi="標楷體"/>
        </w:rPr>
        <w:t>品建估</w:t>
      </w:r>
      <w:proofErr w:type="gramEnd"/>
      <w:r w:rsidRPr="007319CD">
        <w:rPr>
          <w:rFonts w:hAnsi="標楷體"/>
        </w:rPr>
        <w:t>總價，101年第3季起採用不動產成交案件實際資訊申報登錄、財政部財稅資料中心個人綜合所得稅申報資料，分別統計中位數房價、家戶年可支配所得中位數，再以中位數房價除以家戶年可支配所得中位數得出。</w:t>
      </w:r>
    </w:p>
    <w:p w:rsidR="00DD44C1" w:rsidRPr="007319CD" w:rsidRDefault="00DD44C1" w:rsidP="00DD44C1">
      <w:pPr>
        <w:pStyle w:val="afa"/>
        <w:spacing w:before="0"/>
        <w:rPr>
          <w:rFonts w:hAnsi="標楷體"/>
        </w:rPr>
      </w:pPr>
      <w:r w:rsidRPr="007319CD">
        <w:rPr>
          <w:rFonts w:hAnsi="標楷體"/>
        </w:rPr>
        <w:t>資料來源：內政部營建署。</w:t>
      </w:r>
    </w:p>
    <w:p w:rsidR="00DD44C1" w:rsidRPr="007319CD" w:rsidRDefault="00DD44C1" w:rsidP="00DD44C1">
      <w:pPr>
        <w:widowControl/>
        <w:rPr>
          <w:rFonts w:hAnsi="標楷體"/>
        </w:rPr>
      </w:pPr>
      <w:r w:rsidRPr="007319CD">
        <w:rPr>
          <w:rFonts w:hAnsi="標楷體"/>
        </w:rPr>
        <w:br w:type="page"/>
      </w: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主要國家高所得者所得占比</w:t>
      </w:r>
    </w:p>
    <w:p w:rsidR="00DD44C1" w:rsidRPr="007319CD" w:rsidRDefault="00DD44C1" w:rsidP="00DD44C1">
      <w:pPr>
        <w:kinsoku w:val="0"/>
        <w:overflowPunct/>
        <w:snapToGrid w:val="0"/>
        <w:jc w:val="right"/>
        <w:rPr>
          <w:rFonts w:hAnsi="標楷體"/>
          <w:bCs/>
          <w:kern w:val="0"/>
          <w:sz w:val="22"/>
          <w:szCs w:val="24"/>
        </w:rPr>
      </w:pPr>
      <w:r w:rsidRPr="007319CD">
        <w:rPr>
          <w:rFonts w:hAnsi="標楷體"/>
          <w:bCs/>
          <w:kern w:val="0"/>
          <w:sz w:val="22"/>
          <w:szCs w:val="24"/>
        </w:rPr>
        <w:t>單位：%</w:t>
      </w:r>
    </w:p>
    <w:p w:rsidR="00DD44C1" w:rsidRPr="007319CD" w:rsidRDefault="00DD44C1" w:rsidP="00DD44C1">
      <w:pPr>
        <w:rPr>
          <w:rFonts w:hAnsi="標楷體"/>
        </w:rPr>
      </w:pPr>
      <w:r w:rsidRPr="007319CD">
        <w:rPr>
          <w:rFonts w:hAnsi="標楷體"/>
          <w:noProof/>
        </w:rPr>
        <w:drawing>
          <wp:anchor distT="0" distB="0" distL="114300" distR="114300" simplePos="0" relativeHeight="251659264" behindDoc="0" locked="0" layoutInCell="1" allowOverlap="1" wp14:anchorId="795CF919" wp14:editId="7ECD3495">
            <wp:simplePos x="0" y="0"/>
            <wp:positionH relativeFrom="column">
              <wp:posOffset>-269875</wp:posOffset>
            </wp:positionH>
            <wp:positionV relativeFrom="paragraph">
              <wp:posOffset>70485</wp:posOffset>
            </wp:positionV>
            <wp:extent cx="5975350" cy="4363720"/>
            <wp:effectExtent l="0" t="0" r="635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397"/>
                    <a:stretch/>
                  </pic:blipFill>
                  <pic:spPr bwMode="auto">
                    <a:xfrm>
                      <a:off x="0" y="0"/>
                      <a:ext cx="5975350" cy="436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widowControl/>
        <w:rPr>
          <w:rFonts w:hAnsi="標楷體"/>
          <w:b/>
          <w:szCs w:val="32"/>
        </w:rPr>
      </w:pPr>
    </w:p>
    <w:p w:rsidR="00DD44C1" w:rsidRPr="007319CD" w:rsidRDefault="00DD44C1" w:rsidP="00DD44C1">
      <w:pPr>
        <w:widowControl/>
        <w:rPr>
          <w:rFonts w:hAnsi="標楷體"/>
          <w:b/>
          <w:szCs w:val="32"/>
        </w:rPr>
      </w:pPr>
      <w:r w:rsidRPr="007319CD">
        <w:rPr>
          <w:rFonts w:hAnsi="標楷體"/>
          <w:b/>
          <w:szCs w:val="32"/>
        </w:rPr>
        <w:br w:type="page"/>
      </w: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消費者物價指數歷年資料</w:t>
      </w:r>
    </w:p>
    <w:tbl>
      <w:tblPr>
        <w:tblW w:w="8789" w:type="dxa"/>
        <w:tblInd w:w="170" w:type="dxa"/>
        <w:tblBorders>
          <w:top w:val="single" w:sz="4" w:space="0" w:color="000000"/>
          <w:bottom w:val="single" w:sz="4" w:space="0" w:color="000000"/>
          <w:insideV w:val="single" w:sz="4" w:space="0" w:color="000000"/>
        </w:tblBorders>
        <w:tblCellMar>
          <w:left w:w="28" w:type="dxa"/>
          <w:right w:w="28" w:type="dxa"/>
        </w:tblCellMar>
        <w:tblLook w:val="04A0" w:firstRow="1" w:lastRow="0" w:firstColumn="1" w:lastColumn="0" w:noHBand="0" w:noVBand="1"/>
      </w:tblPr>
      <w:tblGrid>
        <w:gridCol w:w="2410"/>
        <w:gridCol w:w="3118"/>
        <w:gridCol w:w="3261"/>
      </w:tblGrid>
      <w:tr w:rsidR="007319CD" w:rsidRPr="007319CD" w:rsidTr="00897AB5">
        <w:trPr>
          <w:trHeight w:val="20"/>
          <w:tblHeader/>
        </w:trPr>
        <w:tc>
          <w:tcPr>
            <w:tcW w:w="2410" w:type="dxa"/>
            <w:vMerge w:val="restart"/>
            <w:tcBorders>
              <w:top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年</w:t>
            </w:r>
          </w:p>
        </w:tc>
        <w:tc>
          <w:tcPr>
            <w:tcW w:w="6379" w:type="dxa"/>
            <w:gridSpan w:val="2"/>
            <w:tcBorders>
              <w:top w:val="single" w:sz="4" w:space="0" w:color="000000"/>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消費者物價指數</w:t>
            </w:r>
          </w:p>
        </w:tc>
      </w:tr>
      <w:tr w:rsidR="007319CD" w:rsidRPr="007319CD" w:rsidTr="00897AB5">
        <w:trPr>
          <w:trHeight w:val="20"/>
          <w:tblHeader/>
        </w:trPr>
        <w:tc>
          <w:tcPr>
            <w:tcW w:w="2410" w:type="dxa"/>
            <w:vMerge/>
            <w:tcBorders>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p>
        </w:tc>
        <w:tc>
          <w:tcPr>
            <w:tcW w:w="3118" w:type="dxa"/>
            <w:tcBorders>
              <w:top w:val="single" w:sz="4" w:space="0" w:color="000000"/>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原始值</w:t>
            </w:r>
          </w:p>
        </w:tc>
        <w:tc>
          <w:tcPr>
            <w:tcW w:w="3261" w:type="dxa"/>
            <w:tcBorders>
              <w:top w:val="single" w:sz="4" w:space="0" w:color="000000"/>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年增率(%)</w:t>
            </w:r>
          </w:p>
        </w:tc>
      </w:tr>
      <w:tr w:rsidR="007319CD" w:rsidRPr="007319CD" w:rsidTr="00897AB5">
        <w:trPr>
          <w:trHeight w:val="20"/>
        </w:trPr>
        <w:tc>
          <w:tcPr>
            <w:tcW w:w="2410" w:type="dxa"/>
            <w:tcBorders>
              <w:top w:val="single" w:sz="4" w:space="0" w:color="000000"/>
              <w:bottom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1991</w:t>
            </w:r>
          </w:p>
        </w:tc>
        <w:tc>
          <w:tcPr>
            <w:tcW w:w="3118" w:type="dxa"/>
            <w:tcBorders>
              <w:top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72.15</w:t>
            </w:r>
          </w:p>
        </w:tc>
        <w:tc>
          <w:tcPr>
            <w:tcW w:w="3261" w:type="dxa"/>
            <w:tcBorders>
              <w:top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3.62</w:t>
            </w:r>
          </w:p>
        </w:tc>
      </w:tr>
      <w:tr w:rsidR="007319CD" w:rsidRPr="007319CD" w:rsidTr="00897AB5">
        <w:trPr>
          <w:trHeight w:val="20"/>
        </w:trPr>
        <w:tc>
          <w:tcPr>
            <w:tcW w:w="2410" w:type="dxa"/>
            <w:tcBorders>
              <w:top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1992</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75.37</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4.46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1993</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77.59</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2.95</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1994</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80.77</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4.10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1995</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83.73</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3.66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1996</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86.31</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3.08</w:t>
            </w:r>
          </w:p>
        </w:tc>
      </w:tr>
      <w:tr w:rsidR="007319CD" w:rsidRPr="007319CD" w:rsidTr="00897AB5">
        <w:trPr>
          <w:trHeight w:val="20"/>
        </w:trPr>
        <w:tc>
          <w:tcPr>
            <w:tcW w:w="2410" w:type="dxa"/>
            <w:tcBorders>
              <w:bottom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1997</w:t>
            </w:r>
          </w:p>
        </w:tc>
        <w:tc>
          <w:tcPr>
            <w:tcW w:w="3118" w:type="dxa"/>
            <w:tcBorders>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87.09</w:t>
            </w:r>
          </w:p>
        </w:tc>
        <w:tc>
          <w:tcPr>
            <w:tcW w:w="3261" w:type="dxa"/>
            <w:tcBorders>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0.90</w:t>
            </w:r>
          </w:p>
        </w:tc>
      </w:tr>
      <w:tr w:rsidR="007319CD" w:rsidRPr="007319CD" w:rsidTr="00897AB5">
        <w:trPr>
          <w:trHeight w:val="20"/>
        </w:trPr>
        <w:tc>
          <w:tcPr>
            <w:tcW w:w="2410" w:type="dxa"/>
            <w:tcBorders>
              <w:top w:val="nil"/>
              <w:bottom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1998</w:t>
            </w:r>
          </w:p>
        </w:tc>
        <w:tc>
          <w:tcPr>
            <w:tcW w:w="3118" w:type="dxa"/>
            <w:tcBorders>
              <w:top w:val="nil"/>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88.56</w:t>
            </w:r>
          </w:p>
        </w:tc>
        <w:tc>
          <w:tcPr>
            <w:tcW w:w="3261" w:type="dxa"/>
            <w:tcBorders>
              <w:top w:val="nil"/>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1.69</w:t>
            </w:r>
          </w:p>
        </w:tc>
      </w:tr>
      <w:tr w:rsidR="007319CD" w:rsidRPr="007319CD" w:rsidTr="00897AB5">
        <w:trPr>
          <w:trHeight w:val="20"/>
        </w:trPr>
        <w:tc>
          <w:tcPr>
            <w:tcW w:w="2410" w:type="dxa"/>
            <w:tcBorders>
              <w:top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1999</w:t>
            </w:r>
          </w:p>
        </w:tc>
        <w:tc>
          <w:tcPr>
            <w:tcW w:w="3118" w:type="dxa"/>
            <w:tcBorders>
              <w:top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88.71</w:t>
            </w:r>
          </w:p>
        </w:tc>
        <w:tc>
          <w:tcPr>
            <w:tcW w:w="3261" w:type="dxa"/>
            <w:tcBorders>
              <w:top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0.17</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2000</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89.82</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1.25</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2001</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89.82</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0.00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2002</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89.64</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-0.20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2003</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89.39</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-0.28</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2004</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90.83</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1.61</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2005</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92.92</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2.30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2006</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93.48</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0.60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2007</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95.16</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1.80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2008</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98.51</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3.52</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2009</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97.66</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-0.86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2010</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98.60</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0.96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2011</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100.00</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1.42</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2012</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101.93</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1.93</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2013</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102.74</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0.79</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2014</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103.97</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1.20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2015</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103.65</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-0.31</w:t>
            </w:r>
          </w:p>
        </w:tc>
      </w:tr>
      <w:tr w:rsidR="007319CD" w:rsidRPr="007319CD" w:rsidTr="00897AB5">
        <w:trPr>
          <w:trHeight w:val="20"/>
        </w:trPr>
        <w:tc>
          <w:tcPr>
            <w:tcW w:w="2410" w:type="dxa"/>
            <w:tcBorders>
              <w:bottom w:val="single" w:sz="4" w:space="0" w:color="000000"/>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2016</w:t>
            </w:r>
          </w:p>
        </w:tc>
        <w:tc>
          <w:tcPr>
            <w:tcW w:w="3118" w:type="dxa"/>
            <w:tcBorders>
              <w:bottom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105.10</w:t>
            </w:r>
          </w:p>
        </w:tc>
        <w:tc>
          <w:tcPr>
            <w:tcW w:w="3261" w:type="dxa"/>
            <w:tcBorders>
              <w:bottom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1.40</w:t>
            </w:r>
          </w:p>
        </w:tc>
      </w:tr>
    </w:tbl>
    <w:p w:rsidR="00DD44C1" w:rsidRPr="007319CD" w:rsidRDefault="00DD44C1" w:rsidP="00DD44C1">
      <w:pPr>
        <w:pStyle w:val="afa"/>
        <w:rPr>
          <w:rFonts w:hAnsi="標楷體"/>
        </w:rPr>
      </w:pPr>
      <w:r w:rsidRPr="007319CD">
        <w:rPr>
          <w:rFonts w:hAnsi="標楷體"/>
        </w:rPr>
        <w:t>資料來源：行政院主計總處。</w:t>
      </w:r>
    </w:p>
    <w:p w:rsidR="00DD44C1" w:rsidRPr="007319CD" w:rsidRDefault="00DD44C1" w:rsidP="00DD44C1">
      <w:pPr>
        <w:pStyle w:val="afa"/>
        <w:rPr>
          <w:rFonts w:hAnsi="標楷體"/>
          <w:szCs w:val="32"/>
        </w:rPr>
      </w:pPr>
    </w:p>
    <w:p w:rsidR="00DD44C1" w:rsidRPr="007319CD" w:rsidRDefault="00DD44C1" w:rsidP="00DD44C1">
      <w:pPr>
        <w:pStyle w:val="afa"/>
        <w:rPr>
          <w:rFonts w:hAnsi="標楷體"/>
          <w:szCs w:val="32"/>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lastRenderedPageBreak/>
        <w:t>歷年基本工資調整情形</w:t>
      </w:r>
    </w:p>
    <w:tbl>
      <w:tblPr>
        <w:tblW w:w="5000" w:type="pct"/>
        <w:tblCellMar>
          <w:left w:w="28" w:type="dxa"/>
          <w:right w:w="28" w:type="dxa"/>
        </w:tblCellMar>
        <w:tblLook w:val="04A0" w:firstRow="1" w:lastRow="0" w:firstColumn="1" w:lastColumn="0" w:noHBand="0" w:noVBand="1"/>
      </w:tblPr>
      <w:tblGrid>
        <w:gridCol w:w="2684"/>
        <w:gridCol w:w="1554"/>
        <w:gridCol w:w="1554"/>
        <w:gridCol w:w="1554"/>
        <w:gridCol w:w="1554"/>
      </w:tblGrid>
      <w:tr w:rsidR="007319CD" w:rsidRPr="007319CD" w:rsidTr="00897AB5">
        <w:trPr>
          <w:trHeight w:val="239"/>
          <w:tblHeader/>
        </w:trPr>
        <w:tc>
          <w:tcPr>
            <w:tcW w:w="1508" w:type="pct"/>
            <w:vMerge w:val="restart"/>
            <w:tcBorders>
              <w:top w:val="single" w:sz="4" w:space="0" w:color="auto"/>
              <w:left w:val="nil"/>
              <w:right w:val="single" w:sz="4" w:space="0" w:color="auto"/>
            </w:tcBorders>
            <w:shd w:val="clear" w:color="auto" w:fill="EEECE1" w:themeFill="background2"/>
            <w:vAlign w:val="center"/>
          </w:tcPr>
          <w:p w:rsidR="00DD44C1" w:rsidRPr="007319CD" w:rsidRDefault="00DD44C1" w:rsidP="00897AB5">
            <w:pPr>
              <w:pStyle w:val="121"/>
              <w:rPr>
                <w:rFonts w:hAnsi="標楷體"/>
              </w:rPr>
            </w:pPr>
            <w:r w:rsidRPr="007319CD">
              <w:rPr>
                <w:rFonts w:hAnsi="標楷體"/>
              </w:rPr>
              <w:t>年</w:t>
            </w:r>
          </w:p>
        </w:tc>
        <w:tc>
          <w:tcPr>
            <w:tcW w:w="3492" w:type="pct"/>
            <w:gridSpan w:val="4"/>
            <w:tcBorders>
              <w:top w:val="single" w:sz="4" w:space="0" w:color="auto"/>
              <w:left w:val="nil"/>
            </w:tcBorders>
            <w:shd w:val="clear" w:color="auto" w:fill="EEECE1" w:themeFill="background2"/>
            <w:noWrap/>
            <w:vAlign w:val="center"/>
          </w:tcPr>
          <w:p w:rsidR="00DD44C1" w:rsidRPr="007319CD" w:rsidRDefault="00DD44C1" w:rsidP="00897AB5">
            <w:pPr>
              <w:pStyle w:val="121"/>
              <w:rPr>
                <w:rFonts w:hAnsi="標楷體"/>
              </w:rPr>
            </w:pPr>
            <w:r w:rsidRPr="007319CD">
              <w:rPr>
                <w:rFonts w:hAnsi="標楷體"/>
              </w:rPr>
              <w:t>基本工資月薪及時薪</w:t>
            </w:r>
          </w:p>
        </w:tc>
      </w:tr>
      <w:tr w:rsidR="007319CD" w:rsidRPr="007319CD" w:rsidTr="00897AB5">
        <w:trPr>
          <w:trHeight w:val="239"/>
          <w:tblHeader/>
        </w:trPr>
        <w:tc>
          <w:tcPr>
            <w:tcW w:w="1508" w:type="pct"/>
            <w:vMerge/>
            <w:tcBorders>
              <w:left w:val="nil"/>
              <w:right w:val="single" w:sz="4" w:space="0" w:color="auto"/>
            </w:tcBorders>
            <w:shd w:val="clear" w:color="auto" w:fill="EEECE1" w:themeFill="background2"/>
            <w:vAlign w:val="center"/>
            <w:hideMark/>
          </w:tcPr>
          <w:p w:rsidR="00DD44C1" w:rsidRPr="007319CD" w:rsidRDefault="00DD44C1" w:rsidP="00897AB5">
            <w:pPr>
              <w:pStyle w:val="121"/>
              <w:rPr>
                <w:rFonts w:hAnsi="標楷體"/>
              </w:rPr>
            </w:pPr>
          </w:p>
        </w:tc>
        <w:tc>
          <w:tcPr>
            <w:tcW w:w="873" w:type="pct"/>
            <w:vMerge w:val="restart"/>
            <w:tcBorders>
              <w:top w:val="single" w:sz="4" w:space="0" w:color="auto"/>
              <w:left w:val="nil"/>
            </w:tcBorders>
            <w:shd w:val="clear" w:color="auto" w:fill="EEECE1" w:themeFill="background2"/>
            <w:noWrap/>
            <w:vAlign w:val="center"/>
            <w:hideMark/>
          </w:tcPr>
          <w:p w:rsidR="00DD44C1" w:rsidRPr="007319CD" w:rsidRDefault="00DD44C1" w:rsidP="00897AB5">
            <w:pPr>
              <w:pStyle w:val="121"/>
              <w:rPr>
                <w:rFonts w:hAnsi="標楷體"/>
              </w:rPr>
            </w:pPr>
            <w:r w:rsidRPr="007319CD">
              <w:rPr>
                <w:rFonts w:hAnsi="標楷體"/>
              </w:rPr>
              <w:t>月薪(元)</w:t>
            </w:r>
          </w:p>
        </w:tc>
        <w:tc>
          <w:tcPr>
            <w:tcW w:w="873" w:type="pct"/>
            <w:tcBorders>
              <w:top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rPr>
                <w:rFonts w:hAnsi="標楷體"/>
              </w:rPr>
            </w:pPr>
          </w:p>
        </w:tc>
        <w:tc>
          <w:tcPr>
            <w:tcW w:w="873" w:type="pct"/>
            <w:vMerge w:val="restart"/>
            <w:tcBorders>
              <w:top w:val="single" w:sz="4" w:space="0" w:color="auto"/>
              <w:left w:val="nil"/>
            </w:tcBorders>
            <w:shd w:val="clear" w:color="auto" w:fill="EEECE1" w:themeFill="background2"/>
            <w:noWrap/>
            <w:vAlign w:val="center"/>
            <w:hideMark/>
          </w:tcPr>
          <w:p w:rsidR="00DD44C1" w:rsidRPr="007319CD" w:rsidRDefault="00DD44C1" w:rsidP="00897AB5">
            <w:pPr>
              <w:pStyle w:val="121"/>
              <w:rPr>
                <w:rFonts w:hAnsi="標楷體"/>
              </w:rPr>
            </w:pPr>
            <w:r w:rsidRPr="007319CD">
              <w:rPr>
                <w:rFonts w:hAnsi="標楷體"/>
              </w:rPr>
              <w:t>時薪(元)</w:t>
            </w:r>
          </w:p>
        </w:tc>
        <w:tc>
          <w:tcPr>
            <w:tcW w:w="873" w:type="pct"/>
            <w:tcBorders>
              <w:top w:val="single" w:sz="4" w:space="0" w:color="auto"/>
              <w:bottom w:val="single" w:sz="4" w:space="0" w:color="auto"/>
              <w:right w:val="nil"/>
            </w:tcBorders>
            <w:shd w:val="clear" w:color="auto" w:fill="EEECE1" w:themeFill="background2"/>
            <w:noWrap/>
            <w:vAlign w:val="center"/>
            <w:hideMark/>
          </w:tcPr>
          <w:p w:rsidR="00DD44C1" w:rsidRPr="007319CD" w:rsidRDefault="00DD44C1" w:rsidP="00897AB5">
            <w:pPr>
              <w:pStyle w:val="121"/>
              <w:rPr>
                <w:rFonts w:hAnsi="標楷體"/>
              </w:rPr>
            </w:pPr>
          </w:p>
        </w:tc>
      </w:tr>
      <w:tr w:rsidR="007319CD" w:rsidRPr="007319CD" w:rsidTr="00897AB5">
        <w:trPr>
          <w:trHeight w:val="374"/>
          <w:tblHeader/>
        </w:trPr>
        <w:tc>
          <w:tcPr>
            <w:tcW w:w="1508" w:type="pct"/>
            <w:vMerge/>
            <w:tcBorders>
              <w:left w:val="nil"/>
              <w:bottom w:val="single" w:sz="4" w:space="0" w:color="000000"/>
              <w:right w:val="single" w:sz="4" w:space="0" w:color="auto"/>
            </w:tcBorders>
            <w:shd w:val="clear" w:color="auto" w:fill="EEECE1" w:themeFill="background2"/>
            <w:vAlign w:val="center"/>
          </w:tcPr>
          <w:p w:rsidR="00DD44C1" w:rsidRPr="007319CD" w:rsidRDefault="00DD44C1" w:rsidP="00897AB5">
            <w:pPr>
              <w:pStyle w:val="121"/>
              <w:rPr>
                <w:rFonts w:hAnsi="標楷體"/>
              </w:rPr>
            </w:pPr>
          </w:p>
        </w:tc>
        <w:tc>
          <w:tcPr>
            <w:tcW w:w="873" w:type="pct"/>
            <w:vMerge/>
            <w:tcBorders>
              <w:left w:val="nil"/>
              <w:bottom w:val="single" w:sz="4" w:space="0" w:color="auto"/>
              <w:right w:val="single" w:sz="4" w:space="0" w:color="auto"/>
            </w:tcBorders>
            <w:shd w:val="clear" w:color="auto" w:fill="EEECE1" w:themeFill="background2"/>
            <w:noWrap/>
            <w:vAlign w:val="center"/>
          </w:tcPr>
          <w:p w:rsidR="00DD44C1" w:rsidRPr="007319CD" w:rsidRDefault="00DD44C1" w:rsidP="00897AB5">
            <w:pPr>
              <w:pStyle w:val="121"/>
              <w:rPr>
                <w:rFonts w:hAnsi="標楷體"/>
              </w:rPr>
            </w:pPr>
          </w:p>
        </w:tc>
        <w:tc>
          <w:tcPr>
            <w:tcW w:w="873" w:type="pct"/>
            <w:tcBorders>
              <w:top w:val="single" w:sz="4" w:space="0" w:color="auto"/>
              <w:left w:val="nil"/>
              <w:bottom w:val="single" w:sz="4" w:space="0" w:color="auto"/>
              <w:right w:val="single" w:sz="4" w:space="0" w:color="auto"/>
            </w:tcBorders>
            <w:shd w:val="clear" w:color="auto" w:fill="EEECE1" w:themeFill="background2"/>
            <w:noWrap/>
            <w:vAlign w:val="center"/>
          </w:tcPr>
          <w:p w:rsidR="00DD44C1" w:rsidRPr="007319CD" w:rsidRDefault="00DD44C1" w:rsidP="00897AB5">
            <w:pPr>
              <w:pStyle w:val="121"/>
              <w:rPr>
                <w:rFonts w:hAnsi="標楷體"/>
              </w:rPr>
            </w:pPr>
            <w:r w:rsidRPr="007319CD">
              <w:rPr>
                <w:rFonts w:hAnsi="標楷體"/>
              </w:rPr>
              <w:t>調幅(%)</w:t>
            </w:r>
          </w:p>
        </w:tc>
        <w:tc>
          <w:tcPr>
            <w:tcW w:w="873" w:type="pct"/>
            <w:vMerge/>
            <w:tcBorders>
              <w:left w:val="nil"/>
              <w:bottom w:val="single" w:sz="4" w:space="0" w:color="auto"/>
              <w:right w:val="single" w:sz="4" w:space="0" w:color="auto"/>
            </w:tcBorders>
            <w:shd w:val="clear" w:color="auto" w:fill="EEECE1" w:themeFill="background2"/>
            <w:noWrap/>
            <w:vAlign w:val="center"/>
          </w:tcPr>
          <w:p w:rsidR="00DD44C1" w:rsidRPr="007319CD" w:rsidRDefault="00DD44C1" w:rsidP="00897AB5">
            <w:pPr>
              <w:pStyle w:val="121"/>
              <w:rPr>
                <w:rFonts w:hAnsi="標楷體"/>
              </w:rPr>
            </w:pPr>
          </w:p>
        </w:tc>
        <w:tc>
          <w:tcPr>
            <w:tcW w:w="873" w:type="pct"/>
            <w:tcBorders>
              <w:top w:val="single" w:sz="4" w:space="0" w:color="auto"/>
              <w:left w:val="nil"/>
              <w:bottom w:val="single" w:sz="4" w:space="0" w:color="auto"/>
              <w:right w:val="nil"/>
            </w:tcBorders>
            <w:shd w:val="clear" w:color="auto" w:fill="EEECE1" w:themeFill="background2"/>
            <w:noWrap/>
            <w:vAlign w:val="center"/>
          </w:tcPr>
          <w:p w:rsidR="00DD44C1" w:rsidRPr="007319CD" w:rsidRDefault="00DD44C1" w:rsidP="00897AB5">
            <w:pPr>
              <w:pStyle w:val="121"/>
              <w:rPr>
                <w:rFonts w:hAnsi="標楷體"/>
              </w:rPr>
            </w:pPr>
            <w:r w:rsidRPr="007319CD">
              <w:rPr>
                <w:rFonts w:hAnsi="標楷體"/>
              </w:rPr>
              <w:t>調幅(%)</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1991</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11,040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13.2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1992</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12,365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1993</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13,350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55.5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7.8</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1994</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14,010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58.5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5.4</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1995</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14,880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1996</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15,360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64</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3.2</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1997</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3.1</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3.1</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1998</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1999</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2000</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2001</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2002</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2003</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2004</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2005</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2006</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2007(1-6月)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2007(7-12月)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9.1</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43.9</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2008</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2009</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2010</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2011</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17,880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3.2</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2012</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18,780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103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5.1</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2013(1-3月)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18,780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109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5.8</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2013(4-12月)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19,047</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109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2014(1-6月)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19,047</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5.5</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2014(7-12月)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19,273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2015(1-6月)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19,273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2015(7月1日起)</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20,008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4.3</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2016(10月1日起)</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20,008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2017(1月1日起)</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21,009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133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5.6</w:t>
            </w:r>
          </w:p>
        </w:tc>
      </w:tr>
      <w:tr w:rsidR="007319CD" w:rsidRPr="007319CD" w:rsidTr="00897AB5">
        <w:trPr>
          <w:trHeight w:val="293"/>
        </w:trPr>
        <w:tc>
          <w:tcPr>
            <w:tcW w:w="1508" w:type="pct"/>
            <w:tcBorders>
              <w:top w:val="nil"/>
              <w:left w:val="nil"/>
              <w:bottom w:val="single" w:sz="4" w:space="0" w:color="auto"/>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2018(1月1日起)</w:t>
            </w:r>
          </w:p>
        </w:tc>
        <w:tc>
          <w:tcPr>
            <w:tcW w:w="873" w:type="pct"/>
            <w:tcBorders>
              <w:top w:val="nil"/>
              <w:left w:val="single" w:sz="4" w:space="0" w:color="auto"/>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22,000</w:t>
            </w:r>
          </w:p>
        </w:tc>
        <w:tc>
          <w:tcPr>
            <w:tcW w:w="873" w:type="pct"/>
            <w:tcBorders>
              <w:top w:val="nil"/>
              <w:left w:val="nil"/>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4.7</w:t>
            </w:r>
          </w:p>
        </w:tc>
        <w:tc>
          <w:tcPr>
            <w:tcW w:w="873" w:type="pct"/>
            <w:tcBorders>
              <w:top w:val="nil"/>
              <w:left w:val="nil"/>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140</w:t>
            </w:r>
          </w:p>
        </w:tc>
        <w:tc>
          <w:tcPr>
            <w:tcW w:w="873" w:type="pct"/>
            <w:tcBorders>
              <w:top w:val="nil"/>
              <w:left w:val="nil"/>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5.3</w:t>
            </w:r>
          </w:p>
        </w:tc>
      </w:tr>
    </w:tbl>
    <w:p w:rsidR="00DD44C1" w:rsidRPr="007319CD" w:rsidRDefault="00DD44C1" w:rsidP="00DD44C1">
      <w:pPr>
        <w:pStyle w:val="afa"/>
        <w:rPr>
          <w:rFonts w:hAnsi="標楷體"/>
        </w:rPr>
      </w:pPr>
      <w:r w:rsidRPr="007319CD">
        <w:rPr>
          <w:rFonts w:hAnsi="標楷體"/>
        </w:rPr>
        <w:t>資料來源：勞動部統計處。</w:t>
      </w:r>
    </w:p>
    <w:p w:rsidR="00516B19" w:rsidRPr="007319CD" w:rsidRDefault="00516B19" w:rsidP="00DD44C1">
      <w:pPr>
        <w:rPr>
          <w:rFonts w:hAnsi="標楷體"/>
        </w:rPr>
      </w:pPr>
    </w:p>
    <w:p w:rsidR="00516B19" w:rsidRPr="007319CD" w:rsidRDefault="00516B19" w:rsidP="00DD44C1">
      <w:pPr>
        <w:rPr>
          <w:rFonts w:hAnsi="標楷體"/>
        </w:rPr>
        <w:sectPr w:rsidR="00516B19" w:rsidRPr="007319CD" w:rsidSect="00897AB5">
          <w:pgSz w:w="11907" w:h="16840" w:code="9"/>
          <w:pgMar w:top="1701" w:right="1418" w:bottom="1418" w:left="1418" w:header="851" w:footer="851" w:gutter="227"/>
          <w:cols w:space="425"/>
          <w:docGrid w:type="linesAndChars" w:linePitch="457" w:charSpace="4127"/>
        </w:sectPr>
      </w:pPr>
    </w:p>
    <w:p w:rsidR="00FA4F62" w:rsidRPr="007319CD" w:rsidRDefault="00EF4FAB" w:rsidP="00012988">
      <w:pPr>
        <w:pStyle w:val="a0"/>
        <w:numPr>
          <w:ilvl w:val="0"/>
          <w:numId w:val="2"/>
        </w:numPr>
        <w:ind w:left="1361" w:hanging="1361"/>
        <w:rPr>
          <w:rFonts w:hAnsi="標楷體"/>
        </w:rPr>
      </w:pPr>
      <w:r w:rsidRPr="007319CD">
        <w:rPr>
          <w:rFonts w:hAnsi="標楷體"/>
        </w:rPr>
        <w:lastRenderedPageBreak/>
        <w:t>所得收入者平均每人可支配所得及中位數所得按職業別分</w:t>
      </w:r>
    </w:p>
    <w:tbl>
      <w:tblPr>
        <w:tblW w:w="5000" w:type="pct"/>
        <w:tblCellMar>
          <w:left w:w="28" w:type="dxa"/>
          <w:right w:w="28" w:type="dxa"/>
        </w:tblCellMar>
        <w:tblLook w:val="04A0" w:firstRow="1" w:lastRow="0" w:firstColumn="1" w:lastColumn="0" w:noHBand="0" w:noVBand="1"/>
      </w:tblPr>
      <w:tblGrid>
        <w:gridCol w:w="2423"/>
        <w:gridCol w:w="911"/>
        <w:gridCol w:w="671"/>
        <w:gridCol w:w="951"/>
        <w:gridCol w:w="762"/>
        <w:gridCol w:w="951"/>
        <w:gridCol w:w="691"/>
        <w:gridCol w:w="865"/>
        <w:gridCol w:w="675"/>
      </w:tblGrid>
      <w:tr w:rsidR="007319CD" w:rsidRPr="007319CD" w:rsidTr="00832F19">
        <w:trPr>
          <w:trHeight w:val="20"/>
        </w:trPr>
        <w:tc>
          <w:tcPr>
            <w:tcW w:w="1362" w:type="pct"/>
            <w:tcBorders>
              <w:top w:val="double" w:sz="6" w:space="0" w:color="auto"/>
              <w:left w:val="nil"/>
              <w:bottom w:val="nil"/>
              <w:right w:val="single" w:sz="4" w:space="0" w:color="auto"/>
            </w:tcBorders>
            <w:shd w:val="clear" w:color="auto" w:fill="EEECE1" w:themeFill="background2"/>
            <w:hideMark/>
          </w:tcPr>
          <w:p w:rsidR="00EF4FAB" w:rsidRPr="007319CD" w:rsidRDefault="00EF4FAB" w:rsidP="00832F19">
            <w:pPr>
              <w:pStyle w:val="121"/>
              <w:spacing w:line="400" w:lineRule="exact"/>
              <w:rPr>
                <w:rFonts w:hAnsi="標楷體"/>
                <w:sz w:val="22"/>
                <w:szCs w:val="22"/>
              </w:rPr>
            </w:pPr>
          </w:p>
        </w:tc>
        <w:tc>
          <w:tcPr>
            <w:tcW w:w="1851" w:type="pct"/>
            <w:gridSpan w:val="4"/>
            <w:tcBorders>
              <w:top w:val="double" w:sz="4" w:space="0" w:color="auto"/>
              <w:left w:val="nil"/>
              <w:bottom w:val="single" w:sz="4" w:space="0" w:color="auto"/>
              <w:right w:val="double" w:sz="4" w:space="0" w:color="auto"/>
            </w:tcBorders>
            <w:shd w:val="clear" w:color="auto" w:fill="EEECE1" w:themeFill="background2"/>
            <w:vAlign w:val="center"/>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所得收入者平均每人可支配所得</w:t>
            </w:r>
          </w:p>
        </w:tc>
        <w:tc>
          <w:tcPr>
            <w:tcW w:w="1787" w:type="pct"/>
            <w:gridSpan w:val="4"/>
            <w:tcBorders>
              <w:top w:val="double" w:sz="4" w:space="0" w:color="auto"/>
              <w:left w:val="double" w:sz="4" w:space="0" w:color="auto"/>
              <w:bottom w:val="single" w:sz="4" w:space="0" w:color="auto"/>
            </w:tcBorders>
            <w:shd w:val="clear" w:color="auto" w:fill="EEECE1" w:themeFill="background2"/>
            <w:vAlign w:val="center"/>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所得收入者中位數可支配所得</w:t>
            </w:r>
          </w:p>
        </w:tc>
      </w:tr>
      <w:tr w:rsidR="007319CD" w:rsidRPr="007319CD" w:rsidTr="008D53F1">
        <w:trPr>
          <w:trHeight w:val="20"/>
        </w:trPr>
        <w:tc>
          <w:tcPr>
            <w:tcW w:w="1362" w:type="pct"/>
            <w:tcBorders>
              <w:top w:val="nil"/>
              <w:left w:val="nil"/>
              <w:bottom w:val="nil"/>
              <w:right w:val="single" w:sz="4" w:space="0" w:color="auto"/>
            </w:tcBorders>
            <w:shd w:val="clear" w:color="auto" w:fill="EEECE1" w:themeFill="background2"/>
            <w:hideMark/>
          </w:tcPr>
          <w:p w:rsidR="00EF4FAB" w:rsidRPr="007319CD" w:rsidRDefault="00EF4FAB" w:rsidP="00832F19">
            <w:pPr>
              <w:pStyle w:val="121"/>
              <w:spacing w:line="400" w:lineRule="exact"/>
              <w:rPr>
                <w:rFonts w:hAnsi="標楷體"/>
                <w:sz w:val="22"/>
                <w:szCs w:val="22"/>
              </w:rPr>
            </w:pPr>
          </w:p>
        </w:tc>
        <w:tc>
          <w:tcPr>
            <w:tcW w:w="889" w:type="pct"/>
            <w:gridSpan w:val="2"/>
            <w:tcBorders>
              <w:top w:val="single" w:sz="4" w:space="0" w:color="auto"/>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104年</w:t>
            </w:r>
          </w:p>
        </w:tc>
        <w:tc>
          <w:tcPr>
            <w:tcW w:w="962" w:type="pct"/>
            <w:gridSpan w:val="2"/>
            <w:tcBorders>
              <w:top w:val="single" w:sz="4" w:space="0" w:color="auto"/>
              <w:left w:val="double" w:sz="4" w:space="0" w:color="auto"/>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105年</w:t>
            </w:r>
          </w:p>
        </w:tc>
        <w:tc>
          <w:tcPr>
            <w:tcW w:w="922" w:type="pct"/>
            <w:gridSpan w:val="2"/>
            <w:tcBorders>
              <w:top w:val="single" w:sz="4" w:space="0" w:color="auto"/>
              <w:left w:val="double" w:sz="4" w:space="0" w:color="auto"/>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104年</w:t>
            </w:r>
          </w:p>
        </w:tc>
        <w:tc>
          <w:tcPr>
            <w:tcW w:w="865" w:type="pct"/>
            <w:gridSpan w:val="2"/>
            <w:tcBorders>
              <w:top w:val="single" w:sz="4" w:space="0" w:color="auto"/>
              <w:left w:val="double" w:sz="4" w:space="0" w:color="auto"/>
              <w:bottom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105年</w:t>
            </w:r>
          </w:p>
        </w:tc>
      </w:tr>
      <w:tr w:rsidR="007319CD" w:rsidRPr="007319CD" w:rsidTr="008D53F1">
        <w:trPr>
          <w:trHeight w:val="20"/>
        </w:trPr>
        <w:tc>
          <w:tcPr>
            <w:tcW w:w="1362" w:type="pct"/>
            <w:vMerge w:val="restart"/>
            <w:tcBorders>
              <w:top w:val="nil"/>
              <w:left w:val="nil"/>
              <w:bottom w:val="single" w:sz="4" w:space="0" w:color="000000"/>
              <w:right w:val="single" w:sz="4" w:space="0" w:color="auto"/>
            </w:tcBorders>
            <w:shd w:val="clear" w:color="auto" w:fill="EEECE1" w:themeFill="background2"/>
            <w:hideMark/>
          </w:tcPr>
          <w:p w:rsidR="00EF4FAB" w:rsidRPr="007319CD" w:rsidRDefault="00EF4FAB" w:rsidP="00832F19">
            <w:pPr>
              <w:pStyle w:val="121"/>
              <w:spacing w:line="400" w:lineRule="exact"/>
              <w:rPr>
                <w:rFonts w:hAnsi="標楷體"/>
                <w:sz w:val="22"/>
                <w:szCs w:val="22"/>
              </w:rPr>
            </w:pPr>
          </w:p>
        </w:tc>
        <w:tc>
          <w:tcPr>
            <w:tcW w:w="512" w:type="pct"/>
            <w:tcBorders>
              <w:top w:val="single" w:sz="4" w:space="0" w:color="auto"/>
              <w:left w:val="nil"/>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377" w:type="pct"/>
            <w:tcBorders>
              <w:top w:val="single" w:sz="4" w:space="0" w:color="auto"/>
              <w:left w:val="nil"/>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c>
          <w:tcPr>
            <w:tcW w:w="534" w:type="pct"/>
            <w:tcBorders>
              <w:top w:val="single" w:sz="4" w:space="0" w:color="auto"/>
              <w:left w:val="doub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428" w:type="pct"/>
            <w:tcBorders>
              <w:top w:val="single" w:sz="4" w:space="0" w:color="auto"/>
              <w:left w:val="nil"/>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c>
          <w:tcPr>
            <w:tcW w:w="534" w:type="pct"/>
            <w:tcBorders>
              <w:top w:val="single" w:sz="4" w:space="0" w:color="auto"/>
              <w:left w:val="doub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388" w:type="pct"/>
            <w:tcBorders>
              <w:top w:val="single" w:sz="4" w:space="0" w:color="auto"/>
              <w:left w:val="nil"/>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c>
          <w:tcPr>
            <w:tcW w:w="486" w:type="pct"/>
            <w:tcBorders>
              <w:top w:val="single" w:sz="4" w:space="0" w:color="auto"/>
              <w:left w:val="doub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379" w:type="pct"/>
            <w:tcBorders>
              <w:top w:val="single" w:sz="4" w:space="0" w:color="auto"/>
              <w:left w:val="nil"/>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r>
      <w:tr w:rsidR="007319CD" w:rsidRPr="007319CD" w:rsidTr="008D53F1">
        <w:trPr>
          <w:trHeight w:val="20"/>
        </w:trPr>
        <w:tc>
          <w:tcPr>
            <w:tcW w:w="1362" w:type="pct"/>
            <w:vMerge/>
            <w:tcBorders>
              <w:top w:val="nil"/>
              <w:left w:val="nil"/>
              <w:bottom w:val="single" w:sz="4" w:space="0" w:color="000000"/>
              <w:right w:val="single" w:sz="4" w:space="0" w:color="auto"/>
            </w:tcBorders>
            <w:shd w:val="clear" w:color="auto" w:fill="EEECE1" w:themeFill="background2"/>
            <w:vAlign w:val="center"/>
            <w:hideMark/>
          </w:tcPr>
          <w:p w:rsidR="00EF4FAB" w:rsidRPr="007319CD" w:rsidRDefault="00EF4FAB" w:rsidP="00832F19">
            <w:pPr>
              <w:pStyle w:val="121"/>
              <w:spacing w:line="400" w:lineRule="exact"/>
              <w:rPr>
                <w:rFonts w:hAnsi="標楷體"/>
                <w:sz w:val="22"/>
                <w:szCs w:val="22"/>
              </w:rPr>
            </w:pPr>
          </w:p>
        </w:tc>
        <w:tc>
          <w:tcPr>
            <w:tcW w:w="512" w:type="pct"/>
            <w:tcBorders>
              <w:left w:val="nil"/>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377" w:type="pct"/>
            <w:tcBorders>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c>
          <w:tcPr>
            <w:tcW w:w="534" w:type="pct"/>
            <w:tcBorders>
              <w:left w:val="double" w:sz="4" w:space="0" w:color="auto"/>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428" w:type="pct"/>
            <w:tcBorders>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c>
          <w:tcPr>
            <w:tcW w:w="534" w:type="pct"/>
            <w:tcBorders>
              <w:left w:val="double" w:sz="4" w:space="0" w:color="auto"/>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388" w:type="pct"/>
            <w:tcBorders>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c>
          <w:tcPr>
            <w:tcW w:w="486" w:type="pct"/>
            <w:tcBorders>
              <w:left w:val="double" w:sz="4" w:space="0" w:color="auto"/>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379" w:type="pct"/>
            <w:tcBorders>
              <w:left w:val="nil"/>
              <w:bottom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全體所得收入者：</w:t>
            </w:r>
          </w:p>
        </w:tc>
        <w:tc>
          <w:tcPr>
            <w:tcW w:w="512" w:type="pct"/>
            <w:tcBorders>
              <w:top w:val="single" w:sz="4" w:space="0" w:color="auto"/>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525,285</w:t>
            </w:r>
          </w:p>
        </w:tc>
        <w:tc>
          <w:tcPr>
            <w:tcW w:w="377" w:type="pct"/>
            <w:tcBorders>
              <w:top w:val="single" w:sz="4" w:space="0" w:color="auto"/>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0.07</w:t>
            </w:r>
          </w:p>
        </w:tc>
        <w:tc>
          <w:tcPr>
            <w:tcW w:w="534" w:type="pct"/>
            <w:tcBorders>
              <w:top w:val="single" w:sz="4" w:space="0" w:color="auto"/>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532,864</w:t>
            </w:r>
          </w:p>
        </w:tc>
        <w:tc>
          <w:tcPr>
            <w:tcW w:w="428" w:type="pct"/>
            <w:tcBorders>
              <w:top w:val="single" w:sz="4" w:space="0" w:color="auto"/>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1.44</w:t>
            </w:r>
          </w:p>
        </w:tc>
        <w:tc>
          <w:tcPr>
            <w:tcW w:w="534" w:type="pct"/>
            <w:tcBorders>
              <w:top w:val="single" w:sz="4" w:space="0" w:color="auto"/>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431,264</w:t>
            </w:r>
          </w:p>
        </w:tc>
        <w:tc>
          <w:tcPr>
            <w:tcW w:w="388" w:type="pct"/>
            <w:tcBorders>
              <w:top w:val="single" w:sz="4" w:space="0" w:color="auto"/>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1.32</w:t>
            </w:r>
          </w:p>
        </w:tc>
        <w:tc>
          <w:tcPr>
            <w:tcW w:w="486" w:type="pct"/>
            <w:tcBorders>
              <w:top w:val="single" w:sz="4" w:space="0" w:color="auto"/>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437,172</w:t>
            </w:r>
          </w:p>
        </w:tc>
        <w:tc>
          <w:tcPr>
            <w:tcW w:w="379" w:type="pct"/>
            <w:tcBorders>
              <w:top w:val="single" w:sz="4" w:space="0" w:color="auto"/>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1.37</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按職業別分：</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1.民意代表、主管及經理人員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1,246,135</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-1.45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1,324,810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6.31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1,053,835</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3.67</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1,091,261</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3.55</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2.專業人員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786,182</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-1.17</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808,301</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687,698</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-0.61</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703,503</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2.30</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3.技術員及助理專業人員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672,689</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670,188</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-0.37</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569,931</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1.02</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583,807</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2.43</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4.事務支援人員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453,433</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0.00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465,015</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2.55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405,317</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2.68</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409,206</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0.96</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5.服務及銷售工作人員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484,972</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0.30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497,418</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2.57</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395,648</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1.05</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401,405</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1.46</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6.農林漁牧業生產人員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389,573</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406,800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4.42</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287,942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-1.37</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312,403</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8.50</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832F19" w:rsidP="00832F19">
            <w:pPr>
              <w:pStyle w:val="121"/>
              <w:spacing w:line="400" w:lineRule="exact"/>
              <w:rPr>
                <w:rFonts w:hAnsi="標楷體"/>
                <w:sz w:val="20"/>
                <w:szCs w:val="20"/>
              </w:rPr>
            </w:pPr>
            <w:r w:rsidRPr="007319CD">
              <w:rPr>
                <w:rFonts w:hAnsi="標楷體"/>
                <w:sz w:val="20"/>
                <w:szCs w:val="20"/>
              </w:rPr>
              <w:t xml:space="preserve">　</w:t>
            </w:r>
            <w:r w:rsidR="00EF4FAB" w:rsidRPr="007319CD">
              <w:rPr>
                <w:rFonts w:hAnsi="標楷體"/>
                <w:sz w:val="20"/>
                <w:szCs w:val="20"/>
              </w:rPr>
              <w:t>6.1.農事畜牧及有關工作者</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381,586</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2.35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394,926</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280,182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-0.54</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302,173</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7.85</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832F19" w:rsidP="00832F19">
            <w:pPr>
              <w:pStyle w:val="121"/>
              <w:spacing w:line="400" w:lineRule="exact"/>
              <w:rPr>
                <w:rFonts w:hAnsi="標楷體"/>
                <w:sz w:val="20"/>
                <w:szCs w:val="20"/>
              </w:rPr>
            </w:pPr>
            <w:r w:rsidRPr="007319CD">
              <w:rPr>
                <w:rFonts w:hAnsi="標楷體"/>
                <w:sz w:val="20"/>
                <w:szCs w:val="20"/>
              </w:rPr>
              <w:t xml:space="preserve">　</w:t>
            </w:r>
            <w:r w:rsidR="00EF4FAB" w:rsidRPr="007319CD">
              <w:rPr>
                <w:rFonts w:hAnsi="標楷體"/>
                <w:sz w:val="20"/>
                <w:szCs w:val="20"/>
              </w:rPr>
              <w:t>6.2林業、漁業生產人員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519,074</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-8.26</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573,860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10.55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432,191</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-11.55</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475,539</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10.03</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ind w:left="480" w:hangingChars="250" w:hanging="480"/>
              <w:rPr>
                <w:rFonts w:hAnsi="標楷體"/>
                <w:sz w:val="20"/>
                <w:szCs w:val="20"/>
              </w:rPr>
            </w:pPr>
            <w:r w:rsidRPr="007319CD">
              <w:rPr>
                <w:rFonts w:hAnsi="標楷體"/>
                <w:sz w:val="20"/>
                <w:szCs w:val="20"/>
              </w:rPr>
              <w:t>7/8/9.技藝有關工作人員、機械設備操作及組裝人員、基層技術工及勞力工</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458,745</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2.99</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465,087</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1.38</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416,002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2.98</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420,087</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0.98</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7.技藝有關工作人員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514,820</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2.53</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521,522</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466,416</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1.89</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470,840</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0.95</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8.機械設備操作及組裝人員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460,344</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3.33</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465,570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1.14</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419,882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3.52</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422,932</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0.73</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9.基層技術工及勞力工</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352,749</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2.19</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363,631</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3.08</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321,060</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4.16</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326,931</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1.83</w:t>
            </w:r>
          </w:p>
        </w:tc>
      </w:tr>
      <w:tr w:rsidR="007319CD" w:rsidRPr="007319CD" w:rsidTr="00832F19">
        <w:trPr>
          <w:trHeight w:val="20"/>
        </w:trPr>
        <w:tc>
          <w:tcPr>
            <w:tcW w:w="1362" w:type="pct"/>
            <w:tcBorders>
              <w:top w:val="nil"/>
              <w:left w:val="nil"/>
              <w:bottom w:val="double" w:sz="6" w:space="0" w:color="auto"/>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10.其他</w:t>
            </w:r>
          </w:p>
        </w:tc>
        <w:tc>
          <w:tcPr>
            <w:tcW w:w="512" w:type="pct"/>
            <w:tcBorders>
              <w:top w:val="nil"/>
              <w:left w:val="nil"/>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392,370</w:t>
            </w:r>
          </w:p>
        </w:tc>
        <w:tc>
          <w:tcPr>
            <w:tcW w:w="377" w:type="pct"/>
            <w:tcBorders>
              <w:top w:val="nil"/>
              <w:left w:val="nil"/>
              <w:bottom w:val="double" w:sz="6" w:space="0" w:color="auto"/>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-0.45</w:t>
            </w:r>
          </w:p>
        </w:tc>
        <w:tc>
          <w:tcPr>
            <w:tcW w:w="534" w:type="pct"/>
            <w:tcBorders>
              <w:top w:val="nil"/>
              <w:left w:val="double" w:sz="4" w:space="0" w:color="auto"/>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384,295</w:t>
            </w:r>
          </w:p>
        </w:tc>
        <w:tc>
          <w:tcPr>
            <w:tcW w:w="428" w:type="pct"/>
            <w:tcBorders>
              <w:top w:val="nil"/>
              <w:left w:val="nil"/>
              <w:bottom w:val="double" w:sz="6" w:space="0" w:color="auto"/>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-2.06</w:t>
            </w:r>
          </w:p>
        </w:tc>
        <w:tc>
          <w:tcPr>
            <w:tcW w:w="534" w:type="pct"/>
            <w:tcBorders>
              <w:top w:val="nil"/>
              <w:left w:val="double" w:sz="4" w:space="0" w:color="auto"/>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291,159</w:t>
            </w:r>
          </w:p>
        </w:tc>
        <w:tc>
          <w:tcPr>
            <w:tcW w:w="388" w:type="pct"/>
            <w:tcBorders>
              <w:top w:val="nil"/>
              <w:left w:val="nil"/>
              <w:bottom w:val="double" w:sz="6" w:space="0" w:color="auto"/>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1.52</w:t>
            </w:r>
          </w:p>
        </w:tc>
        <w:tc>
          <w:tcPr>
            <w:tcW w:w="486" w:type="pct"/>
            <w:tcBorders>
              <w:top w:val="nil"/>
              <w:left w:val="double" w:sz="4" w:space="0" w:color="auto"/>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282,382</w:t>
            </w:r>
          </w:p>
        </w:tc>
        <w:tc>
          <w:tcPr>
            <w:tcW w:w="379" w:type="pct"/>
            <w:tcBorders>
              <w:top w:val="nil"/>
              <w:left w:val="nil"/>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-3.01</w:t>
            </w:r>
          </w:p>
        </w:tc>
      </w:tr>
    </w:tbl>
    <w:p w:rsidR="00FA4F62" w:rsidRPr="007319CD" w:rsidRDefault="00FA4F62" w:rsidP="00FA4F62">
      <w:pPr>
        <w:pStyle w:val="afa"/>
        <w:rPr>
          <w:rFonts w:hAnsi="標楷體"/>
        </w:rPr>
      </w:pPr>
      <w:r w:rsidRPr="007319CD">
        <w:rPr>
          <w:rFonts w:hAnsi="標楷體"/>
        </w:rPr>
        <w:t>資料來源：行政院主計總處。</w:t>
      </w:r>
    </w:p>
    <w:p w:rsidR="00FA4F62" w:rsidRPr="007319CD" w:rsidRDefault="00FA4F62" w:rsidP="00FA4F62">
      <w:pPr>
        <w:rPr>
          <w:rFonts w:hAnsi="標楷體"/>
        </w:rPr>
      </w:pPr>
    </w:p>
    <w:p w:rsidR="00832F19" w:rsidRPr="007319CD" w:rsidRDefault="00832F19" w:rsidP="00FA4F62">
      <w:pPr>
        <w:rPr>
          <w:rFonts w:hAnsi="標楷體"/>
        </w:rPr>
        <w:sectPr w:rsidR="00832F19" w:rsidRPr="007319CD" w:rsidSect="00897AB5">
          <w:pgSz w:w="11907" w:h="16840" w:code="9"/>
          <w:pgMar w:top="1701" w:right="1418" w:bottom="1418" w:left="1418" w:header="851" w:footer="851" w:gutter="227"/>
          <w:cols w:space="425"/>
          <w:docGrid w:type="linesAndChars" w:linePitch="457" w:charSpace="4127"/>
        </w:sectPr>
      </w:pPr>
    </w:p>
    <w:p w:rsidR="00516B19" w:rsidRPr="007319CD" w:rsidRDefault="00516B19" w:rsidP="00012988">
      <w:pPr>
        <w:pStyle w:val="a0"/>
        <w:numPr>
          <w:ilvl w:val="0"/>
          <w:numId w:val="2"/>
        </w:numPr>
        <w:ind w:left="1361" w:hanging="1361"/>
        <w:rPr>
          <w:rFonts w:hAnsi="標楷體"/>
        </w:rPr>
      </w:pPr>
      <w:r w:rsidRPr="007319CD">
        <w:rPr>
          <w:rFonts w:hAnsi="標楷體"/>
        </w:rPr>
        <w:lastRenderedPageBreak/>
        <w:t>臺北市政府社會局老人自費安養中心收費標準表</w:t>
      </w:r>
    </w:p>
    <w:tbl>
      <w:tblPr>
        <w:tblpPr w:leftFromText="181" w:rightFromText="18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933"/>
        <w:gridCol w:w="1676"/>
        <w:gridCol w:w="1703"/>
        <w:gridCol w:w="2289"/>
      </w:tblGrid>
      <w:tr w:rsidR="007319CD" w:rsidRPr="007319CD" w:rsidTr="009E1970">
        <w:trPr>
          <w:trHeight w:val="851"/>
        </w:trPr>
        <w:tc>
          <w:tcPr>
            <w:tcW w:w="805" w:type="pct"/>
            <w:tcBorders>
              <w:top w:val="single" w:sz="4" w:space="0" w:color="auto"/>
              <w:left w:val="single" w:sz="4" w:space="0" w:color="auto"/>
              <w:bottom w:val="single" w:sz="4" w:space="0" w:color="auto"/>
              <w:right w:val="single" w:sz="4" w:space="0" w:color="auto"/>
              <w:tl2br w:val="single" w:sz="4" w:space="0" w:color="auto"/>
            </w:tcBorders>
            <w:shd w:val="clear" w:color="auto" w:fill="EEECE1" w:themeFill="background2"/>
            <w:vAlign w:val="center"/>
            <w:hideMark/>
          </w:tcPr>
          <w:p w:rsidR="00516B19" w:rsidRPr="007319CD" w:rsidRDefault="00516B19" w:rsidP="00516B19">
            <w:pPr>
              <w:pStyle w:val="121"/>
              <w:jc w:val="right"/>
              <w:rPr>
                <w:rFonts w:hAnsi="標楷體"/>
              </w:rPr>
            </w:pPr>
            <w:r w:rsidRPr="007319CD">
              <w:rPr>
                <w:rFonts w:hAnsi="標楷體"/>
              </w:rPr>
              <w:t>項</w:t>
            </w:r>
          </w:p>
          <w:p w:rsidR="00516B19" w:rsidRPr="007319CD" w:rsidRDefault="00516B19" w:rsidP="00516B19">
            <w:pPr>
              <w:pStyle w:val="121"/>
              <w:jc w:val="right"/>
              <w:rPr>
                <w:rFonts w:hAnsi="標楷體"/>
              </w:rPr>
            </w:pPr>
            <w:r w:rsidRPr="007319CD">
              <w:rPr>
                <w:rFonts w:hAnsi="標楷體"/>
              </w:rPr>
              <w:t>目</w:t>
            </w:r>
          </w:p>
          <w:p w:rsidR="00516B19" w:rsidRPr="007319CD" w:rsidRDefault="00516B19" w:rsidP="00516B19">
            <w:pPr>
              <w:pStyle w:val="121"/>
              <w:rPr>
                <w:rFonts w:hAnsi="標楷體"/>
              </w:rPr>
            </w:pPr>
            <w:r w:rsidRPr="007319CD">
              <w:rPr>
                <w:rFonts w:hAnsi="標楷體"/>
              </w:rPr>
              <w:t>樓</w:t>
            </w:r>
          </w:p>
          <w:p w:rsidR="00516B19" w:rsidRPr="007319CD" w:rsidRDefault="00516B19" w:rsidP="00516B19">
            <w:pPr>
              <w:pStyle w:val="121"/>
              <w:rPr>
                <w:rFonts w:hAnsi="標楷體"/>
              </w:rPr>
            </w:pPr>
            <w:r w:rsidRPr="007319CD">
              <w:rPr>
                <w:rFonts w:hAnsi="標楷體"/>
              </w:rPr>
              <w:t>別</w:t>
            </w:r>
          </w:p>
        </w:tc>
        <w:tc>
          <w:tcPr>
            <w:tcW w:w="106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服務及維護費</w:t>
            </w:r>
          </w:p>
        </w:tc>
        <w:tc>
          <w:tcPr>
            <w:tcW w:w="92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伙　食　費</w:t>
            </w:r>
          </w:p>
        </w:tc>
        <w:tc>
          <w:tcPr>
            <w:tcW w:w="9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保　證　金</w:t>
            </w:r>
          </w:p>
        </w:tc>
        <w:tc>
          <w:tcPr>
            <w:tcW w:w="126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 xml:space="preserve">備　　　　</w:t>
            </w:r>
            <w:proofErr w:type="gramStart"/>
            <w:r w:rsidRPr="007319CD">
              <w:rPr>
                <w:rFonts w:hAnsi="標楷體"/>
              </w:rPr>
              <w:t>註</w:t>
            </w:r>
            <w:proofErr w:type="gramEnd"/>
          </w:p>
        </w:tc>
      </w:tr>
      <w:tr w:rsidR="007319CD" w:rsidRPr="007319CD" w:rsidTr="009E1970">
        <w:trPr>
          <w:trHeight w:val="1134"/>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松柏樓</w:t>
            </w: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6,314</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516B19" w:rsidP="009E1970">
            <w:pPr>
              <w:pStyle w:val="121"/>
              <w:rPr>
                <w:rFonts w:hAnsi="標楷體"/>
              </w:rPr>
            </w:pPr>
            <w:r w:rsidRPr="007319CD">
              <w:rPr>
                <w:rFonts w:hAnsi="標楷體"/>
              </w:rPr>
              <w:t>應繳</w:t>
            </w:r>
            <w:r w:rsidR="009E1970" w:rsidRPr="007319CD">
              <w:rPr>
                <w:rFonts w:hAnsi="標楷體" w:hint="eastAsia"/>
              </w:rPr>
              <w:t>9,314</w:t>
            </w:r>
            <w:r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6,094</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516B19" w:rsidP="009E1970">
            <w:pPr>
              <w:pStyle w:val="121"/>
              <w:rPr>
                <w:rFonts w:hAnsi="標楷體"/>
              </w:rPr>
            </w:pPr>
            <w:r w:rsidRPr="007319CD">
              <w:rPr>
                <w:rFonts w:hAnsi="標楷體"/>
              </w:rPr>
              <w:t>應繳</w:t>
            </w:r>
            <w:r w:rsidR="009E1970" w:rsidRPr="007319CD">
              <w:rPr>
                <w:rFonts w:hAnsi="標楷體" w:hint="eastAsia"/>
              </w:rPr>
              <w:t>9,094</w:t>
            </w:r>
            <w:r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9,856</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9E1970">
            <w:pPr>
              <w:pStyle w:val="121"/>
              <w:rPr>
                <w:rFonts w:hAnsi="標楷體"/>
              </w:rPr>
            </w:pPr>
            <w:r w:rsidRPr="007319CD">
              <w:rPr>
                <w:rFonts w:hAnsi="標楷體"/>
              </w:rPr>
              <w:t>夫妻住雙人雙間套房每月應繳</w:t>
            </w:r>
            <w:r w:rsidR="009E1970" w:rsidRPr="007319CD">
              <w:rPr>
                <w:rFonts w:hAnsi="標楷體" w:hint="eastAsia"/>
              </w:rPr>
              <w:t>15,856</w:t>
            </w:r>
            <w:r w:rsidRPr="007319CD">
              <w:rPr>
                <w:rFonts w:hAnsi="標楷體"/>
              </w:rPr>
              <w:t>元</w:t>
            </w:r>
          </w:p>
        </w:tc>
      </w:tr>
      <w:tr w:rsidR="007319CD" w:rsidRPr="007319CD" w:rsidTr="009E1970">
        <w:trPr>
          <w:trHeight w:val="1134"/>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長青樓</w:t>
            </w: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7,700</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40,000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516B19" w:rsidP="00B43461">
            <w:pPr>
              <w:pStyle w:val="121"/>
              <w:rPr>
                <w:rFonts w:hAnsi="標楷體"/>
              </w:rPr>
            </w:pPr>
            <w:r w:rsidRPr="007319CD">
              <w:rPr>
                <w:rFonts w:hAnsi="標楷體"/>
              </w:rPr>
              <w:t>應繳</w:t>
            </w:r>
            <w:r w:rsidR="00B43461" w:rsidRPr="007319CD">
              <w:rPr>
                <w:rFonts w:hAnsi="標楷體" w:hint="eastAsia"/>
              </w:rPr>
              <w:t>10,700</w:t>
            </w:r>
            <w:r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7,480</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40,000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B43461" w:rsidP="00B43461">
            <w:pPr>
              <w:pStyle w:val="121"/>
              <w:rPr>
                <w:rFonts w:hAnsi="標楷體"/>
              </w:rPr>
            </w:pPr>
            <w:r w:rsidRPr="007319CD">
              <w:rPr>
                <w:rFonts w:hAnsi="標楷體"/>
              </w:rPr>
              <w:t>應繳</w:t>
            </w:r>
            <w:r w:rsidRPr="007319CD">
              <w:rPr>
                <w:rFonts w:hAnsi="標楷體" w:hint="eastAsia"/>
              </w:rPr>
              <w:t>10,480</w:t>
            </w:r>
            <w:r w:rsidR="00516B19"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12,012</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80,000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夫妻住雙人套房每月</w:t>
            </w:r>
          </w:p>
          <w:p w:rsidR="00516B19" w:rsidRPr="007319CD" w:rsidRDefault="00B43461" w:rsidP="00516B19">
            <w:pPr>
              <w:pStyle w:val="121"/>
              <w:rPr>
                <w:rFonts w:hAnsi="標楷體"/>
              </w:rPr>
            </w:pPr>
            <w:r w:rsidRPr="007319CD">
              <w:rPr>
                <w:rFonts w:hAnsi="標楷體"/>
              </w:rPr>
              <w:t>應繳</w:t>
            </w:r>
            <w:r w:rsidRPr="007319CD">
              <w:rPr>
                <w:rFonts w:hAnsi="標楷體" w:hint="eastAsia"/>
              </w:rPr>
              <w:t>18,012</w:t>
            </w:r>
            <w:r w:rsidR="00516B19"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12,232</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80,000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B43461">
            <w:pPr>
              <w:pStyle w:val="121"/>
              <w:rPr>
                <w:rFonts w:hAnsi="標楷體"/>
              </w:rPr>
            </w:pPr>
            <w:r w:rsidRPr="007319CD">
              <w:rPr>
                <w:rFonts w:hAnsi="標楷體"/>
              </w:rPr>
              <w:t>夫妻住雙人雙間套房每月應繳</w:t>
            </w:r>
            <w:r w:rsidR="00B43461" w:rsidRPr="007319CD">
              <w:rPr>
                <w:rFonts w:hAnsi="標楷體" w:hint="eastAsia"/>
              </w:rPr>
              <w:t>1</w:t>
            </w:r>
            <w:r w:rsidR="003B2AFE" w:rsidRPr="007319CD">
              <w:rPr>
                <w:rFonts w:hAnsi="標楷體" w:hint="eastAsia"/>
              </w:rPr>
              <w:t>8,232</w:t>
            </w:r>
            <w:r w:rsidRPr="007319CD">
              <w:rPr>
                <w:rFonts w:hAnsi="標楷體"/>
              </w:rPr>
              <w:t>元</w:t>
            </w:r>
          </w:p>
        </w:tc>
      </w:tr>
    </w:tbl>
    <w:p w:rsidR="00516B19" w:rsidRPr="007319CD" w:rsidRDefault="00516B19" w:rsidP="00C3075D">
      <w:pPr>
        <w:pStyle w:val="afa"/>
        <w:ind w:left="1345" w:hangingChars="480" w:hanging="1345"/>
        <w:rPr>
          <w:rFonts w:hAnsi="標楷體"/>
        </w:rPr>
      </w:pPr>
      <w:r w:rsidRPr="007319CD">
        <w:rPr>
          <w:rFonts w:hAnsi="標楷體"/>
        </w:rPr>
        <w:t>資料來源：監察院98年度「臺灣老人人權與實踐之探討」專案調查研究報告。</w:t>
      </w:r>
    </w:p>
    <w:p w:rsidR="00516B19" w:rsidRPr="007319CD" w:rsidRDefault="00516B19" w:rsidP="00516B19">
      <w:pPr>
        <w:pStyle w:val="0"/>
        <w:ind w:left="1561" w:right="340" w:hanging="881"/>
        <w:rPr>
          <w:rFonts w:hAnsi="標楷體"/>
          <w:bCs/>
          <w:sz w:val="20"/>
        </w:rPr>
      </w:pPr>
    </w:p>
    <w:p w:rsidR="00516B19" w:rsidRPr="007319CD" w:rsidRDefault="00516B19" w:rsidP="00516B19">
      <w:pPr>
        <w:pStyle w:val="0"/>
        <w:ind w:left="1561" w:right="340" w:hanging="881"/>
        <w:rPr>
          <w:rFonts w:hAnsi="標楷體"/>
          <w:bCs/>
          <w:sz w:val="20"/>
        </w:rPr>
        <w:sectPr w:rsidR="00516B19" w:rsidRPr="007319CD" w:rsidSect="00897AB5">
          <w:pgSz w:w="11907" w:h="16840" w:code="9"/>
          <w:pgMar w:top="1701" w:right="1418" w:bottom="1418" w:left="1418" w:header="851" w:footer="851" w:gutter="227"/>
          <w:cols w:space="425"/>
          <w:docGrid w:type="linesAndChars" w:linePitch="457" w:charSpace="4127"/>
        </w:sectPr>
      </w:pPr>
    </w:p>
    <w:p w:rsidR="00516B19" w:rsidRPr="007319CD" w:rsidRDefault="00516B19" w:rsidP="00012988">
      <w:pPr>
        <w:pStyle w:val="a0"/>
        <w:numPr>
          <w:ilvl w:val="0"/>
          <w:numId w:val="2"/>
        </w:numPr>
        <w:ind w:left="1361" w:hanging="1361"/>
        <w:rPr>
          <w:rFonts w:hAnsi="標楷體"/>
        </w:rPr>
      </w:pPr>
      <w:r w:rsidRPr="007319CD">
        <w:rPr>
          <w:rFonts w:hAnsi="標楷體"/>
        </w:rPr>
        <w:lastRenderedPageBreak/>
        <w:t>老人福利機構平均收費概況</w:t>
      </w:r>
    </w:p>
    <w:p w:rsidR="00516B19" w:rsidRPr="007319CD" w:rsidRDefault="00516B19" w:rsidP="00516B19">
      <w:pPr>
        <w:kinsoku w:val="0"/>
        <w:overflowPunct/>
        <w:snapToGrid w:val="0"/>
        <w:jc w:val="right"/>
        <w:rPr>
          <w:rFonts w:hAnsi="標楷體"/>
          <w:bCs/>
          <w:kern w:val="0"/>
          <w:sz w:val="22"/>
          <w:szCs w:val="24"/>
        </w:rPr>
      </w:pPr>
      <w:r w:rsidRPr="007319CD">
        <w:rPr>
          <w:rFonts w:hAnsi="標楷體"/>
          <w:bCs/>
          <w:kern w:val="0"/>
          <w:sz w:val="22"/>
          <w:szCs w:val="24"/>
        </w:rPr>
        <w:t>單位：元</w:t>
      </w:r>
    </w:p>
    <w:tbl>
      <w:tblPr>
        <w:tblW w:w="5000" w:type="pct"/>
        <w:tblCellMar>
          <w:left w:w="0" w:type="dxa"/>
          <w:right w:w="0" w:type="dxa"/>
        </w:tblCellMar>
        <w:tblLook w:val="04A0" w:firstRow="1" w:lastRow="0" w:firstColumn="1" w:lastColumn="0" w:noHBand="0" w:noVBand="1"/>
      </w:tblPr>
      <w:tblGrid>
        <w:gridCol w:w="1193"/>
        <w:gridCol w:w="2607"/>
        <w:gridCol w:w="2687"/>
        <w:gridCol w:w="2573"/>
      </w:tblGrid>
      <w:tr w:rsidR="007319CD" w:rsidRPr="007319CD" w:rsidTr="00516B19">
        <w:tc>
          <w:tcPr>
            <w:tcW w:w="658"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區域</w:t>
            </w:r>
          </w:p>
        </w:tc>
        <w:tc>
          <w:tcPr>
            <w:tcW w:w="1439"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安養機構</w:t>
            </w:r>
          </w:p>
        </w:tc>
        <w:tc>
          <w:tcPr>
            <w:tcW w:w="1483"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養護機構</w:t>
            </w:r>
          </w:p>
        </w:tc>
        <w:tc>
          <w:tcPr>
            <w:tcW w:w="142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長期照護機構</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北區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14,500-25,000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28,000-35,000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30,000-35,000</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中區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12,000-16,000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19,000-28,000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25,000-29,000</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南區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4,800-12,700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16,000-25,000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25,000-33,000</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東區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12,000-15,000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17,000-26,000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20,000-24,000</w:t>
            </w:r>
          </w:p>
        </w:tc>
      </w:tr>
    </w:tbl>
    <w:p w:rsidR="00516B19" w:rsidRPr="007319CD" w:rsidRDefault="00516B19" w:rsidP="00516B19">
      <w:pPr>
        <w:pStyle w:val="afa"/>
        <w:rPr>
          <w:rFonts w:hAnsi="標楷體"/>
        </w:rPr>
      </w:pPr>
      <w:r w:rsidRPr="007319CD">
        <w:rPr>
          <w:rFonts w:hAnsi="標楷體"/>
        </w:rPr>
        <w:t>資料來源：內政部98年9月18日書面說明資料。</w:t>
      </w:r>
    </w:p>
    <w:p w:rsidR="00516B19" w:rsidRPr="007319CD" w:rsidRDefault="00516B19" w:rsidP="00516B19">
      <w:pPr>
        <w:pStyle w:val="0"/>
        <w:ind w:left="1561" w:right="340" w:hanging="881"/>
        <w:rPr>
          <w:rFonts w:hAnsi="標楷體"/>
          <w:bCs/>
          <w:sz w:val="20"/>
        </w:rPr>
      </w:pPr>
    </w:p>
    <w:p w:rsidR="00516B19" w:rsidRPr="007319CD" w:rsidRDefault="00516B19" w:rsidP="00516B19">
      <w:pPr>
        <w:pStyle w:val="0"/>
        <w:ind w:left="1561" w:right="340" w:hanging="881"/>
        <w:rPr>
          <w:rFonts w:hAnsi="標楷體"/>
          <w:bCs/>
          <w:sz w:val="20"/>
        </w:rPr>
        <w:sectPr w:rsidR="00516B19" w:rsidRPr="007319CD" w:rsidSect="00897AB5">
          <w:pgSz w:w="11907" w:h="16840" w:code="9"/>
          <w:pgMar w:top="1701" w:right="1418" w:bottom="1418" w:left="1418" w:header="851" w:footer="851" w:gutter="227"/>
          <w:cols w:space="425"/>
          <w:docGrid w:type="linesAndChars" w:linePitch="457" w:charSpace="4127"/>
        </w:sectPr>
      </w:pPr>
    </w:p>
    <w:p w:rsidR="00516B19" w:rsidRPr="007319CD" w:rsidRDefault="00516B19" w:rsidP="00012988">
      <w:pPr>
        <w:pStyle w:val="a0"/>
        <w:numPr>
          <w:ilvl w:val="0"/>
          <w:numId w:val="2"/>
        </w:numPr>
        <w:ind w:left="1361" w:hanging="1361"/>
        <w:rPr>
          <w:rFonts w:hAnsi="標楷體"/>
        </w:rPr>
      </w:pPr>
      <w:r w:rsidRPr="007319CD">
        <w:rPr>
          <w:rFonts w:hAnsi="標楷體"/>
        </w:rPr>
        <w:lastRenderedPageBreak/>
        <w:t>各縣市護理之家收費標準核定情形</w:t>
      </w:r>
    </w:p>
    <w:p w:rsidR="00516B19" w:rsidRPr="007319CD" w:rsidRDefault="00516B19" w:rsidP="00516B19">
      <w:pPr>
        <w:kinsoku w:val="0"/>
        <w:overflowPunct/>
        <w:snapToGrid w:val="0"/>
        <w:jc w:val="right"/>
        <w:rPr>
          <w:rFonts w:hAnsi="標楷體"/>
          <w:bCs/>
          <w:kern w:val="0"/>
          <w:sz w:val="22"/>
          <w:szCs w:val="24"/>
        </w:rPr>
      </w:pPr>
      <w:r w:rsidRPr="007319CD">
        <w:rPr>
          <w:rFonts w:hAnsi="標楷體"/>
          <w:bCs/>
          <w:kern w:val="0"/>
          <w:sz w:val="22"/>
          <w:szCs w:val="24"/>
        </w:rPr>
        <w:t>單位：元</w:t>
      </w:r>
    </w:p>
    <w:tbl>
      <w:tblPr>
        <w:tblW w:w="5000" w:type="pct"/>
        <w:tblCellMar>
          <w:left w:w="0" w:type="dxa"/>
          <w:right w:w="0" w:type="dxa"/>
        </w:tblCellMar>
        <w:tblLook w:val="04A0" w:firstRow="1" w:lastRow="0" w:firstColumn="1" w:lastColumn="0" w:noHBand="0" w:noVBand="1"/>
      </w:tblPr>
      <w:tblGrid>
        <w:gridCol w:w="1040"/>
        <w:gridCol w:w="1098"/>
        <w:gridCol w:w="1696"/>
        <w:gridCol w:w="2300"/>
        <w:gridCol w:w="2766"/>
      </w:tblGrid>
      <w:tr w:rsidR="007319CD" w:rsidRPr="007319CD" w:rsidTr="00516B19">
        <w:trPr>
          <w:cantSplit/>
          <w:trHeight w:val="480"/>
          <w:tblHeader/>
        </w:trPr>
        <w:tc>
          <w:tcPr>
            <w:tcW w:w="584" w:type="pct"/>
            <w:vMerge w:val="restar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28" w:type="dxa"/>
              <w:bottom w:w="0" w:type="dxa"/>
              <w:right w:w="28" w:type="dxa"/>
            </w:tcMar>
          </w:tcPr>
          <w:p w:rsidR="00516B19" w:rsidRPr="007319CD" w:rsidRDefault="00516B19" w:rsidP="00516B19">
            <w:pPr>
              <w:pStyle w:val="121"/>
              <w:rPr>
                <w:rFonts w:hAnsi="標楷體"/>
              </w:rPr>
            </w:pPr>
            <w:r w:rsidRPr="007319CD">
              <w:rPr>
                <w:rFonts w:hAnsi="標楷體"/>
              </w:rPr>
              <w:t>收費情形</w:t>
            </w:r>
          </w:p>
          <w:p w:rsidR="00516B19" w:rsidRPr="007319CD" w:rsidRDefault="00516B19" w:rsidP="00516B19">
            <w:pPr>
              <w:pStyle w:val="121"/>
              <w:rPr>
                <w:rFonts w:hAnsi="標楷體"/>
              </w:rPr>
            </w:pPr>
          </w:p>
          <w:p w:rsidR="00516B19" w:rsidRPr="007319CD" w:rsidRDefault="00516B19" w:rsidP="00516B19">
            <w:pPr>
              <w:pStyle w:val="121"/>
              <w:rPr>
                <w:rFonts w:hAnsi="標楷體"/>
              </w:rPr>
            </w:pPr>
          </w:p>
          <w:p w:rsidR="00516B19" w:rsidRPr="007319CD" w:rsidRDefault="00516B19" w:rsidP="00516B19">
            <w:pPr>
              <w:pStyle w:val="121"/>
              <w:rPr>
                <w:rFonts w:hAnsi="標楷體"/>
              </w:rPr>
            </w:pPr>
            <w:r w:rsidRPr="007319CD">
              <w:rPr>
                <w:rFonts w:hAnsi="標楷體"/>
              </w:rPr>
              <w:t>縣市別</w:t>
            </w:r>
          </w:p>
        </w:tc>
        <w:tc>
          <w:tcPr>
            <w:tcW w:w="617" w:type="pct"/>
            <w:vMerge w:val="restart"/>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是否核定收費標準</w:t>
            </w:r>
          </w:p>
        </w:tc>
        <w:tc>
          <w:tcPr>
            <w:tcW w:w="953" w:type="pct"/>
            <w:vMerge w:val="restart"/>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收費標準</w:t>
            </w:r>
          </w:p>
        </w:tc>
        <w:tc>
          <w:tcPr>
            <w:tcW w:w="2846" w:type="pct"/>
            <w:gridSpan w:val="2"/>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調查機構實際收費情形</w:t>
            </w:r>
          </w:p>
        </w:tc>
      </w:tr>
      <w:tr w:rsidR="007319CD" w:rsidRPr="007319CD" w:rsidTr="00516B19">
        <w:trPr>
          <w:cantSplit/>
          <w:trHeight w:val="589"/>
          <w:tblHeader/>
        </w:trPr>
        <w:tc>
          <w:tcPr>
            <w:tcW w:w="584" w:type="pct"/>
            <w:vMerge/>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rsidR="00516B19" w:rsidRPr="007319CD" w:rsidRDefault="00516B19" w:rsidP="00516B19">
            <w:pPr>
              <w:pStyle w:val="121"/>
              <w:rPr>
                <w:rFonts w:hAnsi="標楷體"/>
              </w:rPr>
            </w:pPr>
          </w:p>
        </w:tc>
        <w:tc>
          <w:tcPr>
            <w:tcW w:w="617" w:type="pct"/>
            <w:vMerge/>
            <w:tcBorders>
              <w:top w:val="single" w:sz="8" w:space="0" w:color="auto"/>
              <w:left w:val="nil"/>
              <w:bottom w:val="single" w:sz="8" w:space="0" w:color="auto"/>
              <w:right w:val="single" w:sz="8" w:space="0" w:color="auto"/>
            </w:tcBorders>
            <w:shd w:val="clear" w:color="auto" w:fill="EEECE1" w:themeFill="background2"/>
            <w:vAlign w:val="center"/>
            <w:hideMark/>
          </w:tcPr>
          <w:p w:rsidR="00516B19" w:rsidRPr="007319CD" w:rsidRDefault="00516B19" w:rsidP="00516B19">
            <w:pPr>
              <w:pStyle w:val="121"/>
              <w:rPr>
                <w:rFonts w:hAnsi="標楷體"/>
              </w:rPr>
            </w:pPr>
          </w:p>
        </w:tc>
        <w:tc>
          <w:tcPr>
            <w:tcW w:w="953" w:type="pct"/>
            <w:vMerge/>
            <w:tcBorders>
              <w:top w:val="single" w:sz="8" w:space="0" w:color="auto"/>
              <w:left w:val="nil"/>
              <w:bottom w:val="single" w:sz="8" w:space="0" w:color="auto"/>
              <w:right w:val="single" w:sz="8" w:space="0" w:color="auto"/>
            </w:tcBorders>
            <w:shd w:val="clear" w:color="auto" w:fill="EEECE1" w:themeFill="background2"/>
            <w:vAlign w:val="center"/>
            <w:hideMark/>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每月照護費用（平均）</w:t>
            </w:r>
          </w:p>
        </w:tc>
        <w:tc>
          <w:tcPr>
            <w:tcW w:w="1554" w:type="pct"/>
            <w:tcBorders>
              <w:top w:val="nil"/>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材料費或其他費用</w:t>
            </w:r>
          </w:p>
        </w:tc>
      </w:tr>
      <w:tr w:rsidR="007319CD" w:rsidRPr="007319CD" w:rsidTr="00516B19">
        <w:trPr>
          <w:cantSplit/>
          <w:trHeight w:val="20"/>
        </w:trPr>
        <w:tc>
          <w:tcPr>
            <w:tcW w:w="584" w:type="pct"/>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是(縣立醫院附設護理機構)</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proofErr w:type="gramStart"/>
            <w:r w:rsidRPr="007319CD">
              <w:rPr>
                <w:rFonts w:hAnsi="標楷體"/>
              </w:rPr>
              <w:t>月托費</w:t>
            </w:r>
            <w:proofErr w:type="gramEnd"/>
            <w:r w:rsidRPr="007319CD">
              <w:rPr>
                <w:rFonts w:hAnsi="標楷體"/>
              </w:rPr>
              <w:t>：以單人房4</w:t>
            </w:r>
            <w:r w:rsidR="00BD78E8" w:rsidRPr="007319CD">
              <w:rPr>
                <w:rFonts w:hAnsi="標楷體" w:hint="eastAsia"/>
              </w:rPr>
              <w:t>.5</w:t>
            </w:r>
            <w:r w:rsidRPr="007319CD">
              <w:rPr>
                <w:rFonts w:hAnsi="標楷體"/>
              </w:rPr>
              <w:t>萬元、雙人房4萬元、多人房3</w:t>
            </w:r>
            <w:r w:rsidR="00BD78E8" w:rsidRPr="007319CD">
              <w:rPr>
                <w:rFonts w:hAnsi="標楷體" w:hint="eastAsia"/>
              </w:rPr>
              <w:t>.5</w:t>
            </w:r>
            <w:r w:rsidRPr="007319CD">
              <w:rPr>
                <w:rFonts w:hAnsi="標楷體"/>
              </w:rPr>
              <w:t>萬元為上限。</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多人房：3</w:t>
            </w:r>
            <w:r w:rsidR="00825E50" w:rsidRPr="007319CD">
              <w:rPr>
                <w:rFonts w:hAnsi="標楷體" w:hint="eastAsia"/>
              </w:rPr>
              <w:t>.5</w:t>
            </w:r>
            <w:r w:rsidRPr="007319CD">
              <w:rPr>
                <w:rFonts w:hAnsi="標楷體"/>
              </w:rPr>
              <w:t>萬(無單、雙人房)</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依實際照護情形另計</w:t>
            </w:r>
          </w:p>
        </w:tc>
      </w:tr>
      <w:tr w:rsidR="007319CD" w:rsidRPr="007319CD" w:rsidTr="00516B19">
        <w:trPr>
          <w:cantSplit/>
          <w:trHeight w:val="20"/>
        </w:trPr>
        <w:tc>
          <w:tcPr>
            <w:tcW w:w="584" w:type="pct"/>
            <w:vMerge/>
            <w:tcBorders>
              <w:top w:val="nil"/>
              <w:left w:val="single" w:sz="8" w:space="0" w:color="auto"/>
              <w:bottom w:val="single" w:sz="8" w:space="0" w:color="auto"/>
              <w:right w:val="single" w:sz="8" w:space="0" w:color="auto"/>
            </w:tcBorders>
            <w:vAlign w:val="center"/>
            <w:hideMark/>
          </w:tcPr>
          <w:p w:rsidR="00516B19" w:rsidRPr="007319CD" w:rsidRDefault="00516B19" w:rsidP="00516B19">
            <w:pPr>
              <w:pStyle w:val="121"/>
              <w:rPr>
                <w:rFonts w:hAnsi="標楷體"/>
              </w:rPr>
            </w:pP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無(私立護理機構)</w:t>
            </w:r>
          </w:p>
        </w:tc>
        <w:tc>
          <w:tcPr>
            <w:tcW w:w="953"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單人房：57,500</w:t>
            </w:r>
            <w:r w:rsidRPr="007319CD">
              <w:rPr>
                <w:rFonts w:hAnsi="標楷體"/>
              </w:rPr>
              <w:br/>
              <w:t>雙人房：39,500</w:t>
            </w:r>
            <w:r w:rsidRPr="007319CD">
              <w:rPr>
                <w:rFonts w:hAnsi="標楷體"/>
              </w:rPr>
              <w:br/>
              <w:t>多人房：33,000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依實際照護情形另計，另蒐集9家機構中有4家列入收費標準。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北市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是(市立醫院附設護理機構)</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3</w:t>
            </w:r>
            <w:r w:rsidR="00BD78E8" w:rsidRPr="007319CD">
              <w:rPr>
                <w:rFonts w:hAnsi="標楷體" w:hint="eastAsia"/>
              </w:rPr>
              <w:t>.6</w:t>
            </w:r>
            <w:r w:rsidRPr="007319CD">
              <w:rPr>
                <w:rFonts w:hAnsi="標楷體"/>
              </w:rPr>
              <w:t>萬-6萬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44,359</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14家依實際照護情形另計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基隆市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25E50" w:rsidRPr="007319CD" w:rsidRDefault="00516B19" w:rsidP="00516B19">
            <w:pPr>
              <w:pStyle w:val="121"/>
              <w:rPr>
                <w:rFonts w:hAnsi="標楷體"/>
              </w:rPr>
            </w:pPr>
            <w:r w:rsidRPr="007319CD">
              <w:rPr>
                <w:rFonts w:hAnsi="標楷體"/>
              </w:rPr>
              <w:t>5家依實際照護情形另計，</w:t>
            </w:r>
          </w:p>
          <w:p w:rsidR="00516B19" w:rsidRPr="007319CD" w:rsidRDefault="00516B19" w:rsidP="00516B19">
            <w:pPr>
              <w:pStyle w:val="121"/>
              <w:rPr>
                <w:rFonts w:hAnsi="標楷體"/>
              </w:rPr>
            </w:pPr>
            <w:r w:rsidRPr="007319CD">
              <w:rPr>
                <w:rFonts w:hAnsi="標楷體"/>
              </w:rPr>
              <w:t>3家已列入收費標準中</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桃園縣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刻正訂定中</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30,243</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23家</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新竹縣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1</w:t>
            </w:r>
            <w:r w:rsidR="00BD78E8" w:rsidRPr="007319CD">
              <w:rPr>
                <w:rFonts w:hAnsi="標楷體" w:hint="eastAsia"/>
              </w:rPr>
              <w:t>.9</w:t>
            </w:r>
            <w:r w:rsidRPr="007319CD">
              <w:rPr>
                <w:rFonts w:hAnsi="標楷體"/>
              </w:rPr>
              <w:t>萬-6萬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.6</w:t>
            </w:r>
            <w:r w:rsidRPr="007319CD">
              <w:rPr>
                <w:rFonts w:hAnsi="標楷體"/>
              </w:rPr>
              <w:t>萬-3</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7家列入收費標準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新竹市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2萬-4</w:t>
            </w:r>
            <w:r w:rsidR="00BD78E8" w:rsidRPr="007319CD">
              <w:rPr>
                <w:rFonts w:hAnsi="標楷體" w:hint="eastAsia"/>
              </w:rPr>
              <w:t>.2</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.7</w:t>
            </w:r>
            <w:r w:rsidRPr="007319CD">
              <w:rPr>
                <w:rFonts w:hAnsi="標楷體"/>
              </w:rPr>
              <w:t>萬-3</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2家列入收費標準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苗栗縣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26,971</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8家依實際照護情形另計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proofErr w:type="gramStart"/>
            <w:r w:rsidRPr="007319CD">
              <w:rPr>
                <w:rFonts w:hAnsi="標楷體"/>
              </w:rPr>
              <w:t>臺</w:t>
            </w:r>
            <w:proofErr w:type="gramEnd"/>
            <w:r w:rsidR="00516B19" w:rsidRPr="007319CD">
              <w:rPr>
                <w:rFonts w:hAnsi="標楷體"/>
              </w:rPr>
              <w:t>中縣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29,720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18家依實際照護情形另計，</w:t>
            </w:r>
            <w:r w:rsidR="00825E50" w:rsidRPr="007319CD">
              <w:rPr>
                <w:rFonts w:hAnsi="標楷體" w:hint="eastAsia"/>
              </w:rPr>
              <w:br/>
            </w:r>
            <w:r w:rsidRPr="007319CD">
              <w:rPr>
                <w:rFonts w:hAnsi="標楷體"/>
              </w:rPr>
              <w:t>6家已列入收費標準中</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proofErr w:type="gramStart"/>
            <w:r w:rsidRPr="007319CD">
              <w:rPr>
                <w:rFonts w:hAnsi="標楷體"/>
              </w:rPr>
              <w:t>臺</w:t>
            </w:r>
            <w:proofErr w:type="gramEnd"/>
            <w:r w:rsidR="00516B19" w:rsidRPr="007319CD">
              <w:rPr>
                <w:rFonts w:hAnsi="標楷體"/>
              </w:rPr>
              <w:t>中市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w:t>
            </w:r>
            <w:r w:rsidR="00BD78E8" w:rsidRPr="007319CD">
              <w:rPr>
                <w:rFonts w:hAnsi="標楷體"/>
              </w:rPr>
              <w:t>-</w:t>
            </w:r>
            <w:r w:rsidRPr="007319CD">
              <w:rPr>
                <w:rFonts w:hAnsi="標楷體"/>
              </w:rPr>
              <w:t>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26,362</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10家依實際照護情形另計，</w:t>
            </w:r>
            <w:r w:rsidR="00825E50" w:rsidRPr="007319CD">
              <w:rPr>
                <w:rFonts w:hAnsi="標楷體" w:hint="eastAsia"/>
              </w:rPr>
              <w:br/>
            </w:r>
            <w:r w:rsidRPr="007319CD">
              <w:rPr>
                <w:rFonts w:hAnsi="標楷體"/>
              </w:rPr>
              <w:t>4家已列入收費標準中，6家部分另計、部份列入收費標準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南投縣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22,038</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12家不包含材料費另計，</w:t>
            </w:r>
            <w:r w:rsidR="00825E50" w:rsidRPr="007319CD">
              <w:rPr>
                <w:rFonts w:hAnsi="標楷體" w:hint="eastAsia"/>
              </w:rPr>
              <w:br/>
            </w:r>
            <w:r w:rsidRPr="007319CD">
              <w:rPr>
                <w:rFonts w:hAnsi="標楷體"/>
              </w:rPr>
              <w:t>1家包含材料費另計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彰化縣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22,167</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19家依實際照護情形另計，</w:t>
            </w:r>
            <w:r w:rsidR="00825E50" w:rsidRPr="007319CD">
              <w:rPr>
                <w:rFonts w:hAnsi="標楷體" w:hint="eastAsia"/>
              </w:rPr>
              <w:br/>
            </w:r>
            <w:r w:rsidRPr="007319CD">
              <w:rPr>
                <w:rFonts w:hAnsi="標楷體"/>
              </w:rPr>
              <w:t>3家已列入收費標準中</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雲林縣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825E50" w:rsidRPr="007319CD">
              <w:rPr>
                <w:rFonts w:hAnsi="標楷體" w:hint="eastAsia"/>
              </w:rPr>
              <w:t>.5</w:t>
            </w:r>
            <w:r w:rsidRPr="007319CD">
              <w:rPr>
                <w:rFonts w:hAnsi="標楷體"/>
              </w:rPr>
              <w:t>萬-3</w:t>
            </w:r>
            <w:r w:rsidR="00825E50" w:rsidRPr="007319CD">
              <w:rPr>
                <w:rFonts w:hAnsi="標楷體" w:hint="eastAsia"/>
              </w:rPr>
              <w:t>.5</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11家依實際照護情形另計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嘉義縣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.2</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7家依實際照護情形另計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嘉義市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.4</w:t>
            </w:r>
            <w:r w:rsidRPr="007319CD">
              <w:rPr>
                <w:rFonts w:hAnsi="標楷體"/>
              </w:rPr>
              <w:t>萬-38,500</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.4</w:t>
            </w:r>
            <w:r w:rsidRPr="007319CD">
              <w:rPr>
                <w:rFonts w:hAnsi="標楷體"/>
              </w:rPr>
              <w:t>萬-38,500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proofErr w:type="gramStart"/>
            <w:r w:rsidRPr="007319CD">
              <w:rPr>
                <w:rFonts w:hAnsi="標楷體"/>
              </w:rPr>
              <w:t>臺</w:t>
            </w:r>
            <w:proofErr w:type="gramEnd"/>
            <w:r w:rsidR="00516B19" w:rsidRPr="007319CD">
              <w:rPr>
                <w:rFonts w:hAnsi="標楷體"/>
              </w:rPr>
              <w:t>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.1</w:t>
            </w:r>
            <w:r w:rsidRPr="007319CD">
              <w:rPr>
                <w:rFonts w:hAnsi="標楷體"/>
              </w:rPr>
              <w:t>萬-3</w:t>
            </w:r>
            <w:r w:rsidR="00BD78E8" w:rsidRPr="007319CD">
              <w:rPr>
                <w:rFonts w:hAnsi="標楷體" w:hint="eastAsia"/>
              </w:rPr>
              <w:t>.8</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19,946</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16家依實際照護情形另計，</w:t>
            </w:r>
            <w:r w:rsidR="00825E50" w:rsidRPr="007319CD">
              <w:rPr>
                <w:rFonts w:hAnsi="標楷體" w:hint="eastAsia"/>
              </w:rPr>
              <w:br/>
            </w:r>
            <w:r w:rsidRPr="007319CD">
              <w:rPr>
                <w:rFonts w:hAnsi="標楷體"/>
              </w:rPr>
              <w:t>12家已列入收費標準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proofErr w:type="gramStart"/>
            <w:r w:rsidRPr="007319CD">
              <w:rPr>
                <w:rFonts w:hAnsi="標楷體"/>
              </w:rPr>
              <w:t>臺</w:t>
            </w:r>
            <w:proofErr w:type="gramEnd"/>
            <w:r w:rsidR="00516B19" w:rsidRPr="007319CD">
              <w:rPr>
                <w:rFonts w:hAnsi="標楷體"/>
              </w:rPr>
              <w:t>南市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.8</w:t>
            </w:r>
            <w:r w:rsidRPr="007319CD">
              <w:rPr>
                <w:rFonts w:hAnsi="標楷體"/>
              </w:rPr>
              <w:t>萬-2</w:t>
            </w:r>
            <w:r w:rsidR="00825E50" w:rsidRPr="007319CD">
              <w:rPr>
                <w:rFonts w:hAnsi="標楷體" w:hint="eastAsia"/>
              </w:rPr>
              <w:t>.5</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15家依實際照護情形另計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高雄縣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21,500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27家依實際照護情形另計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高雄市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最低：1</w:t>
            </w:r>
            <w:r w:rsidR="00BD78E8" w:rsidRPr="007319CD">
              <w:rPr>
                <w:rFonts w:hAnsi="標楷體" w:hint="eastAsia"/>
              </w:rPr>
              <w:t>.5</w:t>
            </w:r>
            <w:r w:rsidRPr="007319CD">
              <w:rPr>
                <w:rFonts w:hAnsi="標楷體"/>
              </w:rPr>
              <w:t>萬</w:t>
            </w:r>
            <w:r w:rsidRPr="007319CD">
              <w:rPr>
                <w:rFonts w:hAnsi="標楷體"/>
              </w:rPr>
              <w:br/>
              <w:t>最高：4</w:t>
            </w:r>
            <w:r w:rsidR="00BD78E8" w:rsidRPr="007319CD">
              <w:rPr>
                <w:rFonts w:hAnsi="標楷體" w:hint="eastAsia"/>
              </w:rPr>
              <w:t>.2</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.8</w:t>
            </w:r>
            <w:r w:rsidRPr="007319CD">
              <w:rPr>
                <w:rFonts w:hAnsi="標楷體"/>
              </w:rPr>
              <w:t>萬-3萬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12家依實際照護情形另計，</w:t>
            </w:r>
            <w:r w:rsidR="00825E50" w:rsidRPr="007319CD">
              <w:rPr>
                <w:rFonts w:hAnsi="標楷體" w:hint="eastAsia"/>
              </w:rPr>
              <w:br/>
            </w:r>
            <w:r w:rsidRPr="007319CD">
              <w:rPr>
                <w:rFonts w:hAnsi="標楷體"/>
              </w:rPr>
              <w:t>22家已列入收費標準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屏東縣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.2</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15家依實際照護情形另計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宜蘭縣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23,686</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7家依實際照護情形另計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花蓮縣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.6</w:t>
            </w:r>
            <w:r w:rsidRPr="007319CD">
              <w:rPr>
                <w:rFonts w:hAnsi="標楷體"/>
              </w:rPr>
              <w:t>萬-36,500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4家依實際照護情形另計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proofErr w:type="gramStart"/>
            <w:r w:rsidRPr="007319CD">
              <w:rPr>
                <w:rFonts w:hAnsi="標楷體"/>
              </w:rPr>
              <w:lastRenderedPageBreak/>
              <w:t>臺</w:t>
            </w:r>
            <w:proofErr w:type="gramEnd"/>
            <w:r w:rsidR="00516B19" w:rsidRPr="007319CD">
              <w:rPr>
                <w:rFonts w:hAnsi="標楷體"/>
              </w:rPr>
              <w:t>東縣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2萬-2</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4家依實際照護情形另計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澎湖縣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.3</w:t>
            </w:r>
            <w:r w:rsidRPr="007319CD">
              <w:rPr>
                <w:rFonts w:hAnsi="標楷體"/>
              </w:rPr>
              <w:t>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825E50" w:rsidRPr="007319CD">
              <w:rPr>
                <w:rFonts w:hAnsi="標楷體" w:hint="eastAsia"/>
              </w:rPr>
              <w:t>.5</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proofErr w:type="gramStart"/>
            <w:r w:rsidRPr="007319CD">
              <w:rPr>
                <w:rFonts w:hAnsi="標楷體"/>
              </w:rPr>
              <w:t>2家均按實</w:t>
            </w:r>
            <w:proofErr w:type="gramEnd"/>
            <w:r w:rsidRPr="007319CD">
              <w:rPr>
                <w:rFonts w:hAnsi="標楷體"/>
              </w:rPr>
              <w:t>計價</w:t>
            </w:r>
          </w:p>
        </w:tc>
      </w:tr>
    </w:tbl>
    <w:p w:rsidR="00516B19" w:rsidRPr="007319CD" w:rsidRDefault="00516B19" w:rsidP="00516B19">
      <w:pPr>
        <w:pStyle w:val="afa"/>
        <w:rPr>
          <w:rFonts w:hAnsi="標楷體"/>
        </w:rPr>
      </w:pPr>
      <w:r w:rsidRPr="007319CD">
        <w:rPr>
          <w:rFonts w:hAnsi="標楷體"/>
        </w:rPr>
        <w:t>資料來源：衛生福利部98年7月22日書面說明資料。</w:t>
      </w:r>
    </w:p>
    <w:sectPr w:rsidR="00516B19" w:rsidRPr="007319CD" w:rsidSect="00897AB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56" w:rsidRDefault="003E1256">
      <w:r>
        <w:separator/>
      </w:r>
    </w:p>
  </w:endnote>
  <w:endnote w:type="continuationSeparator" w:id="0">
    <w:p w:rsidR="003E1256" w:rsidRDefault="003E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 Hei">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DE" w:rsidRDefault="00EF4ED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8548F">
      <w:rPr>
        <w:rStyle w:val="ae"/>
        <w:noProof/>
        <w:sz w:val="24"/>
      </w:rPr>
      <w:t>31</w:t>
    </w:r>
    <w:r>
      <w:rPr>
        <w:rStyle w:val="ae"/>
        <w:sz w:val="24"/>
      </w:rPr>
      <w:fldChar w:fldCharType="end"/>
    </w:r>
  </w:p>
  <w:p w:rsidR="00EF4EDE" w:rsidRDefault="00EF4EDE">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DE" w:rsidRDefault="00EF4ED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8548F">
      <w:rPr>
        <w:rStyle w:val="ae"/>
        <w:noProof/>
        <w:sz w:val="24"/>
      </w:rPr>
      <w:t>125</w:t>
    </w:r>
    <w:r>
      <w:rPr>
        <w:rStyle w:val="ae"/>
        <w:sz w:val="24"/>
      </w:rPr>
      <w:fldChar w:fldCharType="end"/>
    </w:r>
  </w:p>
  <w:p w:rsidR="00EF4EDE" w:rsidRDefault="00EF4E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56" w:rsidRDefault="003E1256">
      <w:r>
        <w:separator/>
      </w:r>
    </w:p>
  </w:footnote>
  <w:footnote w:type="continuationSeparator" w:id="0">
    <w:p w:rsidR="003E1256" w:rsidRDefault="003E1256">
      <w:r>
        <w:continuationSeparator/>
      </w:r>
    </w:p>
  </w:footnote>
  <w:footnote w:id="1">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47年7月21日修正司法院大法官會議法第4條第1項第1款規定：「中央或地方機關於其行使職權適用憲法發生疑義，或因行使職權與其他機關之職權發生適用憲法之爭議，或適用法律與命令發生有牴觸憲法之疑義者。」亦同於現行司法院大法官審理案件法第5條第1項第1款規定。本院行使監察權調查案件，適用憲法發生疑義，或適用法律與命令發生有牴觸憲法之疑義，而聲請解釋案例甚多</w:t>
      </w:r>
      <w:r w:rsidRPr="0075494B">
        <w:rPr>
          <w:rFonts w:hAnsi="標楷體" w:hint="eastAsia"/>
        </w:rPr>
        <w:t>，</w:t>
      </w:r>
      <w:r w:rsidRPr="0075494B">
        <w:rPr>
          <w:rFonts w:hAnsi="標楷體"/>
        </w:rPr>
        <w:t>例如就「憲法第81條所稱法官，是否包含檢察官在內？</w:t>
      </w:r>
      <w:proofErr w:type="gramStart"/>
      <w:r w:rsidRPr="0075494B">
        <w:rPr>
          <w:rFonts w:hAnsi="標楷體"/>
        </w:rPr>
        <w:t>又實任</w:t>
      </w:r>
      <w:proofErr w:type="gramEnd"/>
      <w:r w:rsidRPr="0075494B">
        <w:rPr>
          <w:rFonts w:hAnsi="標楷體"/>
        </w:rPr>
        <w:t>檢察官之保障除轉調外，是否與實任推事同？」聲請解釋，有(42.1.31)司法院釋字第13號在案</w:t>
      </w:r>
      <w:r w:rsidRPr="0075494B">
        <w:rPr>
          <w:rFonts w:hAnsi="標楷體" w:hint="eastAsia"/>
        </w:rPr>
        <w:t>；</w:t>
      </w:r>
      <w:r w:rsidRPr="0075494B">
        <w:rPr>
          <w:rFonts w:hAnsi="標楷體"/>
        </w:rPr>
        <w:t>就「憲法第103條所稱公職之涵義為何？」聲請解釋，有(42.6.3)司法院釋字第19號在案</w:t>
      </w:r>
      <w:r w:rsidRPr="0075494B">
        <w:rPr>
          <w:rFonts w:hAnsi="標楷體" w:hint="eastAsia"/>
        </w:rPr>
        <w:t>；</w:t>
      </w:r>
      <w:r w:rsidRPr="0075494B">
        <w:rPr>
          <w:rFonts w:hAnsi="標楷體"/>
        </w:rPr>
        <w:t>就「省黨部、省婦女工作委員會主任委員、理事、公立醫院院長、醫師，是否為憲法第103條所謂公職？」聲請解釋，有(42.7.10)司法院釋字第20號在案</w:t>
      </w:r>
      <w:r w:rsidRPr="0075494B">
        <w:rPr>
          <w:rFonts w:hAnsi="標楷體" w:hint="eastAsia"/>
        </w:rPr>
        <w:t>；</w:t>
      </w:r>
      <w:r w:rsidRPr="0075494B">
        <w:rPr>
          <w:rFonts w:hAnsi="標楷體"/>
        </w:rPr>
        <w:t>就「憲法上所謂現行犯之意涵為何？何人有權逮捕？犯瀆職罪收受之賄賂是否屬贓物？」聲請解釋，有(50.4.26)司法院釋字第90號在案；就「出版法有關定期停止發行、撤銷登記之處分，</w:t>
      </w:r>
      <w:proofErr w:type="gramStart"/>
      <w:r w:rsidRPr="0075494B">
        <w:rPr>
          <w:rFonts w:hAnsi="標楷體"/>
        </w:rPr>
        <w:t>暨由行政</w:t>
      </w:r>
      <w:proofErr w:type="gramEnd"/>
      <w:r w:rsidRPr="0075494B">
        <w:rPr>
          <w:rFonts w:hAnsi="標楷體"/>
        </w:rPr>
        <w:t>機關逕行處理之規定是否合憲？」聲請解釋，有(53.10.7)司法院釋字第105號在案；就「地方議會議員保障言論之意涵？」聲請解釋，有(56.7.5)司法院釋字第122號解釋在案</w:t>
      </w:r>
      <w:r w:rsidRPr="0075494B">
        <w:rPr>
          <w:rFonts w:hAnsi="標楷體" w:hint="eastAsia"/>
        </w:rPr>
        <w:t>；</w:t>
      </w:r>
      <w:r w:rsidRPr="0075494B">
        <w:rPr>
          <w:rFonts w:hAnsi="標楷體"/>
        </w:rPr>
        <w:t>就「法官審判受法規釋示之行政命令拘束？」聲請解釋，有(62.12.14)司法院釋字第137號在案</w:t>
      </w:r>
      <w:r w:rsidRPr="0075494B">
        <w:rPr>
          <w:rFonts w:hAnsi="標楷體" w:hint="eastAsia"/>
        </w:rPr>
        <w:t>；</w:t>
      </w:r>
      <w:r w:rsidRPr="0075494B">
        <w:rPr>
          <w:rFonts w:hAnsi="標楷體"/>
        </w:rPr>
        <w:t>就「行政法院院長、公懲會委員長，適用憲法第81條？評事、公懲會委員為法官？」聲請解釋，有(69.4.25)司法院釋字第162號在案</w:t>
      </w:r>
      <w:r w:rsidRPr="0075494B">
        <w:rPr>
          <w:rFonts w:hAnsi="標楷體" w:hint="eastAsia"/>
        </w:rPr>
        <w:t>；</w:t>
      </w:r>
      <w:r w:rsidRPr="0075494B">
        <w:rPr>
          <w:rFonts w:hAnsi="標楷體"/>
        </w:rPr>
        <w:t>就「地方議會議員在會議時，就無關會議事項所為顯然違法之言論，是否仍得免責？」聲請解釋，有(69.9.12)司法院釋字第165號在案；就「違警罰法之拘留、罰役，應由何機關裁決？」聲請解釋，(69.11.7)司法院釋字第166號在案</w:t>
      </w:r>
      <w:r w:rsidRPr="0075494B">
        <w:rPr>
          <w:rFonts w:hAnsi="標楷體" w:hint="eastAsia"/>
        </w:rPr>
        <w:t>；</w:t>
      </w:r>
      <w:r w:rsidRPr="0075494B">
        <w:rPr>
          <w:rFonts w:hAnsi="標楷體"/>
        </w:rPr>
        <w:t>就「司法院對所掌事項得否向立法院提法律案？」聲請解釋，有(71.5.25)司法院釋字第175號；就「公職人員選舉罷免法關於僑居國外及不分區中央民意代表，不適用罷免之規定，是否合憲？」聲請解釋，有(82.12.30)司法院釋字第331號在案</w:t>
      </w:r>
      <w:r w:rsidRPr="0075494B">
        <w:rPr>
          <w:rFonts w:hAnsi="標楷體" w:hint="eastAsia"/>
        </w:rPr>
        <w:t>；</w:t>
      </w:r>
      <w:r w:rsidRPr="0075494B">
        <w:rPr>
          <w:rFonts w:hAnsi="標楷體"/>
        </w:rPr>
        <w:t>就「最高司法機關就審理事項得否發布規則？就司法行政監督得否發布命令？其界限為何？」聲請解釋憲法，有(90.10.5)司法院釋字第530號在案</w:t>
      </w:r>
      <w:r w:rsidRPr="0075494B">
        <w:rPr>
          <w:rFonts w:hAnsi="標楷體" w:hint="eastAsia"/>
        </w:rPr>
        <w:t>；</w:t>
      </w:r>
      <w:r w:rsidRPr="0075494B">
        <w:rPr>
          <w:rFonts w:hAnsi="標楷體"/>
        </w:rPr>
        <w:t>就「農發條例細則等命令就非</w:t>
      </w:r>
      <w:proofErr w:type="gramStart"/>
      <w:r w:rsidRPr="0075494B">
        <w:rPr>
          <w:rFonts w:hAnsi="標楷體"/>
        </w:rPr>
        <w:t>農用仍農作</w:t>
      </w:r>
      <w:proofErr w:type="gramEnd"/>
      <w:r w:rsidRPr="0075494B">
        <w:rPr>
          <w:rFonts w:hAnsi="標楷體"/>
        </w:rPr>
        <w:t>土地，課</w:t>
      </w:r>
      <w:proofErr w:type="gramStart"/>
      <w:r w:rsidRPr="0075494B">
        <w:rPr>
          <w:rFonts w:hAnsi="標楷體"/>
        </w:rPr>
        <w:t>遺贈稅違憲</w:t>
      </w:r>
      <w:proofErr w:type="gramEnd"/>
      <w:r w:rsidRPr="0075494B">
        <w:rPr>
          <w:rFonts w:hAnsi="標楷體"/>
        </w:rPr>
        <w:t>？」聲請解釋憲法，有(9</w:t>
      </w:r>
      <w:r w:rsidRPr="0075494B">
        <w:rPr>
          <w:rFonts w:hAnsi="標楷體" w:hint="eastAsia"/>
        </w:rPr>
        <w:t>2</w:t>
      </w:r>
      <w:r w:rsidRPr="0075494B">
        <w:rPr>
          <w:rFonts w:hAnsi="標楷體"/>
        </w:rPr>
        <w:t>.</w:t>
      </w:r>
      <w:r w:rsidRPr="0075494B">
        <w:rPr>
          <w:rFonts w:hAnsi="標楷體" w:hint="eastAsia"/>
        </w:rPr>
        <w:t>9</w:t>
      </w:r>
      <w:r w:rsidRPr="0075494B">
        <w:rPr>
          <w:rFonts w:hAnsi="標楷體"/>
        </w:rPr>
        <w:t>.</w:t>
      </w:r>
      <w:r w:rsidRPr="0075494B">
        <w:rPr>
          <w:rFonts w:hAnsi="標楷體" w:hint="eastAsia"/>
        </w:rPr>
        <w:t>26</w:t>
      </w:r>
      <w:r w:rsidRPr="0075494B">
        <w:rPr>
          <w:rFonts w:hAnsi="標楷體"/>
        </w:rPr>
        <w:t>)司法院釋字第</w:t>
      </w:r>
      <w:r w:rsidRPr="0075494B">
        <w:rPr>
          <w:rFonts w:hAnsi="標楷體" w:hint="eastAsia"/>
        </w:rPr>
        <w:t>566</w:t>
      </w:r>
      <w:r w:rsidRPr="0075494B">
        <w:rPr>
          <w:rFonts w:hAnsi="標楷體"/>
        </w:rPr>
        <w:t>號在案</w:t>
      </w:r>
      <w:r w:rsidRPr="0075494B">
        <w:rPr>
          <w:rFonts w:hAnsi="標楷體" w:hint="eastAsia"/>
        </w:rPr>
        <w:t>；</w:t>
      </w:r>
      <w:r w:rsidRPr="0075494B">
        <w:rPr>
          <w:rFonts w:hAnsi="標楷體"/>
        </w:rPr>
        <w:t>就「政務人員退撫條例就受任期保障者無月退金規定違憲？」聲請解釋，有(94.1.28)司法院釋字第589號在案；就「罰鍰處分具</w:t>
      </w:r>
      <w:proofErr w:type="gramStart"/>
      <w:r w:rsidRPr="0075494B">
        <w:rPr>
          <w:rFonts w:hAnsi="標楷體"/>
        </w:rPr>
        <w:t>執行力後義務</w:t>
      </w:r>
      <w:proofErr w:type="gramEnd"/>
      <w:r w:rsidRPr="0075494B">
        <w:rPr>
          <w:rFonts w:hAnsi="標楷體"/>
        </w:rPr>
        <w:t>人死亡，得強制執行？」聲請解釋憲法，有(9</w:t>
      </w:r>
      <w:r w:rsidRPr="0075494B">
        <w:rPr>
          <w:rFonts w:hAnsi="標楷體" w:hint="eastAsia"/>
        </w:rPr>
        <w:t>5</w:t>
      </w:r>
      <w:r w:rsidRPr="0075494B">
        <w:rPr>
          <w:rFonts w:hAnsi="標楷體"/>
        </w:rPr>
        <w:t>.</w:t>
      </w:r>
      <w:r w:rsidRPr="0075494B">
        <w:rPr>
          <w:rFonts w:hAnsi="標楷體" w:hint="eastAsia"/>
        </w:rPr>
        <w:t>12</w:t>
      </w:r>
      <w:r w:rsidRPr="0075494B">
        <w:rPr>
          <w:rFonts w:hAnsi="標楷體"/>
        </w:rPr>
        <w:t>.</w:t>
      </w:r>
      <w:r w:rsidRPr="0075494B">
        <w:rPr>
          <w:rFonts w:hAnsi="標楷體" w:hint="eastAsia"/>
        </w:rPr>
        <w:t>22</w:t>
      </w:r>
      <w:r w:rsidRPr="0075494B">
        <w:rPr>
          <w:rFonts w:hAnsi="標楷體"/>
        </w:rPr>
        <w:t>)司法院釋字第</w:t>
      </w:r>
      <w:r w:rsidRPr="0075494B">
        <w:rPr>
          <w:rFonts w:hAnsi="標楷體" w:hint="eastAsia"/>
        </w:rPr>
        <w:t>621</w:t>
      </w:r>
      <w:r w:rsidRPr="0075494B">
        <w:rPr>
          <w:rFonts w:hAnsi="標楷體"/>
        </w:rPr>
        <w:t>號在案；就「徵收之捷運用地得否用於聯合開發案？」聲請解釋憲法，有(</w:t>
      </w:r>
      <w:r w:rsidRPr="0075494B">
        <w:rPr>
          <w:rFonts w:hAnsi="標楷體" w:hint="eastAsia"/>
        </w:rPr>
        <w:t>105</w:t>
      </w:r>
      <w:r w:rsidRPr="0075494B">
        <w:rPr>
          <w:rFonts w:hAnsi="標楷體"/>
        </w:rPr>
        <w:t>.</w:t>
      </w:r>
      <w:r w:rsidRPr="0075494B">
        <w:rPr>
          <w:rFonts w:hAnsi="標楷體" w:hint="eastAsia"/>
        </w:rPr>
        <w:t>12</w:t>
      </w:r>
      <w:r w:rsidRPr="0075494B">
        <w:rPr>
          <w:rFonts w:hAnsi="標楷體"/>
        </w:rPr>
        <w:t>.</w:t>
      </w:r>
      <w:r w:rsidRPr="0075494B">
        <w:rPr>
          <w:rFonts w:hAnsi="標楷體" w:hint="eastAsia"/>
        </w:rPr>
        <w:t>30</w:t>
      </w:r>
      <w:r w:rsidRPr="0075494B">
        <w:rPr>
          <w:rFonts w:hAnsi="標楷體"/>
        </w:rPr>
        <w:t>)司法院釋字第</w:t>
      </w:r>
      <w:r w:rsidRPr="0075494B">
        <w:rPr>
          <w:rFonts w:hAnsi="標楷體" w:hint="eastAsia"/>
        </w:rPr>
        <w:t>743</w:t>
      </w:r>
      <w:r w:rsidRPr="0075494B">
        <w:rPr>
          <w:rFonts w:hAnsi="標楷體"/>
        </w:rPr>
        <w:t>號在案</w:t>
      </w:r>
      <w:r w:rsidRPr="0075494B">
        <w:rPr>
          <w:rFonts w:hAnsi="標楷體" w:hint="eastAsia"/>
        </w:rPr>
        <w:t>，</w:t>
      </w:r>
      <w:proofErr w:type="gramStart"/>
      <w:r w:rsidRPr="0075494B">
        <w:rPr>
          <w:rFonts w:hAnsi="標楷體"/>
        </w:rPr>
        <w:t>從而，</w:t>
      </w:r>
      <w:proofErr w:type="gramEnd"/>
      <w:r w:rsidRPr="0075494B">
        <w:rPr>
          <w:rFonts w:hAnsi="標楷體"/>
        </w:rPr>
        <w:t>因調查案件範圍不同，即可能適用至所調查之法律與命令。乃係因我國憲法特設監察權目的，本在糾彈行政違法失當並保障人權，調查時適用及於該有關法令，乃職權行使所當然。是以適用之法令範圍自不能以行政權下機關主管法規之狹隘觀點而定，</w:t>
      </w:r>
      <w:proofErr w:type="gramStart"/>
      <w:r w:rsidRPr="0075494B">
        <w:rPr>
          <w:rFonts w:hAnsi="標楷體"/>
        </w:rPr>
        <w:t>否則恐即誤解</w:t>
      </w:r>
      <w:proofErr w:type="gramEnd"/>
      <w:r w:rsidRPr="0075494B">
        <w:rPr>
          <w:rFonts w:hAnsi="標楷體"/>
        </w:rPr>
        <w:t>憲法設計五權分立原意，亦不利於人權保障。</w:t>
      </w:r>
    </w:p>
  </w:footnote>
  <w:footnote w:id="2">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陳敏，行政法總論第</w:t>
      </w:r>
      <w:r w:rsidRPr="0075494B">
        <w:rPr>
          <w:rFonts w:hAnsi="標楷體" w:hint="eastAsia"/>
        </w:rPr>
        <w:t>3</w:t>
      </w:r>
      <w:r w:rsidRPr="0075494B">
        <w:rPr>
          <w:rFonts w:hAnsi="標楷體"/>
        </w:rPr>
        <w:t>版，</w:t>
      </w:r>
      <w:r w:rsidRPr="0075494B">
        <w:rPr>
          <w:rFonts w:hAnsi="標楷體" w:hint="eastAsia"/>
        </w:rPr>
        <w:t>第</w:t>
      </w:r>
      <w:r w:rsidRPr="0075494B">
        <w:rPr>
          <w:rFonts w:hAnsi="標楷體"/>
        </w:rPr>
        <w:t>304</w:t>
      </w:r>
      <w:r w:rsidRPr="0075494B">
        <w:rPr>
          <w:rFonts w:hAnsi="標楷體" w:hint="eastAsia"/>
        </w:rPr>
        <w:t>頁</w:t>
      </w:r>
      <w:r w:rsidRPr="0075494B">
        <w:rPr>
          <w:rFonts w:hAnsi="標楷體"/>
        </w:rPr>
        <w:t>，92年1月。</w:t>
      </w:r>
    </w:p>
  </w:footnote>
  <w:footnote w:id="3">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公務員勤務関係</w:t>
      </w:r>
      <w:r w:rsidRPr="0075494B">
        <w:rPr>
          <w:rFonts w:hAnsi="標楷體" w:hint="eastAsia"/>
        </w:rPr>
        <w:t>，是基於本人同意所成立之特別法律關係，傳統上採</w:t>
      </w:r>
      <w:r w:rsidRPr="0075494B">
        <w:rPr>
          <w:rFonts w:hAnsi="標楷體"/>
        </w:rPr>
        <w:t>特別</w:t>
      </w:r>
      <w:r w:rsidRPr="0075494B">
        <w:rPr>
          <w:rFonts w:hAnsi="標楷體" w:hint="eastAsia"/>
        </w:rPr>
        <w:t>權力關係說，亦即對於公務員處分無庸具有法律上之依據，基於命令即可。所以不許其爭</w:t>
      </w:r>
      <w:proofErr w:type="gramStart"/>
      <w:r w:rsidRPr="0075494B">
        <w:rPr>
          <w:rFonts w:hAnsi="標楷體" w:hint="eastAsia"/>
        </w:rPr>
        <w:t>訟</w:t>
      </w:r>
      <w:proofErr w:type="gramEnd"/>
      <w:r w:rsidRPr="0075494B">
        <w:rPr>
          <w:rFonts w:hAnsi="標楷體" w:hint="eastAsia"/>
        </w:rPr>
        <w:t>。見</w:t>
      </w:r>
      <w:r w:rsidRPr="0075494B">
        <w:rPr>
          <w:rFonts w:hAnsi="標楷體"/>
        </w:rPr>
        <w:t>行政法概説</w:t>
      </w:r>
      <w:r w:rsidRPr="0075494B">
        <w:rPr>
          <w:rFonts w:hAnsi="標楷體" w:cs="新細明體" w:hint="eastAsia"/>
        </w:rPr>
        <w:t>Ⅲ</w:t>
      </w:r>
      <w:r w:rsidRPr="0075494B">
        <w:rPr>
          <w:rFonts w:hAnsi="標楷體" w:hint="eastAsia"/>
        </w:rPr>
        <w:t xml:space="preserve"> </w:t>
      </w:r>
      <w:r w:rsidRPr="0075494B">
        <w:rPr>
          <w:rFonts w:hAnsi="標楷體"/>
        </w:rPr>
        <w:t>行政組織法／公務員法／公物法（宇賀克也）平成20年</w:t>
      </w:r>
      <w:r w:rsidRPr="0075494B">
        <w:rPr>
          <w:rFonts w:hAnsi="標楷體" w:hint="eastAsia"/>
        </w:rPr>
        <w:t>，</w:t>
      </w:r>
      <w:r w:rsidRPr="0075494B">
        <w:rPr>
          <w:rFonts w:hAnsi="標楷體"/>
        </w:rPr>
        <w:t>第288頁。</w:t>
      </w:r>
    </w:p>
  </w:footnote>
  <w:footnote w:id="4">
    <w:p w:rsidR="00EF4EDE" w:rsidRPr="0075494B" w:rsidRDefault="00EF4EDE" w:rsidP="00EC1E16">
      <w:pPr>
        <w:pStyle w:val="aff"/>
        <w:wordWrap w:val="0"/>
        <w:ind w:left="187" w:hangingChars="85" w:hanging="187"/>
        <w:jc w:val="both"/>
        <w:rPr>
          <w:rFonts w:hAnsi="標楷體"/>
          <w:lang w:eastAsia="ja-JP"/>
        </w:rPr>
      </w:pPr>
      <w:r w:rsidRPr="0075494B">
        <w:rPr>
          <w:rStyle w:val="aff1"/>
          <w:rFonts w:hAnsi="標楷體"/>
        </w:rPr>
        <w:footnoteRef/>
      </w:r>
      <w:r w:rsidRPr="0075494B">
        <w:rPr>
          <w:rFonts w:hAnsi="標楷體" w:hint="eastAsia"/>
          <w:lang w:eastAsia="ja-JP"/>
        </w:rPr>
        <w:t xml:space="preserve"> </w:t>
      </w:r>
      <w:r w:rsidRPr="0075494B">
        <w:rPr>
          <w:rFonts w:hAnsi="標楷體"/>
          <w:lang w:eastAsia="ja-JP"/>
        </w:rPr>
        <w:t>公務員</w:t>
      </w:r>
      <w:r w:rsidRPr="0075494B">
        <w:rPr>
          <w:rFonts w:hAnsi="標楷體" w:hint="eastAsia"/>
          <w:lang w:eastAsia="ja-JP"/>
        </w:rPr>
        <w:t>是服務於國民全體，為公共利益而服務，因其職務具有公共性，承認有特殊法規制之必要，亦即公務員與國家關係與一般市民關係有別，國家公務員</w:t>
      </w:r>
      <w:r w:rsidRPr="0075494B">
        <w:rPr>
          <w:rFonts w:hAnsi="標楷體"/>
          <w:lang w:eastAsia="ja-JP"/>
        </w:rPr>
        <w:t>勤務関係</w:t>
      </w:r>
      <w:r w:rsidRPr="0075494B">
        <w:rPr>
          <w:rFonts w:hAnsi="標楷體" w:hint="eastAsia"/>
          <w:lang w:eastAsia="ja-JP"/>
        </w:rPr>
        <w:t>是符合公法規制的公法關係</w:t>
      </w:r>
      <w:r w:rsidRPr="0075494B">
        <w:rPr>
          <w:rFonts w:hAnsi="標楷體"/>
          <w:lang w:eastAsia="ja-JP"/>
        </w:rPr>
        <w:t>（最判昭和49・</w:t>
      </w:r>
      <w:r w:rsidRPr="0075494B">
        <w:rPr>
          <w:rFonts w:hAnsi="標楷體" w:hint="eastAsia"/>
          <w:lang w:eastAsia="ja-JP"/>
        </w:rPr>
        <w:t>7</w:t>
      </w:r>
      <w:r w:rsidRPr="0075494B">
        <w:rPr>
          <w:rFonts w:hAnsi="標楷體"/>
          <w:lang w:eastAsia="ja-JP"/>
        </w:rPr>
        <w:t>・19）</w:t>
      </w:r>
      <w:r w:rsidRPr="0075494B">
        <w:rPr>
          <w:rFonts w:hAnsi="標楷體" w:hint="eastAsia"/>
          <w:lang w:eastAsia="ja-JP"/>
        </w:rPr>
        <w:t>、</w:t>
      </w:r>
      <w:r w:rsidRPr="0075494B">
        <w:rPr>
          <w:rFonts w:hAnsi="標楷體"/>
          <w:lang w:eastAsia="ja-JP"/>
        </w:rPr>
        <w:t>新版行政法（中巻）［全訂第</w:t>
      </w:r>
      <w:r w:rsidRPr="0075494B">
        <w:rPr>
          <w:rFonts w:hAnsi="標楷體" w:hint="eastAsia"/>
          <w:lang w:eastAsia="ja-JP"/>
        </w:rPr>
        <w:t>2</w:t>
      </w:r>
      <w:r w:rsidRPr="0075494B">
        <w:rPr>
          <w:rFonts w:hAnsi="標楷體"/>
          <w:lang w:eastAsia="ja-JP"/>
        </w:rPr>
        <w:t>版］（田中二郎）平成</w:t>
      </w:r>
      <w:r w:rsidRPr="0075494B">
        <w:rPr>
          <w:rFonts w:hAnsi="標楷體" w:hint="eastAsia"/>
          <w:lang w:eastAsia="ja-JP"/>
        </w:rPr>
        <w:t>6</w:t>
      </w:r>
      <w:r w:rsidRPr="0075494B">
        <w:rPr>
          <w:rFonts w:hAnsi="標楷體"/>
          <w:lang w:eastAsia="ja-JP"/>
        </w:rPr>
        <w:t>年第243</w:t>
      </w:r>
      <w:r w:rsidRPr="0075494B">
        <w:rPr>
          <w:rFonts w:hAnsi="標楷體" w:hint="eastAsia"/>
          <w:lang w:eastAsia="ja-JP"/>
        </w:rPr>
        <w:t>-</w:t>
      </w:r>
      <w:r w:rsidRPr="0075494B">
        <w:rPr>
          <w:rFonts w:hAnsi="標楷體"/>
          <w:lang w:eastAsia="ja-JP"/>
        </w:rPr>
        <w:t>244頁</w:t>
      </w:r>
      <w:r w:rsidRPr="0075494B">
        <w:rPr>
          <w:rFonts w:hAnsi="標楷體" w:hint="eastAsia"/>
          <w:lang w:eastAsia="ja-JP"/>
        </w:rPr>
        <w:t>、</w:t>
      </w:r>
      <w:r w:rsidRPr="0075494B">
        <w:rPr>
          <w:rFonts w:hAnsi="標楷體"/>
          <w:lang w:eastAsia="ja-JP"/>
        </w:rPr>
        <w:t>行政法</w:t>
      </w:r>
      <w:r w:rsidRPr="0075494B">
        <w:rPr>
          <w:rFonts w:hAnsi="標楷體" w:cs="新細明體" w:hint="eastAsia"/>
          <w:lang w:eastAsia="ja-JP"/>
        </w:rPr>
        <w:t>Ⅲ</w:t>
      </w:r>
      <w:r w:rsidRPr="0075494B">
        <w:rPr>
          <w:rFonts w:hAnsi="標楷體"/>
          <w:lang w:eastAsia="ja-JP"/>
        </w:rPr>
        <w:t>［第</w:t>
      </w:r>
      <w:r w:rsidRPr="0075494B">
        <w:rPr>
          <w:rFonts w:hAnsi="標楷體" w:hint="eastAsia"/>
          <w:lang w:eastAsia="ja-JP"/>
        </w:rPr>
        <w:t>3</w:t>
      </w:r>
      <w:r w:rsidRPr="0075494B">
        <w:rPr>
          <w:rFonts w:hAnsi="標楷體"/>
          <w:lang w:eastAsia="ja-JP"/>
        </w:rPr>
        <w:t>版］行政組織法（塩野宏）平成18年</w:t>
      </w:r>
      <w:r w:rsidRPr="0075494B">
        <w:rPr>
          <w:rFonts w:hAnsi="標楷體" w:hint="eastAsia"/>
          <w:lang w:eastAsia="ja-JP"/>
        </w:rPr>
        <w:t>，</w:t>
      </w:r>
      <w:r w:rsidRPr="0075494B">
        <w:rPr>
          <w:rFonts w:hAnsi="標楷體"/>
          <w:lang w:eastAsia="ja-JP"/>
        </w:rPr>
        <w:t>第251</w:t>
      </w:r>
      <w:r w:rsidRPr="0075494B">
        <w:rPr>
          <w:rFonts w:hAnsi="標楷體" w:hint="eastAsia"/>
          <w:lang w:eastAsia="ja-JP"/>
        </w:rPr>
        <w:t>-</w:t>
      </w:r>
      <w:r w:rsidRPr="0075494B">
        <w:rPr>
          <w:rFonts w:hAnsi="標楷體"/>
          <w:lang w:eastAsia="ja-JP"/>
        </w:rPr>
        <w:t>252頁。</w:t>
      </w:r>
    </w:p>
  </w:footnote>
  <w:footnote w:id="5">
    <w:p w:rsidR="00EF4EDE" w:rsidRPr="0075494B" w:rsidRDefault="00EF4EDE" w:rsidP="00EC1E16">
      <w:pPr>
        <w:pStyle w:val="aff"/>
        <w:wordWrap w:val="0"/>
        <w:ind w:left="187" w:hangingChars="85" w:hanging="187"/>
        <w:jc w:val="both"/>
        <w:rPr>
          <w:rFonts w:hAnsi="標楷體"/>
          <w:lang w:eastAsia="ja-JP"/>
        </w:rPr>
      </w:pPr>
      <w:r w:rsidRPr="0075494B">
        <w:rPr>
          <w:rStyle w:val="aff1"/>
          <w:rFonts w:hAnsi="標楷體"/>
        </w:rPr>
        <w:footnoteRef/>
      </w:r>
      <w:r w:rsidRPr="0075494B">
        <w:rPr>
          <w:rFonts w:hAnsi="標楷體"/>
        </w:rPr>
        <w:t xml:space="preserve"> 公務員</w:t>
      </w:r>
      <w:r w:rsidRPr="0075494B">
        <w:rPr>
          <w:rFonts w:hAnsi="標楷體" w:hint="eastAsia"/>
        </w:rPr>
        <w:t>是將自己勞動力處分權交給國家，在國家指揮下勞動，由國家給付報酬，所以公務員關係之成立必須當事者的意思表示一致，與私人勞動者並無本質上差異。</w:t>
      </w:r>
      <w:r w:rsidRPr="0075494B">
        <w:rPr>
          <w:rFonts w:hAnsi="標楷體"/>
          <w:lang w:eastAsia="ja-JP"/>
        </w:rPr>
        <w:t>詳見「特別権力関係論」（室井力）昭和43年</w:t>
      </w:r>
      <w:r w:rsidRPr="0075494B">
        <w:rPr>
          <w:rFonts w:hAnsi="標楷體" w:hint="eastAsia"/>
          <w:lang w:eastAsia="ja-JP"/>
        </w:rPr>
        <w:t>，</w:t>
      </w:r>
      <w:r w:rsidRPr="0075494B">
        <w:rPr>
          <w:rFonts w:hAnsi="標楷體"/>
          <w:lang w:eastAsia="ja-JP"/>
        </w:rPr>
        <w:t>第381頁</w:t>
      </w:r>
      <w:r w:rsidRPr="0075494B">
        <w:rPr>
          <w:rFonts w:hAnsi="標楷體" w:hint="eastAsia"/>
          <w:lang w:eastAsia="ja-JP"/>
        </w:rPr>
        <w:t>、</w:t>
      </w:r>
      <w:r w:rsidRPr="0075494B">
        <w:rPr>
          <w:rFonts w:hAnsi="標楷體"/>
          <w:lang w:eastAsia="ja-JP"/>
        </w:rPr>
        <w:t>「行政民間化の公共性分析」（晴山一穂）第5章『地方公務員制度修法』</w:t>
      </w:r>
      <w:r w:rsidRPr="0075494B">
        <w:rPr>
          <w:rFonts w:hAnsi="標楷體" w:hint="eastAsia"/>
          <w:lang w:eastAsia="ja-JP"/>
        </w:rPr>
        <w:t>、</w:t>
      </w:r>
      <w:r w:rsidRPr="0075494B">
        <w:rPr>
          <w:rFonts w:hAnsi="標楷體"/>
          <w:lang w:eastAsia="ja-JP"/>
        </w:rPr>
        <w:t>「公共部門労働法」（菅野和夫）。</w:t>
      </w:r>
    </w:p>
  </w:footnote>
  <w:footnote w:id="6">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hint="eastAsia"/>
        </w:rPr>
        <w:t xml:space="preserve"> 該公約前言稱：經國際勞工局理事會之召集，於1978年6月7日在日內瓦舉行其第64屆會議，及特別提及1948年自由結社與保障組織權公約、1949年組織權與團體協約公約、及1971年勞工代表公約與建議書之條件，及回憶1949年組織權與團體協約公約未能包括某些類別公務員、及1971年勞工代表公約與建議書可適用企業中勞工代表，及特別提及甚多開發中國家已快速擴展其公共服務活動，及其政府機構與公務員之間需要有良好勞動關係，及有關各會員國之政治、社會、及經濟系統，及其運作皆有重大差異(如有關各國之中央與地方政府之功能；聯邦、州、及省當局之功能；州有企業及各種自治與半自治公共團體之功能；及工作關係之本質)，及考慮因開發中國家政府與民間工作之差異，及任何國際公約宗旨之範圍與定義而產生之特殊問題；解釋1949年組織權與團體協約公約適用公務員時而產生的難題；及國際勞工組織之監督機構觀察到，各國政府應用前述公約規定時，未能將某類大型公務員團體列入保障之情形，及經議決採納本屆會議議事日程第五項有關結社自由與決定公共服務中工作條件程序之各項建議。並議決此等建議應採取國際公約方式，見國際勞工公約，行政院勞工委員會，96年6月編印。</w:t>
      </w:r>
    </w:p>
  </w:footnote>
  <w:footnote w:id="7">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w:t>
      </w:r>
      <w:proofErr w:type="gramStart"/>
      <w:r w:rsidRPr="0075494B">
        <w:rPr>
          <w:rFonts w:hAnsi="標楷體"/>
        </w:rPr>
        <w:t>黑格爾著</w:t>
      </w:r>
      <w:proofErr w:type="gramEnd"/>
      <w:r w:rsidRPr="0075494B">
        <w:rPr>
          <w:rFonts w:hAnsi="標楷體"/>
        </w:rPr>
        <w:t>，</w:t>
      </w:r>
      <w:proofErr w:type="gramStart"/>
      <w:r w:rsidRPr="0075494B">
        <w:rPr>
          <w:rFonts w:hAnsi="標楷體"/>
        </w:rPr>
        <w:t>范</w:t>
      </w:r>
      <w:proofErr w:type="gramEnd"/>
      <w:r w:rsidRPr="0075494B">
        <w:rPr>
          <w:rFonts w:hAnsi="標楷體"/>
        </w:rPr>
        <w:t>楊、張</w:t>
      </w:r>
      <w:proofErr w:type="gramStart"/>
      <w:r w:rsidRPr="0075494B">
        <w:rPr>
          <w:rFonts w:hAnsi="標楷體"/>
        </w:rPr>
        <w:t>企泰譯</w:t>
      </w:r>
      <w:proofErr w:type="gramEnd"/>
      <w:r w:rsidRPr="0075494B">
        <w:rPr>
          <w:rFonts w:hAnsi="標楷體"/>
        </w:rPr>
        <w:t>：《法哲學原理》，商務印書館，1996年版，第287-290頁。</w:t>
      </w:r>
    </w:p>
  </w:footnote>
  <w:footnote w:id="8">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憲法第18條規定人民有服公職之權利，旨在保障人民有依法令從事公務，暨由此衍生享有之身分保障、俸給與退休金請求等權利。國家則對公務人員有給予俸給、退休金等維持其生活之義務。</w:t>
      </w:r>
    </w:p>
  </w:footnote>
  <w:footnote w:id="9">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hint="eastAsia"/>
        </w:rPr>
        <w:t xml:space="preserve"> 正如法國經濟學家托瑪．皮凱提（</w:t>
      </w:r>
      <w:r w:rsidRPr="0075494B">
        <w:rPr>
          <w:rFonts w:hAnsi="標楷體"/>
        </w:rPr>
        <w:t>Thomas Piketty</w:t>
      </w:r>
      <w:r w:rsidRPr="0075494B">
        <w:rPr>
          <w:rFonts w:hAnsi="標楷體" w:hint="eastAsia"/>
        </w:rPr>
        <w:t>）在21世紀資本論（</w:t>
      </w:r>
      <w:r w:rsidRPr="0075494B">
        <w:rPr>
          <w:rFonts w:hAnsi="標楷體"/>
        </w:rPr>
        <w:t>Le Capital au XXIe siècle</w:t>
      </w:r>
      <w:r w:rsidRPr="0075494B">
        <w:rPr>
          <w:rFonts w:hAnsi="標楷體" w:hint="eastAsia"/>
        </w:rPr>
        <w:t>）探討國家財富分配，不同於傳統馬克思思想以黑格爾哲學為基礎，從雇主與受雇者的勞動關係開始，採用辯證法分析資本主義分配問題，而以國家財稅資料為基礎探討資本與所得的長期變化，觀察勞動所得與資本所有之不平等持續加大，認為</w:t>
      </w:r>
      <w:r w:rsidRPr="0075494B">
        <w:rPr>
          <w:rFonts w:hAnsi="標楷體"/>
        </w:rPr>
        <w:t>當資本收益率超過產出與所得增長率時，資本主義</w:t>
      </w:r>
      <w:r w:rsidRPr="0075494B">
        <w:rPr>
          <w:rFonts w:hAnsi="標楷體" w:hint="eastAsia"/>
        </w:rPr>
        <w:t>將</w:t>
      </w:r>
      <w:r w:rsidRPr="0075494B">
        <w:rPr>
          <w:rFonts w:hAnsi="標楷體"/>
        </w:rPr>
        <w:t>不自覺邁向不可控制且不可持續的社會不平等，破壞以民主社會為基礎的菁英價值觀，</w:t>
      </w:r>
      <w:r w:rsidRPr="0075494B">
        <w:rPr>
          <w:rFonts w:hAnsi="標楷體" w:hint="eastAsia"/>
        </w:rPr>
        <w:t>亦即財富集中於富裕階層，人民將無法憑藉個人奮鬥努力轉換階級身份，現行新法將造成</w:t>
      </w:r>
      <w:r w:rsidRPr="0075494B">
        <w:rPr>
          <w:rFonts w:hAnsi="標楷體"/>
        </w:rPr>
        <w:t>公務員制度性保障</w:t>
      </w:r>
      <w:r w:rsidRPr="0075494B">
        <w:rPr>
          <w:rFonts w:hAnsi="標楷體" w:hint="eastAsia"/>
        </w:rPr>
        <w:t>毀滅</w:t>
      </w:r>
      <w:r w:rsidRPr="0075494B">
        <w:rPr>
          <w:rFonts w:hAnsi="標楷體"/>
        </w:rPr>
        <w:t>，透過選拔人才進入政府部門者，仍無法獲得中產階級身份，</w:t>
      </w:r>
      <w:r w:rsidRPr="0075494B">
        <w:rPr>
          <w:rFonts w:hAnsi="標楷體" w:hint="eastAsia"/>
        </w:rPr>
        <w:t>而享有一定經濟條件，</w:t>
      </w:r>
      <w:r w:rsidRPr="0075494B">
        <w:rPr>
          <w:rFonts w:hAnsi="標楷體"/>
        </w:rPr>
        <w:t>則社會割裂成對立兩個階級</w:t>
      </w:r>
      <w:r w:rsidRPr="0075494B">
        <w:rPr>
          <w:rFonts w:hAnsi="標楷體" w:hint="eastAsia"/>
        </w:rPr>
        <w:t>資產階級與無產階級</w:t>
      </w:r>
      <w:r w:rsidRPr="0075494B">
        <w:rPr>
          <w:rFonts w:hAnsi="標楷體"/>
        </w:rPr>
        <w:t>將可期待</w:t>
      </w:r>
      <w:r w:rsidRPr="0075494B">
        <w:rPr>
          <w:rFonts w:hAnsi="標楷體" w:hint="eastAsia"/>
        </w:rPr>
        <w:t>，將不利於我國民主制度之維護</w:t>
      </w:r>
      <w:r w:rsidRPr="0075494B">
        <w:rPr>
          <w:rFonts w:hAnsi="標楷體"/>
        </w:rPr>
        <w:t>。</w:t>
      </w:r>
    </w:p>
  </w:footnote>
  <w:footnote w:id="1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公務人員退休法（舊法）第11條第1項：「依第</w:t>
      </w:r>
      <w:r w:rsidRPr="0075494B">
        <w:rPr>
          <w:rFonts w:hAnsi="標楷體" w:hint="eastAsia"/>
        </w:rPr>
        <w:t>4</w:t>
      </w:r>
      <w:r w:rsidRPr="0075494B">
        <w:rPr>
          <w:rFonts w:hAnsi="標楷體"/>
        </w:rPr>
        <w:t>條第</w:t>
      </w:r>
      <w:r w:rsidRPr="0075494B">
        <w:rPr>
          <w:rFonts w:hAnsi="標楷體" w:hint="eastAsia"/>
        </w:rPr>
        <w:t>1</w:t>
      </w:r>
      <w:r w:rsidRPr="0075494B">
        <w:rPr>
          <w:rFonts w:hAnsi="標楷體"/>
        </w:rPr>
        <w:t>項第</w:t>
      </w:r>
      <w:r w:rsidRPr="0075494B">
        <w:rPr>
          <w:rFonts w:hAnsi="標楷體" w:hint="eastAsia"/>
        </w:rPr>
        <w:t>2</w:t>
      </w:r>
      <w:r w:rsidRPr="0075494B">
        <w:rPr>
          <w:rFonts w:hAnsi="標楷體"/>
        </w:rPr>
        <w:t>款辦理退休時，符合下列月</w:t>
      </w:r>
      <w:proofErr w:type="gramStart"/>
      <w:r w:rsidRPr="0075494B">
        <w:rPr>
          <w:rFonts w:hAnsi="標楷體"/>
        </w:rPr>
        <w:t>退休金起支年齡</w:t>
      </w:r>
      <w:proofErr w:type="gramEnd"/>
      <w:r w:rsidRPr="0075494B">
        <w:rPr>
          <w:rFonts w:hAnsi="標楷體"/>
        </w:rPr>
        <w:t>規定者，得擇領或兼領月退休金：一、年滿</w:t>
      </w:r>
      <w:r w:rsidRPr="0075494B">
        <w:rPr>
          <w:rFonts w:hAnsi="標楷體" w:hint="eastAsia"/>
        </w:rPr>
        <w:t>60</w:t>
      </w:r>
      <w:r w:rsidRPr="0075494B">
        <w:rPr>
          <w:rFonts w:hAnsi="標楷體"/>
        </w:rPr>
        <w:t>歲。二、任職年資滿</w:t>
      </w:r>
      <w:r w:rsidRPr="0075494B">
        <w:rPr>
          <w:rFonts w:hAnsi="標楷體" w:hint="eastAsia"/>
        </w:rPr>
        <w:t>30</w:t>
      </w:r>
      <w:r w:rsidRPr="0075494B">
        <w:rPr>
          <w:rFonts w:hAnsi="標楷體"/>
        </w:rPr>
        <w:t>年以上且年滿</w:t>
      </w:r>
      <w:r w:rsidRPr="0075494B">
        <w:rPr>
          <w:rFonts w:hAnsi="標楷體" w:hint="eastAsia"/>
        </w:rPr>
        <w:t>55</w:t>
      </w:r>
      <w:r w:rsidRPr="0075494B">
        <w:rPr>
          <w:rFonts w:hAnsi="標楷體"/>
        </w:rPr>
        <w:t>歲。」</w:t>
      </w:r>
    </w:p>
  </w:footnote>
  <w:footnote w:id="1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公務人員退撫法（新法）第31條第1項：「二、中華民國</w:t>
      </w:r>
      <w:r w:rsidRPr="0075494B">
        <w:rPr>
          <w:rFonts w:hAnsi="標楷體" w:hint="eastAsia"/>
        </w:rPr>
        <w:t>110</w:t>
      </w:r>
      <w:r w:rsidRPr="0075494B">
        <w:rPr>
          <w:rFonts w:hAnsi="標楷體"/>
        </w:rPr>
        <w:t>年退休者，</w:t>
      </w:r>
      <w:proofErr w:type="gramStart"/>
      <w:r w:rsidRPr="0075494B">
        <w:rPr>
          <w:rFonts w:hAnsi="標楷體"/>
        </w:rPr>
        <w:t>應年滿</w:t>
      </w:r>
      <w:proofErr w:type="gramEnd"/>
      <w:r w:rsidRPr="0075494B">
        <w:rPr>
          <w:rFonts w:hAnsi="標楷體" w:hint="eastAsia"/>
        </w:rPr>
        <w:t>60</w:t>
      </w:r>
      <w:r w:rsidRPr="0075494B">
        <w:rPr>
          <w:rFonts w:hAnsi="標楷體"/>
        </w:rPr>
        <w:t>歲，其後每</w:t>
      </w:r>
      <w:r w:rsidRPr="0075494B">
        <w:rPr>
          <w:rFonts w:hAnsi="標楷體" w:hint="eastAsia"/>
        </w:rPr>
        <w:t>1</w:t>
      </w:r>
      <w:r w:rsidRPr="0075494B">
        <w:rPr>
          <w:rFonts w:hAnsi="標楷體"/>
        </w:rPr>
        <w:t>年提高</w:t>
      </w:r>
      <w:r w:rsidRPr="0075494B">
        <w:rPr>
          <w:rFonts w:hAnsi="標楷體" w:hint="eastAsia"/>
        </w:rPr>
        <w:t>1</w:t>
      </w:r>
      <w:r w:rsidRPr="0075494B">
        <w:rPr>
          <w:rFonts w:hAnsi="標楷體"/>
        </w:rPr>
        <w:t>歲，至中華民國</w:t>
      </w:r>
      <w:r w:rsidRPr="0075494B">
        <w:rPr>
          <w:rFonts w:hAnsi="標楷體" w:hint="eastAsia"/>
        </w:rPr>
        <w:t>115</w:t>
      </w:r>
      <w:r w:rsidRPr="0075494B">
        <w:rPr>
          <w:rFonts w:hAnsi="標楷體"/>
        </w:rPr>
        <w:t>年</w:t>
      </w:r>
      <w:r w:rsidRPr="0075494B">
        <w:rPr>
          <w:rFonts w:hAnsi="標楷體" w:hint="eastAsia"/>
        </w:rPr>
        <w:t>1</w:t>
      </w:r>
      <w:r w:rsidRPr="0075494B">
        <w:rPr>
          <w:rFonts w:hAnsi="標楷體"/>
        </w:rPr>
        <w:t>月</w:t>
      </w:r>
      <w:r w:rsidRPr="0075494B">
        <w:rPr>
          <w:rFonts w:hAnsi="標楷體" w:hint="eastAsia"/>
        </w:rPr>
        <w:t>1</w:t>
      </w:r>
      <w:r w:rsidRPr="0075494B">
        <w:rPr>
          <w:rFonts w:hAnsi="標楷體"/>
        </w:rPr>
        <w:t>日以後為</w:t>
      </w:r>
      <w:r w:rsidRPr="0075494B">
        <w:rPr>
          <w:rFonts w:hAnsi="標楷體" w:hint="eastAsia"/>
        </w:rPr>
        <w:t>65</w:t>
      </w:r>
      <w:r w:rsidRPr="0075494B">
        <w:rPr>
          <w:rFonts w:hAnsi="標楷體"/>
        </w:rPr>
        <w:t>歲。」</w:t>
      </w:r>
    </w:p>
  </w:footnote>
  <w:footnote w:id="1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自110年起逐年延後至65歲。以10年過渡期間與85制之10年緩衝期指標數銜接，逐年延後至65歲。新法過渡期的相關設計如下：</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1.</w:t>
      </w:r>
      <w:r w:rsidRPr="0075494B">
        <w:rPr>
          <w:rFonts w:hAnsi="標楷體"/>
        </w:rPr>
        <w:tab/>
        <w:t>未符合</w:t>
      </w:r>
      <w:proofErr w:type="gramStart"/>
      <w:r w:rsidRPr="0075494B">
        <w:rPr>
          <w:rFonts w:hAnsi="標楷體"/>
        </w:rPr>
        <w:t>法定起支年齡</w:t>
      </w:r>
      <w:proofErr w:type="gramEnd"/>
      <w:r w:rsidRPr="0075494B">
        <w:rPr>
          <w:rFonts w:hAnsi="標楷體"/>
        </w:rPr>
        <w:t>者，可以選擇支領展期或</w:t>
      </w:r>
      <w:proofErr w:type="gramStart"/>
      <w:r w:rsidRPr="0075494B">
        <w:rPr>
          <w:rFonts w:hAnsi="標楷體"/>
        </w:rPr>
        <w:t>減額月退休金</w:t>
      </w:r>
      <w:proofErr w:type="gramEnd"/>
      <w:r w:rsidRPr="0075494B">
        <w:rPr>
          <w:rFonts w:hAnsi="標楷體"/>
        </w:rPr>
        <w:t>並以</w:t>
      </w:r>
      <w:proofErr w:type="gramStart"/>
      <w:r w:rsidRPr="0075494B">
        <w:rPr>
          <w:rFonts w:hAnsi="標楷體"/>
        </w:rPr>
        <w:t>法定起支年齡</w:t>
      </w:r>
      <w:proofErr w:type="gramEnd"/>
      <w:r w:rsidRPr="0075494B">
        <w:rPr>
          <w:rFonts w:hAnsi="標楷體"/>
        </w:rPr>
        <w:t>為計算基準；過渡期間符合指標數者，得退休並立即支領全額月退休金，不須受</w:t>
      </w:r>
      <w:proofErr w:type="gramStart"/>
      <w:r w:rsidRPr="0075494B">
        <w:rPr>
          <w:rFonts w:hAnsi="標楷體"/>
        </w:rPr>
        <w:t>法定起支年齡</w:t>
      </w:r>
      <w:proofErr w:type="gramEnd"/>
      <w:r w:rsidRPr="0075494B">
        <w:rPr>
          <w:rFonts w:hAnsi="標楷體"/>
        </w:rPr>
        <w:t>影響。</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2.</w:t>
      </w:r>
      <w:r w:rsidRPr="0075494B">
        <w:rPr>
          <w:rFonts w:hAnsi="標楷體"/>
        </w:rPr>
        <w:tab/>
        <w:t>前開過渡期間指標數之年齡，在109年以前須年滿50歲；110年以後須年滿55歲；115年以後須年滿60歲。</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3.</w:t>
      </w:r>
      <w:r w:rsidRPr="0075494B">
        <w:rPr>
          <w:rFonts w:hAnsi="標楷體"/>
        </w:rPr>
        <w:tab/>
        <w:t>搭配實施展期及</w:t>
      </w:r>
      <w:proofErr w:type="gramStart"/>
      <w:r w:rsidRPr="0075494B">
        <w:rPr>
          <w:rFonts w:hAnsi="標楷體"/>
        </w:rPr>
        <w:t>減額月退休金</w:t>
      </w:r>
      <w:proofErr w:type="gramEnd"/>
      <w:r w:rsidRPr="0075494B">
        <w:rPr>
          <w:rFonts w:hAnsi="標楷體"/>
        </w:rPr>
        <w:t>（每提前1年，扣減4%，最多提前5年）。</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4.</w:t>
      </w:r>
      <w:r w:rsidRPr="0075494B">
        <w:rPr>
          <w:rFonts w:hAnsi="標楷體"/>
        </w:rPr>
        <w:tab/>
        <w:t>危</w:t>
      </w:r>
      <w:proofErr w:type="gramStart"/>
      <w:r w:rsidRPr="0075494B">
        <w:rPr>
          <w:rFonts w:hAnsi="標楷體"/>
        </w:rPr>
        <w:t>勞</w:t>
      </w:r>
      <w:proofErr w:type="gramEnd"/>
      <w:r w:rsidRPr="0075494B">
        <w:rPr>
          <w:rFonts w:hAnsi="標楷體"/>
        </w:rPr>
        <w:t>職務者，維持70制（15年+55歲）。</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5.</w:t>
      </w:r>
      <w:r w:rsidRPr="0075494B">
        <w:rPr>
          <w:rFonts w:hAnsi="標楷體"/>
        </w:rPr>
        <w:tab/>
        <w:t>公務人員任職滿15年，</w:t>
      </w:r>
      <w:proofErr w:type="gramStart"/>
      <w:r w:rsidRPr="0075494B">
        <w:rPr>
          <w:rFonts w:hAnsi="標楷體"/>
        </w:rPr>
        <w:t>達公保半失</w:t>
      </w:r>
      <w:proofErr w:type="gramEnd"/>
      <w:r w:rsidRPr="0075494B">
        <w:rPr>
          <w:rFonts w:hAnsi="標楷體"/>
        </w:rPr>
        <w:t>能、</w:t>
      </w:r>
      <w:proofErr w:type="gramStart"/>
      <w:r w:rsidRPr="0075494B">
        <w:rPr>
          <w:rFonts w:hAnsi="標楷體"/>
        </w:rPr>
        <w:t>身障重度</w:t>
      </w:r>
      <w:proofErr w:type="gramEnd"/>
      <w:r w:rsidRPr="0075494B">
        <w:rPr>
          <w:rFonts w:hAnsi="標楷體"/>
        </w:rPr>
        <w:t>以上、惡性腫瘤末期、安寧緩和醫療條例所稱末期病人及永久重大</w:t>
      </w:r>
      <w:proofErr w:type="gramStart"/>
      <w:r w:rsidRPr="0075494B">
        <w:rPr>
          <w:rFonts w:hAnsi="標楷體"/>
        </w:rPr>
        <w:t>傷病且不能</w:t>
      </w:r>
      <w:proofErr w:type="gramEnd"/>
      <w:r w:rsidRPr="0075494B">
        <w:rPr>
          <w:rFonts w:hAnsi="標楷體"/>
        </w:rPr>
        <w:t>勝任工作者，自願退休月</w:t>
      </w:r>
      <w:proofErr w:type="gramStart"/>
      <w:r w:rsidRPr="0075494B">
        <w:rPr>
          <w:rFonts w:hAnsi="標楷體"/>
        </w:rPr>
        <w:t>退休金起支年齡</w:t>
      </w:r>
      <w:proofErr w:type="gramEnd"/>
      <w:r w:rsidRPr="0075494B">
        <w:rPr>
          <w:rFonts w:hAnsi="標楷體"/>
        </w:rPr>
        <w:t>為55歲。</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6.</w:t>
      </w:r>
      <w:r w:rsidRPr="0075494B">
        <w:rPr>
          <w:rFonts w:hAnsi="標楷體"/>
        </w:rPr>
        <w:tab/>
        <w:t>原住民公務人員自願退休月</w:t>
      </w:r>
      <w:proofErr w:type="gramStart"/>
      <w:r w:rsidRPr="0075494B">
        <w:rPr>
          <w:rFonts w:hAnsi="標楷體"/>
        </w:rPr>
        <w:t>退休金起支年齡</w:t>
      </w:r>
      <w:proofErr w:type="gramEnd"/>
      <w:r w:rsidRPr="0075494B">
        <w:rPr>
          <w:rFonts w:hAnsi="標楷體"/>
        </w:rPr>
        <w:t>及條件規範如下：(1)</w:t>
      </w:r>
      <w:r w:rsidRPr="0075494B">
        <w:rPr>
          <w:rFonts w:hAnsi="標楷體"/>
        </w:rPr>
        <w:tab/>
        <w:t>109年以前，任職滿25年且年滿55歲。（2）110年起逐年加1歲，至115年為任職滿25年且60歲。</w:t>
      </w:r>
    </w:p>
  </w:footnote>
  <w:footnote w:id="1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公立學校教職員退撫條例（新法）第32條第1項：「教職員任職滿</w:t>
      </w:r>
      <w:r w:rsidRPr="0075494B">
        <w:rPr>
          <w:rFonts w:hAnsi="標楷體" w:hint="eastAsia"/>
        </w:rPr>
        <w:t>15</w:t>
      </w:r>
      <w:r w:rsidRPr="0075494B">
        <w:rPr>
          <w:rFonts w:hAnsi="標楷體"/>
        </w:rPr>
        <w:t>年依第</w:t>
      </w:r>
      <w:r w:rsidRPr="0075494B">
        <w:rPr>
          <w:rFonts w:hAnsi="標楷體" w:hint="eastAsia"/>
        </w:rPr>
        <w:t>18</w:t>
      </w:r>
      <w:r w:rsidRPr="0075494B">
        <w:rPr>
          <w:rFonts w:hAnsi="標楷體"/>
        </w:rPr>
        <w:t>條第</w:t>
      </w:r>
      <w:r w:rsidRPr="0075494B">
        <w:rPr>
          <w:rFonts w:hAnsi="標楷體" w:hint="eastAsia"/>
        </w:rPr>
        <w:t>1</w:t>
      </w:r>
      <w:r w:rsidRPr="0075494B">
        <w:rPr>
          <w:rFonts w:hAnsi="標楷體"/>
        </w:rPr>
        <w:t>項規定辦理退休者，符合下列月</w:t>
      </w:r>
      <w:proofErr w:type="gramStart"/>
      <w:r w:rsidRPr="0075494B">
        <w:rPr>
          <w:rFonts w:hAnsi="標楷體"/>
        </w:rPr>
        <w:t>退休金起支年齡</w:t>
      </w:r>
      <w:proofErr w:type="gramEnd"/>
      <w:r w:rsidRPr="0075494B">
        <w:rPr>
          <w:rFonts w:hAnsi="標楷體"/>
        </w:rPr>
        <w:t>規定，得擇領全額月退休金：一、年滿</w:t>
      </w:r>
      <w:r w:rsidRPr="0075494B">
        <w:rPr>
          <w:rFonts w:hAnsi="標楷體" w:hint="eastAsia"/>
        </w:rPr>
        <w:t>58</w:t>
      </w:r>
      <w:r w:rsidRPr="0075494B">
        <w:rPr>
          <w:rFonts w:hAnsi="標楷體"/>
        </w:rPr>
        <w:t>歲。但應隨</w:t>
      </w:r>
      <w:proofErr w:type="gramStart"/>
      <w:r w:rsidRPr="0075494B">
        <w:rPr>
          <w:rFonts w:hAnsi="標楷體"/>
        </w:rPr>
        <w:t>平均餘命之</w:t>
      </w:r>
      <w:proofErr w:type="gramEnd"/>
      <w:r w:rsidRPr="0075494B">
        <w:rPr>
          <w:rFonts w:hAnsi="標楷體"/>
        </w:rPr>
        <w:t>延長與職場人口結構變化適時調整。二、</w:t>
      </w:r>
      <w:proofErr w:type="gramStart"/>
      <w:r w:rsidRPr="0075494B">
        <w:rPr>
          <w:rFonts w:hAnsi="標楷體"/>
        </w:rPr>
        <w:t>前款請領</w:t>
      </w:r>
      <w:proofErr w:type="gramEnd"/>
      <w:r w:rsidRPr="0075494B">
        <w:rPr>
          <w:rFonts w:hAnsi="標楷體"/>
        </w:rPr>
        <w:t>年齡，除高級中等以下學校校長及教師外，其餘教職員自中華民國</w:t>
      </w:r>
      <w:r w:rsidRPr="0075494B">
        <w:rPr>
          <w:rFonts w:hAnsi="標楷體" w:hint="eastAsia"/>
        </w:rPr>
        <w:t>115</w:t>
      </w:r>
      <w:r w:rsidRPr="0075494B">
        <w:rPr>
          <w:rFonts w:hAnsi="標楷體"/>
        </w:rPr>
        <w:t>年</w:t>
      </w:r>
      <w:r w:rsidRPr="0075494B">
        <w:rPr>
          <w:rFonts w:hAnsi="標楷體" w:hint="eastAsia"/>
        </w:rPr>
        <w:t>1</w:t>
      </w:r>
      <w:r w:rsidRPr="0075494B">
        <w:rPr>
          <w:rFonts w:hAnsi="標楷體"/>
        </w:rPr>
        <w:t>月</w:t>
      </w:r>
      <w:r w:rsidRPr="0075494B">
        <w:rPr>
          <w:rFonts w:hAnsi="標楷體" w:hint="eastAsia"/>
        </w:rPr>
        <w:t>1</w:t>
      </w:r>
      <w:r w:rsidRPr="0075494B">
        <w:rPr>
          <w:rFonts w:hAnsi="標楷體"/>
        </w:rPr>
        <w:t>日起，每年提高</w:t>
      </w:r>
      <w:r w:rsidRPr="0075494B">
        <w:rPr>
          <w:rFonts w:hAnsi="標楷體" w:hint="eastAsia"/>
        </w:rPr>
        <w:t>1</w:t>
      </w:r>
      <w:r w:rsidRPr="0075494B">
        <w:rPr>
          <w:rFonts w:hAnsi="標楷體"/>
        </w:rPr>
        <w:t>歲，以提高至</w:t>
      </w:r>
      <w:r w:rsidRPr="0075494B">
        <w:rPr>
          <w:rFonts w:hAnsi="標楷體" w:hint="eastAsia"/>
        </w:rPr>
        <w:t>65</w:t>
      </w:r>
      <w:r w:rsidRPr="0075494B">
        <w:rPr>
          <w:rFonts w:hAnsi="標楷體"/>
        </w:rPr>
        <w:t>歲為限。」</w:t>
      </w:r>
    </w:p>
  </w:footnote>
  <w:footnote w:id="1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公務人員退休法（舊法）第31條第4項第1、2款：「公務人員退撫新制實施前任職年資應給與之退休金，依下列標準計算：一、一次退休金，以退休人員最後在職等級，按退休生效日在職同等級人員本（年功）</w:t>
      </w:r>
      <w:proofErr w:type="gramStart"/>
      <w:r w:rsidRPr="0075494B">
        <w:rPr>
          <w:rFonts w:hAnsi="標楷體"/>
        </w:rPr>
        <w:t>俸</w:t>
      </w:r>
      <w:proofErr w:type="gramEnd"/>
      <w:r w:rsidRPr="0075494B">
        <w:rPr>
          <w:rFonts w:hAnsi="標楷體"/>
        </w:rPr>
        <w:t>加新臺幣</w:t>
      </w:r>
      <w:r w:rsidRPr="0075494B">
        <w:rPr>
          <w:rFonts w:hAnsi="標楷體" w:hint="eastAsia"/>
        </w:rPr>
        <w:t>930</w:t>
      </w:r>
      <w:r w:rsidRPr="0075494B">
        <w:rPr>
          <w:rFonts w:hAnsi="標楷體"/>
        </w:rPr>
        <w:t>元為基數內涵，任職滿</w:t>
      </w:r>
      <w:r w:rsidRPr="0075494B">
        <w:rPr>
          <w:rFonts w:hAnsi="標楷體" w:hint="eastAsia"/>
        </w:rPr>
        <w:t>5</w:t>
      </w:r>
      <w:r w:rsidRPr="0075494B">
        <w:rPr>
          <w:rFonts w:hAnsi="標楷體"/>
        </w:rPr>
        <w:t>年者，給與</w:t>
      </w:r>
      <w:r w:rsidRPr="0075494B">
        <w:rPr>
          <w:rFonts w:hAnsi="標楷體" w:hint="eastAsia"/>
        </w:rPr>
        <w:t>9</w:t>
      </w:r>
      <w:r w:rsidRPr="0075494B">
        <w:rPr>
          <w:rFonts w:hAnsi="標楷體"/>
        </w:rPr>
        <w:t>個基數，每增</w:t>
      </w:r>
      <w:r w:rsidRPr="0075494B">
        <w:rPr>
          <w:rFonts w:hAnsi="標楷體" w:hint="eastAsia"/>
        </w:rPr>
        <w:t>1</w:t>
      </w:r>
      <w:r w:rsidRPr="0075494B">
        <w:rPr>
          <w:rFonts w:hAnsi="標楷體"/>
        </w:rPr>
        <w:t>年加給</w:t>
      </w:r>
      <w:r w:rsidRPr="0075494B">
        <w:rPr>
          <w:rFonts w:hAnsi="標楷體" w:hint="eastAsia"/>
        </w:rPr>
        <w:t>2</w:t>
      </w:r>
      <w:r w:rsidRPr="0075494B">
        <w:rPr>
          <w:rFonts w:hAnsi="標楷體"/>
        </w:rPr>
        <w:t>個基數；滿</w:t>
      </w:r>
      <w:r w:rsidRPr="0075494B">
        <w:rPr>
          <w:rFonts w:hAnsi="標楷體" w:hint="eastAsia"/>
        </w:rPr>
        <w:t>15</w:t>
      </w:r>
      <w:r w:rsidRPr="0075494B">
        <w:rPr>
          <w:rFonts w:hAnsi="標楷體"/>
        </w:rPr>
        <w:t>年後，另行</w:t>
      </w:r>
      <w:r w:rsidRPr="0075494B">
        <w:rPr>
          <w:rFonts w:hAnsi="標楷體" w:hint="eastAsia"/>
        </w:rPr>
        <w:t>1</w:t>
      </w:r>
      <w:r w:rsidRPr="0075494B">
        <w:rPr>
          <w:rFonts w:hAnsi="標楷體"/>
        </w:rPr>
        <w:t>次加發</w:t>
      </w:r>
      <w:r w:rsidRPr="0075494B">
        <w:rPr>
          <w:rFonts w:hAnsi="標楷體" w:hint="eastAsia"/>
        </w:rPr>
        <w:t>2</w:t>
      </w:r>
      <w:r w:rsidRPr="0075494B">
        <w:rPr>
          <w:rFonts w:hAnsi="標楷體"/>
        </w:rPr>
        <w:t>個基數，最高總數以</w:t>
      </w:r>
      <w:r w:rsidRPr="0075494B">
        <w:rPr>
          <w:rFonts w:hAnsi="標楷體" w:hint="eastAsia"/>
        </w:rPr>
        <w:t>61</w:t>
      </w:r>
      <w:r w:rsidRPr="0075494B">
        <w:rPr>
          <w:rFonts w:hAnsi="標楷體"/>
        </w:rPr>
        <w:t>個基數為限。未滿</w:t>
      </w:r>
      <w:r w:rsidRPr="0075494B">
        <w:rPr>
          <w:rFonts w:hAnsi="標楷體" w:hint="eastAsia"/>
        </w:rPr>
        <w:t>1</w:t>
      </w:r>
      <w:r w:rsidRPr="0075494B">
        <w:rPr>
          <w:rFonts w:hAnsi="標楷體"/>
        </w:rPr>
        <w:t>年者，每</w:t>
      </w:r>
      <w:r w:rsidRPr="0075494B">
        <w:rPr>
          <w:rFonts w:hAnsi="標楷體" w:hint="eastAsia"/>
        </w:rPr>
        <w:t>1</w:t>
      </w:r>
      <w:r w:rsidRPr="0075494B">
        <w:rPr>
          <w:rFonts w:hAnsi="標楷體"/>
        </w:rPr>
        <w:t>個月給與</w:t>
      </w:r>
      <w:r w:rsidRPr="0075494B">
        <w:rPr>
          <w:rFonts w:hAnsi="標楷體" w:hint="eastAsia"/>
        </w:rPr>
        <w:t>1/6</w:t>
      </w:r>
      <w:r w:rsidRPr="0075494B">
        <w:rPr>
          <w:rFonts w:hAnsi="標楷體"/>
        </w:rPr>
        <w:t>個基數。未滿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個月計。二、月退休金，以退休人員最後在職等級，按在職同等級人員本（年功）</w:t>
      </w:r>
      <w:proofErr w:type="gramStart"/>
      <w:r w:rsidRPr="0075494B">
        <w:rPr>
          <w:rFonts w:hAnsi="標楷體"/>
        </w:rPr>
        <w:t>俸</w:t>
      </w:r>
      <w:proofErr w:type="gramEnd"/>
      <w:r w:rsidRPr="0075494B">
        <w:rPr>
          <w:rFonts w:hAnsi="標楷體"/>
        </w:rPr>
        <w:t>為基數內涵，每任職</w:t>
      </w:r>
      <w:r w:rsidRPr="0075494B">
        <w:rPr>
          <w:rFonts w:hAnsi="標楷體" w:hint="eastAsia"/>
        </w:rPr>
        <w:t>1</w:t>
      </w:r>
      <w:r w:rsidRPr="0075494B">
        <w:rPr>
          <w:rFonts w:hAnsi="標楷體"/>
        </w:rPr>
        <w:t>年，照基數內涵</w:t>
      </w:r>
      <w:r w:rsidRPr="0075494B">
        <w:rPr>
          <w:rFonts w:hAnsi="標楷體" w:hint="eastAsia"/>
        </w:rPr>
        <w:t>5%</w:t>
      </w:r>
      <w:r w:rsidRPr="0075494B">
        <w:rPr>
          <w:rFonts w:hAnsi="標楷體"/>
        </w:rPr>
        <w:t>給與，未滿</w:t>
      </w:r>
      <w:r w:rsidRPr="0075494B">
        <w:rPr>
          <w:rFonts w:hAnsi="標楷體" w:hint="eastAsia"/>
        </w:rPr>
        <w:t>1</w:t>
      </w:r>
      <w:r w:rsidRPr="0075494B">
        <w:rPr>
          <w:rFonts w:hAnsi="標楷體"/>
        </w:rPr>
        <w:t>年者，每</w:t>
      </w:r>
      <w:r w:rsidRPr="0075494B">
        <w:rPr>
          <w:rFonts w:hAnsi="標楷體" w:hint="eastAsia"/>
        </w:rPr>
        <w:t>1</w:t>
      </w:r>
      <w:r w:rsidRPr="0075494B">
        <w:rPr>
          <w:rFonts w:hAnsi="標楷體"/>
        </w:rPr>
        <w:t>個月給與</w:t>
      </w:r>
      <w:r w:rsidRPr="0075494B">
        <w:rPr>
          <w:rFonts w:hAnsi="標楷體" w:hint="eastAsia"/>
        </w:rPr>
        <w:t>5/1,200</w:t>
      </w:r>
      <w:r w:rsidRPr="0075494B">
        <w:rPr>
          <w:rFonts w:hAnsi="標楷體"/>
        </w:rPr>
        <w:t>；滿</w:t>
      </w:r>
      <w:r w:rsidRPr="0075494B">
        <w:rPr>
          <w:rFonts w:hAnsi="標楷體" w:hint="eastAsia"/>
        </w:rPr>
        <w:t>15</w:t>
      </w:r>
      <w:r w:rsidRPr="0075494B">
        <w:rPr>
          <w:rFonts w:hAnsi="標楷體"/>
        </w:rPr>
        <w:t>年後，每增</w:t>
      </w:r>
      <w:r w:rsidRPr="0075494B">
        <w:rPr>
          <w:rFonts w:hAnsi="標楷體" w:hint="eastAsia"/>
        </w:rPr>
        <w:t>1</w:t>
      </w:r>
      <w:r w:rsidRPr="0075494B">
        <w:rPr>
          <w:rFonts w:hAnsi="標楷體"/>
        </w:rPr>
        <w:t>年給與</w:t>
      </w:r>
      <w:r w:rsidRPr="0075494B">
        <w:rPr>
          <w:rFonts w:hAnsi="標楷體" w:hint="eastAsia"/>
        </w:rPr>
        <w:t>1%</w:t>
      </w:r>
      <w:r w:rsidRPr="0075494B">
        <w:rPr>
          <w:rFonts w:hAnsi="標楷體"/>
        </w:rPr>
        <w:t>，未滿</w:t>
      </w:r>
      <w:r w:rsidRPr="0075494B">
        <w:rPr>
          <w:rFonts w:hAnsi="標楷體" w:hint="eastAsia"/>
        </w:rPr>
        <w:t>1</w:t>
      </w:r>
      <w:r w:rsidRPr="0075494B">
        <w:rPr>
          <w:rFonts w:hAnsi="標楷體"/>
        </w:rPr>
        <w:t>年者，每</w:t>
      </w:r>
      <w:r w:rsidRPr="0075494B">
        <w:rPr>
          <w:rFonts w:hAnsi="標楷體" w:hint="eastAsia"/>
        </w:rPr>
        <w:t>1</w:t>
      </w:r>
      <w:r w:rsidRPr="0075494B">
        <w:rPr>
          <w:rFonts w:hAnsi="標楷體"/>
        </w:rPr>
        <w:t>個月給與</w:t>
      </w:r>
      <w:r w:rsidRPr="0075494B">
        <w:rPr>
          <w:rFonts w:hAnsi="標楷體" w:hint="eastAsia"/>
        </w:rPr>
        <w:t>1/1,200</w:t>
      </w:r>
      <w:r w:rsidRPr="0075494B">
        <w:rPr>
          <w:rFonts w:hAnsi="標楷體"/>
        </w:rPr>
        <w:t>，最高以</w:t>
      </w:r>
      <w:r w:rsidRPr="0075494B">
        <w:rPr>
          <w:rFonts w:hAnsi="標楷體" w:hint="eastAsia"/>
        </w:rPr>
        <w:t>90%</w:t>
      </w:r>
      <w:r w:rsidRPr="0075494B">
        <w:rPr>
          <w:rFonts w:hAnsi="標楷體"/>
        </w:rPr>
        <w:t>為限。未滿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個月計。另十足發給新臺幣</w:t>
      </w:r>
      <w:r w:rsidRPr="0075494B">
        <w:rPr>
          <w:rFonts w:hAnsi="標楷體" w:hint="eastAsia"/>
        </w:rPr>
        <w:t>930</w:t>
      </w:r>
      <w:r w:rsidRPr="0075494B">
        <w:rPr>
          <w:rFonts w:hAnsi="標楷體"/>
        </w:rPr>
        <w:t>元。」</w:t>
      </w:r>
    </w:p>
  </w:footnote>
  <w:footnote w:id="1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公務人員退撫法（新法）第27條規定：「於本法公布施行前退休之公務人員，其退休金以最後在職經銓敘審定之本（年功）</w:t>
      </w:r>
      <w:proofErr w:type="gramStart"/>
      <w:r w:rsidRPr="0075494B">
        <w:rPr>
          <w:rFonts w:hAnsi="標楷體"/>
        </w:rPr>
        <w:t>俸</w:t>
      </w:r>
      <w:proofErr w:type="gramEnd"/>
      <w:r w:rsidRPr="0075494B">
        <w:rPr>
          <w:rFonts w:hAnsi="標楷體"/>
        </w:rPr>
        <w:t>（薪）額為計算基準，並依下列規定計算基數內涵：一、退撫新制實施前年資之給與：一次退休金以最後在職同等級人員之本（年功）</w:t>
      </w:r>
      <w:proofErr w:type="gramStart"/>
      <w:r w:rsidRPr="0075494B">
        <w:rPr>
          <w:rFonts w:hAnsi="標楷體"/>
        </w:rPr>
        <w:t>俸</w:t>
      </w:r>
      <w:proofErr w:type="gramEnd"/>
      <w:r w:rsidRPr="0075494B">
        <w:rPr>
          <w:rFonts w:hAnsi="標楷體"/>
        </w:rPr>
        <w:t>（薪）額加新臺幣</w:t>
      </w:r>
      <w:r w:rsidRPr="0075494B">
        <w:rPr>
          <w:rFonts w:hAnsi="標楷體" w:hint="eastAsia"/>
        </w:rPr>
        <w:t>930</w:t>
      </w:r>
      <w:r w:rsidRPr="0075494B">
        <w:rPr>
          <w:rFonts w:hAnsi="標楷體"/>
        </w:rPr>
        <w:t>元為基數內涵；月退休金以最後在職同等級人員之本（年功）</w:t>
      </w:r>
      <w:proofErr w:type="gramStart"/>
      <w:r w:rsidRPr="0075494B">
        <w:rPr>
          <w:rFonts w:hAnsi="標楷體"/>
        </w:rPr>
        <w:t>俸</w:t>
      </w:r>
      <w:proofErr w:type="gramEnd"/>
      <w:r w:rsidRPr="0075494B">
        <w:rPr>
          <w:rFonts w:hAnsi="標楷體"/>
        </w:rPr>
        <w:t>（薪）額為基數內涵，另十足發給新臺幣</w:t>
      </w:r>
      <w:r w:rsidRPr="0075494B">
        <w:rPr>
          <w:rFonts w:hAnsi="標楷體" w:hint="eastAsia"/>
        </w:rPr>
        <w:t>930</w:t>
      </w:r>
      <w:r w:rsidRPr="0075494B">
        <w:rPr>
          <w:rFonts w:hAnsi="標楷體"/>
        </w:rPr>
        <w:t>元。二、退撫新制實施後年資之給與：以最後在職同等級人員之本（年功）</w:t>
      </w:r>
      <w:proofErr w:type="gramStart"/>
      <w:r w:rsidRPr="0075494B">
        <w:rPr>
          <w:rFonts w:hAnsi="標楷體"/>
        </w:rPr>
        <w:t>俸</w:t>
      </w:r>
      <w:proofErr w:type="gramEnd"/>
      <w:r w:rsidRPr="0075494B">
        <w:rPr>
          <w:rFonts w:hAnsi="標楷體"/>
        </w:rPr>
        <w:t>（薪）額加</w:t>
      </w:r>
      <w:r w:rsidRPr="0075494B">
        <w:rPr>
          <w:rFonts w:hAnsi="標楷體" w:hint="eastAsia"/>
        </w:rPr>
        <w:t>1</w:t>
      </w:r>
      <w:r w:rsidRPr="0075494B">
        <w:rPr>
          <w:rFonts w:hAnsi="標楷體"/>
        </w:rPr>
        <w:t>倍為基數內涵。於本法公布施行後退休之公務人員，其退撫新制實施前、後年資應給之退休金，依下列規定計算基數內涵：一、退撫新制實施前年資之給與：（一）一次退休金：依附表一所列退休年度適用之平均</w:t>
      </w:r>
      <w:proofErr w:type="gramStart"/>
      <w:r w:rsidRPr="0075494B">
        <w:rPr>
          <w:rFonts w:hAnsi="標楷體"/>
        </w:rPr>
        <w:t>俸</w:t>
      </w:r>
      <w:proofErr w:type="gramEnd"/>
      <w:r w:rsidRPr="0075494B">
        <w:rPr>
          <w:rFonts w:hAnsi="標楷體"/>
        </w:rPr>
        <w:t>（薪）額，加新臺幣</w:t>
      </w:r>
      <w:r w:rsidRPr="0075494B">
        <w:rPr>
          <w:rFonts w:hAnsi="標楷體" w:hint="eastAsia"/>
        </w:rPr>
        <w:t>930</w:t>
      </w:r>
      <w:r w:rsidRPr="0075494B">
        <w:rPr>
          <w:rFonts w:hAnsi="標楷體"/>
        </w:rPr>
        <w:t>元為基數內涵。（二）月退休金：依附表一所列退休年度適用之平均</w:t>
      </w:r>
      <w:proofErr w:type="gramStart"/>
      <w:r w:rsidRPr="0075494B">
        <w:rPr>
          <w:rFonts w:hAnsi="標楷體"/>
        </w:rPr>
        <w:t>俸</w:t>
      </w:r>
      <w:proofErr w:type="gramEnd"/>
      <w:r w:rsidRPr="0075494B">
        <w:rPr>
          <w:rFonts w:hAnsi="標楷體"/>
        </w:rPr>
        <w:t>（薪）額為基數內涵；另十足發給新臺幣</w:t>
      </w:r>
      <w:r w:rsidRPr="0075494B">
        <w:rPr>
          <w:rFonts w:hAnsi="標楷體" w:hint="eastAsia"/>
        </w:rPr>
        <w:t>930</w:t>
      </w:r>
      <w:r w:rsidRPr="0075494B">
        <w:rPr>
          <w:rFonts w:hAnsi="標楷體"/>
        </w:rPr>
        <w:t>元。二、退撫新制實施後年資之給與：依附表一所列各年度平均</w:t>
      </w:r>
      <w:proofErr w:type="gramStart"/>
      <w:r w:rsidRPr="0075494B">
        <w:rPr>
          <w:rFonts w:hAnsi="標楷體"/>
        </w:rPr>
        <w:t>俸</w:t>
      </w:r>
      <w:proofErr w:type="gramEnd"/>
      <w:r w:rsidRPr="0075494B">
        <w:rPr>
          <w:rFonts w:hAnsi="標楷體"/>
        </w:rPr>
        <w:t>（薪）額加</w:t>
      </w:r>
      <w:r w:rsidRPr="0075494B">
        <w:rPr>
          <w:rFonts w:hAnsi="標楷體" w:hint="eastAsia"/>
        </w:rPr>
        <w:t>1</w:t>
      </w:r>
      <w:r w:rsidRPr="0075494B">
        <w:rPr>
          <w:rFonts w:hAnsi="標楷體"/>
        </w:rPr>
        <w:t>倍為基數內涵。於本法公布施行前，已符合法定支領月退休金條件而於本法公布施行後退休生效之公務人員，其退撫新制實施前、後年資應給之退休金仍按第</w:t>
      </w:r>
      <w:r w:rsidRPr="0075494B">
        <w:rPr>
          <w:rFonts w:hAnsi="標楷體" w:hint="eastAsia"/>
        </w:rPr>
        <w:t>1</w:t>
      </w:r>
      <w:r w:rsidRPr="0075494B">
        <w:rPr>
          <w:rFonts w:hAnsi="標楷體"/>
        </w:rPr>
        <w:t>項所定退休金計算基準與基數</w:t>
      </w:r>
      <w:proofErr w:type="gramStart"/>
      <w:r w:rsidRPr="0075494B">
        <w:rPr>
          <w:rFonts w:hAnsi="標楷體"/>
        </w:rPr>
        <w:t>內涵計給之</w:t>
      </w:r>
      <w:proofErr w:type="gramEnd"/>
      <w:r w:rsidRPr="0075494B">
        <w:rPr>
          <w:rFonts w:hAnsi="標楷體"/>
        </w:rPr>
        <w:t>。」</w:t>
      </w:r>
    </w:p>
  </w:footnote>
  <w:footnote w:id="16">
    <w:p w:rsidR="00EF4EDE" w:rsidRPr="0075494B" w:rsidRDefault="00EF4EDE" w:rsidP="008F09C9">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公務人員退撫法（新法）第4條第4款：「退休所得替代率（以下簡稱替代率）：指公務人員退休後所領每月退休所得占最後在職同等級人員每月</w:t>
      </w:r>
      <w:proofErr w:type="gramStart"/>
      <w:r w:rsidRPr="0075494B">
        <w:rPr>
          <w:rFonts w:hAnsi="標楷體"/>
        </w:rPr>
        <w:t>所領本</w:t>
      </w:r>
      <w:proofErr w:type="gramEnd"/>
      <w:r w:rsidRPr="0075494B">
        <w:rPr>
          <w:rFonts w:hAnsi="標楷體"/>
        </w:rPr>
        <w:t>（年功）</w:t>
      </w:r>
      <w:proofErr w:type="gramStart"/>
      <w:r w:rsidRPr="0075494B">
        <w:rPr>
          <w:rFonts w:hAnsi="標楷體"/>
        </w:rPr>
        <w:t>俸</w:t>
      </w:r>
      <w:proofErr w:type="gramEnd"/>
      <w:r w:rsidRPr="0075494B">
        <w:rPr>
          <w:rFonts w:hAnsi="標楷體"/>
        </w:rPr>
        <w:t>（薪）額加計</w:t>
      </w:r>
      <w:r w:rsidRPr="0075494B">
        <w:rPr>
          <w:rFonts w:hAnsi="標楷體" w:hint="eastAsia"/>
        </w:rPr>
        <w:t>1</w:t>
      </w:r>
      <w:r w:rsidRPr="0075494B">
        <w:rPr>
          <w:rFonts w:hAnsi="標楷體"/>
        </w:rPr>
        <w:t>倍金額之比率。</w:t>
      </w:r>
      <w:proofErr w:type="gramStart"/>
      <w:r w:rsidRPr="0075494B">
        <w:rPr>
          <w:rFonts w:hAnsi="標楷體"/>
        </w:rPr>
        <w:t>但兼領</w:t>
      </w:r>
      <w:proofErr w:type="gramEnd"/>
      <w:r w:rsidRPr="0075494B">
        <w:rPr>
          <w:rFonts w:hAnsi="標楷體"/>
        </w:rPr>
        <w:t>月退休金者，其替代率上限</w:t>
      </w:r>
      <w:proofErr w:type="gramStart"/>
      <w:r w:rsidRPr="0075494B">
        <w:rPr>
          <w:rFonts w:hAnsi="標楷體"/>
        </w:rPr>
        <w:t>應按兼領</w:t>
      </w:r>
      <w:proofErr w:type="gramEnd"/>
      <w:r w:rsidRPr="0075494B">
        <w:rPr>
          <w:rFonts w:hAnsi="標楷體"/>
        </w:rPr>
        <w:t>月退休金之比率調整之。」</w:t>
      </w:r>
    </w:p>
  </w:footnote>
  <w:footnote w:id="1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37條規定：「本法公布施行前退休生效者之每月退休所得，於本法公布施行後，不得超過依替代率上限計算之金額。前項替代率應依退休人員審定之退休年資，照附表三所定替代率計算，任職滿</w:t>
      </w:r>
      <w:r w:rsidRPr="0075494B">
        <w:rPr>
          <w:rFonts w:hAnsi="標楷體" w:hint="eastAsia"/>
        </w:rPr>
        <w:t>15</w:t>
      </w:r>
      <w:r w:rsidRPr="0075494B">
        <w:rPr>
          <w:rFonts w:hAnsi="標楷體"/>
        </w:rPr>
        <w:t>年者，替代率為</w:t>
      </w:r>
      <w:r w:rsidRPr="0075494B">
        <w:rPr>
          <w:rFonts w:hAnsi="標楷體" w:hint="eastAsia"/>
        </w:rPr>
        <w:t>45%</w:t>
      </w:r>
      <w:r w:rsidRPr="0075494B">
        <w:rPr>
          <w:rFonts w:hAnsi="標楷體"/>
        </w:rPr>
        <w:t>，其後每增加</w:t>
      </w:r>
      <w:r w:rsidRPr="0075494B">
        <w:rPr>
          <w:rFonts w:hAnsi="標楷體" w:hint="eastAsia"/>
        </w:rPr>
        <w:t>1</w:t>
      </w:r>
      <w:r w:rsidRPr="0075494B">
        <w:rPr>
          <w:rFonts w:hAnsi="標楷體"/>
        </w:rPr>
        <w:t>年，替代率增給</w:t>
      </w:r>
      <w:r w:rsidRPr="0075494B">
        <w:rPr>
          <w:rFonts w:hAnsi="標楷體" w:hint="eastAsia"/>
        </w:rPr>
        <w:t>1.5%</w:t>
      </w:r>
      <w:r w:rsidRPr="0075494B">
        <w:rPr>
          <w:rFonts w:hAnsi="標楷體"/>
        </w:rPr>
        <w:t>，最高增至</w:t>
      </w:r>
      <w:r w:rsidRPr="0075494B">
        <w:rPr>
          <w:rFonts w:hAnsi="標楷體" w:hint="eastAsia"/>
        </w:rPr>
        <w:t>35</w:t>
      </w:r>
      <w:r w:rsidRPr="0075494B">
        <w:rPr>
          <w:rFonts w:hAnsi="標楷體"/>
        </w:rPr>
        <w:t>年，為</w:t>
      </w:r>
      <w:r w:rsidRPr="0075494B">
        <w:rPr>
          <w:rFonts w:hAnsi="標楷體" w:hint="eastAsia"/>
        </w:rPr>
        <w:t>75%</w:t>
      </w:r>
      <w:r w:rsidRPr="0075494B">
        <w:rPr>
          <w:rFonts w:hAnsi="標楷體"/>
        </w:rPr>
        <w:t>。未滿</w:t>
      </w:r>
      <w:r w:rsidRPr="0075494B">
        <w:rPr>
          <w:rFonts w:hAnsi="標楷體" w:hint="eastAsia"/>
        </w:rPr>
        <w:t>1</w:t>
      </w:r>
      <w:r w:rsidRPr="0075494B">
        <w:rPr>
          <w:rFonts w:hAnsi="標楷體"/>
        </w:rPr>
        <w:t>年之</w:t>
      </w:r>
      <w:proofErr w:type="gramStart"/>
      <w:r w:rsidRPr="0075494B">
        <w:rPr>
          <w:rFonts w:hAnsi="標楷體"/>
        </w:rPr>
        <w:t>畸</w:t>
      </w:r>
      <w:proofErr w:type="gramEnd"/>
      <w:r w:rsidRPr="0075494B">
        <w:rPr>
          <w:rFonts w:hAnsi="標楷體"/>
        </w:rPr>
        <w:t>零年資，按比率計算；未滿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前項替代率之上限，依退休人員審定之退休年資，照附表三所列各年度替代率認定。前三項所定替代率，於選擇兼領月退休金者，各依其兼領一次退休金與兼領月退休金比率計算。本法公布施行前退休生效者，應按本法公布施行時之待遇標準，依前四項規定重新計算每月退休所得；經審定後，不再隨在職同等級人員本（年功）</w:t>
      </w:r>
      <w:proofErr w:type="gramStart"/>
      <w:r w:rsidRPr="0075494B">
        <w:rPr>
          <w:rFonts w:hAnsi="標楷體"/>
        </w:rPr>
        <w:t>俸</w:t>
      </w:r>
      <w:proofErr w:type="gramEnd"/>
      <w:r w:rsidRPr="0075494B">
        <w:rPr>
          <w:rFonts w:hAnsi="標楷體"/>
        </w:rPr>
        <w:t>之調整重新計算。」</w:t>
      </w:r>
      <w:r w:rsidRPr="0075494B">
        <w:rPr>
          <w:rFonts w:hAnsi="標楷體" w:hint="eastAsia"/>
        </w:rPr>
        <w:br/>
      </w:r>
      <w:r w:rsidRPr="0075494B">
        <w:rPr>
          <w:rFonts w:hAnsi="標楷體"/>
        </w:rPr>
        <w:t>同法第38條規定：「本法公布施行後退休生效者之每月退休所得，不得超過依替代率上限計算之金額。前項替代率應依退休人員審定之退休年資，照附表三所定替代率計算；任職滿</w:t>
      </w:r>
      <w:r w:rsidRPr="0075494B">
        <w:rPr>
          <w:rFonts w:hAnsi="標楷體" w:hint="eastAsia"/>
        </w:rPr>
        <w:t>15</w:t>
      </w:r>
      <w:r w:rsidRPr="0075494B">
        <w:rPr>
          <w:rFonts w:hAnsi="標楷體"/>
        </w:rPr>
        <w:t>年至第</w:t>
      </w:r>
      <w:r w:rsidRPr="0075494B">
        <w:rPr>
          <w:rFonts w:hAnsi="標楷體" w:hint="eastAsia"/>
        </w:rPr>
        <w:t>35</w:t>
      </w:r>
      <w:r w:rsidRPr="0075494B">
        <w:rPr>
          <w:rFonts w:hAnsi="標楷體"/>
        </w:rPr>
        <w:t>年者，照前條第</w:t>
      </w:r>
      <w:r w:rsidRPr="0075494B">
        <w:rPr>
          <w:rFonts w:hAnsi="標楷體" w:hint="eastAsia"/>
        </w:rPr>
        <w:t>2</w:t>
      </w:r>
      <w:r w:rsidRPr="0075494B">
        <w:rPr>
          <w:rFonts w:hAnsi="標楷體"/>
        </w:rPr>
        <w:t>項規定辦理；超過第</w:t>
      </w:r>
      <w:r w:rsidRPr="0075494B">
        <w:rPr>
          <w:rFonts w:hAnsi="標楷體" w:hint="eastAsia"/>
        </w:rPr>
        <w:t>35</w:t>
      </w:r>
      <w:r w:rsidRPr="0075494B">
        <w:rPr>
          <w:rFonts w:hAnsi="標楷體"/>
        </w:rPr>
        <w:t>年者，每增加</w:t>
      </w:r>
      <w:r w:rsidRPr="0075494B">
        <w:rPr>
          <w:rFonts w:hAnsi="標楷體" w:hint="eastAsia"/>
        </w:rPr>
        <w:t>1</w:t>
      </w:r>
      <w:r w:rsidRPr="0075494B">
        <w:rPr>
          <w:rFonts w:hAnsi="標楷體"/>
        </w:rPr>
        <w:t>年，增給</w:t>
      </w:r>
      <w:r w:rsidRPr="0075494B">
        <w:rPr>
          <w:rFonts w:hAnsi="標楷體" w:hint="eastAsia"/>
        </w:rPr>
        <w:t>0.5%</w:t>
      </w:r>
      <w:r w:rsidRPr="0075494B">
        <w:rPr>
          <w:rFonts w:hAnsi="標楷體"/>
        </w:rPr>
        <w:t>，最高增至</w:t>
      </w:r>
      <w:r w:rsidRPr="0075494B">
        <w:rPr>
          <w:rFonts w:hAnsi="標楷體" w:hint="eastAsia"/>
        </w:rPr>
        <w:t>40</w:t>
      </w:r>
      <w:r w:rsidRPr="0075494B">
        <w:rPr>
          <w:rFonts w:hAnsi="標楷體"/>
        </w:rPr>
        <w:t>年止。未滿</w:t>
      </w:r>
      <w:r w:rsidRPr="0075494B">
        <w:rPr>
          <w:rFonts w:hAnsi="標楷體" w:hint="eastAsia"/>
        </w:rPr>
        <w:t>1</w:t>
      </w:r>
      <w:r w:rsidRPr="0075494B">
        <w:rPr>
          <w:rFonts w:hAnsi="標楷體"/>
        </w:rPr>
        <w:t>年之</w:t>
      </w:r>
      <w:proofErr w:type="gramStart"/>
      <w:r w:rsidRPr="0075494B">
        <w:rPr>
          <w:rFonts w:hAnsi="標楷體"/>
        </w:rPr>
        <w:t>畸</w:t>
      </w:r>
      <w:proofErr w:type="gramEnd"/>
      <w:r w:rsidRPr="0075494B">
        <w:rPr>
          <w:rFonts w:hAnsi="標楷體"/>
        </w:rPr>
        <w:t>零年資，按比率計算；未滿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個月計。前項替代率之上限，依退休人員審定之退休年資，照附表三所列各年度替代率認定。前</w:t>
      </w:r>
      <w:r w:rsidRPr="0075494B">
        <w:rPr>
          <w:rFonts w:hAnsi="標楷體" w:hint="eastAsia"/>
        </w:rPr>
        <w:t>3</w:t>
      </w:r>
      <w:r w:rsidRPr="0075494B">
        <w:rPr>
          <w:rFonts w:hAnsi="標楷體"/>
        </w:rPr>
        <w:t>項所定替代率，於選擇兼領月退休金者，各依其兼領一次退休金與兼領月退休金比率計算。本法公布施行後退休生效者，應按退休生效時之待遇標準，依前</w:t>
      </w:r>
      <w:r w:rsidRPr="0075494B">
        <w:rPr>
          <w:rFonts w:hAnsi="標楷體" w:hint="eastAsia"/>
        </w:rPr>
        <w:t>4</w:t>
      </w:r>
      <w:r w:rsidRPr="0075494B">
        <w:rPr>
          <w:rFonts w:hAnsi="標楷體"/>
        </w:rPr>
        <w:t>項規定計算每月退休所得；經審定後，不再隨在職同等級人員本（年功）</w:t>
      </w:r>
      <w:proofErr w:type="gramStart"/>
      <w:r w:rsidRPr="0075494B">
        <w:rPr>
          <w:rFonts w:hAnsi="標楷體"/>
        </w:rPr>
        <w:t>俸</w:t>
      </w:r>
      <w:proofErr w:type="gramEnd"/>
      <w:r w:rsidRPr="0075494B">
        <w:rPr>
          <w:rFonts w:hAnsi="標楷體"/>
        </w:rPr>
        <w:t>之調整重新計算。」</w:t>
      </w:r>
      <w:r w:rsidRPr="0075494B">
        <w:rPr>
          <w:rFonts w:hAnsi="標楷體" w:hint="eastAsia"/>
        </w:rPr>
        <w:br/>
      </w:r>
      <w:r w:rsidRPr="0075494B">
        <w:rPr>
          <w:rFonts w:hAnsi="標楷體"/>
        </w:rPr>
        <w:t>第39條規定：「退休人員每月退休所得，依第</w:t>
      </w:r>
      <w:r w:rsidRPr="0075494B">
        <w:rPr>
          <w:rFonts w:hAnsi="標楷體" w:hint="eastAsia"/>
        </w:rPr>
        <w:t>36</w:t>
      </w:r>
      <w:r w:rsidRPr="0075494B">
        <w:rPr>
          <w:rFonts w:hAnsi="標楷體"/>
        </w:rPr>
        <w:t>條規定調降優存利息後，仍超出附表三所定各年度替代率上限者，應依下列順序，扣減每月退休所得，至不超過其替代率上限所得金額止：一、每月所領公保一次養老給付或一次退休金優存利息。二、退撫新制實施前年資所計得之月退休金（含月補償金）。三、退撫新制實施後年資所計得之月退休金。退休人員每月所領退休所得，依第</w:t>
      </w:r>
      <w:r w:rsidRPr="0075494B">
        <w:rPr>
          <w:rFonts w:hAnsi="標楷體" w:hint="eastAsia"/>
        </w:rPr>
        <w:t>37</w:t>
      </w:r>
      <w:r w:rsidRPr="0075494B">
        <w:rPr>
          <w:rFonts w:hAnsi="標楷體"/>
        </w:rPr>
        <w:t>條或前條規定計算後，有低於最低保障金額者，支給最低保障金額。但原金額原即低於最低保障金額者，依原金額支給。前項所定最低保障金額，於選擇兼領月退休金者，各依其兼領一次退休金與兼領月退休金比率計算。」</w:t>
      </w:r>
    </w:p>
  </w:footnote>
  <w:footnote w:id="1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公務人員退休法（舊法）第32條第3項規定：「前項退休所得以月退休金及公保養老給付優惠存款每月利息計算；現職待遇以本（年功）</w:t>
      </w:r>
      <w:proofErr w:type="gramStart"/>
      <w:r w:rsidRPr="0075494B">
        <w:rPr>
          <w:rFonts w:hAnsi="標楷體"/>
        </w:rPr>
        <w:t>俸</w:t>
      </w:r>
      <w:proofErr w:type="gramEnd"/>
      <w:r w:rsidRPr="0075494B">
        <w:rPr>
          <w:rFonts w:hAnsi="標楷體"/>
        </w:rPr>
        <w:t>加</w:t>
      </w:r>
      <w:r w:rsidRPr="0075494B">
        <w:rPr>
          <w:rFonts w:hAnsi="標楷體" w:hint="eastAsia"/>
        </w:rPr>
        <w:t>1</w:t>
      </w:r>
      <w:r w:rsidRPr="0075494B">
        <w:rPr>
          <w:rFonts w:hAnsi="標楷體"/>
        </w:rPr>
        <w:t>倍計算。退休所得比率上限計算如下：一、支領月退休金人員，核定退休年資</w:t>
      </w:r>
      <w:r w:rsidRPr="0075494B">
        <w:rPr>
          <w:rFonts w:hAnsi="標楷體" w:hint="eastAsia"/>
        </w:rPr>
        <w:t>25</w:t>
      </w:r>
      <w:r w:rsidRPr="0075494B">
        <w:rPr>
          <w:rFonts w:hAnsi="標楷體"/>
        </w:rPr>
        <w:t>年以下者，以</w:t>
      </w:r>
      <w:r w:rsidRPr="0075494B">
        <w:rPr>
          <w:rFonts w:hAnsi="標楷體" w:hint="eastAsia"/>
        </w:rPr>
        <w:t>75%</w:t>
      </w:r>
      <w:r w:rsidRPr="0075494B">
        <w:rPr>
          <w:rFonts w:hAnsi="標楷體"/>
        </w:rPr>
        <w:t>為上限；以後每增</w:t>
      </w:r>
      <w:r w:rsidRPr="0075494B">
        <w:rPr>
          <w:rFonts w:hAnsi="標楷體" w:hint="eastAsia"/>
        </w:rPr>
        <w:t>1</w:t>
      </w:r>
      <w:r w:rsidRPr="0075494B">
        <w:rPr>
          <w:rFonts w:hAnsi="標楷體"/>
        </w:rPr>
        <w:t>年，上限增加</w:t>
      </w:r>
      <w:r w:rsidRPr="0075494B">
        <w:rPr>
          <w:rFonts w:hAnsi="標楷體" w:hint="eastAsia"/>
        </w:rPr>
        <w:t>2%</w:t>
      </w:r>
      <w:r w:rsidRPr="0075494B">
        <w:rPr>
          <w:rFonts w:hAnsi="標楷體"/>
        </w:rPr>
        <w:t>，最高增至</w:t>
      </w:r>
      <w:r w:rsidRPr="0075494B">
        <w:rPr>
          <w:rFonts w:hAnsi="標楷體" w:hint="eastAsia"/>
        </w:rPr>
        <w:t>95%</w:t>
      </w:r>
      <w:r w:rsidRPr="0075494B">
        <w:rPr>
          <w:rFonts w:hAnsi="標楷體"/>
        </w:rPr>
        <w:t>。未滿</w:t>
      </w:r>
      <w:r w:rsidRPr="0075494B">
        <w:rPr>
          <w:rFonts w:hAnsi="標楷體" w:hint="eastAsia"/>
        </w:rPr>
        <w:t>6</w:t>
      </w:r>
      <w:r w:rsidRPr="0075494B">
        <w:rPr>
          <w:rFonts w:hAnsi="標楷體"/>
        </w:rPr>
        <w:t>個月者，增加</w:t>
      </w:r>
      <w:r w:rsidRPr="0075494B">
        <w:rPr>
          <w:rFonts w:hAnsi="標楷體" w:hint="eastAsia"/>
        </w:rPr>
        <w:t>1%</w:t>
      </w:r>
      <w:r w:rsidRPr="0075494B">
        <w:rPr>
          <w:rFonts w:hAnsi="標楷體"/>
        </w:rPr>
        <w:t>；滿</w:t>
      </w:r>
      <w:r w:rsidRPr="0075494B">
        <w:rPr>
          <w:rFonts w:hAnsi="標楷體" w:hint="eastAsia"/>
        </w:rPr>
        <w:t>6</w:t>
      </w:r>
      <w:r w:rsidRPr="0075494B">
        <w:rPr>
          <w:rFonts w:hAnsi="標楷體"/>
        </w:rPr>
        <w:t>個月以上未滿</w:t>
      </w:r>
      <w:r w:rsidRPr="0075494B">
        <w:rPr>
          <w:rFonts w:hAnsi="標楷體" w:hint="eastAsia"/>
        </w:rPr>
        <w:t>1</w:t>
      </w:r>
      <w:r w:rsidRPr="0075494B">
        <w:rPr>
          <w:rFonts w:hAnsi="標楷體"/>
        </w:rPr>
        <w:t>年者，以</w:t>
      </w:r>
      <w:r w:rsidRPr="0075494B">
        <w:rPr>
          <w:rFonts w:hAnsi="標楷體" w:hint="eastAsia"/>
        </w:rPr>
        <w:t>1</w:t>
      </w:r>
      <w:r w:rsidRPr="0075494B">
        <w:rPr>
          <w:rFonts w:hAnsi="標楷體"/>
        </w:rPr>
        <w:t>年計。二、兼領月退休金人員，依前款比率，</w:t>
      </w:r>
      <w:proofErr w:type="gramStart"/>
      <w:r w:rsidRPr="0075494B">
        <w:rPr>
          <w:rFonts w:hAnsi="標楷體"/>
        </w:rPr>
        <w:t>按其兼領</w:t>
      </w:r>
      <w:proofErr w:type="gramEnd"/>
      <w:r w:rsidRPr="0075494B">
        <w:rPr>
          <w:rFonts w:hAnsi="標楷體"/>
        </w:rPr>
        <w:t>月退休金之比例折算。」第4項規定：「前項人員所領退休所得不得高於同等級現職人員待遇。」</w:t>
      </w:r>
    </w:p>
  </w:footnote>
  <w:footnote w:id="1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公務人員退休法（舊法）第30條規定：「公務人員在退撫新制實施前、</w:t>
      </w:r>
      <w:proofErr w:type="gramStart"/>
      <w:r w:rsidRPr="0075494B">
        <w:rPr>
          <w:rFonts w:hAnsi="標楷體"/>
        </w:rPr>
        <w:t>後均有任職</w:t>
      </w:r>
      <w:proofErr w:type="gramEnd"/>
      <w:r w:rsidRPr="0075494B">
        <w:rPr>
          <w:rFonts w:hAnsi="標楷體"/>
        </w:rPr>
        <w:t>年資，合計滿</w:t>
      </w:r>
      <w:r w:rsidRPr="0075494B">
        <w:rPr>
          <w:rFonts w:hAnsi="標楷體" w:hint="eastAsia"/>
        </w:rPr>
        <w:t>15</w:t>
      </w:r>
      <w:r w:rsidRPr="0075494B">
        <w:rPr>
          <w:rFonts w:hAnsi="標楷體"/>
        </w:rPr>
        <w:t>年以上者，其退休金應選擇同一給付方式請領。退撫新制實施前已有任職年資未滿</w:t>
      </w:r>
      <w:r w:rsidRPr="0075494B">
        <w:rPr>
          <w:rFonts w:hAnsi="標楷體" w:hint="eastAsia"/>
        </w:rPr>
        <w:t>15</w:t>
      </w:r>
      <w:r w:rsidRPr="0075494B">
        <w:rPr>
          <w:rFonts w:hAnsi="標楷體"/>
        </w:rPr>
        <w:t>年，於退撫新制實施後退休，其前、後任職年資合計滿</w:t>
      </w:r>
      <w:r w:rsidRPr="0075494B">
        <w:rPr>
          <w:rFonts w:hAnsi="標楷體" w:hint="eastAsia"/>
        </w:rPr>
        <w:t>15</w:t>
      </w:r>
      <w:r w:rsidRPr="0075494B">
        <w:rPr>
          <w:rFonts w:hAnsi="標楷體"/>
        </w:rPr>
        <w:t>年以上，擇領月退休金者，另按退撫新制實施前未滿</w:t>
      </w:r>
      <w:r w:rsidRPr="0075494B">
        <w:rPr>
          <w:rFonts w:hAnsi="標楷體" w:hint="eastAsia"/>
        </w:rPr>
        <w:t>15</w:t>
      </w:r>
      <w:r w:rsidRPr="0075494B">
        <w:rPr>
          <w:rFonts w:hAnsi="標楷體"/>
        </w:rPr>
        <w:t>年之年資為</w:t>
      </w:r>
      <w:proofErr w:type="gramStart"/>
      <w:r w:rsidRPr="0075494B">
        <w:rPr>
          <w:rFonts w:hAnsi="標楷體"/>
        </w:rPr>
        <w:t>準</w:t>
      </w:r>
      <w:proofErr w:type="gramEnd"/>
      <w:r w:rsidRPr="0075494B">
        <w:rPr>
          <w:rFonts w:hAnsi="標楷體"/>
        </w:rPr>
        <w:t>，依下列規定擇一支給補償金，由各級政府編列預算支給：一、</w:t>
      </w:r>
      <w:proofErr w:type="gramStart"/>
      <w:r w:rsidRPr="0075494B">
        <w:rPr>
          <w:rFonts w:hAnsi="標楷體"/>
        </w:rPr>
        <w:t>每減</w:t>
      </w:r>
      <w:r w:rsidRPr="0075494B">
        <w:rPr>
          <w:rFonts w:hAnsi="標楷體" w:hint="eastAsia"/>
        </w:rPr>
        <w:t>1</w:t>
      </w:r>
      <w:r w:rsidRPr="0075494B">
        <w:rPr>
          <w:rFonts w:hAnsi="標楷體"/>
        </w:rPr>
        <w:t>年</w:t>
      </w:r>
      <w:proofErr w:type="gramEnd"/>
      <w:r w:rsidRPr="0075494B">
        <w:rPr>
          <w:rFonts w:hAnsi="標楷體"/>
        </w:rPr>
        <w:t>增給</w:t>
      </w:r>
      <w:r w:rsidRPr="0075494B">
        <w:rPr>
          <w:rFonts w:hAnsi="標楷體" w:hint="eastAsia"/>
        </w:rPr>
        <w:t>0.5</w:t>
      </w:r>
      <w:r w:rsidRPr="0075494B">
        <w:rPr>
          <w:rFonts w:hAnsi="標楷體"/>
        </w:rPr>
        <w:t>個基數之一次補償金。二、</w:t>
      </w:r>
      <w:proofErr w:type="gramStart"/>
      <w:r w:rsidRPr="0075494B">
        <w:rPr>
          <w:rFonts w:hAnsi="標楷體"/>
        </w:rPr>
        <w:t>每減</w:t>
      </w:r>
      <w:r w:rsidRPr="0075494B">
        <w:rPr>
          <w:rFonts w:hAnsi="標楷體" w:hint="eastAsia"/>
        </w:rPr>
        <w:t>1</w:t>
      </w:r>
      <w:r w:rsidRPr="0075494B">
        <w:rPr>
          <w:rFonts w:hAnsi="標楷體"/>
        </w:rPr>
        <w:t>年</w:t>
      </w:r>
      <w:proofErr w:type="gramEnd"/>
      <w:r w:rsidRPr="0075494B">
        <w:rPr>
          <w:rFonts w:hAnsi="標楷體"/>
        </w:rPr>
        <w:t>，增給基數</w:t>
      </w:r>
      <w:r w:rsidRPr="0075494B">
        <w:rPr>
          <w:rFonts w:hAnsi="標楷體" w:hint="eastAsia"/>
        </w:rPr>
        <w:t>1/200</w:t>
      </w:r>
      <w:r w:rsidRPr="0075494B">
        <w:rPr>
          <w:rFonts w:hAnsi="標楷體"/>
        </w:rPr>
        <w:t>之月補償金。退撫新制實施前已有任職年資未滿</w:t>
      </w:r>
      <w:r w:rsidRPr="0075494B">
        <w:rPr>
          <w:rFonts w:hAnsi="標楷體" w:hint="eastAsia"/>
        </w:rPr>
        <w:t>20</w:t>
      </w:r>
      <w:r w:rsidRPr="0075494B">
        <w:rPr>
          <w:rFonts w:hAnsi="標楷體"/>
        </w:rPr>
        <w:t>年，於退撫新制實施後退休，其前後任職年資合計滿</w:t>
      </w:r>
      <w:r w:rsidRPr="0075494B">
        <w:rPr>
          <w:rFonts w:hAnsi="標楷體" w:hint="eastAsia"/>
        </w:rPr>
        <w:t>15</w:t>
      </w:r>
      <w:r w:rsidRPr="0075494B">
        <w:rPr>
          <w:rFonts w:hAnsi="標楷體"/>
        </w:rPr>
        <w:t>年擇領月退休金者，依其在退撫新制實施後年資，每滿</w:t>
      </w:r>
      <w:r w:rsidRPr="0075494B">
        <w:rPr>
          <w:rFonts w:hAnsi="標楷體" w:hint="eastAsia"/>
        </w:rPr>
        <w:t>6</w:t>
      </w:r>
      <w:r w:rsidRPr="0075494B">
        <w:rPr>
          <w:rFonts w:hAnsi="標楷體"/>
        </w:rPr>
        <w:t>個月</w:t>
      </w:r>
      <w:r w:rsidRPr="0075494B">
        <w:rPr>
          <w:rFonts w:hAnsi="標楷體" w:hint="eastAsia"/>
        </w:rPr>
        <w:t>1</w:t>
      </w:r>
      <w:r w:rsidRPr="0075494B">
        <w:rPr>
          <w:rFonts w:hAnsi="標楷體"/>
        </w:rPr>
        <w:t>次增發</w:t>
      </w:r>
      <w:r w:rsidRPr="0075494B">
        <w:rPr>
          <w:rFonts w:hAnsi="標楷體" w:hint="eastAsia"/>
        </w:rPr>
        <w:t>0.5</w:t>
      </w:r>
      <w:r w:rsidRPr="0075494B">
        <w:rPr>
          <w:rFonts w:hAnsi="標楷體"/>
        </w:rPr>
        <w:t>個基數之補償金，最高</w:t>
      </w:r>
      <w:r w:rsidRPr="0075494B">
        <w:rPr>
          <w:rFonts w:hAnsi="標楷體" w:hint="eastAsia"/>
        </w:rPr>
        <w:t>1</w:t>
      </w:r>
      <w:r w:rsidRPr="0075494B">
        <w:rPr>
          <w:rFonts w:hAnsi="標楷體"/>
        </w:rPr>
        <w:t>次增發</w:t>
      </w:r>
      <w:r w:rsidRPr="0075494B">
        <w:rPr>
          <w:rFonts w:hAnsi="標楷體" w:hint="eastAsia"/>
        </w:rPr>
        <w:t>3</w:t>
      </w:r>
      <w:r w:rsidRPr="0075494B">
        <w:rPr>
          <w:rFonts w:hAnsi="標楷體"/>
        </w:rPr>
        <w:t>個基數，至滿</w:t>
      </w:r>
      <w:r w:rsidRPr="0075494B">
        <w:rPr>
          <w:rFonts w:hAnsi="標楷體" w:hint="eastAsia"/>
        </w:rPr>
        <w:t>20</w:t>
      </w:r>
      <w:r w:rsidRPr="0075494B">
        <w:rPr>
          <w:rFonts w:hAnsi="標楷體"/>
        </w:rPr>
        <w:t>年止。其前、後任職年資合計逾</w:t>
      </w:r>
      <w:r w:rsidRPr="0075494B">
        <w:rPr>
          <w:rFonts w:hAnsi="標楷體" w:hint="eastAsia"/>
        </w:rPr>
        <w:t>20</w:t>
      </w:r>
      <w:r w:rsidRPr="0075494B">
        <w:rPr>
          <w:rFonts w:hAnsi="標楷體"/>
        </w:rPr>
        <w:t>年者，每滿</w:t>
      </w:r>
      <w:proofErr w:type="gramStart"/>
      <w:r w:rsidRPr="0075494B">
        <w:rPr>
          <w:rFonts w:hAnsi="標楷體" w:hint="eastAsia"/>
        </w:rPr>
        <w:t>1</w:t>
      </w:r>
      <w:r w:rsidRPr="0075494B">
        <w:rPr>
          <w:rFonts w:hAnsi="標楷體"/>
        </w:rPr>
        <w:t>年減發</w:t>
      </w:r>
      <w:r w:rsidRPr="0075494B">
        <w:rPr>
          <w:rFonts w:hAnsi="標楷體" w:hint="eastAsia"/>
        </w:rPr>
        <w:t>0.5</w:t>
      </w:r>
      <w:r w:rsidRPr="0075494B">
        <w:rPr>
          <w:rFonts w:hAnsi="標楷體"/>
        </w:rPr>
        <w:t>個</w:t>
      </w:r>
      <w:proofErr w:type="gramEnd"/>
      <w:r w:rsidRPr="0075494B">
        <w:rPr>
          <w:rFonts w:hAnsi="標楷體"/>
        </w:rPr>
        <w:t>基數之補償金，至滿</w:t>
      </w:r>
      <w:r w:rsidRPr="0075494B">
        <w:rPr>
          <w:rFonts w:hAnsi="標楷體" w:hint="eastAsia"/>
        </w:rPr>
        <w:t>26</w:t>
      </w:r>
      <w:r w:rsidRPr="0075494B">
        <w:rPr>
          <w:rFonts w:hAnsi="標楷體"/>
        </w:rPr>
        <w:t>年者不再增減。其增減基數之補償金，由退撫基金支給。」</w:t>
      </w:r>
    </w:p>
  </w:footnote>
  <w:footnote w:id="20">
    <w:p w:rsidR="00EF4EDE" w:rsidRPr="0075494B" w:rsidRDefault="00EF4EDE" w:rsidP="008F09C9">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公務人員退撫法（新法）第45條規定：「第</w:t>
      </w:r>
      <w:r w:rsidRPr="0075494B">
        <w:rPr>
          <w:rFonts w:hAnsi="標楷體" w:hint="eastAsia"/>
        </w:rPr>
        <w:t>43</w:t>
      </w:r>
      <w:r w:rsidRPr="0075494B">
        <w:rPr>
          <w:rFonts w:hAnsi="標楷體"/>
        </w:rPr>
        <w:t>條第</w:t>
      </w:r>
      <w:r w:rsidRPr="0075494B">
        <w:rPr>
          <w:rFonts w:hAnsi="標楷體" w:hint="eastAsia"/>
        </w:rPr>
        <w:t>1</w:t>
      </w:r>
      <w:r w:rsidRPr="0075494B">
        <w:rPr>
          <w:rFonts w:hAnsi="標楷體"/>
        </w:rPr>
        <w:t>項所定遺族為配偶、未成年子女、身心障礙且無工作能力之已成年子女或父母而</w:t>
      </w:r>
      <w:proofErr w:type="gramStart"/>
      <w:r w:rsidRPr="0075494B">
        <w:rPr>
          <w:rFonts w:hAnsi="標楷體"/>
        </w:rPr>
        <w:t>不</w:t>
      </w:r>
      <w:proofErr w:type="gramEnd"/>
      <w:r w:rsidRPr="0075494B">
        <w:rPr>
          <w:rFonts w:hAnsi="標楷體"/>
        </w:rPr>
        <w:t>支領遺屬一次金者，得依下列規定，按退休人員亡故時所領月退休金之</w:t>
      </w:r>
      <w:r w:rsidRPr="0075494B">
        <w:rPr>
          <w:rFonts w:hAnsi="標楷體" w:hint="eastAsia"/>
        </w:rPr>
        <w:t>1/2</w:t>
      </w:r>
      <w:r w:rsidRPr="0075494B">
        <w:rPr>
          <w:rFonts w:hAnsi="標楷體"/>
        </w:rPr>
        <w:t>或兼領月退休金之</w:t>
      </w:r>
      <w:r w:rsidRPr="0075494B">
        <w:rPr>
          <w:rFonts w:hAnsi="標楷體" w:hint="eastAsia"/>
        </w:rPr>
        <w:t>1/2</w:t>
      </w:r>
      <w:r w:rsidRPr="0075494B">
        <w:rPr>
          <w:rFonts w:hAnsi="標楷體"/>
        </w:rPr>
        <w:t>，</w:t>
      </w:r>
      <w:proofErr w:type="gramStart"/>
      <w:r w:rsidRPr="0075494B">
        <w:rPr>
          <w:rFonts w:hAnsi="標楷體"/>
        </w:rPr>
        <w:t>改領遺</w:t>
      </w:r>
      <w:proofErr w:type="gramEnd"/>
      <w:r w:rsidRPr="0075494B">
        <w:rPr>
          <w:rFonts w:hAnsi="標楷體"/>
        </w:rPr>
        <w:t>屬年金：一、具備以下條件之</w:t>
      </w:r>
      <w:proofErr w:type="gramStart"/>
      <w:r w:rsidRPr="0075494B">
        <w:rPr>
          <w:rFonts w:hAnsi="標楷體"/>
        </w:rPr>
        <w:t>一</w:t>
      </w:r>
      <w:proofErr w:type="gramEnd"/>
      <w:r w:rsidRPr="0075494B">
        <w:rPr>
          <w:rFonts w:hAnsi="標楷體"/>
        </w:rPr>
        <w:t>且未再婚配偶，給與終身。但以其法定婚姻關係於退休人員亡故時，已累積存續</w:t>
      </w:r>
      <w:r w:rsidRPr="0075494B">
        <w:rPr>
          <w:rFonts w:hAnsi="標楷體" w:hint="eastAsia"/>
        </w:rPr>
        <w:t>10</w:t>
      </w:r>
      <w:r w:rsidRPr="0075494B">
        <w:rPr>
          <w:rFonts w:hAnsi="標楷體"/>
        </w:rPr>
        <w:t>年以上為限：（一）年滿</w:t>
      </w:r>
      <w:r w:rsidRPr="0075494B">
        <w:rPr>
          <w:rFonts w:hAnsi="標楷體" w:hint="eastAsia"/>
        </w:rPr>
        <w:t>55</w:t>
      </w:r>
      <w:r w:rsidRPr="0075494B">
        <w:rPr>
          <w:rFonts w:hAnsi="標楷體"/>
        </w:rPr>
        <w:t>歲。（二）身心障礙且無工作能力。二、未成年子女給與至成年為止。但身心障礙且無工作能力之已成年子女，給與終身。三、父母給與終身。未滿</w:t>
      </w:r>
      <w:r w:rsidRPr="0075494B">
        <w:rPr>
          <w:rFonts w:hAnsi="標楷體" w:hint="eastAsia"/>
        </w:rPr>
        <w:t>55</w:t>
      </w:r>
      <w:r w:rsidRPr="0075494B">
        <w:rPr>
          <w:rFonts w:hAnsi="標楷體"/>
        </w:rPr>
        <w:t>歲而不得依前項第</w:t>
      </w:r>
      <w:r w:rsidRPr="0075494B">
        <w:rPr>
          <w:rFonts w:hAnsi="標楷體" w:hint="eastAsia"/>
        </w:rPr>
        <w:t>1</w:t>
      </w:r>
      <w:r w:rsidRPr="0075494B">
        <w:rPr>
          <w:rFonts w:hAnsi="標楷體"/>
        </w:rPr>
        <w:t>款領受遺屬年金之未再婚配偶，得自年滿</w:t>
      </w:r>
      <w:r w:rsidRPr="0075494B">
        <w:rPr>
          <w:rFonts w:hAnsi="標楷體" w:hint="eastAsia"/>
        </w:rPr>
        <w:t>55</w:t>
      </w:r>
      <w:r w:rsidRPr="0075494B">
        <w:rPr>
          <w:rFonts w:hAnsi="標楷體"/>
        </w:rPr>
        <w:t>歲之日起，支領終身遺屬年金。第</w:t>
      </w:r>
      <w:r w:rsidRPr="0075494B">
        <w:rPr>
          <w:rFonts w:hAnsi="標楷體" w:hint="eastAsia"/>
        </w:rPr>
        <w:t>1</w:t>
      </w:r>
      <w:r w:rsidRPr="0075494B">
        <w:rPr>
          <w:rFonts w:hAnsi="標楷體"/>
        </w:rPr>
        <w:t>項第</w:t>
      </w:r>
      <w:r w:rsidRPr="0075494B">
        <w:rPr>
          <w:rFonts w:hAnsi="標楷體" w:hint="eastAsia"/>
        </w:rPr>
        <w:t>1</w:t>
      </w:r>
      <w:r w:rsidRPr="0075494B">
        <w:rPr>
          <w:rFonts w:hAnsi="標楷體"/>
        </w:rPr>
        <w:t>款及第</w:t>
      </w:r>
      <w:r w:rsidRPr="0075494B">
        <w:rPr>
          <w:rFonts w:hAnsi="標楷體" w:hint="eastAsia"/>
        </w:rPr>
        <w:t>2</w:t>
      </w:r>
      <w:r w:rsidRPr="0075494B">
        <w:rPr>
          <w:rFonts w:hAnsi="標楷體"/>
        </w:rPr>
        <w:t>款所定亡故退休人員因身心障礙且無工作能力之未再婚配偶，或因身心障礙且無工作能力之子女，應符合法定重度以上身心障礙資格領有身心障礙手冊或證明，或受監護宣告尚未撤銷，並每年度出具前一年度年終所得申報資料，證明其平均每月所得未超過法定基本工資。第</w:t>
      </w:r>
      <w:r w:rsidRPr="0075494B">
        <w:rPr>
          <w:rFonts w:hAnsi="標楷體" w:hint="eastAsia"/>
        </w:rPr>
        <w:t>1</w:t>
      </w:r>
      <w:r w:rsidRPr="0075494B">
        <w:rPr>
          <w:rFonts w:hAnsi="標楷體"/>
        </w:rPr>
        <w:t>項各款所定遺族領有依本法或其他法令規定核給之退休金、撫卹金、優存利息或其他由政府預算、公營事業機構支給相當於退離給與之定期性給付者，不得擇領遺屬年金。但遺族選擇放棄本人應領之定期給與並經原發給定期給與之權責機關同意者，不在此限。亡故退休人員遺族依第一項規定擇領遺屬年金後，有死亡或其他法定喪失遺屬年金原因，</w:t>
      </w:r>
      <w:proofErr w:type="gramStart"/>
      <w:r w:rsidRPr="0075494B">
        <w:rPr>
          <w:rFonts w:hAnsi="標楷體"/>
        </w:rPr>
        <w:t>致應終止</w:t>
      </w:r>
      <w:proofErr w:type="gramEnd"/>
      <w:r w:rsidRPr="0075494B">
        <w:rPr>
          <w:rFonts w:hAnsi="標楷體"/>
        </w:rPr>
        <w:t>領受遺屬年金時，應依前條規定計算亡故退休人員應領之一次退休金，扣除其與遺族已領之月退休金及遺屬年金後，若有餘額，由其餘遺族，按第</w:t>
      </w:r>
      <w:r w:rsidRPr="0075494B">
        <w:rPr>
          <w:rFonts w:hAnsi="標楷體" w:hint="eastAsia"/>
        </w:rPr>
        <w:t>43</w:t>
      </w:r>
      <w:r w:rsidRPr="0075494B">
        <w:rPr>
          <w:rFonts w:hAnsi="標楷體"/>
        </w:rPr>
        <w:t>條規定之順序及比率領受之。」</w:t>
      </w:r>
    </w:p>
  </w:footnote>
  <w:footnote w:id="2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proofErr w:type="gramStart"/>
      <w:r w:rsidRPr="0075494B">
        <w:rPr>
          <w:rFonts w:hAnsi="標楷體"/>
        </w:rPr>
        <w:t>the</w:t>
      </w:r>
      <w:proofErr w:type="gramEnd"/>
      <w:r w:rsidRPr="0075494B">
        <w:rPr>
          <w:rFonts w:hAnsi="標楷體"/>
        </w:rPr>
        <w:t xml:space="preserve"> law is a ass--a idiot. If that's the eye of the law, the law is a bachelor; and the worst I wish the law is, that his eye may be opened by experience--by experience."Charles Dickens</w:t>
      </w:r>
      <w:proofErr w:type="gramStart"/>
      <w:r w:rsidRPr="0075494B">
        <w:rPr>
          <w:rFonts w:hAnsi="標楷體"/>
        </w:rPr>
        <w:t>’</w:t>
      </w:r>
      <w:proofErr w:type="gramEnd"/>
      <w:r w:rsidRPr="0075494B">
        <w:rPr>
          <w:rFonts w:hAnsi="標楷體"/>
        </w:rPr>
        <w:t xml:space="preserve"> Oliver Twist.引自查爾斯</w:t>
      </w:r>
      <w:proofErr w:type="gramStart"/>
      <w:r w:rsidRPr="0075494B">
        <w:rPr>
          <w:rFonts w:hAnsi="標楷體"/>
        </w:rPr>
        <w:t>·</w:t>
      </w:r>
      <w:proofErr w:type="gramEnd"/>
      <w:r w:rsidRPr="0075494B">
        <w:rPr>
          <w:rFonts w:hAnsi="標楷體"/>
        </w:rPr>
        <w:t>狄更斯，</w:t>
      </w:r>
      <w:proofErr w:type="gramStart"/>
      <w:r w:rsidRPr="0075494B">
        <w:rPr>
          <w:rFonts w:hAnsi="標楷體"/>
        </w:rPr>
        <w:t>孤</w:t>
      </w:r>
      <w:r w:rsidRPr="0075494B">
        <w:rPr>
          <w:rFonts w:hAnsi="標楷體" w:hint="eastAsia"/>
        </w:rPr>
        <w:t>雛</w:t>
      </w:r>
      <w:r w:rsidRPr="0075494B">
        <w:rPr>
          <w:rFonts w:hAnsi="標楷體"/>
        </w:rPr>
        <w:t>淚</w:t>
      </w:r>
      <w:proofErr w:type="gramEnd"/>
      <w:r w:rsidRPr="0075494B">
        <w:rPr>
          <w:rFonts w:hAnsi="標楷體"/>
        </w:rPr>
        <w:t>。</w:t>
      </w:r>
    </w:p>
  </w:footnote>
  <w:footnote w:id="2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詳見考試院</w:t>
      </w:r>
      <w:proofErr w:type="gramStart"/>
      <w:r w:rsidRPr="0075494B">
        <w:rPr>
          <w:rFonts w:hAnsi="標楷體"/>
        </w:rPr>
        <w:t>105</w:t>
      </w:r>
      <w:proofErr w:type="gramEnd"/>
      <w:r w:rsidRPr="0075494B">
        <w:rPr>
          <w:rFonts w:hAnsi="標楷體"/>
        </w:rPr>
        <w:t>年度考</w:t>
      </w:r>
      <w:proofErr w:type="gramStart"/>
      <w:r w:rsidRPr="0075494B">
        <w:rPr>
          <w:rFonts w:hAnsi="標楷體"/>
        </w:rPr>
        <w:t>銓</w:t>
      </w:r>
      <w:proofErr w:type="gramEnd"/>
      <w:r w:rsidRPr="0075494B">
        <w:rPr>
          <w:rFonts w:hAnsi="標楷體"/>
        </w:rPr>
        <w:t>業務國外考察美國考察團考察報告及銓敘部先進國家公務人員退撫制度之研究(民98)委託研究報告。</w:t>
      </w:r>
    </w:p>
  </w:footnote>
  <w:footnote w:id="2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詳見銓敘部先進國家公務人員退撫制度之研究(民98)委託研究報告。</w:t>
      </w:r>
    </w:p>
  </w:footnote>
  <w:footnote w:id="2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詳見考試院</w:t>
      </w:r>
      <w:proofErr w:type="gramStart"/>
      <w:r w:rsidRPr="0075494B">
        <w:rPr>
          <w:rFonts w:hAnsi="標楷體"/>
        </w:rPr>
        <w:t>104</w:t>
      </w:r>
      <w:proofErr w:type="gramEnd"/>
      <w:r w:rsidRPr="0075494B">
        <w:rPr>
          <w:rFonts w:hAnsi="標楷體"/>
        </w:rPr>
        <w:t>年度考</w:t>
      </w:r>
      <w:proofErr w:type="gramStart"/>
      <w:r w:rsidRPr="0075494B">
        <w:rPr>
          <w:rFonts w:hAnsi="標楷體"/>
        </w:rPr>
        <w:t>銓</w:t>
      </w:r>
      <w:proofErr w:type="gramEnd"/>
      <w:r w:rsidRPr="0075494B">
        <w:rPr>
          <w:rFonts w:hAnsi="標楷體"/>
        </w:rPr>
        <w:t>業務德國考察團報告。</w:t>
      </w:r>
    </w:p>
  </w:footnote>
  <w:footnote w:id="2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「隨收隨付</w:t>
      </w:r>
      <w:proofErr w:type="gramStart"/>
      <w:r w:rsidRPr="0075494B">
        <w:rPr>
          <w:rFonts w:hAnsi="標楷體" w:hint="eastAsia"/>
        </w:rPr>
        <w:t>的賦課制度</w:t>
      </w:r>
      <w:proofErr w:type="gramEnd"/>
      <w:r w:rsidRPr="0075494B">
        <w:rPr>
          <w:rFonts w:hAnsi="標楷體"/>
        </w:rPr>
        <w:t>(Pay-as-you-go System)</w:t>
      </w:r>
      <w:r w:rsidRPr="0075494B">
        <w:rPr>
          <w:rFonts w:hAnsi="標楷體" w:hint="eastAsia"/>
        </w:rPr>
        <w:t>」，係指公務員的退休金由政府逐年編列預算，並以隨收隨付的稅收機制，為當年度退休的公務人員籌措退休給與。其立法最早於</w:t>
      </w:r>
      <w:r w:rsidRPr="0075494B">
        <w:rPr>
          <w:rFonts w:hAnsi="標楷體"/>
        </w:rPr>
        <w:t>1873</w:t>
      </w:r>
      <w:r w:rsidRPr="0075494B">
        <w:rPr>
          <w:rFonts w:hAnsi="標楷體" w:hint="eastAsia"/>
        </w:rPr>
        <w:t>年的帝國公務員法</w:t>
      </w:r>
      <w:r w:rsidRPr="0075494B">
        <w:rPr>
          <w:rFonts w:hAnsi="標楷體"/>
        </w:rPr>
        <w:t>(Reichsbeamtengesetz)</w:t>
      </w:r>
      <w:r w:rsidRPr="0075494B">
        <w:rPr>
          <w:rFonts w:hAnsi="標楷體" w:hint="eastAsia"/>
        </w:rPr>
        <w:t>正式確立，直接將當期所收取的資金付與退休人員作為退休金支付財源的一種制度，其中間無進一步的資產分配、投資及移轉的過程。因為公務員法律地位為終身職，國家有義務保障其生活，其給付</w:t>
      </w:r>
      <w:proofErr w:type="gramStart"/>
      <w:r w:rsidRPr="0075494B">
        <w:rPr>
          <w:rFonts w:hAnsi="標楷體" w:hint="eastAsia"/>
        </w:rPr>
        <w:t>條件均較其他</w:t>
      </w:r>
      <w:proofErr w:type="gramEnd"/>
      <w:r w:rsidRPr="0075494B">
        <w:rPr>
          <w:rFonts w:hAnsi="標楷體" w:hint="eastAsia"/>
        </w:rPr>
        <w:t>年金保險的給付優渥。</w:t>
      </w:r>
      <w:proofErr w:type="gramStart"/>
      <w:r w:rsidRPr="0075494B">
        <w:rPr>
          <w:rFonts w:hAnsi="標楷體" w:hint="eastAsia"/>
        </w:rPr>
        <w:t>揆</w:t>
      </w:r>
      <w:proofErr w:type="gramEnd"/>
      <w:r w:rsidRPr="0075494B">
        <w:rPr>
          <w:rFonts w:hAnsi="標楷體" w:hint="eastAsia"/>
        </w:rPr>
        <w:t>其立法理由主要為下列</w:t>
      </w:r>
      <w:r w:rsidRPr="0075494B">
        <w:rPr>
          <w:rFonts w:hAnsi="標楷體"/>
        </w:rPr>
        <w:t>2</w:t>
      </w:r>
      <w:r w:rsidRPr="0075494B">
        <w:rPr>
          <w:rFonts w:hAnsi="標楷體" w:hint="eastAsia"/>
        </w:rPr>
        <w:t>點：</w:t>
      </w:r>
      <w:r w:rsidRPr="0075494B">
        <w:rPr>
          <w:rFonts w:hAnsi="標楷體"/>
        </w:rPr>
        <w:t>1.</w:t>
      </w:r>
      <w:r w:rsidRPr="0075494B">
        <w:rPr>
          <w:rFonts w:hAnsi="標楷體" w:hint="eastAsia"/>
        </w:rPr>
        <w:t>世界二次大戰後，公務人員薪資普遍較私人企業低</w:t>
      </w:r>
      <w:r w:rsidRPr="0075494B">
        <w:rPr>
          <w:rFonts w:hAnsi="標楷體"/>
        </w:rPr>
        <w:t>20</w:t>
      </w:r>
      <w:r w:rsidRPr="0075494B">
        <w:rPr>
          <w:rFonts w:hAnsi="標楷體" w:hint="eastAsia"/>
        </w:rPr>
        <w:t>％，故給予優厚退休金（現今公務人員待遇仍低於私人企業）。</w:t>
      </w:r>
      <w:r w:rsidRPr="0075494B">
        <w:rPr>
          <w:rFonts w:hAnsi="標楷體"/>
        </w:rPr>
        <w:t>2.</w:t>
      </w:r>
      <w:r w:rsidRPr="0075494B">
        <w:rPr>
          <w:rFonts w:hAnsi="標楷體" w:hint="eastAsia"/>
        </w:rPr>
        <w:t>公務員負忠誠義務並具終身職法律地位，故國家應給予養老之生活保障（在</w:t>
      </w:r>
      <w:r w:rsidRPr="0075494B">
        <w:rPr>
          <w:rFonts w:hAnsi="標楷體"/>
        </w:rPr>
        <w:t>1923</w:t>
      </w:r>
      <w:r w:rsidRPr="0075494B">
        <w:rPr>
          <w:rFonts w:hAnsi="標楷體" w:hint="eastAsia"/>
        </w:rPr>
        <w:t>年德國憲法即明定聯邦政府應負公務員退休、撫</w:t>
      </w:r>
      <w:proofErr w:type="gramStart"/>
      <w:r w:rsidRPr="0075494B">
        <w:rPr>
          <w:rFonts w:hAnsi="標楷體" w:hint="eastAsia"/>
        </w:rPr>
        <w:t>卹</w:t>
      </w:r>
      <w:proofErr w:type="gramEnd"/>
      <w:r w:rsidRPr="0075494B">
        <w:rPr>
          <w:rFonts w:hAnsi="標楷體" w:hint="eastAsia"/>
        </w:rPr>
        <w:t>及贍養責任，基於上述憲定原則，德國公務員並無自負退休金義務，否則即屬違憲，故恩給制不可能改變）。</w:t>
      </w:r>
      <w:r w:rsidRPr="0075494B">
        <w:rPr>
          <w:rFonts w:hAnsi="標楷體"/>
        </w:rPr>
        <w:t xml:space="preserve">3. </w:t>
      </w:r>
      <w:r w:rsidRPr="0075494B">
        <w:rPr>
          <w:rFonts w:hAnsi="標楷體" w:hint="eastAsia"/>
        </w:rPr>
        <w:t>另其退休制度依照前述二類公務員分別適用不同制度，其中具主權職能之職員適用公務人員退休金制度（</w:t>
      </w:r>
      <w:r w:rsidRPr="0075494B">
        <w:rPr>
          <w:rFonts w:hAnsi="標楷體"/>
        </w:rPr>
        <w:t>Beamtenversorgung</w:t>
      </w:r>
      <w:r w:rsidRPr="0075494B">
        <w:rPr>
          <w:rFonts w:hAnsi="標楷體" w:hint="eastAsia"/>
        </w:rPr>
        <w:t>）；其他技術類人員適用養老金制度（</w:t>
      </w:r>
      <w:r w:rsidRPr="0075494B">
        <w:rPr>
          <w:rFonts w:hAnsi="標楷體"/>
        </w:rPr>
        <w:t>Rentenversicherung</w:t>
      </w:r>
      <w:r w:rsidRPr="0075494B">
        <w:rPr>
          <w:rFonts w:hAnsi="標楷體" w:hint="eastAsia"/>
        </w:rPr>
        <w:t>）。詳見銓敘部，</w:t>
      </w:r>
      <w:proofErr w:type="gramStart"/>
      <w:r w:rsidRPr="0075494B">
        <w:rPr>
          <w:rFonts w:hAnsi="標楷體"/>
        </w:rPr>
        <w:t>102</w:t>
      </w:r>
      <w:proofErr w:type="gramEnd"/>
      <w:r w:rsidRPr="0075494B">
        <w:rPr>
          <w:rFonts w:hAnsi="標楷體" w:hint="eastAsia"/>
        </w:rPr>
        <w:t>年度</w:t>
      </w:r>
      <w:proofErr w:type="gramStart"/>
      <w:r w:rsidRPr="0075494B">
        <w:rPr>
          <w:rFonts w:hAnsi="標楷體" w:hint="eastAsia"/>
        </w:rPr>
        <w:t>德盛安聯</w:t>
      </w:r>
      <w:proofErr w:type="gramEnd"/>
      <w:r w:rsidRPr="0075494B">
        <w:rPr>
          <w:rFonts w:hAnsi="標楷體" w:hint="eastAsia"/>
        </w:rPr>
        <w:t>全球資產管理公司、</w:t>
      </w:r>
      <w:proofErr w:type="gramStart"/>
      <w:r w:rsidRPr="0075494B">
        <w:rPr>
          <w:rFonts w:hAnsi="標楷體" w:hint="eastAsia"/>
        </w:rPr>
        <w:t>景順德國資產管理公司</w:t>
      </w:r>
      <w:proofErr w:type="gramEnd"/>
      <w:r w:rsidRPr="0075494B">
        <w:rPr>
          <w:rFonts w:hAnsi="標楷體" w:hint="eastAsia"/>
        </w:rPr>
        <w:t>暨德國法蘭克福、黑森邦政府公務人員人事及退休等相關法制訪察報告。</w:t>
      </w:r>
    </w:p>
  </w:footnote>
  <w:footnote w:id="2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正如盧梭的社會契約論所稱，社會秩序為權利提供神聖權利</w:t>
      </w:r>
      <w:r w:rsidRPr="0075494B">
        <w:rPr>
          <w:rFonts w:hAnsi="標楷體" w:hint="eastAsia"/>
        </w:rPr>
        <w:t>，</w:t>
      </w:r>
      <w:r w:rsidRPr="0075494B">
        <w:rPr>
          <w:rFonts w:hAnsi="標楷體"/>
        </w:rPr>
        <w:t>秩序並非來源於自然。家庭是最古老和自然的社會形態</w:t>
      </w:r>
      <w:r w:rsidRPr="0075494B">
        <w:rPr>
          <w:rFonts w:hAnsi="標楷體" w:hint="eastAsia"/>
        </w:rPr>
        <w:t>，家庭</w:t>
      </w:r>
      <w:r w:rsidRPr="0075494B">
        <w:rPr>
          <w:rFonts w:hAnsi="標楷體"/>
        </w:rPr>
        <w:t>與能夠自立的子女之間的聯繫，有必要用一系列約定來維繫。</w:t>
      </w:r>
      <w:r w:rsidRPr="0075494B">
        <w:rPr>
          <w:rFonts w:hAnsi="標楷體" w:hint="eastAsia"/>
        </w:rPr>
        <w:t>亞理斯</w:t>
      </w:r>
      <w:r w:rsidRPr="0075494B">
        <w:rPr>
          <w:rFonts w:hAnsi="標楷體"/>
        </w:rPr>
        <w:t>多德認為人與人之間存在奴役和統治是天然，</w:t>
      </w:r>
      <w:r w:rsidRPr="0075494B">
        <w:rPr>
          <w:rFonts w:hAnsi="標楷體" w:hint="eastAsia"/>
        </w:rPr>
        <w:t>其</w:t>
      </w:r>
      <w:r w:rsidRPr="0075494B">
        <w:rPr>
          <w:rFonts w:hAnsi="標楷體"/>
        </w:rPr>
        <w:t>混淆</w:t>
      </w:r>
      <w:r w:rsidRPr="0075494B">
        <w:rPr>
          <w:rFonts w:hAnsi="標楷體" w:hint="eastAsia"/>
        </w:rPr>
        <w:t>因果關係</w:t>
      </w:r>
      <w:r w:rsidRPr="0075494B">
        <w:rPr>
          <w:rFonts w:hAnsi="標楷體"/>
        </w:rPr>
        <w:t>；</w:t>
      </w:r>
      <w:r w:rsidRPr="0075494B">
        <w:rPr>
          <w:rFonts w:hAnsi="標楷體" w:hint="eastAsia"/>
        </w:rPr>
        <w:t>若</w:t>
      </w:r>
      <w:r w:rsidRPr="0075494B">
        <w:rPr>
          <w:rFonts w:hAnsi="標楷體"/>
        </w:rPr>
        <w:t>有人天生為奴，那麼一定是因為有反自然的奴隸制度存在為先。社會秩序不可</w:t>
      </w:r>
      <w:r w:rsidRPr="0075494B">
        <w:rPr>
          <w:rFonts w:hAnsi="標楷體" w:hint="eastAsia"/>
        </w:rPr>
        <w:t>能</w:t>
      </w:r>
      <w:r w:rsidRPr="0075494B">
        <w:rPr>
          <w:rFonts w:hAnsi="標楷體"/>
        </w:rPr>
        <w:t>建立</w:t>
      </w:r>
      <w:r w:rsidRPr="0075494B">
        <w:rPr>
          <w:rFonts w:hAnsi="標楷體" w:hint="eastAsia"/>
        </w:rPr>
        <w:t>於暴力</w:t>
      </w:r>
      <w:r w:rsidRPr="0075494B">
        <w:rPr>
          <w:rFonts w:hAnsi="標楷體"/>
        </w:rPr>
        <w:t>基礎，因為</w:t>
      </w:r>
      <w:proofErr w:type="gramStart"/>
      <w:r w:rsidRPr="0075494B">
        <w:rPr>
          <w:rFonts w:hAnsi="標楷體"/>
        </w:rPr>
        <w:t>最</w:t>
      </w:r>
      <w:proofErr w:type="gramEnd"/>
      <w:r w:rsidRPr="0075494B">
        <w:rPr>
          <w:rFonts w:hAnsi="標楷體"/>
        </w:rPr>
        <w:t>強者無法一直保持霸權，除非他能把強力轉化為權利，把服從轉化為義務。在那種情形下，權利與強力就要互換位置。如果必須要用強力使人服從，人們就無須根據義務服從；</w:t>
      </w:r>
      <w:r w:rsidRPr="0075494B">
        <w:rPr>
          <w:rFonts w:hAnsi="標楷體" w:hint="eastAsia"/>
        </w:rPr>
        <w:t>因此</w:t>
      </w:r>
      <w:r w:rsidRPr="0075494B">
        <w:rPr>
          <w:rFonts w:hAnsi="標楷體"/>
        </w:rPr>
        <w:t>，只要人們</w:t>
      </w:r>
      <w:proofErr w:type="gramStart"/>
      <w:r w:rsidRPr="0075494B">
        <w:rPr>
          <w:rFonts w:hAnsi="標楷體"/>
        </w:rPr>
        <w:t>不</w:t>
      </w:r>
      <w:proofErr w:type="gramEnd"/>
      <w:r w:rsidRPr="0075494B">
        <w:rPr>
          <w:rFonts w:hAnsi="標楷體"/>
        </w:rPr>
        <w:t>被迫服從時，</w:t>
      </w:r>
      <w:r w:rsidRPr="0075494B">
        <w:rPr>
          <w:rFonts w:hAnsi="標楷體" w:hint="eastAsia"/>
        </w:rPr>
        <w:t>也</w:t>
      </w:r>
      <w:r w:rsidRPr="0075494B">
        <w:rPr>
          <w:rFonts w:hAnsi="標楷體"/>
        </w:rPr>
        <w:t>不</w:t>
      </w:r>
      <w:r w:rsidRPr="0075494B">
        <w:rPr>
          <w:rFonts w:hAnsi="標楷體" w:hint="eastAsia"/>
        </w:rPr>
        <w:t>具有</w:t>
      </w:r>
      <w:r w:rsidRPr="0075494B">
        <w:rPr>
          <w:rFonts w:hAnsi="標楷體"/>
        </w:rPr>
        <w:t>服從的義務。契約是一切合法權威基礎。正如格老秀斯所稱，人民轉讓自身自由權利。轉讓就是奉送或者出賣。但一個使自己作另一個人的奴隸的人並不是奉送自己是出賣自己，是</w:t>
      </w:r>
      <w:proofErr w:type="gramStart"/>
      <w:r w:rsidRPr="0075494B">
        <w:rPr>
          <w:rFonts w:hAnsi="標楷體"/>
        </w:rPr>
        <w:t>為著</w:t>
      </w:r>
      <w:proofErr w:type="gramEnd"/>
      <w:r w:rsidRPr="0075494B">
        <w:rPr>
          <w:rFonts w:hAnsi="標楷體"/>
        </w:rPr>
        <w:t>自己的生活。</w:t>
      </w:r>
      <w:proofErr w:type="gramStart"/>
      <w:r w:rsidRPr="0075494B">
        <w:rPr>
          <w:rFonts w:hAnsi="標楷體"/>
        </w:rPr>
        <w:t>一</w:t>
      </w:r>
      <w:proofErr w:type="gramEnd"/>
      <w:r w:rsidRPr="0075494B">
        <w:rPr>
          <w:rFonts w:hAnsi="標楷體"/>
        </w:rPr>
        <w:t>個人無償地奉送自己，是荒謬的和不可思議的</w:t>
      </w:r>
      <w:r w:rsidRPr="0075494B">
        <w:rPr>
          <w:rFonts w:hAnsi="標楷體" w:hint="eastAsia"/>
        </w:rPr>
        <w:t>，</w:t>
      </w:r>
      <w:r w:rsidRPr="0075494B">
        <w:rPr>
          <w:rFonts w:hAnsi="標楷體"/>
        </w:rPr>
        <w:t>社會秩序來</w:t>
      </w:r>
      <w:r w:rsidRPr="0075494B">
        <w:rPr>
          <w:rFonts w:hAnsi="標楷體" w:hint="eastAsia"/>
        </w:rPr>
        <w:t>自於</w:t>
      </w:r>
      <w:r w:rsidRPr="0075494B">
        <w:rPr>
          <w:rFonts w:hAnsi="標楷體"/>
        </w:rPr>
        <w:t>共同原始、樸素約定。當自然狀態中，生存障礙超過個人所能夠承受的地步，人類就被迫改變生活方式。人類不能產生新力量，而</w:t>
      </w:r>
      <w:r w:rsidRPr="0075494B">
        <w:rPr>
          <w:rFonts w:hAnsi="標楷體" w:hint="eastAsia"/>
        </w:rPr>
        <w:t>僅能「</w:t>
      </w:r>
      <w:r w:rsidRPr="0075494B">
        <w:rPr>
          <w:rFonts w:hAnsi="標楷體"/>
        </w:rPr>
        <w:t>形成力量的總和來克服生存的阻力。」「尋找出一種結合的形式，使能以全部共同的力量來衛護和保障每</w:t>
      </w:r>
      <w:proofErr w:type="gramStart"/>
      <w:r w:rsidRPr="0075494B">
        <w:rPr>
          <w:rFonts w:hAnsi="標楷體"/>
        </w:rPr>
        <w:t>個</w:t>
      </w:r>
      <w:proofErr w:type="gramEnd"/>
      <w:r w:rsidRPr="0075494B">
        <w:rPr>
          <w:rFonts w:hAnsi="標楷體"/>
        </w:rPr>
        <w:t>結合者的人身和財富，並且由於這一結合而使每一個與全體相聯合的個人又只不過是在服從自己本人，並且仍然像以往一樣地自由。」</w:t>
      </w:r>
      <w:r w:rsidRPr="0075494B">
        <w:rPr>
          <w:rFonts w:hAnsi="標楷體" w:hint="eastAsia"/>
        </w:rPr>
        <w:t>其</w:t>
      </w:r>
      <w:r w:rsidRPr="0075494B">
        <w:rPr>
          <w:rFonts w:hAnsi="標楷體"/>
        </w:rPr>
        <w:t>解決</w:t>
      </w:r>
      <w:r w:rsidRPr="0075494B">
        <w:rPr>
          <w:rFonts w:hAnsi="標楷體" w:hint="eastAsia"/>
        </w:rPr>
        <w:t>方式</w:t>
      </w:r>
      <w:r w:rsidRPr="0075494B">
        <w:rPr>
          <w:rFonts w:hAnsi="標楷體"/>
        </w:rPr>
        <w:t>就是形成契約，使每個人都把自身的能力置於「主權者」的指導下。主權者是</w:t>
      </w:r>
      <w:proofErr w:type="gramStart"/>
      <w:r w:rsidRPr="0075494B">
        <w:rPr>
          <w:rFonts w:hAnsi="標楷體"/>
        </w:rPr>
        <w:t>儘</w:t>
      </w:r>
      <w:proofErr w:type="gramEnd"/>
      <w:r w:rsidRPr="0075494B">
        <w:rPr>
          <w:rFonts w:hAnsi="標楷體"/>
        </w:rPr>
        <w:t>可能包括最多社會成員的、道德的與集體的共同體。共同體中的約定對於每一個成員都是平等的。共同體就以這同一</w:t>
      </w:r>
      <w:proofErr w:type="gramStart"/>
      <w:r w:rsidRPr="0075494B">
        <w:rPr>
          <w:rFonts w:hAnsi="標楷體"/>
        </w:rPr>
        <w:t>個</w:t>
      </w:r>
      <w:proofErr w:type="gramEnd"/>
      <w:r w:rsidRPr="0075494B">
        <w:rPr>
          <w:rFonts w:hAnsi="標楷體"/>
        </w:rPr>
        <w:t>行為獲得了它的統一性、它的公共的大我、它的生命和它的意志。共同體可稱為「國家或政治體」，至於結合者就稱為人民；個別地，作為主權權威的參與者，就叫做公民，作為國家法律的服從者，就叫做臣民。有了契約，人類就從自然狀態進入社會狀態，從本能狀態進入道德和公義狀態。人類由於社會契約而喪失的是天然的自由以及對於他所企圖得到的一切東西的無限權利；而他所獲得的，乃是社會的自由以及對於他所享有的一切東西的所有權</w:t>
      </w:r>
      <w:r w:rsidRPr="0075494B">
        <w:rPr>
          <w:rFonts w:hAnsi="標楷體" w:hint="eastAsia"/>
        </w:rPr>
        <w:t>，詳見盧梭，社會契約論，76年3月初版，唐山出版社，第15-38頁</w:t>
      </w:r>
      <w:r w:rsidRPr="0075494B">
        <w:rPr>
          <w:rFonts w:hAnsi="標楷體"/>
        </w:rPr>
        <w:t>。</w:t>
      </w:r>
    </w:p>
  </w:footnote>
  <w:footnote w:id="2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此即勞動基準法第56條第1項規定，應建立勞工之退休制度，強制雇主按月</w:t>
      </w:r>
      <w:proofErr w:type="gramStart"/>
      <w:r w:rsidRPr="0075494B">
        <w:rPr>
          <w:rFonts w:hAnsi="標楷體"/>
        </w:rPr>
        <w:t>提撥</w:t>
      </w:r>
      <w:proofErr w:type="gramEnd"/>
      <w:r w:rsidRPr="0075494B">
        <w:rPr>
          <w:rFonts w:hAnsi="標楷體"/>
        </w:rPr>
        <w:t>勞工退休準備金，專戶存儲，且不得作為讓與、扣押、抵銷或擔保之標的。與勞動報酬或待遇有關之勞動條件，除在勞動關係存續中之薪資給付外，還應包含退休時或退休後之退休給付</w:t>
      </w:r>
      <w:r w:rsidRPr="0075494B">
        <w:rPr>
          <w:rFonts w:hAnsi="標楷體" w:hint="eastAsia"/>
        </w:rPr>
        <w:t>，該專戶</w:t>
      </w:r>
      <w:proofErr w:type="gramStart"/>
      <w:r w:rsidRPr="0075494B">
        <w:rPr>
          <w:rFonts w:hAnsi="標楷體" w:hint="eastAsia"/>
        </w:rPr>
        <w:t>存儲不容許</w:t>
      </w:r>
      <w:proofErr w:type="gramEnd"/>
      <w:r w:rsidRPr="0075494B">
        <w:rPr>
          <w:rFonts w:hAnsi="標楷體" w:hint="eastAsia"/>
        </w:rPr>
        <w:t>雇主任意變動，</w:t>
      </w:r>
      <w:proofErr w:type="gramStart"/>
      <w:r w:rsidRPr="0075494B">
        <w:rPr>
          <w:rFonts w:hAnsi="標楷體" w:hint="eastAsia"/>
        </w:rPr>
        <w:t>基於舉輕以</w:t>
      </w:r>
      <w:proofErr w:type="gramEnd"/>
      <w:r w:rsidRPr="0075494B">
        <w:rPr>
          <w:rFonts w:hAnsi="標楷體" w:hint="eastAsia"/>
        </w:rPr>
        <w:t>明重之法理，國家作為退休給付債務人之一方，本應該足額撥補，遵守契約條款規定，不能任意變動退休給付的勞動條件，此為自明之理</w:t>
      </w:r>
      <w:r w:rsidRPr="0075494B">
        <w:rPr>
          <w:rFonts w:hAnsi="標楷體"/>
        </w:rPr>
        <w:t>。</w:t>
      </w:r>
    </w:p>
  </w:footnote>
  <w:footnote w:id="2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國家應建立｢符合公平、正義的社會秩序｣，國家有義務消除人民經濟上及社會地位的不平等，使國家朝向社會褔利原則的社會福利邁進，國家應保障個人能夠享有符合人性尊嚴的最低生存條件。</w:t>
      </w:r>
    </w:p>
  </w:footnote>
  <w:footnote w:id="2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亦即當公務員退休給付之法令有變更時，不論該法令係屬於強行規定或任意規定，</w:t>
      </w:r>
      <w:proofErr w:type="gramStart"/>
      <w:r w:rsidRPr="0075494B">
        <w:rPr>
          <w:rFonts w:hAnsi="標楷體"/>
        </w:rPr>
        <w:t>均為契約</w:t>
      </w:r>
      <w:proofErr w:type="gramEnd"/>
      <w:r w:rsidRPr="0075494B">
        <w:rPr>
          <w:rFonts w:hAnsi="標楷體"/>
        </w:rPr>
        <w:t>內容之變更。換言之，若契約僅私法契約，當事人非國家機關時，其法令變更或可單純定性為「契約之上位法令」之變更，例如勞動基準法關於勞動契約之退休給付標準的變更。</w:t>
      </w:r>
      <w:proofErr w:type="gramStart"/>
      <w:r w:rsidRPr="0075494B">
        <w:rPr>
          <w:rFonts w:hAnsi="標楷體"/>
        </w:rPr>
        <w:t>惟</w:t>
      </w:r>
      <w:proofErr w:type="gramEnd"/>
      <w:r w:rsidRPr="0075494B">
        <w:rPr>
          <w:rFonts w:hAnsi="標楷體"/>
        </w:rPr>
        <w:t>當事人之一方為國家時，國家因為該契約之當事人，如容許透過變更相關法令，實質改變契約內容，而稱並未違反法律</w:t>
      </w:r>
      <w:proofErr w:type="gramStart"/>
      <w:r w:rsidRPr="0075494B">
        <w:rPr>
          <w:rFonts w:hAnsi="標楷體"/>
        </w:rPr>
        <w:t>不</w:t>
      </w:r>
      <w:proofErr w:type="gramEnd"/>
      <w:r w:rsidRPr="0075494B">
        <w:rPr>
          <w:rFonts w:hAnsi="標楷體"/>
        </w:rPr>
        <w:t>溯及既往原則，並非有理由。</w:t>
      </w:r>
    </w:p>
  </w:footnote>
  <w:footnote w:id="3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公務人員退休法第27條第1項退休金請求權自可行使之日起，因五年間不行使而當然消滅。</w:t>
      </w:r>
    </w:p>
  </w:footnote>
  <w:footnote w:id="3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司法院釋字第 605 號解釋稱：「憲法第18條規定人民有服公職之權利，旨在保障人民有依法令從事於公務，暨由此衍生享有之身分保障、俸給與退休金等權利。公務人員依法銓敘取得之官等</w:t>
      </w:r>
      <w:proofErr w:type="gramStart"/>
      <w:r w:rsidRPr="0075494B">
        <w:rPr>
          <w:rFonts w:hAnsi="標楷體"/>
        </w:rPr>
        <w:t>俸</w:t>
      </w:r>
      <w:proofErr w:type="gramEnd"/>
      <w:r w:rsidRPr="0075494B">
        <w:rPr>
          <w:rFonts w:hAnsi="標楷體"/>
        </w:rPr>
        <w:t>級，基於憲法上服公職之權利，受制度性保障，惟其俸給銓敘權利之取得，係以取得公務人員任用法上之公務人員資格為前提。」足見公務員主觀公權利之取得，係以取得公務人員任用法上之公務人員資格，為構成要件完成。</w:t>
      </w:r>
    </w:p>
  </w:footnote>
  <w:footnote w:id="3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黃茂榮大法官進而稱：1.</w:t>
      </w:r>
      <w:proofErr w:type="gramStart"/>
      <w:r w:rsidRPr="0075494B">
        <w:rPr>
          <w:rFonts w:hAnsi="標楷體"/>
        </w:rPr>
        <w:t>鑑</w:t>
      </w:r>
      <w:proofErr w:type="gramEnd"/>
      <w:r w:rsidRPr="0075494B">
        <w:rPr>
          <w:rFonts w:hAnsi="標楷體"/>
        </w:rPr>
        <w:t>於法律事實有綿延存在的特徵，所以在要件事實之單元的分段上，應考量其有無階段發展的性質。如有，應按其發展階段將綿延之法律事實</w:t>
      </w:r>
      <w:proofErr w:type="gramStart"/>
      <w:r w:rsidRPr="0075494B">
        <w:rPr>
          <w:rFonts w:hAnsi="標楷體"/>
        </w:rPr>
        <w:t>切成前後數個</w:t>
      </w:r>
      <w:proofErr w:type="gramEnd"/>
      <w:r w:rsidRPr="0075494B">
        <w:rPr>
          <w:rFonts w:hAnsi="標楷體"/>
        </w:rPr>
        <w:t>要件事實，分別論斷其與新舊法令在時序上的相對關係。例如公教人員之任用關係雖可能在概念上認為只有一個，但與其待遇有關之要件事實，則有按其年度向將來調整之可能。如</w:t>
      </w:r>
      <w:proofErr w:type="gramStart"/>
      <w:r w:rsidRPr="0075494B">
        <w:rPr>
          <w:rFonts w:hAnsi="標楷體"/>
        </w:rPr>
        <w:t>採</w:t>
      </w:r>
      <w:proofErr w:type="gramEnd"/>
      <w:r w:rsidRPr="0075494B">
        <w:rPr>
          <w:rFonts w:hAnsi="標楷體"/>
        </w:rPr>
        <w:t>此觀點，由一個公教人員的任職關係發生之退休給付債權，可分別按其任職期間存在於新、舊退休給付標準之施行期間的事實，分別適用新、舊不同之退休給付標準。另一種情形是：公教人員在退休要件具備時，未申請自願退休，而在其後來自願或強制退休時，關於退休給付標準之法令如有不利之變更，則顯有分段適用之考量的必要性。然</w:t>
      </w:r>
      <w:proofErr w:type="gramStart"/>
      <w:r w:rsidRPr="0075494B">
        <w:rPr>
          <w:rFonts w:hAnsi="標楷體"/>
        </w:rPr>
        <w:t>鑑</w:t>
      </w:r>
      <w:proofErr w:type="gramEnd"/>
      <w:r w:rsidRPr="0075494B">
        <w:rPr>
          <w:rFonts w:hAnsi="標楷體"/>
        </w:rPr>
        <w:t>於通貨膨脹的常態發展趨勢，除非國家遭遇緊急危難（憲法第23條），其調整原則上只能作有利於公教人員之調整。不利的調整，不可輕易嘗試。否則，民心士氣將會受到難以逆料之衝擊。新訂之法規，原則上不得適用於該法規生效前業已終結之事實或法律關係，是謂禁止法律溯及既往原則。倘新法規所規範之法律關係，跨越新、舊法規施行時期，而構成要件事實於新法規生效施行後始完全實現者，除法規別有規定外，應適用新法規（</w:t>
      </w:r>
      <w:r w:rsidRPr="0075494B">
        <w:rPr>
          <w:rFonts w:hAnsi="標楷體" w:hint="eastAsia"/>
        </w:rPr>
        <w:t>司法</w:t>
      </w:r>
      <w:r w:rsidRPr="0075494B">
        <w:rPr>
          <w:rFonts w:hAnsi="標楷體"/>
        </w:rPr>
        <w:t>院釋字第</w:t>
      </w:r>
      <w:r w:rsidRPr="0075494B">
        <w:rPr>
          <w:rFonts w:hAnsi="標楷體" w:hint="eastAsia"/>
        </w:rPr>
        <w:t>620</w:t>
      </w:r>
      <w:r w:rsidRPr="0075494B">
        <w:rPr>
          <w:rFonts w:hAnsi="標楷體"/>
        </w:rPr>
        <w:t>號解釋參照）。此種情形，係將新法規適用於舊法規施行時期內已發生，且於新法規施行後繼續存在之事實或法律關係，並非新</w:t>
      </w:r>
      <w:proofErr w:type="gramStart"/>
      <w:r w:rsidRPr="0075494B">
        <w:rPr>
          <w:rFonts w:hAnsi="標楷體"/>
        </w:rPr>
        <w:t>法規之溯及</w:t>
      </w:r>
      <w:proofErr w:type="gramEnd"/>
      <w:r w:rsidRPr="0075494B">
        <w:rPr>
          <w:rFonts w:hAnsi="標楷體"/>
        </w:rPr>
        <w:t>適用，</w:t>
      </w:r>
      <w:proofErr w:type="gramStart"/>
      <w:r w:rsidRPr="0075494B">
        <w:rPr>
          <w:rFonts w:hAnsi="標楷體"/>
        </w:rPr>
        <w:t>故縱有</w:t>
      </w:r>
      <w:proofErr w:type="gramEnd"/>
      <w:r w:rsidRPr="0075494B">
        <w:rPr>
          <w:rFonts w:hAnsi="標楷體"/>
        </w:rPr>
        <w:t>減損規範對象既存之有利法律地位或可得預期之利益，無涉禁止法律溯及既往原則。2.退休給付應包含哪些項目及其計算標準，屬於勞動條件的一部分。在勞工之</w:t>
      </w:r>
      <w:proofErr w:type="gramStart"/>
      <w:r w:rsidRPr="0075494B">
        <w:rPr>
          <w:rFonts w:hAnsi="標楷體"/>
        </w:rPr>
        <w:t>僱傭</w:t>
      </w:r>
      <w:proofErr w:type="gramEnd"/>
      <w:r w:rsidRPr="0075494B">
        <w:rPr>
          <w:rFonts w:hAnsi="標楷體"/>
        </w:rPr>
        <w:t>關係或公教人員之任用關係發生時，對於雇主或國家機關與個別勞工或公教人員應已確定，始符合有效意思表示或契約之要件：合法、可能、確定。因此，契約關係內容之不利於一方的變更，應經雙方以契約的方式為之，取得因變更而受不利之一方的同意，以符合由私法自治原則導出之契約原則。將退休給付全部，或將退休給付之給付項目細分為退休金及優惠存款利息的補貼，然後將優惠存款利息的補貼部分，弱化為國家機關在退休給付之外，對於退休公教人員所提供，不具權利地位之恩給或福利性補貼，以模糊退休公教人員之退休給付請求權的權利性法律地位，為國家保留，不需理由，而得隨意變更的權利，可謂巧立名目，不是正確的制度規劃，對於國家之威信極具傷害性。</w:t>
      </w:r>
    </w:p>
  </w:footnote>
  <w:footnote w:id="3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參見林明鏘教授論文「評臺灣2017年公務員退撫制度之改革</w:t>
      </w:r>
      <w:proofErr w:type="gramStart"/>
      <w:r w:rsidRPr="0075494B">
        <w:rPr>
          <w:rFonts w:hAnsi="標楷體"/>
        </w:rPr>
        <w:t>──</w:t>
      </w:r>
      <w:proofErr w:type="gramEnd"/>
      <w:r w:rsidRPr="0075494B">
        <w:rPr>
          <w:rFonts w:hAnsi="標楷體"/>
        </w:rPr>
        <w:t>制度改革與信賴</w:t>
      </w:r>
      <w:proofErr w:type="gramStart"/>
      <w:r w:rsidRPr="0075494B">
        <w:rPr>
          <w:rFonts w:hAnsi="標楷體"/>
        </w:rPr>
        <w:t>保護之衡平</w:t>
      </w:r>
      <w:proofErr w:type="gramEnd"/>
      <w:r w:rsidRPr="0075494B">
        <w:rPr>
          <w:rFonts w:hAnsi="標楷體"/>
        </w:rPr>
        <w:t>」</w:t>
      </w:r>
      <w:proofErr w:type="gramStart"/>
      <w:r w:rsidRPr="0075494B">
        <w:rPr>
          <w:rFonts w:hAnsi="標楷體"/>
        </w:rPr>
        <w:t>（</w:t>
      </w:r>
      <w:proofErr w:type="gramEnd"/>
      <w:r w:rsidRPr="0075494B">
        <w:rPr>
          <w:rFonts w:hAnsi="標楷體"/>
        </w:rPr>
        <w:t>未註明文章發表時間與出處。本論文內容曾於106年6月3日，臺灣行政法學會系列二「2017臺灣年金改革：公務人員」研討會上發表</w:t>
      </w:r>
      <w:proofErr w:type="gramStart"/>
      <w:r w:rsidRPr="0075494B">
        <w:rPr>
          <w:rFonts w:hAnsi="標楷體"/>
        </w:rPr>
        <w:t>）</w:t>
      </w:r>
      <w:proofErr w:type="gramEnd"/>
      <w:r w:rsidRPr="0075494B">
        <w:rPr>
          <w:rFonts w:hAnsi="標楷體" w:hint="eastAsia"/>
        </w:rPr>
        <w:t>。</w:t>
      </w:r>
    </w:p>
  </w:footnote>
  <w:footnote w:id="3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政務官的特性：1、政務官以制定或參與政策為任務。2、政務官不以學歷及考試為資格要件，故無任用資格之限制。3、政務官身分不受法律保障。4、無退休制度之適用。5、懲戒的方式只有撤職及申誡。6、政務官無升遷制度。事務官的定義：指依照既定方針執行之永業性公務員，原則上一般政務官以外之公務員皆屬之。例如：依據「公務人員任用法」所任用之人員。事務官的特性：1、</w:t>
      </w:r>
      <w:proofErr w:type="gramStart"/>
      <w:r w:rsidRPr="0075494B">
        <w:rPr>
          <w:rFonts w:hAnsi="標楷體"/>
        </w:rPr>
        <w:t>事務官係以</w:t>
      </w:r>
      <w:proofErr w:type="gramEnd"/>
      <w:r w:rsidRPr="0075494B">
        <w:rPr>
          <w:rFonts w:hAnsi="標楷體"/>
        </w:rPr>
        <w:t>執行政策為任務。2、多有一定的任用資格限制。3、事務官有身分保障權。4、有退休制度。5、懲戒的方式有撤職、休職、降職、減</w:t>
      </w:r>
      <w:proofErr w:type="gramStart"/>
      <w:r w:rsidRPr="0075494B">
        <w:rPr>
          <w:rFonts w:hAnsi="標楷體"/>
        </w:rPr>
        <w:t>俸</w:t>
      </w:r>
      <w:proofErr w:type="gramEnd"/>
      <w:r w:rsidRPr="0075494B">
        <w:rPr>
          <w:rFonts w:hAnsi="標楷體"/>
        </w:rPr>
        <w:t>、記過及申誡。6、事務官有升遷制度。政務官與事務官之區別實益：1、政務官原則上無任用資格之限制，法律對</w:t>
      </w:r>
      <w:proofErr w:type="gramStart"/>
      <w:r w:rsidRPr="0075494B">
        <w:rPr>
          <w:rFonts w:hAnsi="標楷體"/>
        </w:rPr>
        <w:t>特別</w:t>
      </w:r>
      <w:proofErr w:type="gramEnd"/>
      <w:r w:rsidRPr="0075494B">
        <w:rPr>
          <w:rFonts w:hAnsi="標楷體"/>
        </w:rPr>
        <w:t>職等或普通職等之資格規定皆無適用餘地。2、政務官不適用公務人員退休法之規定，亦無退職年齡或服務年資之限制。3、政務官不適用公務人員考績法上之年度考績及懲處規定，如有懲戒事由，其懲戒方法僅撤職或申誡兩種（參考公務員懲戒法第9條第2項之規定）。4、政務官無任職之保障，得隨時命其去職，但有法定任期者不在此限</w:t>
      </w:r>
      <w:proofErr w:type="gramStart"/>
      <w:r w:rsidRPr="0075494B">
        <w:rPr>
          <w:rFonts w:hAnsi="標楷體"/>
        </w:rPr>
        <w:t>（</w:t>
      </w:r>
      <w:proofErr w:type="gramEnd"/>
      <w:r w:rsidRPr="0075494B">
        <w:rPr>
          <w:rFonts w:hAnsi="標楷體"/>
        </w:rPr>
        <w:t>例如：考試委員及公交易委員會之委員皆有固定任期</w:t>
      </w:r>
      <w:proofErr w:type="gramStart"/>
      <w:r w:rsidRPr="0075494B">
        <w:rPr>
          <w:rFonts w:hAnsi="標楷體"/>
        </w:rPr>
        <w:t>）</w:t>
      </w:r>
      <w:proofErr w:type="gramEnd"/>
      <w:r w:rsidRPr="0075494B">
        <w:rPr>
          <w:rFonts w:hAnsi="標楷體"/>
        </w:rPr>
        <w:t>。詳細說明可參見陳敏，行政法總論第</w:t>
      </w:r>
      <w:r w:rsidRPr="0075494B">
        <w:rPr>
          <w:rFonts w:hAnsi="標楷體" w:hint="eastAsia"/>
        </w:rPr>
        <w:t>3</w:t>
      </w:r>
      <w:r w:rsidRPr="0075494B">
        <w:rPr>
          <w:rFonts w:hAnsi="標楷體"/>
        </w:rPr>
        <w:t>版，</w:t>
      </w:r>
      <w:r w:rsidRPr="0075494B">
        <w:rPr>
          <w:rFonts w:hAnsi="標楷體" w:hint="eastAsia"/>
        </w:rPr>
        <w:t>第</w:t>
      </w:r>
      <w:r w:rsidRPr="0075494B">
        <w:rPr>
          <w:rFonts w:hAnsi="標楷體"/>
        </w:rPr>
        <w:t>1016-1027</w:t>
      </w:r>
      <w:r w:rsidRPr="0075494B">
        <w:rPr>
          <w:rFonts w:hAnsi="標楷體" w:hint="eastAsia"/>
        </w:rPr>
        <w:t>頁</w:t>
      </w:r>
      <w:r w:rsidRPr="0075494B">
        <w:rPr>
          <w:rFonts w:hAnsi="標楷體"/>
        </w:rPr>
        <w:t>，92年1月</w:t>
      </w:r>
      <w:r w:rsidRPr="0075494B">
        <w:rPr>
          <w:rFonts w:hAnsi="標楷體" w:hint="eastAsia"/>
        </w:rPr>
        <w:t>。</w:t>
      </w:r>
    </w:p>
  </w:footnote>
  <w:footnote w:id="3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公務員服務法第1條明定，公務員應遵守誓言，忠心努力，依法律命令所定，執行其職務。</w:t>
      </w:r>
    </w:p>
  </w:footnote>
  <w:footnote w:id="3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公務員服務法第4條明定，公務員有絕對保守政府機關機密之義務，對於機密事件，無論是否主管事務，均不得洩漏，退職後亦同。</w:t>
      </w:r>
    </w:p>
  </w:footnote>
  <w:footnote w:id="3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公務員服務法第7條明定，公務員執行職務，應力求切實，不得畏難規避，互相推諉，或無故</w:t>
      </w:r>
      <w:proofErr w:type="gramStart"/>
      <w:r w:rsidRPr="0075494B">
        <w:rPr>
          <w:rFonts w:hAnsi="標楷體"/>
        </w:rPr>
        <w:t>稽</w:t>
      </w:r>
      <w:proofErr w:type="gramEnd"/>
      <w:r w:rsidRPr="0075494B">
        <w:rPr>
          <w:rFonts w:hAnsi="標楷體"/>
        </w:rPr>
        <w:t>延。</w:t>
      </w:r>
    </w:p>
  </w:footnote>
  <w:footnote w:id="3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公務員服務法第2條及第3條明定，長官就其監督範圍以內所發命令，屬官有服從之義務。但屬官對於長官所發命令，如有意見，得隨時陳述。公務員對於兩級長官同時所發命令，以上級長官之命令為</w:t>
      </w:r>
      <w:proofErr w:type="gramStart"/>
      <w:r w:rsidRPr="0075494B">
        <w:rPr>
          <w:rFonts w:hAnsi="標楷體"/>
        </w:rPr>
        <w:t>準</w:t>
      </w:r>
      <w:proofErr w:type="gramEnd"/>
      <w:r w:rsidRPr="0075494B">
        <w:rPr>
          <w:rFonts w:hAnsi="標楷體"/>
        </w:rPr>
        <w:t>。主管長官與兼管長官同時所發命令，以主管長官之命令為</w:t>
      </w:r>
      <w:proofErr w:type="gramStart"/>
      <w:r w:rsidRPr="0075494B">
        <w:rPr>
          <w:rFonts w:hAnsi="標楷體"/>
        </w:rPr>
        <w:t>準</w:t>
      </w:r>
      <w:proofErr w:type="gramEnd"/>
      <w:r w:rsidRPr="0075494B">
        <w:rPr>
          <w:rFonts w:hAnsi="標楷體"/>
        </w:rPr>
        <w:t>。</w:t>
      </w:r>
    </w:p>
  </w:footnote>
  <w:footnote w:id="3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公務員服務法第5條明定，公務員應誠實清廉，謹慎勤勉，不得有驕恣貪</w:t>
      </w:r>
      <w:proofErr w:type="gramStart"/>
      <w:r w:rsidRPr="0075494B">
        <w:rPr>
          <w:rFonts w:hAnsi="標楷體"/>
        </w:rPr>
        <w:t>惰</w:t>
      </w:r>
      <w:proofErr w:type="gramEnd"/>
      <w:r w:rsidRPr="0075494B">
        <w:rPr>
          <w:rFonts w:hAnsi="標楷體"/>
        </w:rPr>
        <w:t>，奢侈放蕩，及冶遊</w:t>
      </w:r>
      <w:r w:rsidRPr="0075494B">
        <w:rPr>
          <w:rFonts w:hAnsi="標楷體" w:hint="eastAsia"/>
        </w:rPr>
        <w:t>、</w:t>
      </w:r>
      <w:r w:rsidRPr="0075494B">
        <w:rPr>
          <w:rFonts w:hAnsi="標楷體"/>
        </w:rPr>
        <w:t>賭博</w:t>
      </w:r>
      <w:r w:rsidRPr="0075494B">
        <w:rPr>
          <w:rFonts w:hAnsi="標楷體" w:hint="eastAsia"/>
        </w:rPr>
        <w:t>、</w:t>
      </w:r>
      <w:r w:rsidRPr="0075494B">
        <w:rPr>
          <w:rFonts w:hAnsi="標楷體"/>
        </w:rPr>
        <w:t>吸食煙毒等，足以損失名譽之行為。</w:t>
      </w:r>
    </w:p>
  </w:footnote>
  <w:footnote w:id="4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公務員在業餘發展各種技能，回過頭來協助政府革新，應當是值得被鼓勵的。比方說，有公務圈的朋友在業餘去學習資訊技術工具，並且與資訊社群交流，再把這些技術工具帶回到機關，提升組織內部資訊管理的效率。公務員願意自我學習、上級長官願意授權給予嘗試的機會，才有組織內的創新。然而，前述的例子，是屬於比較幸運的案例，大多時候，把新的資訊、概念帶回機關，並不見得會得到上級的重視，所以，心灰意冷之下，利用業餘時間發展自我的公務員，亦不在少數。在此，並不是鼓勵大家把公職當副業，而是要強調，公務員在體制內受到種種約束、無法發揮的情況，是非常令人扼腕的。可嘆的是，在現行公務員服務法之下，公務員連在下班後要好好當個公民，也得左顧右盼，</w:t>
      </w:r>
      <w:proofErr w:type="gramStart"/>
      <w:r w:rsidRPr="0075494B">
        <w:rPr>
          <w:rFonts w:hAnsi="標楷體"/>
        </w:rPr>
        <w:t>深怕踩到</w:t>
      </w:r>
      <w:proofErr w:type="gramEnd"/>
      <w:r w:rsidRPr="0075494B">
        <w:rPr>
          <w:rFonts w:hAnsi="標楷體"/>
        </w:rPr>
        <w:t>灰色地帶。大人物是沒關係，小人物一旦踩線，就得看長官要怎麼詮釋公務員服務法的箇中奧義了。有關係的沒關係，沒關係的，可能就會被主管藉著公務員服務法的詮釋權修理。對於公務員兼職樣態的詮釋，充滿了主觀認定的空間。比方說公務員出書，在現行的解釋函中，「參加出版社所舉辦之促銷活動，如有兼售書籍或從事具商業宣傳之行為，則仍有違公務員服務法第13條規定」，我擔任公職時，曾因為出書，發函請教過銓敘部，何謂從事具商業宣傳之行為？銓敘部回函是，「應由服務機關依前開服務法相關規定本於權責審認之」。這意思是，</w:t>
      </w:r>
      <w:proofErr w:type="gramStart"/>
      <w:r w:rsidRPr="0075494B">
        <w:rPr>
          <w:rFonts w:hAnsi="標楷體"/>
        </w:rPr>
        <w:t>判生判</w:t>
      </w:r>
      <w:proofErr w:type="gramEnd"/>
      <w:r w:rsidRPr="0075494B">
        <w:rPr>
          <w:rFonts w:hAnsi="標楷體"/>
        </w:rPr>
        <w:t>死，存乎機關主管一念之間。白話一點說，如果在機關是個黑人，還是不要以身試法吧！銓敘部是否被點醒了呢？對於公務員服務法第</w:t>
      </w:r>
      <w:r w:rsidRPr="0075494B">
        <w:rPr>
          <w:rFonts w:hAnsi="標楷體" w:hint="eastAsia"/>
        </w:rPr>
        <w:t>13</w:t>
      </w:r>
      <w:r w:rsidRPr="0075494B">
        <w:rPr>
          <w:rFonts w:hAnsi="標楷體"/>
        </w:rPr>
        <w:t>條，對於公務員兼職樣態的解釋函，許多已不適用在新時代，恐怕得重新檢視了。公務員能夠勇於任事、自發提升技能、願意貢獻社會，是值得被鼓勵的。如果，還停留在過去的防弊心態，對於目前需要創新能量來提升競爭力的</w:t>
      </w:r>
      <w:r w:rsidRPr="0075494B">
        <w:rPr>
          <w:rFonts w:hAnsi="標楷體" w:hint="eastAsia"/>
        </w:rPr>
        <w:t>臺</w:t>
      </w:r>
      <w:r w:rsidRPr="0075494B">
        <w:rPr>
          <w:rFonts w:hAnsi="標楷體"/>
        </w:rPr>
        <w:t>灣社會來說，不知還要扼殺多少體制內創新的可能性。見魚</w:t>
      </w:r>
      <w:proofErr w:type="gramStart"/>
      <w:r w:rsidRPr="0075494B">
        <w:rPr>
          <w:rFonts w:hAnsi="標楷體"/>
        </w:rPr>
        <w:t>凱</w:t>
      </w:r>
      <w:proofErr w:type="gramEnd"/>
      <w:r w:rsidRPr="0075494B">
        <w:rPr>
          <w:rFonts w:hAnsi="標楷體"/>
        </w:rPr>
        <w:t>「林氏</w:t>
      </w:r>
      <w:proofErr w:type="gramStart"/>
      <w:r w:rsidRPr="0075494B">
        <w:rPr>
          <w:rFonts w:hAnsi="標楷體"/>
        </w:rPr>
        <w:t>璧</w:t>
      </w:r>
      <w:proofErr w:type="gramEnd"/>
      <w:r w:rsidRPr="0075494B">
        <w:rPr>
          <w:rFonts w:hAnsi="標楷體"/>
        </w:rPr>
        <w:t>遭記過 笨蛋！問題在公務員不在醫生」，信傳媒，3月9日，其為年輕公務員。</w:t>
      </w:r>
    </w:p>
  </w:footnote>
  <w:footnote w:id="4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lang w:eastAsia="ja-JP"/>
        </w:rPr>
        <w:t xml:space="preserve"> </w:t>
      </w:r>
      <w:r w:rsidRPr="0075494B">
        <w:rPr>
          <w:rFonts w:hAnsi="標楷體"/>
          <w:lang w:eastAsia="ja-JP"/>
        </w:rPr>
        <w:t>日本國家公務員法第百一条：職員は、法律又は命令の定める場合を除いては、その勤務時間及び職務上の注意力のすべてをその職責遂行のために用い、政府がなすべき責を有する職務にのみ従事しなければならない。職員は、法律又は命令の定める場合を除いては、官職を兼ねてはならない。職員は、官職を兼ねる場合においても、それに対して給与を受けてはならない</w:t>
      </w:r>
      <w:r w:rsidRPr="0075494B">
        <w:rPr>
          <w:rFonts w:hAnsi="標楷體" w:hint="eastAsia"/>
          <w:lang w:eastAsia="ja-JP"/>
        </w:rPr>
        <w:t>（日本國家公務員法第101條：公務員除法令另有規定外，應於勤務時間專注於公務之執行，不得兼任官職。</w:t>
      </w:r>
      <w:r w:rsidRPr="0075494B">
        <w:rPr>
          <w:rFonts w:hAnsi="標楷體" w:hint="eastAsia"/>
        </w:rPr>
        <w:t>公務員在允許兼任官職之情形，對兼職不得領取給與</w:t>
      </w:r>
      <w:proofErr w:type="gramStart"/>
      <w:r w:rsidRPr="0075494B">
        <w:rPr>
          <w:rFonts w:hAnsi="標楷體" w:hint="eastAsia"/>
        </w:rPr>
        <w:t>）</w:t>
      </w:r>
      <w:proofErr w:type="gramEnd"/>
      <w:r w:rsidRPr="0075494B">
        <w:rPr>
          <w:rFonts w:hAnsi="標楷體"/>
        </w:rPr>
        <w:t>。</w:t>
      </w:r>
    </w:p>
  </w:footnote>
  <w:footnote w:id="4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公務員服務法第5條明定，公務員應誠實清廉，謹慎勤勉，不得有驕恣貪</w:t>
      </w:r>
      <w:proofErr w:type="gramStart"/>
      <w:r w:rsidRPr="0075494B">
        <w:rPr>
          <w:rFonts w:hAnsi="標楷體"/>
        </w:rPr>
        <w:t>惰</w:t>
      </w:r>
      <w:proofErr w:type="gramEnd"/>
      <w:r w:rsidRPr="0075494B">
        <w:rPr>
          <w:rFonts w:hAnsi="標楷體"/>
        </w:rPr>
        <w:t>，奢侈放蕩，及冶遊</w:t>
      </w:r>
      <w:r w:rsidRPr="0075494B">
        <w:rPr>
          <w:rFonts w:hAnsi="標楷體" w:hint="eastAsia"/>
        </w:rPr>
        <w:t>、</w:t>
      </w:r>
      <w:r w:rsidRPr="0075494B">
        <w:rPr>
          <w:rFonts w:hAnsi="標楷體"/>
        </w:rPr>
        <w:t>賭博</w:t>
      </w:r>
      <w:r w:rsidRPr="0075494B">
        <w:rPr>
          <w:rFonts w:hAnsi="標楷體" w:hint="eastAsia"/>
        </w:rPr>
        <w:t>、</w:t>
      </w:r>
      <w:r w:rsidRPr="0075494B">
        <w:rPr>
          <w:rFonts w:hAnsi="標楷體"/>
        </w:rPr>
        <w:t>吸食</w:t>
      </w:r>
      <w:r w:rsidRPr="0075494B">
        <w:rPr>
          <w:rFonts w:hAnsi="標楷體" w:hint="eastAsia"/>
        </w:rPr>
        <w:t>煙</w:t>
      </w:r>
      <w:r w:rsidRPr="0075494B">
        <w:rPr>
          <w:rFonts w:hAnsi="標楷體"/>
        </w:rPr>
        <w:t>毒等，足以損失名譽之行為。</w:t>
      </w:r>
    </w:p>
  </w:footnote>
  <w:footnote w:id="4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公務人員退休法（舊法）第11條：「依第</w:t>
      </w:r>
      <w:r w:rsidRPr="0075494B">
        <w:rPr>
          <w:rFonts w:hAnsi="標楷體" w:hint="eastAsia"/>
        </w:rPr>
        <w:t>4</w:t>
      </w:r>
      <w:r w:rsidRPr="0075494B">
        <w:rPr>
          <w:rFonts w:hAnsi="標楷體"/>
        </w:rPr>
        <w:t>條第</w:t>
      </w:r>
      <w:r w:rsidRPr="0075494B">
        <w:rPr>
          <w:rFonts w:hAnsi="標楷體" w:hint="eastAsia"/>
        </w:rPr>
        <w:t>1</w:t>
      </w:r>
      <w:r w:rsidRPr="0075494B">
        <w:rPr>
          <w:rFonts w:hAnsi="標楷體"/>
        </w:rPr>
        <w:t>項第</w:t>
      </w:r>
      <w:r w:rsidRPr="0075494B">
        <w:rPr>
          <w:rFonts w:hAnsi="標楷體" w:hint="eastAsia"/>
        </w:rPr>
        <w:t>2</w:t>
      </w:r>
      <w:r w:rsidRPr="0075494B">
        <w:rPr>
          <w:rFonts w:hAnsi="標楷體"/>
        </w:rPr>
        <w:t>款辦理退休時，符合下列月</w:t>
      </w:r>
      <w:proofErr w:type="gramStart"/>
      <w:r w:rsidRPr="0075494B">
        <w:rPr>
          <w:rFonts w:hAnsi="標楷體"/>
        </w:rPr>
        <w:t>退休金起支年齡</w:t>
      </w:r>
      <w:proofErr w:type="gramEnd"/>
      <w:r w:rsidRPr="0075494B">
        <w:rPr>
          <w:rFonts w:hAnsi="標楷體"/>
        </w:rPr>
        <w:t>規定者，得擇領或兼領月退休金：一、年滿</w:t>
      </w:r>
      <w:r w:rsidRPr="0075494B">
        <w:rPr>
          <w:rFonts w:hAnsi="標楷體" w:hint="eastAsia"/>
        </w:rPr>
        <w:t>60</w:t>
      </w:r>
      <w:r w:rsidRPr="0075494B">
        <w:rPr>
          <w:rFonts w:hAnsi="標楷體"/>
        </w:rPr>
        <w:t>歲。二、任職年資滿</w:t>
      </w:r>
      <w:r w:rsidRPr="0075494B">
        <w:rPr>
          <w:rFonts w:hAnsi="標楷體" w:hint="eastAsia"/>
        </w:rPr>
        <w:t>30</w:t>
      </w:r>
      <w:r w:rsidRPr="0075494B">
        <w:rPr>
          <w:rFonts w:hAnsi="標楷體"/>
        </w:rPr>
        <w:t>年以上且年滿</w:t>
      </w:r>
      <w:r w:rsidRPr="0075494B">
        <w:rPr>
          <w:rFonts w:hAnsi="標楷體" w:hint="eastAsia"/>
        </w:rPr>
        <w:t>55</w:t>
      </w:r>
      <w:r w:rsidRPr="0075494B">
        <w:rPr>
          <w:rFonts w:hAnsi="標楷體"/>
        </w:rPr>
        <w:t>歲。」</w:t>
      </w:r>
    </w:p>
  </w:footnote>
  <w:footnote w:id="4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公務人員退撫法（新法）第31條第1項：「二、中華民國</w:t>
      </w:r>
      <w:r w:rsidRPr="0075494B">
        <w:rPr>
          <w:rFonts w:hAnsi="標楷體" w:hint="eastAsia"/>
        </w:rPr>
        <w:t>110</w:t>
      </w:r>
      <w:r w:rsidRPr="0075494B">
        <w:rPr>
          <w:rFonts w:hAnsi="標楷體"/>
        </w:rPr>
        <w:t>年退休者，</w:t>
      </w:r>
      <w:proofErr w:type="gramStart"/>
      <w:r w:rsidRPr="0075494B">
        <w:rPr>
          <w:rFonts w:hAnsi="標楷體"/>
        </w:rPr>
        <w:t>應年滿</w:t>
      </w:r>
      <w:proofErr w:type="gramEnd"/>
      <w:r w:rsidRPr="0075494B">
        <w:rPr>
          <w:rFonts w:hAnsi="標楷體" w:hint="eastAsia"/>
        </w:rPr>
        <w:t>60</w:t>
      </w:r>
      <w:r w:rsidRPr="0075494B">
        <w:rPr>
          <w:rFonts w:hAnsi="標楷體"/>
        </w:rPr>
        <w:t>歲，其後每</w:t>
      </w:r>
      <w:r w:rsidRPr="0075494B">
        <w:rPr>
          <w:rFonts w:hAnsi="標楷體" w:hint="eastAsia"/>
        </w:rPr>
        <w:t>1</w:t>
      </w:r>
      <w:r w:rsidRPr="0075494B">
        <w:rPr>
          <w:rFonts w:hAnsi="標楷體"/>
        </w:rPr>
        <w:t>年提高</w:t>
      </w:r>
      <w:r w:rsidRPr="0075494B">
        <w:rPr>
          <w:rFonts w:hAnsi="標楷體" w:hint="eastAsia"/>
        </w:rPr>
        <w:t>1</w:t>
      </w:r>
      <w:r w:rsidRPr="0075494B">
        <w:rPr>
          <w:rFonts w:hAnsi="標楷體"/>
        </w:rPr>
        <w:t>歲，至中華民國</w:t>
      </w:r>
      <w:r w:rsidRPr="0075494B">
        <w:rPr>
          <w:rFonts w:hAnsi="標楷體" w:hint="eastAsia"/>
        </w:rPr>
        <w:t>115</w:t>
      </w:r>
      <w:r w:rsidRPr="0075494B">
        <w:rPr>
          <w:rFonts w:hAnsi="標楷體"/>
        </w:rPr>
        <w:t>年</w:t>
      </w:r>
      <w:r w:rsidRPr="0075494B">
        <w:rPr>
          <w:rFonts w:hAnsi="標楷體" w:hint="eastAsia"/>
        </w:rPr>
        <w:t>1</w:t>
      </w:r>
      <w:r w:rsidRPr="0075494B">
        <w:rPr>
          <w:rFonts w:hAnsi="標楷體"/>
        </w:rPr>
        <w:t>月</w:t>
      </w:r>
      <w:r w:rsidRPr="0075494B">
        <w:rPr>
          <w:rFonts w:hAnsi="標楷體" w:hint="eastAsia"/>
        </w:rPr>
        <w:t>1</w:t>
      </w:r>
      <w:r w:rsidRPr="0075494B">
        <w:rPr>
          <w:rFonts w:hAnsi="標楷體"/>
        </w:rPr>
        <w:t>日以後為</w:t>
      </w:r>
      <w:r w:rsidRPr="0075494B">
        <w:rPr>
          <w:rFonts w:hAnsi="標楷體" w:hint="eastAsia"/>
        </w:rPr>
        <w:t>65</w:t>
      </w:r>
      <w:r w:rsidRPr="0075494B">
        <w:rPr>
          <w:rFonts w:hAnsi="標楷體"/>
        </w:rPr>
        <w:t>歲。」</w:t>
      </w:r>
    </w:p>
  </w:footnote>
  <w:footnote w:id="4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自110年起逐年延後至65歲：以10年過渡期間與85制之10年緩衝期指標數銜接，逐年延後至65歲。過渡期設計如下：</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1.</w:t>
      </w:r>
      <w:r w:rsidRPr="0075494B">
        <w:rPr>
          <w:rFonts w:hAnsi="標楷體"/>
        </w:rPr>
        <w:tab/>
        <w:t>未符合</w:t>
      </w:r>
      <w:proofErr w:type="gramStart"/>
      <w:r w:rsidRPr="0075494B">
        <w:rPr>
          <w:rFonts w:hAnsi="標楷體"/>
        </w:rPr>
        <w:t>法定起支年齡</w:t>
      </w:r>
      <w:proofErr w:type="gramEnd"/>
      <w:r w:rsidRPr="0075494B">
        <w:rPr>
          <w:rFonts w:hAnsi="標楷體"/>
        </w:rPr>
        <w:t>者，可以選擇支領展期或</w:t>
      </w:r>
      <w:proofErr w:type="gramStart"/>
      <w:r w:rsidRPr="0075494B">
        <w:rPr>
          <w:rFonts w:hAnsi="標楷體"/>
        </w:rPr>
        <w:t>減額月退休金</w:t>
      </w:r>
      <w:proofErr w:type="gramEnd"/>
      <w:r w:rsidRPr="0075494B">
        <w:rPr>
          <w:rFonts w:hAnsi="標楷體"/>
        </w:rPr>
        <w:t>並以</w:t>
      </w:r>
      <w:proofErr w:type="gramStart"/>
      <w:r w:rsidRPr="0075494B">
        <w:rPr>
          <w:rFonts w:hAnsi="標楷體"/>
        </w:rPr>
        <w:t>法定起支年齡</w:t>
      </w:r>
      <w:proofErr w:type="gramEnd"/>
      <w:r w:rsidRPr="0075494B">
        <w:rPr>
          <w:rFonts w:hAnsi="標楷體"/>
        </w:rPr>
        <w:t>為計算基準；過渡期間符合指標數者，得退休並立即支領全額月退休金，不須受</w:t>
      </w:r>
      <w:proofErr w:type="gramStart"/>
      <w:r w:rsidRPr="0075494B">
        <w:rPr>
          <w:rFonts w:hAnsi="標楷體"/>
        </w:rPr>
        <w:t>法定起支年齡</w:t>
      </w:r>
      <w:proofErr w:type="gramEnd"/>
      <w:r w:rsidRPr="0075494B">
        <w:rPr>
          <w:rFonts w:hAnsi="標楷體"/>
        </w:rPr>
        <w:t>影響。</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2.</w:t>
      </w:r>
      <w:r w:rsidRPr="0075494B">
        <w:rPr>
          <w:rFonts w:hAnsi="標楷體"/>
        </w:rPr>
        <w:tab/>
        <w:t>前開過渡期間指標數之年齡，在109年以前須年滿50歲；110年以後須年滿55歲；115年以後須年滿60歲。</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3.</w:t>
      </w:r>
      <w:r w:rsidRPr="0075494B">
        <w:rPr>
          <w:rFonts w:hAnsi="標楷體"/>
        </w:rPr>
        <w:tab/>
        <w:t>搭配實施展期及</w:t>
      </w:r>
      <w:proofErr w:type="gramStart"/>
      <w:r w:rsidRPr="0075494B">
        <w:rPr>
          <w:rFonts w:hAnsi="標楷體"/>
        </w:rPr>
        <w:t>減額月退休金</w:t>
      </w:r>
      <w:proofErr w:type="gramEnd"/>
      <w:r w:rsidRPr="0075494B">
        <w:rPr>
          <w:rFonts w:hAnsi="標楷體"/>
        </w:rPr>
        <w:t>（每提前1年，扣減4%，最多提前5年）。</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4.</w:t>
      </w:r>
      <w:r w:rsidRPr="0075494B">
        <w:rPr>
          <w:rFonts w:hAnsi="標楷體"/>
        </w:rPr>
        <w:tab/>
        <w:t>危</w:t>
      </w:r>
      <w:proofErr w:type="gramStart"/>
      <w:r w:rsidRPr="0075494B">
        <w:rPr>
          <w:rFonts w:hAnsi="標楷體"/>
        </w:rPr>
        <w:t>勞</w:t>
      </w:r>
      <w:proofErr w:type="gramEnd"/>
      <w:r w:rsidRPr="0075494B">
        <w:rPr>
          <w:rFonts w:hAnsi="標楷體"/>
        </w:rPr>
        <w:t>職務：維持70制（15年+55歲）。</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5.</w:t>
      </w:r>
      <w:r w:rsidRPr="0075494B">
        <w:rPr>
          <w:rFonts w:hAnsi="標楷體"/>
        </w:rPr>
        <w:tab/>
        <w:t>公務人員任職滿15年，</w:t>
      </w:r>
      <w:proofErr w:type="gramStart"/>
      <w:r w:rsidRPr="0075494B">
        <w:rPr>
          <w:rFonts w:hAnsi="標楷體"/>
        </w:rPr>
        <w:t>達公保半失</w:t>
      </w:r>
      <w:proofErr w:type="gramEnd"/>
      <w:r w:rsidRPr="0075494B">
        <w:rPr>
          <w:rFonts w:hAnsi="標楷體"/>
        </w:rPr>
        <w:t>能、</w:t>
      </w:r>
      <w:proofErr w:type="gramStart"/>
      <w:r w:rsidRPr="0075494B">
        <w:rPr>
          <w:rFonts w:hAnsi="標楷體"/>
        </w:rPr>
        <w:t>身障重度</w:t>
      </w:r>
      <w:proofErr w:type="gramEnd"/>
      <w:r w:rsidRPr="0075494B">
        <w:rPr>
          <w:rFonts w:hAnsi="標楷體"/>
        </w:rPr>
        <w:t>以上、惡性腫瘤末期、安寧緩和醫療條例所稱末期病人及永久重大</w:t>
      </w:r>
      <w:proofErr w:type="gramStart"/>
      <w:r w:rsidRPr="0075494B">
        <w:rPr>
          <w:rFonts w:hAnsi="標楷體"/>
        </w:rPr>
        <w:t>傷病且不能</w:t>
      </w:r>
      <w:proofErr w:type="gramEnd"/>
      <w:r w:rsidRPr="0075494B">
        <w:rPr>
          <w:rFonts w:hAnsi="標楷體"/>
        </w:rPr>
        <w:t>勝任工作者，自願退休月</w:t>
      </w:r>
      <w:proofErr w:type="gramStart"/>
      <w:r w:rsidRPr="0075494B">
        <w:rPr>
          <w:rFonts w:hAnsi="標楷體"/>
        </w:rPr>
        <w:t>退休金起支年齡</w:t>
      </w:r>
      <w:proofErr w:type="gramEnd"/>
      <w:r w:rsidRPr="0075494B">
        <w:rPr>
          <w:rFonts w:hAnsi="標楷體"/>
        </w:rPr>
        <w:t>為55歲。</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6.</w:t>
      </w:r>
      <w:r w:rsidRPr="0075494B">
        <w:rPr>
          <w:rFonts w:hAnsi="標楷體"/>
        </w:rPr>
        <w:tab/>
        <w:t>原住民公務人員自願退休月</w:t>
      </w:r>
      <w:proofErr w:type="gramStart"/>
      <w:r w:rsidRPr="0075494B">
        <w:rPr>
          <w:rFonts w:hAnsi="標楷體"/>
        </w:rPr>
        <w:t>退休金起支年齡</w:t>
      </w:r>
      <w:proofErr w:type="gramEnd"/>
      <w:r w:rsidRPr="0075494B">
        <w:rPr>
          <w:rFonts w:hAnsi="標楷體"/>
        </w:rPr>
        <w:t>及條件規範如下：(1)109年以前，任職滿25年且年滿55歲。（2）110年起逐年加1歲，至115年為任職滿25年且60歲。</w:t>
      </w:r>
    </w:p>
  </w:footnote>
  <w:footnote w:id="4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自由結社權，指雇員有自願團結起來，建立或參加工會等勞工團體的權利。</w:t>
      </w:r>
    </w:p>
  </w:footnote>
  <w:footnote w:id="4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集體談判權，指雇員有通過工會等代表，集體和</w:t>
      </w:r>
      <w:r w:rsidRPr="0075494B">
        <w:rPr>
          <w:rFonts w:hAnsi="標楷體" w:hint="eastAsia"/>
        </w:rPr>
        <w:t>雇</w:t>
      </w:r>
      <w:r w:rsidRPr="0075494B">
        <w:rPr>
          <w:rFonts w:hAnsi="標楷體"/>
        </w:rPr>
        <w:t>主交涉、談判</w:t>
      </w:r>
      <w:proofErr w:type="gramStart"/>
      <w:r w:rsidRPr="0075494B">
        <w:rPr>
          <w:rFonts w:hAnsi="標楷體"/>
        </w:rPr>
        <w:t>僱傭</w:t>
      </w:r>
      <w:proofErr w:type="gramEnd"/>
      <w:r w:rsidRPr="0075494B">
        <w:rPr>
          <w:rFonts w:hAnsi="標楷體"/>
        </w:rPr>
        <w:t>合約的權利。</w:t>
      </w:r>
    </w:p>
  </w:footnote>
  <w:footnote w:id="4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proofErr w:type="gramStart"/>
      <w:r w:rsidRPr="0075494B">
        <w:rPr>
          <w:rFonts w:hAnsi="標楷體"/>
        </w:rPr>
        <w:t>指當和雇主</w:t>
      </w:r>
      <w:proofErr w:type="gramEnd"/>
      <w:r w:rsidRPr="0075494B">
        <w:rPr>
          <w:rFonts w:hAnsi="標楷體"/>
        </w:rPr>
        <w:t>發生爭議的時候，雇員有組織集體行動（包括罷工）抗議而不受雇主懲罰的權利。</w:t>
      </w:r>
    </w:p>
  </w:footnote>
  <w:footnote w:id="4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法國人權宣言（1789年8月20</w:t>
      </w:r>
      <w:r w:rsidRPr="0075494B">
        <w:rPr>
          <w:rFonts w:hAnsi="標楷體" w:hint="eastAsia"/>
        </w:rPr>
        <w:t>日至</w:t>
      </w:r>
      <w:r w:rsidRPr="0075494B">
        <w:rPr>
          <w:rFonts w:hAnsi="標楷體"/>
        </w:rPr>
        <w:t>26日）前言：「組成國民議會之法國人代表認為</w:t>
      </w:r>
      <w:r w:rsidRPr="0075494B">
        <w:rPr>
          <w:rFonts w:hAnsi="標楷體" w:hint="eastAsia"/>
        </w:rPr>
        <w:t>，</w:t>
      </w:r>
      <w:r w:rsidRPr="0075494B">
        <w:rPr>
          <w:rFonts w:hAnsi="標楷體"/>
        </w:rPr>
        <w:t>無視、遺忘或蔑視人權是公眾不幸和政府腐敗的唯一原因，所以決定把自然的、不可剝奪的和神聖的人權闡明於莊嚴的宣言之中，以便本宣言可以經常呈現在社會各個成員之前,使他們不斷地想到他們的權利和義務；以便立法權的決議和行政權的決定能隨時和整個政治機構的目標兩相比較，從而能更加受到他們的尊重；以便公民們今後以簡單而無可爭辯的原則為根據的那些要求能確保憲法與全體幸福之維護。」第</w:t>
      </w:r>
      <w:r w:rsidRPr="0075494B">
        <w:rPr>
          <w:rFonts w:hAnsi="標楷體" w:hint="eastAsia"/>
        </w:rPr>
        <w:t>2</w:t>
      </w:r>
      <w:r w:rsidRPr="0075494B">
        <w:rPr>
          <w:rFonts w:hAnsi="標楷體"/>
        </w:rPr>
        <w:t>條規定：「任何政治結合的目的都在於保存人的自然的和不可動搖的權利。這些權利就是自由、財產、安全和反抗壓迫。」有關反抗壓迫賦予法國人民抵抗權之憲法基礎；德國基本法第1條第1款：「人的尊嚴不可侵犯，尊重它和保護它是政府的責任」。此規定使人的尊嚴成了整個德國憲法體制、國家制度和政府行為的基礎，甚至是德國政府所應奉行的基本國際關係準則。人的尊嚴構成了以人權的出發點，如果不把人當人看，就無所謂人權。所以，緊接著在第2款中規定：「為此，德國人民確認不容侵犯的和不可轉讓的人權是所有人類社會、世界和平與正義的基礎」。在第3款中規定：「下列基本權利有直接法律效力，約束立法、行政和司法」構成所謂人權擁護條款，是則立法者亦不能剝奪，亦構成德國抵抗權基礎之一，該抵抗權內涵，詳見，許宗力，法與國家權力，</w:t>
      </w:r>
      <w:proofErr w:type="gramStart"/>
      <w:r w:rsidRPr="0075494B">
        <w:rPr>
          <w:rFonts w:hAnsi="標楷體"/>
        </w:rPr>
        <w:t>自刊</w:t>
      </w:r>
      <w:proofErr w:type="gramEnd"/>
      <w:r w:rsidRPr="0075494B">
        <w:rPr>
          <w:rFonts w:hAnsi="標楷體"/>
        </w:rPr>
        <w:t>，81年4月，</w:t>
      </w:r>
      <w:r w:rsidRPr="0075494B">
        <w:rPr>
          <w:rFonts w:hAnsi="標楷體" w:hint="eastAsia"/>
        </w:rPr>
        <w:t>第</w:t>
      </w:r>
      <w:r w:rsidRPr="0075494B">
        <w:rPr>
          <w:rFonts w:hAnsi="標楷體"/>
        </w:rPr>
        <w:t>73-166</w:t>
      </w:r>
      <w:r w:rsidRPr="0075494B">
        <w:rPr>
          <w:rFonts w:hAnsi="標楷體" w:hint="eastAsia"/>
        </w:rPr>
        <w:t>頁</w:t>
      </w:r>
      <w:r w:rsidRPr="0075494B">
        <w:rPr>
          <w:rFonts w:hAnsi="標楷體"/>
        </w:rPr>
        <w:t>；陳新民，憲法基本權利之基本理論（下冊），</w:t>
      </w:r>
      <w:proofErr w:type="gramStart"/>
      <w:r w:rsidRPr="0075494B">
        <w:rPr>
          <w:rFonts w:hAnsi="標楷體"/>
        </w:rPr>
        <w:t>自刊</w:t>
      </w:r>
      <w:proofErr w:type="gramEnd"/>
      <w:r w:rsidRPr="0075494B">
        <w:rPr>
          <w:rFonts w:hAnsi="標楷體"/>
        </w:rPr>
        <w:t>，79年1月，</w:t>
      </w:r>
      <w:r w:rsidRPr="0075494B">
        <w:rPr>
          <w:rFonts w:hAnsi="標楷體" w:hint="eastAsia"/>
        </w:rPr>
        <w:t>第</w:t>
      </w:r>
      <w:r w:rsidRPr="0075494B">
        <w:rPr>
          <w:rFonts w:hAnsi="標楷體"/>
        </w:rPr>
        <w:t>1-56</w:t>
      </w:r>
      <w:r w:rsidRPr="0075494B">
        <w:rPr>
          <w:rFonts w:hAnsi="標楷體" w:hint="eastAsia"/>
        </w:rPr>
        <w:t>頁</w:t>
      </w:r>
      <w:r w:rsidRPr="0075494B">
        <w:rPr>
          <w:rFonts w:hAnsi="標楷體"/>
        </w:rPr>
        <w:t>。司法院釋字第574號許玉秀大法官部分協同意見書亦稱，法治國（Rechtsstaat）一詞，是一個德國製的產品，大約形成於19世紀，它的核心概念即是依法而治（rule of law）。追溯該原則的形成歷史，即英國大憲章所揭示拘束貴族人身自由必須依循法定程序的規定，這也是所謂正當程序（due process）的濫觴。所謂法治國，是一種具備權力分立且權力依法運作的國家權力運作模式，規定於德國基本法第20條第2項及第3項。該條第1項規定德國的國家型態，為聯邦國、共和國、民主國及社會國；第2項及第3項則規定國家權力來源以及權力的運作模式；由於權力來自每</w:t>
      </w:r>
      <w:proofErr w:type="gramStart"/>
      <w:r w:rsidRPr="0075494B">
        <w:rPr>
          <w:rFonts w:hAnsi="標楷體"/>
        </w:rPr>
        <w:t>個</w:t>
      </w:r>
      <w:proofErr w:type="gramEnd"/>
      <w:r w:rsidRPr="0075494B">
        <w:rPr>
          <w:rFonts w:hAnsi="標楷體"/>
        </w:rPr>
        <w:t>國民，因此第4項規定國家權力運作偏離權力基礎時，也就是反噬權力來源時，權力來源可以收回權力，這也就是人民的抵抗權。</w:t>
      </w:r>
    </w:p>
  </w:footnote>
  <w:footnote w:id="5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換言之，抵抗權發生之前提，在於司法院大法官屈從其他政治部門而喪失解釋憲法的功能時產生。</w:t>
      </w:r>
    </w:p>
  </w:footnote>
  <w:footnote w:id="5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如司法院釋字第584號解釋有關工作權釋憲案例，以及</w:t>
      </w:r>
      <w:r w:rsidRPr="0075494B">
        <w:rPr>
          <w:rFonts w:hAnsi="標楷體" w:hint="eastAsia"/>
        </w:rPr>
        <w:t>司法院</w:t>
      </w:r>
      <w:r w:rsidRPr="0075494B">
        <w:rPr>
          <w:rFonts w:hAnsi="標楷體"/>
        </w:rPr>
        <w:t>釋字第575號、第583號等與服公職權</w:t>
      </w:r>
      <w:proofErr w:type="gramStart"/>
      <w:r w:rsidRPr="0075494B">
        <w:rPr>
          <w:rFonts w:hAnsi="標楷體"/>
        </w:rPr>
        <w:t>攸</w:t>
      </w:r>
      <w:proofErr w:type="gramEnd"/>
      <w:r w:rsidRPr="0075494B">
        <w:rPr>
          <w:rFonts w:hAnsi="標楷體"/>
        </w:rPr>
        <w:t>關之釋憲案例，由於業已涉及職業選擇自由之限制程度，</w:t>
      </w:r>
      <w:proofErr w:type="gramStart"/>
      <w:r w:rsidRPr="0075494B">
        <w:rPr>
          <w:rFonts w:hAnsi="標楷體"/>
        </w:rPr>
        <w:t>採</w:t>
      </w:r>
      <w:proofErr w:type="gramEnd"/>
      <w:r w:rsidRPr="0075494B">
        <w:rPr>
          <w:rFonts w:hAnsi="標楷體"/>
        </w:rPr>
        <w:t>從嚴審查標準。又如與財產權</w:t>
      </w:r>
      <w:proofErr w:type="gramStart"/>
      <w:r w:rsidRPr="0075494B">
        <w:rPr>
          <w:rFonts w:hAnsi="標楷體"/>
        </w:rPr>
        <w:t>攸</w:t>
      </w:r>
      <w:proofErr w:type="gramEnd"/>
      <w:r w:rsidRPr="0075494B">
        <w:rPr>
          <w:rFonts w:hAnsi="標楷體"/>
        </w:rPr>
        <w:t>關之釋憲案例，如</w:t>
      </w:r>
      <w:r w:rsidRPr="0075494B">
        <w:rPr>
          <w:rFonts w:hAnsi="標楷體" w:hint="eastAsia"/>
        </w:rPr>
        <w:t>司法院</w:t>
      </w:r>
      <w:r w:rsidRPr="0075494B">
        <w:rPr>
          <w:rFonts w:hAnsi="標楷體"/>
        </w:rPr>
        <w:t>釋字第472號、第549號、第560號、第578號、第580號、第596號解釋等，倘若業已涉及最低限度生存權之維繫，亦</w:t>
      </w:r>
      <w:proofErr w:type="gramStart"/>
      <w:r w:rsidRPr="0075494B">
        <w:rPr>
          <w:rFonts w:hAnsi="標楷體"/>
        </w:rPr>
        <w:t>採</w:t>
      </w:r>
      <w:proofErr w:type="gramEnd"/>
      <w:r w:rsidRPr="0075494B">
        <w:rPr>
          <w:rFonts w:hAnsi="標楷體"/>
        </w:rPr>
        <w:t>從嚴審查標準，是則大法官在財產權方面涉及最低限度生存權之維繫與在工作</w:t>
      </w:r>
      <w:proofErr w:type="gramStart"/>
      <w:r w:rsidRPr="0075494B">
        <w:rPr>
          <w:rFonts w:hAnsi="標楷體"/>
        </w:rPr>
        <w:t>權及服公</w:t>
      </w:r>
      <w:proofErr w:type="gramEnd"/>
      <w:r w:rsidRPr="0075494B">
        <w:rPr>
          <w:rFonts w:hAnsi="標楷體"/>
        </w:rPr>
        <w:t>職權方面，涉及職業選擇自由之限制，原則</w:t>
      </w:r>
      <w:proofErr w:type="gramStart"/>
      <w:r w:rsidRPr="0075494B">
        <w:rPr>
          <w:rFonts w:hAnsi="標楷體"/>
        </w:rPr>
        <w:t>採</w:t>
      </w:r>
      <w:proofErr w:type="gramEnd"/>
      <w:r w:rsidRPr="0075494B">
        <w:rPr>
          <w:rFonts w:hAnsi="標楷體"/>
        </w:rPr>
        <w:t>從嚴審查之傾向。</w:t>
      </w:r>
    </w:p>
  </w:footnote>
  <w:footnote w:id="5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最低保障金額標準，主要係參照司法院釋字第280號解釋（認定退休所得如低於「委任第</w:t>
      </w:r>
      <w:r w:rsidRPr="0075494B">
        <w:rPr>
          <w:rFonts w:hAnsi="標楷體" w:hint="eastAsia"/>
        </w:rPr>
        <w:t>1</w:t>
      </w:r>
      <w:r w:rsidRPr="0075494B">
        <w:rPr>
          <w:rFonts w:hAnsi="標楷體"/>
        </w:rPr>
        <w:t>職等本</w:t>
      </w:r>
      <w:proofErr w:type="gramStart"/>
      <w:r w:rsidRPr="0075494B">
        <w:rPr>
          <w:rFonts w:hAnsi="標楷體"/>
        </w:rPr>
        <w:t>俸</w:t>
      </w:r>
      <w:proofErr w:type="gramEnd"/>
      <w:r w:rsidRPr="0075494B">
        <w:rPr>
          <w:rFonts w:hAnsi="標楷體"/>
        </w:rPr>
        <w:t>最高級之本</w:t>
      </w:r>
      <w:proofErr w:type="gramStart"/>
      <w:r w:rsidRPr="0075494B">
        <w:rPr>
          <w:rFonts w:hAnsi="標楷體"/>
        </w:rPr>
        <w:t>俸</w:t>
      </w:r>
      <w:proofErr w:type="gramEnd"/>
      <w:r w:rsidRPr="0075494B">
        <w:rPr>
          <w:rFonts w:hAnsi="標楷體"/>
        </w:rPr>
        <w:t>額及專業加給合計數額」即難以維持退休人員基本生活）訂定。該金額以</w:t>
      </w:r>
      <w:proofErr w:type="gramStart"/>
      <w:r w:rsidRPr="0075494B">
        <w:rPr>
          <w:rFonts w:hAnsi="標楷體"/>
        </w:rPr>
        <w:t>106</w:t>
      </w:r>
      <w:proofErr w:type="gramEnd"/>
      <w:r w:rsidRPr="0075494B">
        <w:rPr>
          <w:rFonts w:hAnsi="標楷體"/>
        </w:rPr>
        <w:t>年度待遇標準計算，委任第1職等本</w:t>
      </w:r>
      <w:proofErr w:type="gramStart"/>
      <w:r w:rsidRPr="0075494B">
        <w:rPr>
          <w:rFonts w:hAnsi="標楷體"/>
        </w:rPr>
        <w:t>俸</w:t>
      </w:r>
      <w:proofErr w:type="gramEnd"/>
      <w:r w:rsidRPr="0075494B">
        <w:rPr>
          <w:rFonts w:hAnsi="標楷體"/>
        </w:rPr>
        <w:t>7級之</w:t>
      </w:r>
      <w:proofErr w:type="gramStart"/>
      <w:r w:rsidRPr="0075494B">
        <w:rPr>
          <w:rFonts w:hAnsi="標楷體"/>
        </w:rPr>
        <w:t>俸</w:t>
      </w:r>
      <w:proofErr w:type="gramEnd"/>
      <w:r w:rsidRPr="0075494B">
        <w:rPr>
          <w:rFonts w:hAnsi="標楷體"/>
        </w:rPr>
        <w:t>額為1萬4,450元；一般公務人員第1職等專業加給金額為1萬7,710元；合計為3萬2,160元。釋字第280號解釋稱：公務人員應盡忠職守，為民服務，國家對於公務人員亦應照顧其生活，於其年老退休時．給予適當之退休年金，以保障其退休後之生活，方符憲法第83條設置國家機關掌理公務人員退休、養老等事項之意旨。退休公務人員退休金優惠存款辦法，係依考試院發布之公務人員退休法施行細則第</w:t>
      </w:r>
      <w:r w:rsidRPr="0075494B">
        <w:rPr>
          <w:rFonts w:hAnsi="標楷體" w:hint="eastAsia"/>
        </w:rPr>
        <w:t>31</w:t>
      </w:r>
      <w:r w:rsidRPr="0075494B">
        <w:rPr>
          <w:rFonts w:hAnsi="標楷體"/>
        </w:rPr>
        <w:t>條規定所訂定，為政府在公務人員待遇未能普遍提高或年金制度未建立前之過渡措施，其目的在鼓勵領取一次退休金之公務人員儲存其退休金，藉適當之利息收入，以維持其生活。</w:t>
      </w:r>
      <w:proofErr w:type="gramStart"/>
      <w:r w:rsidRPr="0075494B">
        <w:rPr>
          <w:rFonts w:hAnsi="標楷體"/>
        </w:rPr>
        <w:t>銓敘部於74年6月12日</w:t>
      </w:r>
      <w:proofErr w:type="gramEnd"/>
      <w:r w:rsidRPr="0075494B">
        <w:rPr>
          <w:rFonts w:hAnsi="標楷體"/>
        </w:rPr>
        <w:t>以(74)</w:t>
      </w:r>
      <w:proofErr w:type="gramStart"/>
      <w:r w:rsidRPr="0075494B">
        <w:rPr>
          <w:rFonts w:hAnsi="標楷體"/>
        </w:rPr>
        <w:t>臺</w:t>
      </w:r>
      <w:proofErr w:type="gramEnd"/>
      <w:r w:rsidRPr="0075494B">
        <w:rPr>
          <w:rFonts w:hAnsi="標楷體"/>
        </w:rPr>
        <w:t>華特三字第22854號函示，退休人員如再任各機關學校約聘僱人員、技工、工友、臨時</w:t>
      </w:r>
      <w:proofErr w:type="gramStart"/>
      <w:r w:rsidRPr="0075494B">
        <w:rPr>
          <w:rFonts w:hAnsi="標楷體"/>
        </w:rPr>
        <w:t>僱</w:t>
      </w:r>
      <w:proofErr w:type="gramEnd"/>
      <w:r w:rsidRPr="0075494B">
        <w:rPr>
          <w:rFonts w:hAnsi="標楷體"/>
        </w:rPr>
        <w:t>工等由</w:t>
      </w:r>
      <w:proofErr w:type="gramStart"/>
      <w:r w:rsidRPr="0075494B">
        <w:rPr>
          <w:rFonts w:hAnsi="標楷體"/>
        </w:rPr>
        <w:t>公庫支給</w:t>
      </w:r>
      <w:proofErr w:type="gramEnd"/>
      <w:r w:rsidRPr="0075494B">
        <w:rPr>
          <w:rFonts w:hAnsi="標楷體"/>
        </w:rPr>
        <w:t>待遇之公職，不得續存優惠存款，係為維護退休制度及避免公庫重複負擔，就通常情形而言，固屬適當。</w:t>
      </w:r>
      <w:proofErr w:type="gramStart"/>
      <w:r w:rsidRPr="0075494B">
        <w:rPr>
          <w:rFonts w:hAnsi="標楷體"/>
        </w:rPr>
        <w:t>惟</w:t>
      </w:r>
      <w:proofErr w:type="gramEnd"/>
      <w:r w:rsidRPr="0075494B">
        <w:rPr>
          <w:rFonts w:hAnsi="標楷體"/>
        </w:rPr>
        <w:t>領取一次退休金之公教人員，再任依契約僱用而由</w:t>
      </w:r>
      <w:proofErr w:type="gramStart"/>
      <w:r w:rsidRPr="0075494B">
        <w:rPr>
          <w:rFonts w:hAnsi="標楷體"/>
        </w:rPr>
        <w:t>公庫支給</w:t>
      </w:r>
      <w:proofErr w:type="gramEnd"/>
      <w:r w:rsidRPr="0075494B">
        <w:rPr>
          <w:rFonts w:hAnsi="標楷體"/>
        </w:rPr>
        <w:t>報酬之編制外員工者，多係基層人員，其原領退休金及養老給付為數較少，早期退休者尤然。若其全部退休金及保險養老給付之優惠存款每月所生利息，不能維持退休公教人員生活，例如低於委任</w:t>
      </w:r>
      <w:r w:rsidRPr="0075494B">
        <w:rPr>
          <w:rFonts w:hAnsi="標楷體" w:hint="eastAsia"/>
        </w:rPr>
        <w:t>1</w:t>
      </w:r>
      <w:r w:rsidRPr="0075494B">
        <w:rPr>
          <w:rFonts w:hAnsi="標楷體"/>
        </w:rPr>
        <w:t>職等</w:t>
      </w:r>
      <w:r w:rsidRPr="0075494B">
        <w:rPr>
          <w:rFonts w:hAnsi="標楷體" w:hint="eastAsia"/>
        </w:rPr>
        <w:t>1</w:t>
      </w:r>
      <w:r w:rsidRPr="0075494B">
        <w:rPr>
          <w:rFonts w:hAnsi="標楷體"/>
        </w:rPr>
        <w:t>級公務人員月俸額者，尚難認為已足以保障其退休後之基本生活，其再任上述約僱員工，所得不多，僅係彌補性質，自不應一律停止其優惠存款，此與非基層人員退休，或再任由</w:t>
      </w:r>
      <w:proofErr w:type="gramStart"/>
      <w:r w:rsidRPr="0075494B">
        <w:rPr>
          <w:rFonts w:hAnsi="標楷體"/>
        </w:rPr>
        <w:t>公庫支給</w:t>
      </w:r>
      <w:proofErr w:type="gramEnd"/>
      <w:r w:rsidRPr="0075494B">
        <w:rPr>
          <w:rFonts w:hAnsi="標楷體"/>
        </w:rPr>
        <w:t>報酬之非約</w:t>
      </w:r>
      <w:proofErr w:type="gramStart"/>
      <w:r w:rsidRPr="0075494B">
        <w:rPr>
          <w:rFonts w:hAnsi="標楷體"/>
        </w:rPr>
        <w:t>僱</w:t>
      </w:r>
      <w:proofErr w:type="gramEnd"/>
      <w:r w:rsidRPr="0075494B">
        <w:rPr>
          <w:rFonts w:hAnsi="標楷體"/>
        </w:rPr>
        <w:t>人員不同，不能相提並論。銓敘</w:t>
      </w:r>
      <w:proofErr w:type="gramStart"/>
      <w:r w:rsidRPr="0075494B">
        <w:rPr>
          <w:rFonts w:hAnsi="標楷體"/>
        </w:rPr>
        <w:t>部前開函</w:t>
      </w:r>
      <w:proofErr w:type="gramEnd"/>
      <w:r w:rsidRPr="0075494B">
        <w:rPr>
          <w:rFonts w:hAnsi="標楷體"/>
        </w:rPr>
        <w:t>釋，與上述意旨不符部分，應停止適用。</w:t>
      </w:r>
    </w:p>
  </w:footnote>
  <w:footnote w:id="53">
    <w:p w:rsidR="00EF4EDE" w:rsidRPr="0075494B" w:rsidRDefault="00EF4EDE" w:rsidP="00EC1E16">
      <w:pPr>
        <w:pStyle w:val="aff"/>
        <w:wordWrap w:val="0"/>
        <w:topLinePunct/>
        <w:autoSpaceDE/>
        <w:autoSpaceDN/>
        <w:ind w:left="242" w:hangingChars="110" w:hanging="242"/>
        <w:jc w:val="both"/>
        <w:rPr>
          <w:rFonts w:hAnsi="標楷體"/>
        </w:rPr>
      </w:pPr>
      <w:r w:rsidRPr="0075494B">
        <w:rPr>
          <w:rStyle w:val="aff1"/>
          <w:rFonts w:hAnsi="標楷體"/>
        </w:rPr>
        <w:footnoteRef/>
      </w:r>
      <w:r w:rsidRPr="0075494B">
        <w:rPr>
          <w:rFonts w:hAnsi="標楷體"/>
        </w:rPr>
        <w:t xml:space="preserve"> 見</w:t>
      </w:r>
      <w:r w:rsidRPr="0075494B">
        <w:rPr>
          <w:rFonts w:hAnsi="標楷體" w:hint="eastAsia"/>
        </w:rPr>
        <w:t>行政院主計總處106年4月27日「104年國富統計結果」新聞稿</w:t>
      </w:r>
      <w:proofErr w:type="gramStart"/>
      <w:r w:rsidRPr="0075494B">
        <w:rPr>
          <w:rFonts w:hAnsi="標楷體" w:hint="eastAsia"/>
        </w:rPr>
        <w:t>（</w:t>
      </w:r>
      <w:proofErr w:type="gramEnd"/>
      <w:r w:rsidRPr="0075494B">
        <w:rPr>
          <w:rFonts w:hAnsi="標楷體" w:hint="eastAsia"/>
        </w:rPr>
        <w:t>網址：</w:t>
      </w:r>
      <w:hyperlink r:id="rId1" w:history="1">
        <w:r w:rsidRPr="0075494B">
          <w:rPr>
            <w:rStyle w:val="af1"/>
            <w:rFonts w:hAnsi="標楷體"/>
            <w:color w:val="auto"/>
            <w:u w:val="none"/>
          </w:rPr>
          <w:t>https://www.stat.gov.tw/public/Attachment/742616228PNHRNIPU.pdf</w:t>
        </w:r>
      </w:hyperlink>
      <w:proofErr w:type="gramStart"/>
      <w:r w:rsidRPr="0075494B">
        <w:rPr>
          <w:rFonts w:hAnsi="標楷體" w:hint="eastAsia"/>
        </w:rPr>
        <w:t>）</w:t>
      </w:r>
      <w:proofErr w:type="gramEnd"/>
      <w:r w:rsidRPr="0075494B">
        <w:rPr>
          <w:rFonts w:hAnsi="標楷體" w:hint="eastAsia"/>
        </w:rPr>
        <w:t>。</w:t>
      </w:r>
    </w:p>
  </w:footnote>
  <w:footnote w:id="5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Joan C. Williams（加州大學法律學特聘教授、哈斯丁基金會主席、加州大學黑斯廷斯法學院工作生活法律中心創始人，著有《白人工作階層：克服美國的無類別無知》（White Working Class: Overcoming Class Cluelessness in America））認為，我們對「中等收入」的定義太寬鬆，社會階級不應該僅從職業類別區分，而係應以收入來決定，其舉例：年收入2</w:t>
      </w:r>
      <w:r w:rsidRPr="0075494B">
        <w:rPr>
          <w:rFonts w:hAnsi="標楷體" w:hint="eastAsia"/>
        </w:rPr>
        <w:t>.2</w:t>
      </w:r>
      <w:r w:rsidRPr="0075494B">
        <w:rPr>
          <w:rFonts w:hAnsi="標楷體"/>
        </w:rPr>
        <w:t>萬美元的遊樂園工人，和一個年收入20萬美元的律師，在美國都會自稱為中產階級，但實際上兩者都不能算是。遊樂園工人年收入是幾乎剛好是2015年全美年收入後30％的中位數</w:t>
      </w:r>
      <w:proofErr w:type="gramStart"/>
      <w:r w:rsidRPr="0075494B">
        <w:rPr>
          <w:rFonts w:hAnsi="標楷體"/>
        </w:rPr>
        <w:t>─</w:t>
      </w:r>
      <w:proofErr w:type="gramEnd"/>
      <w:r w:rsidRPr="0075494B">
        <w:rPr>
          <w:rFonts w:hAnsi="標楷體"/>
        </w:rPr>
        <w:t>2</w:t>
      </w:r>
      <w:r w:rsidRPr="0075494B">
        <w:rPr>
          <w:rFonts w:hAnsi="標楷體" w:hint="eastAsia"/>
        </w:rPr>
        <w:t>2,500</w:t>
      </w:r>
      <w:r w:rsidRPr="0075494B">
        <w:rPr>
          <w:rFonts w:hAnsi="標楷體"/>
        </w:rPr>
        <w:t>美元。而律師則是有錢人，其年收入還是全美前6％，應是專業管理菁英，專業管理菁英收入的中位數在2015年是173,175美元。中等大約50％的美國人既不富有也不貧窮，才是真正的中產階級。哈佛大學學者達達・斯科波爾（Theda Skocpol）把這群人稱為「消失的中產階級」，因為他們經常被我們過度擴張引喻的「中產階級」剝奪。在2015年的年收入中位數75,144</w:t>
      </w:r>
      <w:r w:rsidRPr="0075494B">
        <w:rPr>
          <w:rFonts w:hAnsi="標楷體" w:hint="eastAsia"/>
        </w:rPr>
        <w:t>美</w:t>
      </w:r>
      <w:r w:rsidRPr="0075494B">
        <w:rPr>
          <w:rFonts w:hAnsi="標楷體"/>
        </w:rPr>
        <w:t>元。這個群體中最富裕的成員（第</w:t>
      </w:r>
      <w:r w:rsidRPr="0075494B">
        <w:rPr>
          <w:rFonts w:hAnsi="標楷體" w:hint="eastAsia"/>
        </w:rPr>
        <w:t>九十</w:t>
      </w:r>
      <w:r w:rsidRPr="0075494B">
        <w:rPr>
          <w:rFonts w:hAnsi="標楷體"/>
        </w:rPr>
        <w:t>百分位數）是比如說放射治療師</w:t>
      </w:r>
      <w:proofErr w:type="gramStart"/>
      <w:r w:rsidRPr="0075494B">
        <w:rPr>
          <w:rFonts w:hAnsi="標楷體"/>
        </w:rPr>
        <w:t>（</w:t>
      </w:r>
      <w:proofErr w:type="gramEnd"/>
      <w:r w:rsidRPr="0075494B">
        <w:rPr>
          <w:rFonts w:hAnsi="標楷體"/>
        </w:rPr>
        <w:t>中位數：70,010美元</w:t>
      </w:r>
      <w:proofErr w:type="gramStart"/>
      <w:r w:rsidRPr="0075494B">
        <w:rPr>
          <w:rFonts w:hAnsi="標楷體"/>
        </w:rPr>
        <w:t>）</w:t>
      </w:r>
      <w:proofErr w:type="gramEnd"/>
      <w:r w:rsidRPr="0075494B">
        <w:rPr>
          <w:rFonts w:hAnsi="標楷體"/>
        </w:rPr>
        <w:t>或警察</w:t>
      </w:r>
      <w:proofErr w:type="gramStart"/>
      <w:r w:rsidRPr="0075494B">
        <w:rPr>
          <w:rFonts w:hAnsi="標楷體"/>
        </w:rPr>
        <w:t>（</w:t>
      </w:r>
      <w:proofErr w:type="gramEnd"/>
      <w:r w:rsidRPr="0075494B">
        <w:rPr>
          <w:rFonts w:hAnsi="標楷體"/>
        </w:rPr>
        <w:t>中位數：61,600美元</w:t>
      </w:r>
      <w:proofErr w:type="gramStart"/>
      <w:r w:rsidRPr="0075494B">
        <w:rPr>
          <w:rFonts w:hAnsi="標楷體"/>
        </w:rPr>
        <w:t>）</w:t>
      </w:r>
      <w:proofErr w:type="gramEnd"/>
      <w:r w:rsidRPr="0075494B">
        <w:rPr>
          <w:rFonts w:hAnsi="標楷體"/>
        </w:rPr>
        <w:t>的已婚家庭。詳見律師和勞工都自稱「中等收入」</w:t>
      </w:r>
      <w:proofErr w:type="gramStart"/>
      <w:r w:rsidRPr="0075494B">
        <w:rPr>
          <w:rFonts w:hAnsi="標楷體"/>
        </w:rPr>
        <w:t>—</w:t>
      </w:r>
      <w:proofErr w:type="gramEnd"/>
      <w:r w:rsidRPr="0075494B">
        <w:rPr>
          <w:rFonts w:hAnsi="標楷體"/>
        </w:rPr>
        <w:t>我們有必要重新定義「中產階級」，TIME，2017</w:t>
      </w:r>
      <w:r w:rsidRPr="0075494B">
        <w:rPr>
          <w:rFonts w:hAnsi="標楷體" w:hint="eastAsia"/>
        </w:rPr>
        <w:t>年</w:t>
      </w:r>
      <w:r w:rsidRPr="0075494B">
        <w:rPr>
          <w:rFonts w:hAnsi="標楷體"/>
        </w:rPr>
        <w:t>8</w:t>
      </w:r>
      <w:r w:rsidRPr="0075494B">
        <w:rPr>
          <w:rFonts w:hAnsi="標楷體" w:hint="eastAsia"/>
        </w:rPr>
        <w:t>月</w:t>
      </w:r>
      <w:r w:rsidRPr="0075494B">
        <w:rPr>
          <w:rFonts w:hAnsi="標楷體"/>
        </w:rPr>
        <w:t>28</w:t>
      </w:r>
      <w:r w:rsidRPr="0075494B">
        <w:rPr>
          <w:rFonts w:hAnsi="標楷體" w:hint="eastAsia"/>
        </w:rPr>
        <w:t>日</w:t>
      </w:r>
      <w:r w:rsidRPr="0075494B">
        <w:rPr>
          <w:rFonts w:hAnsi="標楷體"/>
        </w:rPr>
        <w:t>。</w:t>
      </w:r>
    </w:p>
  </w:footnote>
  <w:footnote w:id="5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見105年家庭收支調查結果，行政院主計總處</w:t>
      </w:r>
      <w:proofErr w:type="gramStart"/>
      <w:r w:rsidRPr="0075494B">
        <w:rPr>
          <w:rFonts w:hAnsi="標楷體" w:hint="eastAsia"/>
        </w:rPr>
        <w:t>（</w:t>
      </w:r>
      <w:proofErr w:type="gramEnd"/>
      <w:r w:rsidRPr="0075494B">
        <w:rPr>
          <w:rFonts w:hAnsi="標楷體" w:hint="eastAsia"/>
        </w:rPr>
        <w:t>網址：</w:t>
      </w:r>
      <w:r w:rsidRPr="0075494B">
        <w:rPr>
          <w:rFonts w:hAnsi="標楷體"/>
        </w:rPr>
        <w:t>https://win.dgbas.gov.tw/fies/doc/result/105.pdf</w:t>
      </w:r>
      <w:proofErr w:type="gramStart"/>
      <w:r w:rsidRPr="0075494B">
        <w:rPr>
          <w:rFonts w:hAnsi="標楷體" w:hint="eastAsia"/>
        </w:rPr>
        <w:t>）</w:t>
      </w:r>
      <w:proofErr w:type="gramEnd"/>
      <w:r w:rsidRPr="0075494B">
        <w:rPr>
          <w:rFonts w:hAnsi="標楷體"/>
        </w:rPr>
        <w:t>。</w:t>
      </w:r>
    </w:p>
  </w:footnote>
  <w:footnote w:id="5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香港</w:t>
      </w:r>
      <w:proofErr w:type="gramStart"/>
      <w:r w:rsidRPr="0075494B">
        <w:rPr>
          <w:rFonts w:hAnsi="標楷體"/>
        </w:rPr>
        <w:t>政府華員會</w:t>
      </w:r>
      <w:proofErr w:type="gramEnd"/>
      <w:r w:rsidRPr="0075494B">
        <w:rPr>
          <w:rFonts w:hAnsi="標楷體" w:hint="eastAsia"/>
        </w:rPr>
        <w:t>，「</w:t>
      </w:r>
      <w:r w:rsidRPr="0075494B">
        <w:rPr>
          <w:rFonts w:hAnsi="標楷體"/>
        </w:rPr>
        <w:t>澳門公務員的</w:t>
      </w:r>
      <w:proofErr w:type="gramStart"/>
      <w:r w:rsidRPr="0075494B">
        <w:rPr>
          <w:rFonts w:hAnsi="標楷體" w:hint="eastAsia"/>
        </w:rPr>
        <w:t>薪酬和福利</w:t>
      </w:r>
      <w:proofErr w:type="gramEnd"/>
      <w:r w:rsidRPr="0075494B">
        <w:rPr>
          <w:rFonts w:hAnsi="標楷體" w:hint="eastAsia"/>
        </w:rPr>
        <w:t>制度知多少」</w:t>
      </w:r>
      <w:proofErr w:type="gramStart"/>
      <w:r w:rsidRPr="0075494B">
        <w:rPr>
          <w:rFonts w:hAnsi="標楷體" w:hint="eastAsia"/>
        </w:rPr>
        <w:t>（</w:t>
      </w:r>
      <w:proofErr w:type="gramEnd"/>
      <w:r w:rsidRPr="0075494B">
        <w:rPr>
          <w:rFonts w:hAnsi="標楷體" w:hint="eastAsia"/>
        </w:rPr>
        <w:t>網址：</w:t>
      </w:r>
      <w:r w:rsidRPr="0075494B">
        <w:rPr>
          <w:rFonts w:hAnsi="標楷體"/>
        </w:rPr>
        <w:t>http://www.hkccsa.org/magazine/WYP/221/p11-12.pdf</w:t>
      </w:r>
      <w:proofErr w:type="gramStart"/>
      <w:r w:rsidRPr="0075494B">
        <w:rPr>
          <w:rFonts w:hAnsi="標楷體" w:hint="eastAsia"/>
        </w:rPr>
        <w:t>）</w:t>
      </w:r>
      <w:proofErr w:type="gramEnd"/>
      <w:r w:rsidRPr="0075494B">
        <w:rPr>
          <w:rFonts w:hAnsi="標楷體" w:hint="eastAsia"/>
        </w:rPr>
        <w:t>。</w:t>
      </w:r>
    </w:p>
  </w:footnote>
  <w:footnote w:id="5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行政院人事行政總局(現改制為人事行政總處</w:t>
      </w:r>
      <w:proofErr w:type="gramStart"/>
      <w:r w:rsidRPr="0075494B">
        <w:rPr>
          <w:rFonts w:hAnsi="標楷體"/>
        </w:rPr>
        <w:t>）</w:t>
      </w:r>
      <w:proofErr w:type="gramEnd"/>
      <w:r w:rsidRPr="0075494B">
        <w:rPr>
          <w:rFonts w:hAnsi="標楷體"/>
        </w:rPr>
        <w:t>96年度</w:t>
      </w:r>
      <w:r w:rsidRPr="0075494B">
        <w:rPr>
          <w:rFonts w:hAnsi="標楷體" w:hint="eastAsia"/>
        </w:rPr>
        <w:t>人事</w:t>
      </w:r>
      <w:r w:rsidRPr="0075494B">
        <w:rPr>
          <w:rFonts w:hAnsi="標楷體"/>
        </w:rPr>
        <w:t>人員赴法國、比利時考察人事行政相關業務報告。</w:t>
      </w:r>
    </w:p>
  </w:footnote>
  <w:footnote w:id="5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102年5月16日考試院第11屆第236次會議紀錄委員表示意見：(詹委員中原)再次肯定與感謝部長近來為年金制度之奔波與辛勞，</w:t>
      </w:r>
      <w:proofErr w:type="gramStart"/>
      <w:r w:rsidRPr="0075494B">
        <w:rPr>
          <w:rFonts w:hAnsi="標楷體"/>
        </w:rPr>
        <w:t>謹提幾點</w:t>
      </w:r>
      <w:proofErr w:type="gramEnd"/>
      <w:r w:rsidRPr="0075494B">
        <w:rPr>
          <w:rFonts w:hAnsi="標楷體"/>
        </w:rPr>
        <w:t>意見，</w:t>
      </w:r>
      <w:proofErr w:type="gramStart"/>
      <w:r w:rsidRPr="0075494B">
        <w:rPr>
          <w:rFonts w:hAnsi="標楷體"/>
        </w:rPr>
        <w:t>請部審酌</w:t>
      </w:r>
      <w:proofErr w:type="gramEnd"/>
      <w:r w:rsidRPr="0075494B">
        <w:rPr>
          <w:rFonts w:hAnsi="標楷體"/>
        </w:rPr>
        <w:t>：1.立委建議年金制度改革應思考已退、現職及新進公務人員之間</w:t>
      </w:r>
      <w:proofErr w:type="gramStart"/>
      <w:r w:rsidRPr="0075494B">
        <w:rPr>
          <w:rFonts w:hAnsi="標楷體"/>
        </w:rPr>
        <w:t>之衡平性</w:t>
      </w:r>
      <w:proofErr w:type="gramEnd"/>
      <w:r w:rsidRPr="0075494B">
        <w:rPr>
          <w:rFonts w:hAnsi="標楷體"/>
        </w:rPr>
        <w:t>及世代公平正義一節，第215次會議</w:t>
      </w:r>
      <w:proofErr w:type="gramStart"/>
      <w:r w:rsidRPr="0075494B">
        <w:rPr>
          <w:rFonts w:hAnsi="標楷體"/>
        </w:rPr>
        <w:t>本席曾提醒</w:t>
      </w:r>
      <w:proofErr w:type="gramEnd"/>
      <w:r w:rsidRPr="0075494B">
        <w:rPr>
          <w:rFonts w:hAnsi="標楷體"/>
        </w:rPr>
        <w:t>目前年金制度除考量下一代</w:t>
      </w:r>
      <w:proofErr w:type="gramStart"/>
      <w:r w:rsidRPr="0075494B">
        <w:rPr>
          <w:rFonts w:hAnsi="標楷體"/>
        </w:rPr>
        <w:t>之前映性</w:t>
      </w:r>
      <w:proofErr w:type="gramEnd"/>
      <w:r w:rsidRPr="0075494B">
        <w:rPr>
          <w:rFonts w:hAnsi="標楷體"/>
        </w:rPr>
        <w:t>(forward mapping)世代正義外，對於回應性(backward mapping)之世代正義應更為關注，部對於已退公務人員之回應性、對於已退、現職及新進公務人員三者</w:t>
      </w:r>
      <w:proofErr w:type="gramStart"/>
      <w:r w:rsidRPr="0075494B">
        <w:rPr>
          <w:rFonts w:hAnsi="標楷體"/>
        </w:rPr>
        <w:t>衡平性及</w:t>
      </w:r>
      <w:proofErr w:type="gramEnd"/>
      <w:r w:rsidRPr="0075494B">
        <w:rPr>
          <w:rFonts w:hAnsi="標楷體"/>
        </w:rPr>
        <w:t>世代公平正義之定義為何？2.部報告附件1提及，退撫法草案相關配套措施，訂有「保障弱勢的樓地板」及「避免退休所得過高的天花板」條款一節，近日本院委員實地參訪中部地區機關時，其人事主管同仁依退撫法草案之規定計算，簡任第</w:t>
      </w:r>
      <w:r w:rsidRPr="0075494B">
        <w:rPr>
          <w:rFonts w:hAnsi="標楷體" w:hint="eastAsia"/>
        </w:rPr>
        <w:t>12</w:t>
      </w:r>
      <w:r w:rsidRPr="0075494B">
        <w:rPr>
          <w:rFonts w:hAnsi="標楷體"/>
        </w:rPr>
        <w:t>職等(800</w:t>
      </w:r>
      <w:proofErr w:type="gramStart"/>
      <w:r w:rsidRPr="0075494B">
        <w:rPr>
          <w:rFonts w:hAnsi="標楷體"/>
        </w:rPr>
        <w:t>俸</w:t>
      </w:r>
      <w:proofErr w:type="gramEnd"/>
      <w:r w:rsidRPr="0075494B">
        <w:rPr>
          <w:rFonts w:hAnsi="標楷體"/>
        </w:rPr>
        <w:t>點，年資35年)月退休金可支領71,812元(所得</w:t>
      </w:r>
      <w:r w:rsidRPr="0075494B">
        <w:rPr>
          <w:rFonts w:hAnsi="標楷體" w:hint="eastAsia"/>
        </w:rPr>
        <w:t>替</w:t>
      </w:r>
      <w:r w:rsidRPr="0075494B">
        <w:rPr>
          <w:rFonts w:hAnsi="標楷體"/>
        </w:rPr>
        <w:t>代率61.78％</w:t>
      </w:r>
      <w:proofErr w:type="gramStart"/>
      <w:r w:rsidRPr="0075494B">
        <w:rPr>
          <w:rFonts w:hAnsi="標楷體"/>
        </w:rPr>
        <w:t>）</w:t>
      </w:r>
      <w:proofErr w:type="gramEnd"/>
      <w:r w:rsidRPr="0075494B">
        <w:rPr>
          <w:rFonts w:hAnsi="標楷體"/>
        </w:rPr>
        <w:t>、薦任第</w:t>
      </w:r>
      <w:r w:rsidRPr="0075494B">
        <w:rPr>
          <w:rFonts w:hAnsi="標楷體" w:hint="eastAsia"/>
        </w:rPr>
        <w:t>9</w:t>
      </w:r>
      <w:r w:rsidRPr="0075494B">
        <w:rPr>
          <w:rFonts w:hAnsi="標楷體"/>
        </w:rPr>
        <w:t>職等主管及非主管(710</w:t>
      </w:r>
      <w:proofErr w:type="gramStart"/>
      <w:r w:rsidRPr="0075494B">
        <w:rPr>
          <w:rFonts w:hAnsi="標楷體"/>
        </w:rPr>
        <w:t>俸</w:t>
      </w:r>
      <w:proofErr w:type="gramEnd"/>
      <w:r w:rsidRPr="0075494B">
        <w:rPr>
          <w:rFonts w:hAnsi="標楷體"/>
        </w:rPr>
        <w:t>點，年資35年)同樣支領58,280元(所得替代率分別為71.46％、80％)；委任第</w:t>
      </w:r>
      <w:r w:rsidRPr="0075494B">
        <w:rPr>
          <w:rFonts w:hAnsi="標楷體" w:hint="eastAsia"/>
        </w:rPr>
        <w:t>5</w:t>
      </w:r>
      <w:r w:rsidRPr="0075494B">
        <w:rPr>
          <w:rFonts w:hAnsi="標楷體"/>
        </w:rPr>
        <w:t>職等(520</w:t>
      </w:r>
      <w:proofErr w:type="gramStart"/>
      <w:r w:rsidRPr="0075494B">
        <w:rPr>
          <w:rFonts w:hAnsi="標楷體"/>
        </w:rPr>
        <w:t>俸</w:t>
      </w:r>
      <w:proofErr w:type="gramEnd"/>
      <w:r w:rsidRPr="0075494B">
        <w:rPr>
          <w:rFonts w:hAnsi="標楷體"/>
        </w:rPr>
        <w:t>點，年資35年)得支領46,672元(所得替代率80％)，</w:t>
      </w:r>
      <w:proofErr w:type="gramStart"/>
      <w:r w:rsidRPr="0075494B">
        <w:rPr>
          <w:rFonts w:hAnsi="標楷體"/>
        </w:rPr>
        <w:t>其中簡</w:t>
      </w:r>
      <w:proofErr w:type="gramEnd"/>
      <w:r w:rsidRPr="0075494B">
        <w:rPr>
          <w:rFonts w:hAnsi="標楷體"/>
        </w:rPr>
        <w:t>薦委三類人員之退休支領差距僅1萬餘元，各官等退休所得差距顯然差距有限，且主管、非主管支領居然相同，此與其公務職</w:t>
      </w:r>
      <w:proofErr w:type="gramStart"/>
      <w:r w:rsidRPr="0075494B">
        <w:rPr>
          <w:rFonts w:hAnsi="標楷體"/>
        </w:rPr>
        <w:t>涯</w:t>
      </w:r>
      <w:proofErr w:type="gramEnd"/>
      <w:r w:rsidRPr="0075494B">
        <w:rPr>
          <w:rFonts w:hAnsi="標楷體"/>
        </w:rPr>
        <w:t>貢獻是否相對應？對於行政效率與工作動機之影響又如何？值得深思。3.關於立委建議軍、公、教人員主管機關應互相協商，一致解決退休後再任職於</w:t>
      </w:r>
      <w:proofErr w:type="gramStart"/>
      <w:r w:rsidRPr="0075494B">
        <w:rPr>
          <w:rFonts w:hAnsi="標楷體"/>
        </w:rPr>
        <w:t>私校而支領</w:t>
      </w:r>
      <w:proofErr w:type="gramEnd"/>
      <w:r w:rsidRPr="0075494B">
        <w:rPr>
          <w:rFonts w:hAnsi="標楷體"/>
        </w:rPr>
        <w:t>薪資問題一節，軍公教人員退休後依法支領結算之當得退休年金，而同時另因重新投入勞動而領有退休後唯一份工作酬勞之情況，實質上係屬兩種不同支付內涵，而非外界</w:t>
      </w:r>
      <w:proofErr w:type="gramStart"/>
      <w:r w:rsidRPr="0075494B">
        <w:rPr>
          <w:rFonts w:hAnsi="標楷體"/>
        </w:rPr>
        <w:t>所誤稱之</w:t>
      </w:r>
      <w:proofErr w:type="gramEnd"/>
      <w:r w:rsidRPr="0075494B">
        <w:rPr>
          <w:rFonts w:hAnsi="標楷體"/>
        </w:rPr>
        <w:t>雙薪，籲請部儘速對外澄清並予正名。4.立委提案建請參酌德國與日本退休公務人員再轉任其他公私立機構後退休金扣減情況一節，建請部</w:t>
      </w:r>
      <w:proofErr w:type="gramStart"/>
      <w:r w:rsidRPr="0075494B">
        <w:rPr>
          <w:rFonts w:hAnsi="標楷體"/>
        </w:rPr>
        <w:t>併</w:t>
      </w:r>
      <w:proofErr w:type="gramEnd"/>
      <w:r w:rsidRPr="0075494B">
        <w:rPr>
          <w:rFonts w:hAnsi="標楷體"/>
        </w:rPr>
        <w:t>同蒐集日本與德國完整法制規定，包括其憲法規定之信賴保護程度、平等原則及比例原則等，與我國實施情境上之差異比較。5.軍教等相關退撫改革措施尚須行政院會議討論通過，惟公務人員部分卻未經本院院會討論，亦未於副院長主持之全院審查會討論通過，此種作法未盡周延，建請</w:t>
      </w:r>
      <w:proofErr w:type="gramStart"/>
      <w:r w:rsidRPr="0075494B">
        <w:rPr>
          <w:rFonts w:hAnsi="標楷體"/>
        </w:rPr>
        <w:t>部慎處</w:t>
      </w:r>
      <w:proofErr w:type="gramEnd"/>
      <w:r w:rsidRPr="0075494B">
        <w:rPr>
          <w:rFonts w:hAnsi="標楷體"/>
        </w:rPr>
        <w:t>，方能彰顯行政、立法與考試</w:t>
      </w:r>
      <w:proofErr w:type="gramStart"/>
      <w:r w:rsidRPr="0075494B">
        <w:rPr>
          <w:rFonts w:hAnsi="標楷體"/>
        </w:rPr>
        <w:t>三</w:t>
      </w:r>
      <w:proofErr w:type="gramEnd"/>
      <w:r w:rsidRPr="0075494B">
        <w:rPr>
          <w:rFonts w:hAnsi="標楷體"/>
        </w:rPr>
        <w:t>權衡平。6.立委臨時提案建</w:t>
      </w:r>
      <w:proofErr w:type="gramStart"/>
      <w:r w:rsidRPr="0075494B">
        <w:rPr>
          <w:rFonts w:hAnsi="標楷體"/>
        </w:rPr>
        <w:t>請部與相關</w:t>
      </w:r>
      <w:proofErr w:type="gramEnd"/>
      <w:r w:rsidRPr="0075494B">
        <w:rPr>
          <w:rFonts w:hAnsi="標楷體"/>
        </w:rPr>
        <w:t>部會邀集學者專家，</w:t>
      </w:r>
      <w:proofErr w:type="gramStart"/>
      <w:r w:rsidRPr="0075494B">
        <w:rPr>
          <w:rFonts w:hAnsi="標楷體"/>
        </w:rPr>
        <w:t>研</w:t>
      </w:r>
      <w:proofErr w:type="gramEnd"/>
      <w:r w:rsidRPr="0075494B">
        <w:rPr>
          <w:rFonts w:hAnsi="標楷體"/>
        </w:rPr>
        <w:t>議我國退休公務人員轉任其他公私立機構之因應措施一節，建請部將</w:t>
      </w:r>
      <w:proofErr w:type="gramStart"/>
      <w:r w:rsidRPr="0075494B">
        <w:rPr>
          <w:rFonts w:hAnsi="標楷體"/>
        </w:rPr>
        <w:t>研</w:t>
      </w:r>
      <w:proofErr w:type="gramEnd"/>
      <w:r w:rsidRPr="0075494B">
        <w:rPr>
          <w:rFonts w:hAnsi="標楷體"/>
        </w:rPr>
        <w:t>議過程與進度適時提報院會或邀請委員參加，</w:t>
      </w:r>
      <w:proofErr w:type="gramStart"/>
      <w:r w:rsidRPr="0075494B">
        <w:rPr>
          <w:rFonts w:hAnsi="標楷體"/>
        </w:rPr>
        <w:t>俾</w:t>
      </w:r>
      <w:proofErr w:type="gramEnd"/>
      <w:r w:rsidRPr="0075494B">
        <w:rPr>
          <w:rFonts w:hAnsi="標楷體"/>
        </w:rPr>
        <w:t>了解本議題之發展情況。7.我國退休年金改革與歐盟</w:t>
      </w:r>
      <w:proofErr w:type="gramStart"/>
      <w:r w:rsidRPr="0075494B">
        <w:rPr>
          <w:rFonts w:hAnsi="標楷體"/>
        </w:rPr>
        <w:t>撙</w:t>
      </w:r>
      <w:proofErr w:type="gramEnd"/>
      <w:r w:rsidRPr="0075494B">
        <w:rPr>
          <w:rFonts w:hAnsi="標楷體"/>
        </w:rPr>
        <w:t>節政策性質相似，惟據牛津大學與史丹佛大學研究指出，</w:t>
      </w:r>
      <w:proofErr w:type="gramStart"/>
      <w:r w:rsidRPr="0075494B">
        <w:rPr>
          <w:rFonts w:hAnsi="標楷體"/>
        </w:rPr>
        <w:t>撙</w:t>
      </w:r>
      <w:proofErr w:type="gramEnd"/>
      <w:r w:rsidRPr="0075494B">
        <w:rPr>
          <w:rFonts w:hAnsi="標楷體"/>
        </w:rPr>
        <w:t>節政策將造成人類經濟與社會的大衰退，亦即任何政策尤其是</w:t>
      </w:r>
      <w:proofErr w:type="gramStart"/>
      <w:r w:rsidRPr="0075494B">
        <w:rPr>
          <w:rFonts w:hAnsi="標楷體"/>
        </w:rPr>
        <w:t>撙</w:t>
      </w:r>
      <w:proofErr w:type="gramEnd"/>
      <w:r w:rsidRPr="0075494B">
        <w:rPr>
          <w:rFonts w:hAnsi="標楷體"/>
        </w:rPr>
        <w:t>節政策，存有甚多副作用或副產品，例如行政效率之衝擊，須於過程中予以衡酌與同時兼顧，方能使政策更為周延，並避免其負面影響。8.呼應黃委員錦堂意見，「瘦大官，</w:t>
      </w:r>
      <w:proofErr w:type="gramStart"/>
      <w:r w:rsidRPr="0075494B">
        <w:rPr>
          <w:rFonts w:hAnsi="標楷體"/>
        </w:rPr>
        <w:t>肥小吏</w:t>
      </w:r>
      <w:proofErr w:type="gramEnd"/>
      <w:r w:rsidRPr="0075494B">
        <w:rPr>
          <w:rFonts w:hAnsi="標楷體"/>
        </w:rPr>
        <w:t>」勢將嚴重影響公務人員於職</w:t>
      </w:r>
      <w:proofErr w:type="gramStart"/>
      <w:r w:rsidRPr="0075494B">
        <w:rPr>
          <w:rFonts w:hAnsi="標楷體"/>
        </w:rPr>
        <w:t>涯</w:t>
      </w:r>
      <w:proofErr w:type="gramEnd"/>
      <w:r w:rsidRPr="0075494B">
        <w:rPr>
          <w:rFonts w:hAnsi="標楷體"/>
        </w:rPr>
        <w:t>工作士氣與行政效率，以院長級為例，終其一生辛勞，惟其退休所得替代率僅約37％，與其奉獻不成比例。9.立法院建議軍公教應互相協商，一致解決退休後再任職私校問題，據部表示事涉公務人員退休撫</w:t>
      </w:r>
      <w:proofErr w:type="gramStart"/>
      <w:r w:rsidRPr="0075494B">
        <w:rPr>
          <w:rFonts w:hAnsi="標楷體"/>
        </w:rPr>
        <w:t>卹</w:t>
      </w:r>
      <w:proofErr w:type="gramEnd"/>
      <w:r w:rsidRPr="0075494B">
        <w:rPr>
          <w:rFonts w:hAnsi="標楷體"/>
        </w:rPr>
        <w:t>法草案，惟該草案既未經修正通過，委員亦未能表示意見，</w:t>
      </w:r>
      <w:proofErr w:type="gramStart"/>
      <w:r w:rsidRPr="0075494B">
        <w:rPr>
          <w:rFonts w:hAnsi="標楷體"/>
        </w:rPr>
        <w:t>試問部此時刻</w:t>
      </w:r>
      <w:proofErr w:type="gramEnd"/>
      <w:r w:rsidRPr="0075494B">
        <w:rPr>
          <w:rFonts w:hAnsi="標楷體"/>
        </w:rPr>
        <w:t>以何立場對此議題向外表示政策意見？10.立法院與社會常提及國外退休改革之成功案例，以新加坡為例，公務人員在職</w:t>
      </w:r>
      <w:proofErr w:type="gramStart"/>
      <w:r w:rsidRPr="0075494B">
        <w:rPr>
          <w:rFonts w:hAnsi="標楷體"/>
        </w:rPr>
        <w:t>期間，</w:t>
      </w:r>
      <w:proofErr w:type="gramEnd"/>
      <w:r w:rsidRPr="0075494B">
        <w:rPr>
          <w:rFonts w:hAnsi="標楷體"/>
        </w:rPr>
        <w:t>同一</w:t>
      </w:r>
      <w:proofErr w:type="gramStart"/>
      <w:r w:rsidRPr="0075494B">
        <w:rPr>
          <w:rFonts w:hAnsi="標楷體"/>
        </w:rPr>
        <w:t>職級若分</w:t>
      </w:r>
      <w:proofErr w:type="gramEnd"/>
      <w:r w:rsidRPr="0075494B">
        <w:rPr>
          <w:rFonts w:hAnsi="標楷體"/>
        </w:rPr>
        <w:t>屬不同部會，其薪資結構即有極大差異，若我國薪資結構不能比照新加坡模式處理，為何退休制度卻可直接援引其作法？建請注意。(高委員明見)立委多次質詢及建議退休改革方案除節流外，應加強開源措施，包括提升基金經營績效，以報酬率6％為長期目標，並考量將退撫基金管理機關法人化一節，院長多次於院會也提及期待改善退撫基金經營績效，以</w:t>
      </w:r>
      <w:proofErr w:type="gramStart"/>
      <w:r w:rsidRPr="0075494B">
        <w:rPr>
          <w:rFonts w:hAnsi="標楷體"/>
        </w:rPr>
        <w:t>挹</w:t>
      </w:r>
      <w:proofErr w:type="gramEnd"/>
      <w:r w:rsidRPr="0075494B">
        <w:rPr>
          <w:rFonts w:hAnsi="標楷體"/>
        </w:rPr>
        <w:t>注國家基金之短缺，部回應將與基金管理會積極</w:t>
      </w:r>
      <w:proofErr w:type="gramStart"/>
      <w:r w:rsidRPr="0075494B">
        <w:rPr>
          <w:rFonts w:hAnsi="標楷體"/>
        </w:rPr>
        <w:t>研</w:t>
      </w:r>
      <w:proofErr w:type="gramEnd"/>
      <w:r w:rsidRPr="0075494B">
        <w:rPr>
          <w:rFonts w:hAnsi="標楷體"/>
        </w:rPr>
        <w:t>商檢討退休撫</w:t>
      </w:r>
      <w:proofErr w:type="gramStart"/>
      <w:r w:rsidRPr="0075494B">
        <w:rPr>
          <w:rFonts w:hAnsi="標楷體"/>
        </w:rPr>
        <w:t>卹</w:t>
      </w:r>
      <w:proofErr w:type="gramEnd"/>
      <w:r w:rsidRPr="0075494B">
        <w:rPr>
          <w:rFonts w:hAnsi="標楷體"/>
        </w:rPr>
        <w:t>基金相關投資運用計畫，</w:t>
      </w:r>
      <w:proofErr w:type="gramStart"/>
      <w:r w:rsidRPr="0075494B">
        <w:rPr>
          <w:rFonts w:hAnsi="標楷體"/>
        </w:rPr>
        <w:t>俟</w:t>
      </w:r>
      <w:proofErr w:type="gramEnd"/>
      <w:r w:rsidRPr="0075494B">
        <w:rPr>
          <w:rFonts w:hAnsi="標楷體"/>
        </w:rPr>
        <w:t>退撫法草案完成立法程序後，隨即啟動退撫基金運作機制之改革，目前退撫基金經營管理係由行政機關負責，</w:t>
      </w:r>
      <w:proofErr w:type="gramStart"/>
      <w:r w:rsidRPr="0075494B">
        <w:rPr>
          <w:rFonts w:hAnsi="標楷體"/>
        </w:rPr>
        <w:t>採</w:t>
      </w:r>
      <w:proofErr w:type="gramEnd"/>
      <w:r w:rsidRPr="0075494B">
        <w:rPr>
          <w:rFonts w:hAnsi="標楷體"/>
        </w:rPr>
        <w:t>制式管理，雖可減少或預防弊端，但無法充分彈性調整其運作機能以提升經營績效。建議部蒐集國外以法人化形式管理退撫基金及其基金經營績效等相關資料，</w:t>
      </w:r>
      <w:proofErr w:type="gramStart"/>
      <w:r w:rsidRPr="0075494B">
        <w:rPr>
          <w:rFonts w:hAnsi="標楷體"/>
        </w:rPr>
        <w:t>俾供審</w:t>
      </w:r>
      <w:proofErr w:type="gramEnd"/>
      <w:r w:rsidRPr="0075494B">
        <w:rPr>
          <w:rFonts w:hAnsi="標楷體"/>
        </w:rPr>
        <w:t>酌。</w:t>
      </w:r>
      <w:proofErr w:type="gramStart"/>
      <w:r w:rsidRPr="0075494B">
        <w:rPr>
          <w:rFonts w:hAnsi="標楷體"/>
        </w:rPr>
        <w:t>此外，部有</w:t>
      </w:r>
      <w:proofErr w:type="gramEnd"/>
      <w:r w:rsidRPr="0075494B">
        <w:rPr>
          <w:rFonts w:hAnsi="標楷體"/>
        </w:rPr>
        <w:t>無規劃將退撫基金管理機關法人化？請說明。(蔡委員良文)1.對部長及相關同仁於立法院審議退撫法草案過程之辛勞，表示肯定，尤其對退撫年金改革方案之與執政黨協商結論達成共識部分，包括月</w:t>
      </w:r>
      <w:proofErr w:type="gramStart"/>
      <w:r w:rsidRPr="0075494B">
        <w:rPr>
          <w:rFonts w:hAnsi="標楷體"/>
        </w:rPr>
        <w:t>退休金起支年齡</w:t>
      </w:r>
      <w:proofErr w:type="gramEnd"/>
      <w:r w:rsidRPr="0075494B">
        <w:rPr>
          <w:rFonts w:hAnsi="標楷體"/>
        </w:rPr>
        <w:t>、退休所得替代率、退休金計算基準與基數內涵等，</w:t>
      </w:r>
      <w:proofErr w:type="gramStart"/>
      <w:r w:rsidRPr="0075494B">
        <w:rPr>
          <w:rFonts w:hAnsi="標楷體"/>
        </w:rPr>
        <w:t>均照本</w:t>
      </w:r>
      <w:proofErr w:type="gramEnd"/>
      <w:r w:rsidRPr="0075494B">
        <w:rPr>
          <w:rFonts w:hAnsi="標楷體"/>
        </w:rPr>
        <w:t>院通過之規劃版本通過，</w:t>
      </w:r>
      <w:proofErr w:type="gramStart"/>
      <w:r w:rsidRPr="0075494B">
        <w:rPr>
          <w:rFonts w:hAnsi="標楷體"/>
        </w:rPr>
        <w:t>實屬得來</w:t>
      </w:r>
      <w:proofErr w:type="gramEnd"/>
      <w:r w:rsidRPr="0075494B">
        <w:rPr>
          <w:rFonts w:hAnsi="標楷體"/>
        </w:rPr>
        <w:t>不易，建</w:t>
      </w:r>
      <w:proofErr w:type="gramStart"/>
      <w:r w:rsidRPr="0075494B">
        <w:rPr>
          <w:rFonts w:hAnsi="標楷體"/>
        </w:rPr>
        <w:t>請部應再</w:t>
      </w:r>
      <w:proofErr w:type="gramEnd"/>
      <w:r w:rsidRPr="0075494B">
        <w:rPr>
          <w:rFonts w:hAnsi="標楷體"/>
        </w:rPr>
        <w:t>加強與在野黨之溝通，</w:t>
      </w:r>
      <w:proofErr w:type="gramStart"/>
      <w:r w:rsidRPr="0075494B">
        <w:rPr>
          <w:rFonts w:hAnsi="標楷體"/>
        </w:rPr>
        <w:t>俾</w:t>
      </w:r>
      <w:proofErr w:type="gramEnd"/>
      <w:r w:rsidRPr="0075494B">
        <w:rPr>
          <w:rFonts w:hAnsi="標楷體"/>
        </w:rPr>
        <w:t>利早日完成立法程序。2.有關一次退休金18%款利率部分，擬</w:t>
      </w:r>
      <w:proofErr w:type="gramStart"/>
      <w:r w:rsidRPr="0075494B">
        <w:rPr>
          <w:rFonts w:hAnsi="標楷體"/>
        </w:rPr>
        <w:t>採</w:t>
      </w:r>
      <w:proofErr w:type="gramEnd"/>
      <w:r w:rsidRPr="0075494B">
        <w:rPr>
          <w:rFonts w:hAnsi="標楷體"/>
        </w:rPr>
        <w:t>分級距(200萬元以下、200至500萬元及500萬元以上)計算方式，惟各級距之計算基準為何？建請提供相關資料，</w:t>
      </w:r>
      <w:proofErr w:type="gramStart"/>
      <w:r w:rsidRPr="0075494B">
        <w:rPr>
          <w:rFonts w:hAnsi="標楷體"/>
        </w:rPr>
        <w:t>俾</w:t>
      </w:r>
      <w:proofErr w:type="gramEnd"/>
      <w:r w:rsidRPr="0075494B">
        <w:rPr>
          <w:rFonts w:hAnsi="標楷體"/>
        </w:rPr>
        <w:t>利參酌。3.無論在立法院或公聽會，與會者均建議除節流外，如何提高退撫基金投資報酬率，至為關鍵。本席與黃委員俊英曾建議，2008年金融海嘯以後，全球股票、債券市值大幅縮水，無論法人機構、退撫基金或慈善基金，對於股票配置大多降至</w:t>
      </w:r>
      <w:proofErr w:type="gramStart"/>
      <w:r w:rsidRPr="0075494B">
        <w:rPr>
          <w:rFonts w:hAnsi="標楷體"/>
        </w:rPr>
        <w:t>5成</w:t>
      </w:r>
      <w:proofErr w:type="gramEnd"/>
      <w:r w:rsidRPr="0075494B">
        <w:rPr>
          <w:rFonts w:hAnsi="標楷體"/>
        </w:rPr>
        <w:t>以下，改以對沖基金、房地產、私募股權或公共投資建設等另類投資比重提高，</w:t>
      </w:r>
      <w:proofErr w:type="gramStart"/>
      <w:r w:rsidRPr="0075494B">
        <w:rPr>
          <w:rFonts w:hAnsi="標楷體"/>
        </w:rPr>
        <w:t>部有無</w:t>
      </w:r>
      <w:proofErr w:type="gramEnd"/>
      <w:r w:rsidRPr="0075494B">
        <w:rPr>
          <w:rFonts w:hAnsi="標楷體"/>
        </w:rPr>
        <w:t>具體作法？其進度如何？4.從新公共管理晚期思維觀之，世界各國採取公法人之作法並非多見，我國正處於起步中，建請部審慎評估，尤其人為的或人性之監督機制(如何找對人至關重要)應予同步配套。5.退撫年金改革法制尚涉國防部與教育部、勞委會</w:t>
      </w:r>
      <w:r w:rsidRPr="0075494B">
        <w:rPr>
          <w:rFonts w:hAnsi="標楷體" w:hint="eastAsia"/>
        </w:rPr>
        <w:t>(今為勞動部)</w:t>
      </w:r>
      <w:r w:rsidRPr="0075494B">
        <w:rPr>
          <w:rFonts w:hAnsi="標楷體"/>
        </w:rPr>
        <w:t>等，相關報告資料及其法制動態情形雖可從立法院公報進行了解，為顧全法制衡平、世代均衡與行業特性，建請部</w:t>
      </w:r>
      <w:proofErr w:type="gramStart"/>
      <w:r w:rsidRPr="0075494B">
        <w:rPr>
          <w:rFonts w:hAnsi="標楷體"/>
        </w:rPr>
        <w:t>併同軍公教勞</w:t>
      </w:r>
      <w:proofErr w:type="gramEnd"/>
      <w:r w:rsidRPr="0075494B">
        <w:rPr>
          <w:rFonts w:hAnsi="標楷體"/>
        </w:rPr>
        <w:t>退撫年金改革，包括公務人員退休撫</w:t>
      </w:r>
      <w:proofErr w:type="gramStart"/>
      <w:r w:rsidRPr="0075494B">
        <w:rPr>
          <w:rFonts w:hAnsi="標楷體"/>
        </w:rPr>
        <w:t>卹</w:t>
      </w:r>
      <w:proofErr w:type="gramEnd"/>
      <w:r w:rsidRPr="0075494B">
        <w:rPr>
          <w:rFonts w:hAnsi="標楷體"/>
        </w:rPr>
        <w:t>法草案、學校教職員退休條例、陸海空軍軍官士官服役條例及勞工保險條例等修法動態進行條列式分析，</w:t>
      </w:r>
      <w:proofErr w:type="gramStart"/>
      <w:r w:rsidRPr="0075494B">
        <w:rPr>
          <w:rFonts w:hAnsi="標楷體"/>
        </w:rPr>
        <w:t>俾供審</w:t>
      </w:r>
      <w:proofErr w:type="gramEnd"/>
      <w:r w:rsidRPr="0075494B">
        <w:rPr>
          <w:rFonts w:hAnsi="標楷體"/>
        </w:rPr>
        <w:t>酌。6.目前退撫法草案於協商過程與執政黨獲致高度共識，惟本院其他重大法律案是否亦有進展？第217次會議院長曾提示，文官體系是民主治理的代理人，新興民主國家在邁向民主鞏固的過程中，最大的隱憂是缺乏自由主義式民主的文化根基，使民主化的進展變質成為民</w:t>
      </w:r>
      <w:proofErr w:type="gramStart"/>
      <w:r w:rsidRPr="0075494B">
        <w:rPr>
          <w:rFonts w:hAnsi="標楷體"/>
        </w:rPr>
        <w:t>粹</w:t>
      </w:r>
      <w:proofErr w:type="gramEnd"/>
      <w:r w:rsidRPr="0075494B">
        <w:rPr>
          <w:rFonts w:hAnsi="標楷體"/>
        </w:rPr>
        <w:t>主義，而讓民眾懷疑建立民主體制的價值。近來時有民</w:t>
      </w:r>
      <w:proofErr w:type="gramStart"/>
      <w:r w:rsidRPr="0075494B">
        <w:rPr>
          <w:rFonts w:hAnsi="標楷體"/>
        </w:rPr>
        <w:t>粹</w:t>
      </w:r>
      <w:proofErr w:type="gramEnd"/>
      <w:r w:rsidRPr="0075494B">
        <w:rPr>
          <w:rFonts w:hAnsi="標楷體"/>
        </w:rPr>
        <w:t>凌駕民主之現象發生，或不尊重多數決與文官專業者。為落實民主治理之核心價值-回應、</w:t>
      </w:r>
      <w:proofErr w:type="gramStart"/>
      <w:r w:rsidRPr="0075494B">
        <w:rPr>
          <w:rFonts w:hAnsi="標楷體"/>
        </w:rPr>
        <w:t>課責和</w:t>
      </w:r>
      <w:proofErr w:type="gramEnd"/>
      <w:r w:rsidRPr="0075494B">
        <w:rPr>
          <w:rFonts w:hAnsi="標楷體"/>
        </w:rPr>
        <w:t>透明機制，本院積極推動整體文官法制改革，除行政中立法完成立法程序外，其他如政務人員三法、公務人員考績法修正草案和公務人員基準法草案等相關重大法案，其立法之進展情形如何？</w:t>
      </w:r>
      <w:proofErr w:type="gramStart"/>
      <w:r w:rsidRPr="0075494B">
        <w:rPr>
          <w:rFonts w:hAnsi="標楷體"/>
        </w:rPr>
        <w:t>為免減損</w:t>
      </w:r>
      <w:proofErr w:type="gramEnd"/>
      <w:r w:rsidRPr="0075494B">
        <w:rPr>
          <w:rFonts w:hAnsi="標楷體"/>
        </w:rPr>
        <w:t>改革績效，建請部同步重視推動相關法制配套策略與作為。(黃委員錦堂)對部推動退撫年金改革之努力，表示高度敬佩與肯定。1.部是否評估退撫法草案於立法院本會期能通過立法？其關鍵為何？是否因執政黨團支持而通過？據部報告顯示，</w:t>
      </w:r>
      <w:proofErr w:type="gramStart"/>
      <w:r w:rsidRPr="0075494B">
        <w:rPr>
          <w:rFonts w:hAnsi="標楷體"/>
        </w:rPr>
        <w:t>部似未</w:t>
      </w:r>
      <w:proofErr w:type="gramEnd"/>
      <w:r w:rsidRPr="0075494B">
        <w:rPr>
          <w:rFonts w:hAnsi="標楷體"/>
        </w:rPr>
        <w:t>與在野黨團進行說明及溝通，部之協商不盡理想。2.有關已退、現職及新進公務人員之間</w:t>
      </w:r>
      <w:proofErr w:type="gramStart"/>
      <w:r w:rsidRPr="0075494B">
        <w:rPr>
          <w:rFonts w:hAnsi="標楷體"/>
        </w:rPr>
        <w:t>之衡平性</w:t>
      </w:r>
      <w:proofErr w:type="gramEnd"/>
      <w:r w:rsidRPr="0075494B">
        <w:rPr>
          <w:rFonts w:hAnsi="標楷體"/>
        </w:rPr>
        <w:t>及世代公平正義問題一節，</w:t>
      </w:r>
      <w:proofErr w:type="gramStart"/>
      <w:r w:rsidRPr="0075494B">
        <w:rPr>
          <w:rFonts w:hAnsi="標楷體"/>
        </w:rPr>
        <w:t>部宜更</w:t>
      </w:r>
      <w:proofErr w:type="gramEnd"/>
      <w:r w:rsidRPr="0075494B">
        <w:rPr>
          <w:rFonts w:hAnsi="標楷體"/>
        </w:rPr>
        <w:t>深入進行研究。</w:t>
      </w:r>
      <w:proofErr w:type="gramStart"/>
      <w:r w:rsidRPr="0075494B">
        <w:rPr>
          <w:rFonts w:hAnsi="標楷體"/>
        </w:rPr>
        <w:t>此外，</w:t>
      </w:r>
      <w:proofErr w:type="gramEnd"/>
      <w:r w:rsidRPr="0075494B">
        <w:rPr>
          <w:rFonts w:hAnsi="標楷體"/>
        </w:rPr>
        <w:t>退撫改革方案是否有「瘦大官，</w:t>
      </w:r>
      <w:proofErr w:type="gramStart"/>
      <w:r w:rsidRPr="0075494B">
        <w:rPr>
          <w:rFonts w:hAnsi="標楷體"/>
        </w:rPr>
        <w:t>肥小吏</w:t>
      </w:r>
      <w:proofErr w:type="gramEnd"/>
      <w:r w:rsidRPr="0075494B">
        <w:rPr>
          <w:rFonts w:hAnsi="標楷體"/>
        </w:rPr>
        <w:t>」之嫌？退休所得應與在職時之職位有相應性，以簡任第</w:t>
      </w:r>
      <w:r w:rsidRPr="0075494B">
        <w:rPr>
          <w:rFonts w:hAnsi="標楷體" w:hint="eastAsia"/>
        </w:rPr>
        <w:t>12</w:t>
      </w:r>
      <w:r w:rsidRPr="0075494B">
        <w:rPr>
          <w:rFonts w:hAnsi="標楷體"/>
        </w:rPr>
        <w:t>職等司處長為例，所領月退金應回應並保障其退休後應有的相應尊榮，是</w:t>
      </w:r>
      <w:proofErr w:type="gramStart"/>
      <w:r w:rsidRPr="0075494B">
        <w:rPr>
          <w:rFonts w:hAnsi="標楷體"/>
        </w:rPr>
        <w:t>以</w:t>
      </w:r>
      <w:proofErr w:type="gramEnd"/>
      <w:r w:rsidRPr="0075494B">
        <w:rPr>
          <w:rFonts w:hAnsi="標楷體"/>
        </w:rPr>
        <w:t>，退休金的設計應以職位為主，方符合其過往之貢獻及其生活模式，「瘦大官，</w:t>
      </w:r>
      <w:proofErr w:type="gramStart"/>
      <w:r w:rsidRPr="0075494B">
        <w:rPr>
          <w:rFonts w:hAnsi="標楷體"/>
        </w:rPr>
        <w:t>肥小吏</w:t>
      </w:r>
      <w:proofErr w:type="gramEnd"/>
      <w:r w:rsidRPr="0075494B">
        <w:rPr>
          <w:rFonts w:hAnsi="標楷體"/>
        </w:rPr>
        <w:t>」並不公正且不符平等理念，值得進一步省思。</w:t>
      </w:r>
    </w:p>
  </w:footnote>
  <w:footnote w:id="5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長期照顧機構分3類：（1）長期照</w:t>
      </w:r>
      <w:proofErr w:type="gramStart"/>
      <w:r w:rsidRPr="0075494B">
        <w:rPr>
          <w:rFonts w:hAnsi="標楷體"/>
        </w:rPr>
        <w:t>護型機構─以罹</w:t>
      </w:r>
      <w:proofErr w:type="gramEnd"/>
      <w:r w:rsidRPr="0075494B">
        <w:rPr>
          <w:rFonts w:hAnsi="標楷體"/>
        </w:rPr>
        <w:t>患長期慢性病，且需要醫護服務之老人為照顧對象。（2）養護型機構</w:t>
      </w:r>
      <w:proofErr w:type="gramStart"/>
      <w:r w:rsidRPr="0075494B">
        <w:rPr>
          <w:rFonts w:hAnsi="標楷體"/>
        </w:rPr>
        <w:t>─</w:t>
      </w:r>
      <w:proofErr w:type="gramEnd"/>
      <w:r w:rsidRPr="0075494B">
        <w:rPr>
          <w:rFonts w:hAnsi="標楷體"/>
        </w:rPr>
        <w:t>以生活自理能力缺損需他人照顧之老人</w:t>
      </w:r>
      <w:proofErr w:type="gramStart"/>
      <w:r w:rsidRPr="0075494B">
        <w:rPr>
          <w:rFonts w:hAnsi="標楷體"/>
        </w:rPr>
        <w:t>或需鼻胃</w:t>
      </w:r>
      <w:proofErr w:type="gramEnd"/>
      <w:r w:rsidRPr="0075494B">
        <w:rPr>
          <w:rFonts w:hAnsi="標楷體"/>
        </w:rPr>
        <w:t>管、導尿管護理服務需求之老人為照顧對象。（3）失智照顧型</w:t>
      </w:r>
      <w:proofErr w:type="gramStart"/>
      <w:r w:rsidRPr="0075494B">
        <w:rPr>
          <w:rFonts w:hAnsi="標楷體"/>
        </w:rPr>
        <w:t>─</w:t>
      </w:r>
      <w:proofErr w:type="gramEnd"/>
      <w:r w:rsidRPr="0075494B">
        <w:rPr>
          <w:rFonts w:hAnsi="標楷體"/>
        </w:rPr>
        <w:t>以神經科、精神科等專科醫師診斷為失智症中度以上、具行動能力，且需受照顧之老人為照顧對象。</w:t>
      </w:r>
    </w:p>
  </w:footnote>
  <w:footnote w:id="60">
    <w:p w:rsidR="00EF4EDE" w:rsidRPr="0075494B" w:rsidRDefault="00EF4EDE">
      <w:pPr>
        <w:pStyle w:val="aff"/>
        <w:rPr>
          <w:rFonts w:hAnsi="標楷體"/>
        </w:rPr>
      </w:pPr>
      <w:r w:rsidRPr="0075494B">
        <w:rPr>
          <w:rStyle w:val="aff1"/>
          <w:rFonts w:hAnsi="標楷體"/>
        </w:rPr>
        <w:footnoteRef/>
      </w:r>
      <w:r w:rsidRPr="0075494B">
        <w:rPr>
          <w:rFonts w:hAnsi="標楷體"/>
        </w:rPr>
        <w:t xml:space="preserve"> </w:t>
      </w:r>
      <w:r w:rsidRPr="0075494B">
        <w:rPr>
          <w:rFonts w:hAnsi="標楷體" w:hint="eastAsia"/>
        </w:rPr>
        <w:t>網址：</w:t>
      </w:r>
      <w:hyperlink r:id="rId2" w:history="1">
        <w:r w:rsidRPr="0075494B">
          <w:rPr>
            <w:rStyle w:val="af1"/>
            <w:rFonts w:hAnsi="標楷體"/>
            <w:color w:val="auto"/>
            <w:u w:val="none"/>
          </w:rPr>
          <w:t>https://www1.cgmh.org.tw/cgv/About/About?Id=26&amp;m=25</w:t>
        </w:r>
      </w:hyperlink>
      <w:r w:rsidRPr="0075494B">
        <w:rPr>
          <w:rFonts w:hAnsi="標楷體" w:hint="eastAsia"/>
        </w:rPr>
        <w:t>。</w:t>
      </w:r>
    </w:p>
  </w:footnote>
  <w:footnote w:id="61">
    <w:p w:rsidR="00EF4EDE" w:rsidRPr="0075494B" w:rsidRDefault="00EF4EDE" w:rsidP="00A861CC">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r w:rsidRPr="0075494B">
        <w:rPr>
          <w:rFonts w:hAnsi="標楷體" w:hint="eastAsia"/>
        </w:rPr>
        <w:t>本次年金改革基於財務政策公益之考量，不僅是摧毀公務員制度性保障或減損具有效能（具吸引力）的文官制度，據悉，中央銀行楊金龍總裁坦言，年改實施可能抑制消費；台灣經濟研究院更進一步研究指出，</w:t>
      </w:r>
      <w:hyperlink r:id="rId3" w:history="1">
        <w:r w:rsidRPr="0075494B">
          <w:rPr>
            <w:rFonts w:hAnsi="標楷體" w:hint="eastAsia"/>
          </w:rPr>
          <w:t>年改</w:t>
        </w:r>
      </w:hyperlink>
      <w:r w:rsidRPr="0075494B">
        <w:rPr>
          <w:rFonts w:hAnsi="標楷體" w:hint="eastAsia"/>
        </w:rPr>
        <w:t>上路後，一年約減少可支配所得400億元，不僅會影響民間消費，減少規劃中的投資，也將對各行各業的投資發展產生不良影響；有的論者認為，退休軍公教基於憂患意識之理性，勢將緊縮消費及生活開支，其漣漪效應則將擴散影響到觀光、休閒、飲食、家用產品等種種內需經濟，甚至變成影響就業的燎原之火</w:t>
      </w:r>
      <w:proofErr w:type="gramStart"/>
      <w:r w:rsidRPr="0075494B">
        <w:rPr>
          <w:rFonts w:hAnsi="標楷體" w:hint="eastAsia"/>
        </w:rPr>
        <w:t>（</w:t>
      </w:r>
      <w:proofErr w:type="gramEnd"/>
      <w:r w:rsidRPr="0075494B">
        <w:rPr>
          <w:rFonts w:hAnsi="標楷體" w:hint="eastAsia"/>
        </w:rPr>
        <w:t>資料來源：淡江大學金融研究所謝明瑞教授，107年7月1日，人民會記得「七一」，聯合報，</w:t>
      </w:r>
      <w:r w:rsidRPr="0075494B">
        <w:rPr>
          <w:rFonts w:hAnsi="標楷體"/>
        </w:rPr>
        <w:t>取自</w:t>
      </w:r>
      <w:hyperlink r:id="rId4" w:history="1">
        <w:r w:rsidRPr="0075494B">
          <w:rPr>
            <w:rStyle w:val="af1"/>
            <w:rFonts w:hAnsi="標楷體"/>
            <w:color w:val="auto"/>
          </w:rPr>
          <w:t>https://udn.com/news/story/11321/3227728</w:t>
        </w:r>
      </w:hyperlink>
      <w:r w:rsidRPr="0075494B">
        <w:rPr>
          <w:rFonts w:hAnsi="標楷體" w:hint="eastAsia"/>
        </w:rPr>
        <w:t>；聯合報社論，107年7月8日，莫讓倉促上路的年改成為內需消費的災難，聯合報，</w:t>
      </w:r>
      <w:r w:rsidRPr="0075494B">
        <w:rPr>
          <w:rFonts w:hAnsi="標楷體"/>
        </w:rPr>
        <w:t>取自</w:t>
      </w:r>
      <w:hyperlink r:id="rId5" w:history="1">
        <w:r w:rsidRPr="0075494B">
          <w:rPr>
            <w:rStyle w:val="af1"/>
            <w:rFonts w:hAnsi="標楷體"/>
            <w:color w:val="auto"/>
          </w:rPr>
          <w:t>https://udn.com/news/story/11321/3240522</w:t>
        </w:r>
      </w:hyperlink>
      <w:proofErr w:type="gramStart"/>
      <w:r w:rsidRPr="0075494B">
        <w:rPr>
          <w:rFonts w:hAnsi="標楷體" w:hint="eastAsia"/>
        </w:rPr>
        <w:t>）</w:t>
      </w:r>
      <w:proofErr w:type="gramEnd"/>
      <w:r w:rsidRPr="0075494B">
        <w:rPr>
          <w:rFonts w:hAnsi="標楷體" w:hint="eastAsia"/>
        </w:rPr>
        <w:t>。</w:t>
      </w:r>
    </w:p>
  </w:footnote>
  <w:footnote w:id="62">
    <w:p w:rsidR="00EF4EDE" w:rsidRPr="0075494B" w:rsidRDefault="00EF4EDE">
      <w:pPr>
        <w:pStyle w:val="aff"/>
        <w:rPr>
          <w:rFonts w:hAnsi="標楷體"/>
        </w:rPr>
      </w:pPr>
      <w:r w:rsidRPr="0075494B">
        <w:rPr>
          <w:rStyle w:val="aff1"/>
          <w:rFonts w:hAnsi="標楷體"/>
        </w:rPr>
        <w:footnoteRef/>
      </w:r>
      <w:r w:rsidRPr="0075494B">
        <w:rPr>
          <w:rFonts w:hAnsi="標楷體" w:hint="eastAsia"/>
        </w:rPr>
        <w:t xml:space="preserve"> 黃世鑫，新世紀智庫論壇第60期，第114頁，101年12月30日。</w:t>
      </w:r>
    </w:p>
  </w:footnote>
  <w:footnote w:id="63">
    <w:p w:rsidR="00EF4EDE" w:rsidRPr="0075494B" w:rsidRDefault="00EF4EDE" w:rsidP="00343B12">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邱顯比教授認為：我國的退休金給付問題除了公務員退撫年金</w:t>
      </w:r>
      <w:proofErr w:type="gramStart"/>
      <w:r w:rsidRPr="0075494B">
        <w:rPr>
          <w:rFonts w:hAnsi="標楷體" w:hint="eastAsia"/>
        </w:rPr>
        <w:t>以外，</w:t>
      </w:r>
      <w:proofErr w:type="gramEnd"/>
      <w:r w:rsidRPr="0075494B">
        <w:rPr>
          <w:rFonts w:hAnsi="標楷體" w:hint="eastAsia"/>
        </w:rPr>
        <w:t>勞保年金的問題也很大，目前勞保年資1年的退休給付率是1.55</w:t>
      </w:r>
      <w:proofErr w:type="gramStart"/>
      <w:r w:rsidRPr="0075494B">
        <w:rPr>
          <w:rFonts w:hAnsi="標楷體" w:hint="eastAsia"/>
        </w:rPr>
        <w:t>﹪</w:t>
      </w:r>
      <w:proofErr w:type="gramEnd"/>
      <w:r w:rsidRPr="0075494B">
        <w:rPr>
          <w:rFonts w:hAnsi="標楷體" w:hint="eastAsia"/>
        </w:rPr>
        <w:t>，假如勞工工作30年，大約就有50</w:t>
      </w:r>
      <w:proofErr w:type="gramStart"/>
      <w:r w:rsidRPr="0075494B">
        <w:rPr>
          <w:rFonts w:hAnsi="標楷體" w:hint="eastAsia"/>
        </w:rPr>
        <w:t>﹪</w:t>
      </w:r>
      <w:proofErr w:type="gramEnd"/>
      <w:r w:rsidRPr="0075494B">
        <w:rPr>
          <w:rFonts w:hAnsi="標楷體" w:hint="eastAsia"/>
        </w:rPr>
        <w:t>的所得替代率，以精算的觀點來論，如果</w:t>
      </w:r>
      <w:proofErr w:type="gramStart"/>
      <w:r w:rsidRPr="0075494B">
        <w:rPr>
          <w:rFonts w:hAnsi="標楷體" w:hint="eastAsia"/>
        </w:rPr>
        <w:t>提撥</w:t>
      </w:r>
      <w:proofErr w:type="gramEnd"/>
      <w:r w:rsidRPr="0075494B">
        <w:rPr>
          <w:rFonts w:hAnsi="標楷體" w:hint="eastAsia"/>
        </w:rPr>
        <w:t>收入與退休給付要平衡，給付率絕對不會超過1%，我估計給付率大概0.7</w:t>
      </w:r>
      <w:proofErr w:type="gramStart"/>
      <w:r w:rsidRPr="0075494B">
        <w:rPr>
          <w:rFonts w:hAnsi="標楷體" w:hint="eastAsia"/>
        </w:rPr>
        <w:t>﹪</w:t>
      </w:r>
      <w:proofErr w:type="gramEnd"/>
      <w:r w:rsidRPr="0075494B">
        <w:rPr>
          <w:rFonts w:hAnsi="標楷體" w:hint="eastAsia"/>
        </w:rPr>
        <w:t>、0.8</w:t>
      </w:r>
      <w:proofErr w:type="gramStart"/>
      <w:r w:rsidRPr="0075494B">
        <w:rPr>
          <w:rFonts w:hAnsi="標楷體" w:hint="eastAsia"/>
        </w:rPr>
        <w:t>﹪</w:t>
      </w:r>
      <w:proofErr w:type="gramEnd"/>
      <w:r w:rsidRPr="0075494B">
        <w:rPr>
          <w:rFonts w:hAnsi="標楷體" w:hint="eastAsia"/>
        </w:rPr>
        <w:t>就差不多。換言之，現行</w:t>
      </w:r>
      <w:proofErr w:type="gramStart"/>
      <w:r w:rsidRPr="0075494B">
        <w:rPr>
          <w:rFonts w:hAnsi="標楷體" w:hint="eastAsia"/>
        </w:rPr>
        <w:t>提撥</w:t>
      </w:r>
      <w:proofErr w:type="gramEnd"/>
      <w:r w:rsidRPr="0075494B">
        <w:rPr>
          <w:rFonts w:hAnsi="標楷體" w:hint="eastAsia"/>
        </w:rPr>
        <w:t>費用所對應的退休給付是雙倍，長期而言，基金一定會破產，而且勞保的洞（財務缺口）比退撫大很多，這也是就這次的退撫改革，我不能很心平氣和的原因。政府其實是政治性的改革，勞保的問題很嚴重不去改，然後退撫問題沒有勞保那麼嚴重，但因公教人數比勞工少，所以用很大的力度去改革，可是勞保看起來會一直拖下去，越拖問題會越嚴重（見本案調查報告130-131頁）。某教授認為：有關退撫基金撥補問題，原本</w:t>
      </w:r>
      <w:proofErr w:type="gramStart"/>
      <w:r w:rsidRPr="0075494B">
        <w:rPr>
          <w:rFonts w:hAnsi="標楷體" w:hint="eastAsia"/>
        </w:rPr>
        <w:t>提撥</w:t>
      </w:r>
      <w:proofErr w:type="gramEnd"/>
      <w:r w:rsidRPr="0075494B">
        <w:rPr>
          <w:rFonts w:hAnsi="標楷體" w:hint="eastAsia"/>
        </w:rPr>
        <w:t>費率9%到12%，法定（舊法）為12%到15%，但是精算報告指出，</w:t>
      </w:r>
      <w:proofErr w:type="gramStart"/>
      <w:r w:rsidRPr="0075494B">
        <w:rPr>
          <w:rFonts w:hAnsi="標楷體" w:hint="eastAsia"/>
        </w:rPr>
        <w:t>最</w:t>
      </w:r>
      <w:proofErr w:type="gramEnd"/>
      <w:r w:rsidRPr="0075494B">
        <w:rPr>
          <w:rFonts w:hAnsi="標楷體" w:hint="eastAsia"/>
        </w:rPr>
        <w:t>適</w:t>
      </w:r>
      <w:proofErr w:type="gramStart"/>
      <w:r w:rsidRPr="0075494B">
        <w:rPr>
          <w:rFonts w:hAnsi="標楷體" w:hint="eastAsia"/>
        </w:rPr>
        <w:t>提撥</w:t>
      </w:r>
      <w:proofErr w:type="gramEnd"/>
      <w:r w:rsidRPr="0075494B">
        <w:rPr>
          <w:rFonts w:hAnsi="標楷體" w:hint="eastAsia"/>
        </w:rPr>
        <w:t>費率是37%或38%到41%，</w:t>
      </w:r>
      <w:r w:rsidRPr="0075494B">
        <w:rPr>
          <w:rFonts w:hAnsi="標楷體"/>
        </w:rPr>
        <w:t>我贊成</w:t>
      </w:r>
      <w:r w:rsidRPr="0075494B">
        <w:rPr>
          <w:rFonts w:hAnsi="標楷體" w:hint="eastAsia"/>
        </w:rPr>
        <w:t>依照精算報告所提的</w:t>
      </w:r>
      <w:proofErr w:type="gramStart"/>
      <w:r w:rsidRPr="0075494B">
        <w:rPr>
          <w:rFonts w:hAnsi="標楷體" w:hint="eastAsia"/>
        </w:rPr>
        <w:t>最</w:t>
      </w:r>
      <w:proofErr w:type="gramEnd"/>
      <w:r w:rsidRPr="0075494B">
        <w:rPr>
          <w:rFonts w:hAnsi="標楷體" w:hint="eastAsia"/>
        </w:rPr>
        <w:t>適費率</w:t>
      </w:r>
      <w:proofErr w:type="gramStart"/>
      <w:r w:rsidRPr="0075494B">
        <w:rPr>
          <w:rFonts w:hAnsi="標楷體" w:hint="eastAsia"/>
        </w:rPr>
        <w:t>提撥</w:t>
      </w:r>
      <w:proofErr w:type="gramEnd"/>
      <w:r w:rsidRPr="0075494B">
        <w:rPr>
          <w:rFonts w:hAnsi="標楷體" w:hint="eastAsia"/>
        </w:rPr>
        <w:t>，但如此</w:t>
      </w:r>
      <w:proofErr w:type="gramStart"/>
      <w:r w:rsidRPr="0075494B">
        <w:rPr>
          <w:rFonts w:hAnsi="標楷體" w:hint="eastAsia"/>
        </w:rPr>
        <w:t>一來，</w:t>
      </w:r>
      <w:proofErr w:type="gramEnd"/>
      <w:r w:rsidRPr="0075494B">
        <w:rPr>
          <w:rFonts w:hAnsi="標楷體" w:hint="eastAsia"/>
        </w:rPr>
        <w:t>國家的財政支出相形吃重，因為政府要負擔</w:t>
      </w:r>
      <w:proofErr w:type="gramStart"/>
      <w:r w:rsidRPr="0075494B">
        <w:rPr>
          <w:rFonts w:hAnsi="標楷體" w:hint="eastAsia"/>
        </w:rPr>
        <w:t>提撥</w:t>
      </w:r>
      <w:proofErr w:type="gramEnd"/>
      <w:r w:rsidRPr="0075494B">
        <w:rPr>
          <w:rFonts w:hAnsi="標楷體" w:hint="eastAsia"/>
        </w:rPr>
        <w:t>金額的65%，公務員負擔其中的35%而已，新法不敢面對</w:t>
      </w:r>
      <w:proofErr w:type="gramStart"/>
      <w:r w:rsidRPr="0075494B">
        <w:rPr>
          <w:rFonts w:hAnsi="標楷體" w:hint="eastAsia"/>
        </w:rPr>
        <w:t>最</w:t>
      </w:r>
      <w:proofErr w:type="gramEnd"/>
      <w:r w:rsidRPr="0075494B">
        <w:rPr>
          <w:rFonts w:hAnsi="標楷體" w:hint="eastAsia"/>
        </w:rPr>
        <w:t>適</w:t>
      </w:r>
      <w:proofErr w:type="gramStart"/>
      <w:r w:rsidRPr="0075494B">
        <w:rPr>
          <w:rFonts w:hAnsi="標楷體" w:hint="eastAsia"/>
        </w:rPr>
        <w:t>提撥</w:t>
      </w:r>
      <w:proofErr w:type="gramEnd"/>
      <w:r w:rsidRPr="0075494B">
        <w:rPr>
          <w:rFonts w:hAnsi="標楷體" w:hint="eastAsia"/>
        </w:rPr>
        <w:t>費率，因此政府</w:t>
      </w:r>
      <w:proofErr w:type="gramStart"/>
      <w:r w:rsidRPr="0075494B">
        <w:rPr>
          <w:rFonts w:hAnsi="標楷體" w:hint="eastAsia"/>
        </w:rPr>
        <w:t>一提撥</w:t>
      </w:r>
      <w:proofErr w:type="gramEnd"/>
      <w:r w:rsidRPr="0075494B">
        <w:rPr>
          <w:rFonts w:hAnsi="標楷體" w:hint="eastAsia"/>
        </w:rPr>
        <w:t>就要失血幾百億元。這個迷</w:t>
      </w:r>
      <w:proofErr w:type="gramStart"/>
      <w:r w:rsidRPr="0075494B">
        <w:rPr>
          <w:rFonts w:hAnsi="標楷體" w:hint="eastAsia"/>
        </w:rPr>
        <w:t>思要講清楚，</w:t>
      </w:r>
      <w:proofErr w:type="gramEnd"/>
      <w:r w:rsidRPr="0075494B">
        <w:rPr>
          <w:rFonts w:hAnsi="標楷體" w:hint="eastAsia"/>
        </w:rPr>
        <w:t>公務員退休絕對不是100%的儲金制，公務員退休金是雙層制（第1層是公保的養老給付，第2層是退撫的月退休金），我贊成公保的養老給付成為公務員的退休金制度，這一點可以補救，因為目前的公保養老給付仍是一次性給付，一次養老給付可以年金化，為何公保養老給付不能用年金的方式來給付，這是沒有道理的，我認為一次領光退休金，是國家跟被保險人恩</w:t>
      </w:r>
      <w:proofErr w:type="gramStart"/>
      <w:r w:rsidRPr="0075494B">
        <w:rPr>
          <w:rFonts w:hAnsi="標楷體" w:hint="eastAsia"/>
        </w:rPr>
        <w:t>斷義絕</w:t>
      </w:r>
      <w:proofErr w:type="gramEnd"/>
      <w:r w:rsidRPr="0075494B">
        <w:rPr>
          <w:rFonts w:hAnsi="標楷體" w:hint="eastAsia"/>
        </w:rPr>
        <w:t>，這是不可以的。政府要不要</w:t>
      </w:r>
      <w:proofErr w:type="gramStart"/>
      <w:r w:rsidRPr="0075494B">
        <w:rPr>
          <w:rFonts w:hAnsi="標楷體" w:hint="eastAsia"/>
        </w:rPr>
        <w:t>提撥</w:t>
      </w:r>
      <w:proofErr w:type="gramEnd"/>
      <w:r w:rsidRPr="0075494B">
        <w:rPr>
          <w:rFonts w:hAnsi="標楷體" w:hint="eastAsia"/>
        </w:rPr>
        <w:t>退休金，是國家資源優先分配的問題，這有政策上的考量，認為多照顧勞工，選票比較多，多照顧公務員，沒選票，是政治選擇的問題。所以說，國家不會因公務員退休制度而破產，因為國家是公務員的雇主，公務員是政府的受</w:t>
      </w:r>
      <w:proofErr w:type="gramStart"/>
      <w:r w:rsidRPr="0075494B">
        <w:rPr>
          <w:rFonts w:hAnsi="標楷體" w:hint="eastAsia"/>
        </w:rPr>
        <w:t>僱</w:t>
      </w:r>
      <w:proofErr w:type="gramEnd"/>
      <w:r w:rsidRPr="0075494B">
        <w:rPr>
          <w:rFonts w:hAnsi="標楷體" w:hint="eastAsia"/>
        </w:rPr>
        <w:t>人，哪有說退撫基金破產了就不給錢，但是政府還在、國庫還在，只是這個錢拿去給付公務員的退休金，可能前瞻計畫就沒有了，或少一點了，武器就少買一點了，是優先順序問題，這個可以思考，但至少國家不可以用破產，「不堪負荷」四個字，作為改革公務員退休制度的唯一理由，因為「破產」這兩</w:t>
      </w:r>
      <w:proofErr w:type="gramStart"/>
      <w:r w:rsidRPr="0075494B">
        <w:rPr>
          <w:rFonts w:hAnsi="標楷體" w:hint="eastAsia"/>
        </w:rPr>
        <w:t>個</w:t>
      </w:r>
      <w:proofErr w:type="gramEnd"/>
      <w:r w:rsidRPr="0075494B">
        <w:rPr>
          <w:rFonts w:hAnsi="標楷體" w:hint="eastAsia"/>
        </w:rPr>
        <w:t>字是假議題，國家不會破產，何謂破產？指的是退撫基金的收入和支出不能平衡叫破產，這樣的話，早就破產了，因為永遠不會「進」大於「出」，</w:t>
      </w:r>
      <w:proofErr w:type="gramStart"/>
      <w:r w:rsidRPr="0075494B">
        <w:rPr>
          <w:rFonts w:hAnsi="標楷體" w:hint="eastAsia"/>
        </w:rPr>
        <w:t>少子化</w:t>
      </w:r>
      <w:proofErr w:type="gramEnd"/>
      <w:r w:rsidRPr="0075494B">
        <w:rPr>
          <w:rFonts w:hAnsi="標楷體" w:hint="eastAsia"/>
        </w:rPr>
        <w:t>後，公務員是新進的少，退休的多，基金不平衡本來國庫就要</w:t>
      </w:r>
      <w:proofErr w:type="gramStart"/>
      <w:r w:rsidRPr="0075494B">
        <w:rPr>
          <w:rFonts w:hAnsi="標楷體" w:hint="eastAsia"/>
        </w:rPr>
        <w:t>挹</w:t>
      </w:r>
      <w:proofErr w:type="gramEnd"/>
      <w:r w:rsidRPr="0075494B">
        <w:rPr>
          <w:rFonts w:hAnsi="標楷體" w:hint="eastAsia"/>
        </w:rPr>
        <w:t>注基金，加上公務員的退休制度不是100%的儲金制，65%是國家要</w:t>
      </w:r>
      <w:proofErr w:type="gramStart"/>
      <w:r w:rsidRPr="0075494B">
        <w:rPr>
          <w:rFonts w:hAnsi="標楷體" w:hint="eastAsia"/>
        </w:rPr>
        <w:t>提撥</w:t>
      </w:r>
      <w:proofErr w:type="gramEnd"/>
      <w:r w:rsidRPr="0075494B">
        <w:rPr>
          <w:rFonts w:hAnsi="標楷體" w:hint="eastAsia"/>
        </w:rPr>
        <w:t>的，卻</w:t>
      </w:r>
      <w:proofErr w:type="gramStart"/>
      <w:r w:rsidRPr="0075494B">
        <w:rPr>
          <w:rFonts w:hAnsi="標楷體" w:hint="eastAsia"/>
        </w:rPr>
        <w:t>不</w:t>
      </w:r>
      <w:proofErr w:type="gramEnd"/>
      <w:r w:rsidRPr="0075494B">
        <w:rPr>
          <w:rFonts w:hAnsi="標楷體" w:hint="eastAsia"/>
        </w:rPr>
        <w:t>足額</w:t>
      </w:r>
      <w:proofErr w:type="gramStart"/>
      <w:r w:rsidRPr="0075494B">
        <w:rPr>
          <w:rFonts w:hAnsi="標楷體" w:hint="eastAsia"/>
        </w:rPr>
        <w:t>提撥</w:t>
      </w:r>
      <w:proofErr w:type="gramEnd"/>
      <w:r w:rsidRPr="0075494B">
        <w:rPr>
          <w:rFonts w:hAnsi="標楷體" w:hint="eastAsia"/>
        </w:rPr>
        <w:t>。依照第6次精算報告所示，公務員的</w:t>
      </w:r>
      <w:proofErr w:type="gramStart"/>
      <w:r w:rsidRPr="0075494B">
        <w:rPr>
          <w:rFonts w:hAnsi="標楷體" w:hint="eastAsia"/>
        </w:rPr>
        <w:t>最</w:t>
      </w:r>
      <w:proofErr w:type="gramEnd"/>
      <w:r w:rsidRPr="0075494B">
        <w:rPr>
          <w:rFonts w:hAnsi="標楷體" w:hint="eastAsia"/>
        </w:rPr>
        <w:t>適</w:t>
      </w:r>
      <w:proofErr w:type="gramStart"/>
      <w:r w:rsidRPr="0075494B">
        <w:rPr>
          <w:rFonts w:hAnsi="標楷體" w:hint="eastAsia"/>
        </w:rPr>
        <w:t>提撥</w:t>
      </w:r>
      <w:proofErr w:type="gramEnd"/>
      <w:r w:rsidRPr="0075494B">
        <w:rPr>
          <w:rFonts w:hAnsi="標楷體" w:hint="eastAsia"/>
        </w:rPr>
        <w:t>率達37%這麼高，如果足額</w:t>
      </w:r>
      <w:proofErr w:type="gramStart"/>
      <w:r w:rsidRPr="0075494B">
        <w:rPr>
          <w:rFonts w:hAnsi="標楷體" w:hint="eastAsia"/>
        </w:rPr>
        <w:t>提撥</w:t>
      </w:r>
      <w:proofErr w:type="gramEnd"/>
      <w:r w:rsidRPr="0075494B">
        <w:rPr>
          <w:rFonts w:hAnsi="標楷體" w:hint="eastAsia"/>
        </w:rPr>
        <w:t>，不只是公務員，國庫也會重傷的，政府這次年金改革為何不處理這一問題呢？國家要負擔</w:t>
      </w:r>
      <w:proofErr w:type="gramStart"/>
      <w:r w:rsidRPr="0075494B">
        <w:rPr>
          <w:rFonts w:hAnsi="標楷體" w:hint="eastAsia"/>
        </w:rPr>
        <w:t>提撥</w:t>
      </w:r>
      <w:proofErr w:type="gramEnd"/>
      <w:r w:rsidRPr="0075494B">
        <w:rPr>
          <w:rFonts w:hAnsi="標楷體" w:hint="eastAsia"/>
        </w:rPr>
        <w:t>退休金的65%，公務員才負擔35%，而</w:t>
      </w:r>
      <w:proofErr w:type="gramStart"/>
      <w:r w:rsidRPr="0075494B">
        <w:rPr>
          <w:rFonts w:hAnsi="標楷體" w:hint="eastAsia"/>
        </w:rPr>
        <w:t>最</w:t>
      </w:r>
      <w:proofErr w:type="gramEnd"/>
      <w:r w:rsidRPr="0075494B">
        <w:rPr>
          <w:rFonts w:hAnsi="標楷體" w:hint="eastAsia"/>
        </w:rPr>
        <w:t>適</w:t>
      </w:r>
      <w:proofErr w:type="gramStart"/>
      <w:r w:rsidRPr="0075494B">
        <w:rPr>
          <w:rFonts w:hAnsi="標楷體" w:hint="eastAsia"/>
        </w:rPr>
        <w:t>提撥</w:t>
      </w:r>
      <w:proofErr w:type="gramEnd"/>
      <w:r w:rsidRPr="0075494B">
        <w:rPr>
          <w:rFonts w:hAnsi="標楷體" w:hint="eastAsia"/>
        </w:rPr>
        <w:t>率高到近37%，所以，長期</w:t>
      </w:r>
      <w:proofErr w:type="gramStart"/>
      <w:r w:rsidRPr="0075494B">
        <w:rPr>
          <w:rFonts w:hAnsi="標楷體" w:hint="eastAsia"/>
        </w:rPr>
        <w:t>不</w:t>
      </w:r>
      <w:proofErr w:type="gramEnd"/>
      <w:r w:rsidRPr="0075494B">
        <w:rPr>
          <w:rFonts w:hAnsi="標楷體" w:hint="eastAsia"/>
        </w:rPr>
        <w:t>足額</w:t>
      </w:r>
      <w:proofErr w:type="gramStart"/>
      <w:r w:rsidRPr="0075494B">
        <w:rPr>
          <w:rFonts w:hAnsi="標楷體" w:hint="eastAsia"/>
        </w:rPr>
        <w:t>提撥</w:t>
      </w:r>
      <w:proofErr w:type="gramEnd"/>
      <w:r w:rsidRPr="0075494B">
        <w:rPr>
          <w:rFonts w:hAnsi="標楷體" w:hint="eastAsia"/>
        </w:rPr>
        <w:t>是錯誤的政策。所謂國家會破產，退撫基金不堪負荷，是假議題，真正議題是，公務員退休金問題不值得政府關愛，政府關愛的是一般勞工和國民年金，基於選票考量（見本案調查報告第133、135-136頁）。據陳訴人指稱：依照</w:t>
      </w:r>
      <w:proofErr w:type="gramStart"/>
      <w:r w:rsidRPr="0075494B">
        <w:rPr>
          <w:rFonts w:hAnsi="標楷體" w:hint="eastAsia"/>
        </w:rPr>
        <w:t>銓敘部與教育部</w:t>
      </w:r>
      <w:proofErr w:type="gramEnd"/>
      <w:r w:rsidRPr="0075494B">
        <w:rPr>
          <w:rFonts w:hAnsi="標楷體" w:hint="eastAsia"/>
        </w:rPr>
        <w:t>委託精算結果，年金改革後</w:t>
      </w:r>
      <w:r w:rsidRPr="0075494B">
        <w:rPr>
          <w:rFonts w:hAnsi="標楷體"/>
        </w:rPr>
        <w:t>未來50年</w:t>
      </w:r>
      <w:r w:rsidRPr="0075494B">
        <w:rPr>
          <w:rFonts w:hAnsi="標楷體" w:hint="eastAsia"/>
        </w:rPr>
        <w:t>，各級政府預算可節省約</w:t>
      </w:r>
      <w:r w:rsidRPr="0075494B">
        <w:rPr>
          <w:rFonts w:hAnsi="標楷體"/>
        </w:rPr>
        <w:t>1.4</w:t>
      </w:r>
      <w:r w:rsidRPr="0075494B">
        <w:rPr>
          <w:rFonts w:hAnsi="標楷體" w:hint="eastAsia"/>
        </w:rPr>
        <w:t>兆元</w:t>
      </w:r>
      <w:r w:rsidRPr="0075494B">
        <w:rPr>
          <w:rFonts w:hAnsi="標楷體"/>
        </w:rPr>
        <w:t>(</w:t>
      </w:r>
      <w:r w:rsidRPr="0075494B">
        <w:rPr>
          <w:rFonts w:hAnsi="標楷體" w:hint="eastAsia"/>
        </w:rPr>
        <w:t>公務人員0.</w:t>
      </w:r>
      <w:r w:rsidRPr="0075494B">
        <w:rPr>
          <w:rFonts w:hAnsi="標楷體"/>
        </w:rPr>
        <w:t>73</w:t>
      </w:r>
      <w:r w:rsidRPr="0075494B">
        <w:rPr>
          <w:rFonts w:hAnsi="標楷體" w:hint="eastAsia"/>
        </w:rPr>
        <w:t>兆元、教育人員0.</w:t>
      </w:r>
      <w:r w:rsidRPr="0075494B">
        <w:rPr>
          <w:rFonts w:hAnsi="標楷體"/>
        </w:rPr>
        <w:t>67</w:t>
      </w:r>
      <w:r w:rsidRPr="0075494B">
        <w:rPr>
          <w:rFonts w:hAnsi="標楷體" w:hint="eastAsia"/>
        </w:rPr>
        <w:t>兆元</w:t>
      </w:r>
      <w:proofErr w:type="gramStart"/>
      <w:r w:rsidRPr="0075494B">
        <w:rPr>
          <w:rFonts w:hAnsi="標楷體" w:hint="eastAsia"/>
        </w:rPr>
        <w:t>）</w:t>
      </w:r>
      <w:proofErr w:type="gramEnd"/>
      <w:r w:rsidRPr="0075494B">
        <w:rPr>
          <w:rFonts w:hAnsi="標楷體" w:hint="eastAsia"/>
        </w:rPr>
        <w:t>，然而，政府推動前瞻基礎建設，短短8</w:t>
      </w:r>
      <w:r w:rsidRPr="0075494B">
        <w:rPr>
          <w:rFonts w:hAnsi="標楷體"/>
        </w:rPr>
        <w:t>年</w:t>
      </w:r>
      <w:proofErr w:type="gramStart"/>
      <w:r w:rsidRPr="0075494B">
        <w:rPr>
          <w:rFonts w:hAnsi="標楷體" w:hint="eastAsia"/>
        </w:rPr>
        <w:t>期間，</w:t>
      </w:r>
      <w:proofErr w:type="gramEnd"/>
      <w:r w:rsidRPr="0075494B">
        <w:rPr>
          <w:rFonts w:hAnsi="標楷體" w:hint="eastAsia"/>
        </w:rPr>
        <w:t>所需經費</w:t>
      </w:r>
      <w:r w:rsidRPr="0075494B">
        <w:rPr>
          <w:rFonts w:hAnsi="標楷體"/>
        </w:rPr>
        <w:t>總額高達</w:t>
      </w:r>
      <w:r w:rsidRPr="0075494B">
        <w:rPr>
          <w:rFonts w:hAnsi="標楷體" w:hint="eastAsia"/>
        </w:rPr>
        <w:t>1.19兆元</w:t>
      </w:r>
      <w:proofErr w:type="gramStart"/>
      <w:r w:rsidRPr="0075494B">
        <w:rPr>
          <w:rFonts w:hAnsi="標楷體" w:hint="eastAsia"/>
        </w:rPr>
        <w:t>﹝</w:t>
      </w:r>
      <w:proofErr w:type="gramEnd"/>
      <w:r w:rsidRPr="0075494B">
        <w:rPr>
          <w:rFonts w:hAnsi="標楷體" w:hint="eastAsia"/>
        </w:rPr>
        <w:t>按106年7月7日施行</w:t>
      </w:r>
      <w:r w:rsidRPr="0075494B">
        <w:rPr>
          <w:rFonts w:hAnsi="標楷體"/>
        </w:rPr>
        <w:t>《前瞻基礎建設特別條例》明定</w:t>
      </w:r>
      <w:r w:rsidRPr="0075494B">
        <w:rPr>
          <w:rFonts w:hAnsi="標楷體" w:hint="eastAsia"/>
        </w:rPr>
        <w:t>，</w:t>
      </w:r>
      <w:r w:rsidRPr="0075494B">
        <w:rPr>
          <w:rFonts w:hAnsi="標楷體"/>
        </w:rPr>
        <w:t>中央政府以</w:t>
      </w:r>
      <w:r w:rsidRPr="0075494B">
        <w:rPr>
          <w:rFonts w:hAnsi="標楷體" w:hint="eastAsia"/>
        </w:rPr>
        <w:t>4</w:t>
      </w:r>
      <w:r w:rsidRPr="0075494B">
        <w:rPr>
          <w:rFonts w:hAnsi="標楷體"/>
        </w:rPr>
        <w:t>年為期，編列</w:t>
      </w:r>
      <w:r w:rsidRPr="0075494B">
        <w:rPr>
          <w:rFonts w:hAnsi="標楷體" w:hint="eastAsia"/>
        </w:rPr>
        <w:t>0.42兆</w:t>
      </w:r>
      <w:r w:rsidRPr="0075494B">
        <w:rPr>
          <w:rFonts w:hAnsi="標楷體"/>
        </w:rPr>
        <w:t>元預算，期滿後可編列不超過前期規模的預算</w:t>
      </w:r>
      <w:r w:rsidRPr="0075494B">
        <w:rPr>
          <w:rFonts w:hAnsi="標楷體" w:hint="eastAsia"/>
        </w:rPr>
        <w:t>，8</w:t>
      </w:r>
      <w:r w:rsidRPr="0075494B">
        <w:rPr>
          <w:rFonts w:hAnsi="標楷體"/>
        </w:rPr>
        <w:t>年最多</w:t>
      </w:r>
      <w:r w:rsidRPr="0075494B">
        <w:rPr>
          <w:rFonts w:hAnsi="標楷體" w:hint="eastAsia"/>
        </w:rPr>
        <w:t>0.84兆</w:t>
      </w:r>
      <w:r w:rsidRPr="0075494B">
        <w:rPr>
          <w:rFonts w:hAnsi="標楷體"/>
        </w:rPr>
        <w:t>元</w:t>
      </w:r>
      <w:r w:rsidRPr="0075494B">
        <w:rPr>
          <w:rFonts w:hAnsi="標楷體" w:hint="eastAsia"/>
        </w:rPr>
        <w:t>，而</w:t>
      </w:r>
      <w:r w:rsidRPr="0075494B">
        <w:rPr>
          <w:rFonts w:hAnsi="標楷體"/>
        </w:rPr>
        <w:t>整個前瞻計畫不只中央要</w:t>
      </w:r>
      <w:r w:rsidRPr="0075494B">
        <w:rPr>
          <w:rFonts w:hAnsi="標楷體" w:hint="eastAsia"/>
        </w:rPr>
        <w:t>編列特別預算</w:t>
      </w:r>
      <w:r w:rsidRPr="0075494B">
        <w:rPr>
          <w:rFonts w:hAnsi="標楷體"/>
        </w:rPr>
        <w:t>，地方政府也要自籌配合款</w:t>
      </w:r>
      <w:r w:rsidRPr="0075494B">
        <w:rPr>
          <w:rFonts w:hAnsi="標楷體" w:hint="eastAsia"/>
        </w:rPr>
        <w:t>0.35兆元，</w:t>
      </w:r>
      <w:r w:rsidRPr="0075494B">
        <w:rPr>
          <w:rFonts w:hAnsi="標楷體"/>
        </w:rPr>
        <w:t>總額高達</w:t>
      </w:r>
      <w:r w:rsidRPr="0075494B">
        <w:rPr>
          <w:rFonts w:hAnsi="標楷體" w:hint="eastAsia"/>
        </w:rPr>
        <w:t>1.19兆元</w:t>
      </w:r>
      <w:proofErr w:type="gramStart"/>
      <w:r w:rsidRPr="0075494B">
        <w:rPr>
          <w:rFonts w:hAnsi="標楷體" w:hint="eastAsia"/>
        </w:rPr>
        <w:t>﹞</w:t>
      </w:r>
      <w:proofErr w:type="gramEnd"/>
      <w:r w:rsidRPr="0075494B">
        <w:rPr>
          <w:rFonts w:hAnsi="標楷體" w:hint="eastAsia"/>
        </w:rPr>
        <w:t>。況且，根據</w:t>
      </w:r>
      <w:r w:rsidRPr="0075494B">
        <w:rPr>
          <w:rFonts w:hAnsi="標楷體"/>
        </w:rPr>
        <w:t>國立臺灣師範大學美術學系兼任副教授姚瑞中</w:t>
      </w:r>
      <w:r w:rsidRPr="0075494B">
        <w:rPr>
          <w:rFonts w:hAnsi="標楷體" w:hint="eastAsia"/>
        </w:rPr>
        <w:t>與</w:t>
      </w:r>
      <w:r w:rsidRPr="0075494B">
        <w:rPr>
          <w:rFonts w:hAnsi="標楷體"/>
        </w:rPr>
        <w:t>「失落社會檔案室」</w:t>
      </w:r>
      <w:r w:rsidRPr="0075494B">
        <w:rPr>
          <w:rFonts w:hAnsi="標楷體" w:hint="eastAsia"/>
        </w:rPr>
        <w:t>（LSD）自99</w:t>
      </w:r>
      <w:r w:rsidRPr="0075494B">
        <w:rPr>
          <w:rFonts w:hAnsi="標楷體"/>
        </w:rPr>
        <w:t>年</w:t>
      </w:r>
      <w:r w:rsidRPr="0075494B">
        <w:rPr>
          <w:rFonts w:hAnsi="標楷體" w:hint="eastAsia"/>
        </w:rPr>
        <w:t>至今</w:t>
      </w:r>
      <w:r w:rsidRPr="0075494B">
        <w:rPr>
          <w:rFonts w:hAnsi="標楷體"/>
        </w:rPr>
        <w:t>啟動</w:t>
      </w:r>
      <w:proofErr w:type="gramStart"/>
      <w:r w:rsidRPr="0075494B">
        <w:rPr>
          <w:rFonts w:hAnsi="標楷體"/>
        </w:rPr>
        <w:t>〈</w:t>
      </w:r>
      <w:proofErr w:type="gramEnd"/>
      <w:r w:rsidRPr="0075494B">
        <w:rPr>
          <w:rFonts w:hAnsi="標楷體"/>
        </w:rPr>
        <w:t>海市蜃樓：台灣閒置公共設施抽樣踏查</w:t>
      </w:r>
      <w:proofErr w:type="gramStart"/>
      <w:r w:rsidRPr="0075494B">
        <w:rPr>
          <w:rFonts w:hAnsi="標楷體"/>
        </w:rPr>
        <w:t>〉</w:t>
      </w:r>
      <w:proofErr w:type="gramEnd"/>
      <w:r w:rsidRPr="0075494B">
        <w:rPr>
          <w:rFonts w:hAnsi="標楷體"/>
        </w:rPr>
        <w:t>計畫</w:t>
      </w:r>
      <w:r w:rsidRPr="0075494B">
        <w:rPr>
          <w:rFonts w:hAnsi="標楷體" w:hint="eastAsia"/>
        </w:rPr>
        <w:t>，</w:t>
      </w:r>
      <w:r w:rsidRPr="0075494B">
        <w:rPr>
          <w:rFonts w:hAnsi="標楷體"/>
        </w:rPr>
        <w:t>揭露超過</w:t>
      </w:r>
      <w:r w:rsidRPr="0075494B">
        <w:rPr>
          <w:rFonts w:hAnsi="標楷體" w:hint="eastAsia"/>
        </w:rPr>
        <w:t>680</w:t>
      </w:r>
      <w:r w:rsidRPr="0075494B">
        <w:rPr>
          <w:rFonts w:hAnsi="標楷體"/>
        </w:rPr>
        <w:t>座閒置公共設施</w:t>
      </w:r>
      <w:r w:rsidRPr="0075494B">
        <w:rPr>
          <w:rFonts w:hAnsi="標楷體" w:hint="eastAsia"/>
        </w:rPr>
        <w:t>案例，</w:t>
      </w:r>
      <w:r w:rsidRPr="0075494B">
        <w:rPr>
          <w:rFonts w:hAnsi="標楷體"/>
        </w:rPr>
        <w:t>虛擲公</w:t>
      </w:r>
      <w:proofErr w:type="gramStart"/>
      <w:r w:rsidRPr="0075494B">
        <w:rPr>
          <w:rFonts w:hAnsi="標楷體"/>
        </w:rPr>
        <w:t>帑</w:t>
      </w:r>
      <w:proofErr w:type="gramEnd"/>
      <w:r w:rsidRPr="0075494B">
        <w:rPr>
          <w:rFonts w:hAnsi="標楷體" w:hint="eastAsia"/>
        </w:rPr>
        <w:t>，</w:t>
      </w:r>
      <w:r w:rsidRPr="0075494B">
        <w:rPr>
          <w:rFonts w:hAnsi="標楷體"/>
        </w:rPr>
        <w:t>可見一斑</w:t>
      </w:r>
      <w:r w:rsidRPr="0075494B">
        <w:rPr>
          <w:rFonts w:hAnsi="標楷體" w:hint="eastAsia"/>
        </w:rPr>
        <w:t>。</w:t>
      </w:r>
      <w:r w:rsidRPr="0075494B">
        <w:rPr>
          <w:rFonts w:hAnsi="標楷體"/>
        </w:rPr>
        <w:t>立法院預算中心</w:t>
      </w:r>
      <w:r w:rsidRPr="0075494B">
        <w:rPr>
          <w:rFonts w:hAnsi="標楷體" w:hint="eastAsia"/>
        </w:rPr>
        <w:t>「</w:t>
      </w:r>
      <w:r w:rsidRPr="0075494B">
        <w:rPr>
          <w:rFonts w:hAnsi="標楷體"/>
        </w:rPr>
        <w:t>中央政府前瞻基礎建設計畫第</w:t>
      </w:r>
      <w:r w:rsidRPr="0075494B">
        <w:rPr>
          <w:rFonts w:hAnsi="標楷體" w:hint="eastAsia"/>
        </w:rPr>
        <w:t>1</w:t>
      </w:r>
      <w:r w:rsidRPr="0075494B">
        <w:rPr>
          <w:rFonts w:hAnsi="標楷體"/>
        </w:rPr>
        <w:t>期特別預算案評估報告</w:t>
      </w:r>
      <w:r w:rsidRPr="0075494B">
        <w:rPr>
          <w:rFonts w:hAnsi="標楷體" w:hint="eastAsia"/>
        </w:rPr>
        <w:t>」亦指明，</w:t>
      </w:r>
      <w:r w:rsidRPr="0075494B">
        <w:rPr>
          <w:rFonts w:hAnsi="標楷體"/>
        </w:rPr>
        <w:t>經檢視</w:t>
      </w:r>
      <w:r w:rsidRPr="0075494B">
        <w:rPr>
          <w:rFonts w:hAnsi="標楷體" w:hint="eastAsia"/>
        </w:rPr>
        <w:t>本院</w:t>
      </w:r>
      <w:r w:rsidRPr="0075494B">
        <w:rPr>
          <w:rFonts w:hAnsi="標楷體"/>
        </w:rPr>
        <w:t>調查報告及糾正案，發現以往年度以特別預算推動辦理公共建設計畫存有設施或設備閒置或低度利用情形，且部分計畫發生嚴重浪費公</w:t>
      </w:r>
      <w:proofErr w:type="gramStart"/>
      <w:r w:rsidRPr="0075494B">
        <w:rPr>
          <w:rFonts w:hAnsi="標楷體"/>
        </w:rPr>
        <w:t>帑</w:t>
      </w:r>
      <w:proofErr w:type="gramEnd"/>
      <w:r w:rsidRPr="0075494B">
        <w:rPr>
          <w:rFonts w:hAnsi="標楷體" w:hint="eastAsia"/>
        </w:rPr>
        <w:t>等</w:t>
      </w:r>
      <w:r w:rsidRPr="0075494B">
        <w:rPr>
          <w:rFonts w:hAnsi="標楷體"/>
        </w:rPr>
        <w:t>情</w:t>
      </w:r>
      <w:r w:rsidRPr="0075494B">
        <w:rPr>
          <w:rFonts w:hAnsi="標楷體" w:hint="eastAsia"/>
        </w:rPr>
        <w:t>，</w:t>
      </w:r>
      <w:r w:rsidRPr="0075494B">
        <w:rPr>
          <w:rFonts w:hAnsi="標楷體"/>
        </w:rPr>
        <w:t>各主管機關或執行機關</w:t>
      </w:r>
      <w:r w:rsidRPr="0075494B">
        <w:rPr>
          <w:rFonts w:hAnsi="標楷體" w:hint="eastAsia"/>
        </w:rPr>
        <w:t>應</w:t>
      </w:r>
      <w:r w:rsidRPr="0075494B">
        <w:rPr>
          <w:rFonts w:hAnsi="標楷體"/>
        </w:rPr>
        <w:t>避免前瞻基礎建設重蹈覆轍</w:t>
      </w:r>
      <w:r w:rsidRPr="0075494B">
        <w:rPr>
          <w:rFonts w:hAnsi="標楷體" w:hint="eastAsia"/>
        </w:rPr>
        <w:t>。</w:t>
      </w:r>
    </w:p>
  </w:footnote>
  <w:footnote w:id="64">
    <w:p w:rsidR="00EF4EDE" w:rsidRPr="0075494B" w:rsidRDefault="00EF4EDE" w:rsidP="00974DBE">
      <w:pPr>
        <w:pStyle w:val="aff"/>
        <w:rPr>
          <w:rFonts w:hAnsi="標楷體"/>
        </w:rPr>
      </w:pPr>
      <w:r w:rsidRPr="0075494B">
        <w:rPr>
          <w:rStyle w:val="aff1"/>
          <w:rFonts w:hAnsi="標楷體"/>
        </w:rPr>
        <w:footnoteRef/>
      </w:r>
      <w:r w:rsidRPr="0075494B">
        <w:rPr>
          <w:rFonts w:hAnsi="標楷體" w:hint="eastAsia"/>
        </w:rPr>
        <w:t xml:space="preserve"> 吳庚，行政法之理論與實用10版，第63-68頁。</w:t>
      </w:r>
    </w:p>
  </w:footnote>
  <w:footnote w:id="65">
    <w:p w:rsidR="00EF4EDE" w:rsidRPr="0075494B" w:rsidRDefault="00EF4EDE">
      <w:pPr>
        <w:pStyle w:val="aff"/>
        <w:rPr>
          <w:rFonts w:hAnsi="標楷體"/>
        </w:rPr>
      </w:pPr>
      <w:r w:rsidRPr="0075494B">
        <w:rPr>
          <w:rStyle w:val="aff1"/>
          <w:rFonts w:hAnsi="標楷體"/>
        </w:rPr>
        <w:footnoteRef/>
      </w:r>
      <w:r w:rsidRPr="0075494B">
        <w:rPr>
          <w:rFonts w:hAnsi="標楷體" w:hint="eastAsia"/>
        </w:rPr>
        <w:t xml:space="preserve"> 林錫堯，行政法要義，臺北市，</w:t>
      </w:r>
      <w:proofErr w:type="gramStart"/>
      <w:r w:rsidR="00C860DD" w:rsidRPr="0075494B">
        <w:rPr>
          <w:rFonts w:hAnsi="標楷體" w:hint="eastAsia"/>
        </w:rPr>
        <w:t>自刊</w:t>
      </w:r>
      <w:proofErr w:type="gramEnd"/>
      <w:r w:rsidRPr="0075494B">
        <w:rPr>
          <w:rFonts w:hAnsi="標楷體" w:hint="eastAsia"/>
        </w:rPr>
        <w:t>，</w:t>
      </w:r>
      <w:r w:rsidR="00C860DD" w:rsidRPr="0075494B">
        <w:rPr>
          <w:rFonts w:hAnsi="標楷體" w:hint="eastAsia"/>
        </w:rPr>
        <w:t>88年</w:t>
      </w:r>
      <w:proofErr w:type="gramStart"/>
      <w:r w:rsidR="00C860DD" w:rsidRPr="0075494B">
        <w:rPr>
          <w:rFonts w:hAnsi="標楷體" w:hint="eastAsia"/>
        </w:rPr>
        <w:t>增修版</w:t>
      </w:r>
      <w:proofErr w:type="gramEnd"/>
      <w:r w:rsidRPr="0075494B">
        <w:rPr>
          <w:rFonts w:hAnsi="標楷體" w:hint="eastAsia"/>
        </w:rPr>
        <w:t>，第</w:t>
      </w:r>
      <w:r w:rsidR="00C860DD" w:rsidRPr="0075494B">
        <w:rPr>
          <w:rFonts w:hAnsi="標楷體" w:hint="eastAsia"/>
        </w:rPr>
        <w:t>61-66</w:t>
      </w:r>
      <w:r w:rsidRPr="0075494B">
        <w:rPr>
          <w:rFonts w:hAnsi="標楷體" w:hint="eastAsia"/>
        </w:rPr>
        <w:t>頁。</w:t>
      </w:r>
    </w:p>
  </w:footnote>
  <w:footnote w:id="66">
    <w:p w:rsidR="00C860DD" w:rsidRPr="0075494B" w:rsidRDefault="00C860DD">
      <w:pPr>
        <w:pStyle w:val="aff"/>
      </w:pPr>
      <w:r w:rsidRPr="0075494B">
        <w:rPr>
          <w:rStyle w:val="aff1"/>
        </w:rPr>
        <w:footnoteRef/>
      </w:r>
      <w:r w:rsidRPr="0075494B">
        <w:rPr>
          <w:rFonts w:hint="eastAsia"/>
        </w:rPr>
        <w:t>林錫堯，行政法要義，臺北市，</w:t>
      </w:r>
      <w:proofErr w:type="gramStart"/>
      <w:r w:rsidRPr="0075494B">
        <w:rPr>
          <w:rFonts w:hint="eastAsia"/>
        </w:rPr>
        <w:t>自刊</w:t>
      </w:r>
      <w:proofErr w:type="gramEnd"/>
      <w:r w:rsidRPr="0075494B">
        <w:rPr>
          <w:rFonts w:hint="eastAsia"/>
        </w:rPr>
        <w:t>，88年</w:t>
      </w:r>
      <w:proofErr w:type="gramStart"/>
      <w:r w:rsidRPr="0075494B">
        <w:rPr>
          <w:rFonts w:hint="eastAsia"/>
        </w:rPr>
        <w:t>增修版</w:t>
      </w:r>
      <w:proofErr w:type="gramEnd"/>
      <w:r w:rsidRPr="0075494B">
        <w:rPr>
          <w:rFonts w:hint="eastAsia"/>
        </w:rPr>
        <w:t>，第61頁。</w:t>
      </w:r>
    </w:p>
  </w:footnote>
  <w:footnote w:id="67">
    <w:p w:rsidR="00EF4EDE" w:rsidRPr="0075494B" w:rsidRDefault="00EF4EDE" w:rsidP="00456D6D">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選擇信賴保護的措施：主張何種保護措施，應視具體案件的各個要素而定。所謂具體案件的各個要素，包括信賴利益的大小、信賴基礎的態樣、當事人所已取得之法律地位、法令溯及適用對於當事人權利影響的程度、溯及適用對於公益所造成的影響、溯及適用所能獲致之公益效應、新法秩序對於國家財政的衝擊等等。至於信賴保護措施，大致有「存續保障」(完全保障當事人既得權益)、「損失補償」（剝奪或限制人民的既得權益，但給予損失補償）以及「過渡條款」等3種。(</w:t>
      </w:r>
      <w:proofErr w:type="gramStart"/>
      <w:r w:rsidRPr="0075494B">
        <w:rPr>
          <w:rFonts w:hAnsi="標楷體" w:hint="eastAsia"/>
        </w:rPr>
        <w:t>一</w:t>
      </w:r>
      <w:proofErr w:type="gramEnd"/>
      <w:r w:rsidRPr="0075494B">
        <w:rPr>
          <w:rFonts w:hAnsi="標楷體" w:hint="eastAsia"/>
        </w:rPr>
        <w:t>)存續保障：修法時，若新法秩序被限制僅得適用於未來發生的案件，而排除適用在「目前已經發生的案件之上」（Beschränkung des neuen Rechts auf künftig entstehende Sachverhalte），此種規範本文稱之為「</w:t>
      </w:r>
      <w:proofErr w:type="gramStart"/>
      <w:r w:rsidRPr="0075494B">
        <w:rPr>
          <w:rFonts w:hAnsi="標楷體" w:hint="eastAsia"/>
        </w:rPr>
        <w:t>不</w:t>
      </w:r>
      <w:proofErr w:type="gramEnd"/>
      <w:r w:rsidRPr="0075494B">
        <w:rPr>
          <w:rFonts w:hAnsi="標楷體" w:hint="eastAsia"/>
        </w:rPr>
        <w:t>溯及適用條款」。例如某大學修改其學則，但明訂修改後的內容僅適用於未來入學的新生，而排除目前在學學生的適用。「</w:t>
      </w:r>
      <w:proofErr w:type="gramStart"/>
      <w:r w:rsidRPr="0075494B">
        <w:rPr>
          <w:rFonts w:hAnsi="標楷體" w:hint="eastAsia"/>
        </w:rPr>
        <w:t>不</w:t>
      </w:r>
      <w:proofErr w:type="gramEnd"/>
      <w:r w:rsidRPr="0075494B">
        <w:rPr>
          <w:rFonts w:hAnsi="標楷體" w:hint="eastAsia"/>
        </w:rPr>
        <w:t>溯及適用條款」可以充分保障人民之信賴，因為在新法施行前所已經發生的案件完全不受新法的影響，等於是「給予充分的存續保障」而不是所謂的「過渡條款」。但若修法時納入「</w:t>
      </w:r>
      <w:proofErr w:type="gramStart"/>
      <w:r w:rsidRPr="0075494B">
        <w:rPr>
          <w:rFonts w:hAnsi="標楷體" w:hint="eastAsia"/>
        </w:rPr>
        <w:t>不</w:t>
      </w:r>
      <w:proofErr w:type="gramEnd"/>
      <w:r w:rsidRPr="0075494B">
        <w:rPr>
          <w:rFonts w:hAnsi="標楷體" w:hint="eastAsia"/>
        </w:rPr>
        <w:t>溯及適用條款」將大幅度地縮減新法規範的適用</w:t>
      </w:r>
      <w:proofErr w:type="gramStart"/>
      <w:r w:rsidRPr="0075494B">
        <w:rPr>
          <w:rFonts w:hAnsi="標楷體" w:hint="eastAsia"/>
        </w:rPr>
        <w:t>範</w:t>
      </w:r>
      <w:proofErr w:type="gramEnd"/>
      <w:r w:rsidRPr="0075494B">
        <w:rPr>
          <w:rFonts w:hAnsi="標楷體" w:hint="eastAsia"/>
        </w:rPr>
        <w:t>圈，使「新法秩序所欲追求之公益目的」的實現大打折扣，並且延後，故是否納入此種條款，應參酌以下所述的思考模式，審慎評估。(二)損失補償：信賴保護的方式之一，是針對新法所帶給人民「信賴利益」之損失，予以補償</w:t>
      </w:r>
      <w:proofErr w:type="gramStart"/>
      <w:r w:rsidRPr="0075494B">
        <w:rPr>
          <w:rFonts w:hAnsi="標楷體" w:hint="eastAsia"/>
        </w:rPr>
        <w:t>（</w:t>
      </w:r>
      <w:proofErr w:type="gramEnd"/>
      <w:r w:rsidRPr="0075494B">
        <w:rPr>
          <w:rFonts w:hAnsi="標楷體" w:hint="eastAsia"/>
        </w:rPr>
        <w:t>Ersatz des Vertrauensschadens)。經由信賴利益之損失補償，一方面法秩序變動所欲追求的公益可以完整的實現，而另一方面人民的信賴利益，也因有「損失補償」制度而被尊重。</w:t>
      </w:r>
      <w:proofErr w:type="gramStart"/>
      <w:r w:rsidRPr="0075494B">
        <w:rPr>
          <w:rFonts w:hAnsi="標楷體" w:hint="eastAsia"/>
        </w:rPr>
        <w:t>若法秩序</w:t>
      </w:r>
      <w:proofErr w:type="gramEnd"/>
      <w:r w:rsidRPr="0075494B">
        <w:rPr>
          <w:rFonts w:hAnsi="標楷體" w:hint="eastAsia"/>
        </w:rPr>
        <w:t>變動所欲實現的公益不是非常急迫，原本可能在法益衡量時受制於人民之信賴利益而無法完全實現；但若此項修法方案納入「損失補償」條款，便形同提昇了正當性，而可以獲得較大程度的貫徹。(三)過渡條款；所謂「過渡條款」（Übergangsregelung），係指在修法時納入某種</w:t>
      </w:r>
      <w:proofErr w:type="gramStart"/>
      <w:r w:rsidRPr="0075494B">
        <w:rPr>
          <w:rFonts w:hAnsi="標楷體" w:hint="eastAsia"/>
        </w:rPr>
        <w:t>調和式的規範</w:t>
      </w:r>
      <w:proofErr w:type="gramEnd"/>
      <w:r w:rsidRPr="0075494B">
        <w:rPr>
          <w:rFonts w:hAnsi="標楷體" w:hint="eastAsia"/>
        </w:rPr>
        <w:t>，調和「法秩序修正所欲追求的公益」以及「當事人的信賴利益」。換言之，就是對這二種利益分別進行限縮，以追求最佳的調和利益，實現所謂的「過渡正義」（Übergangsgerechtigkeit）。在調和公</w:t>
      </w:r>
      <w:proofErr w:type="gramStart"/>
      <w:r w:rsidRPr="0075494B">
        <w:rPr>
          <w:rFonts w:hAnsi="標楷體" w:hint="eastAsia"/>
        </w:rPr>
        <w:t>私法益時</w:t>
      </w:r>
      <w:proofErr w:type="gramEnd"/>
      <w:r w:rsidRPr="0075494B">
        <w:rPr>
          <w:rFonts w:hAnsi="標楷體" w:hint="eastAsia"/>
        </w:rPr>
        <w:t>，也應注意遵守比例原則，在經由法秩序變革以追求公益時，不使人民蒙受不必要或不相當的信賴利益損失。過渡條款大致上可分為以下幾種類型：1.在時間上或案例類型上限制「得繼續適用舊法的範園」</w:t>
      </w:r>
      <w:proofErr w:type="gramStart"/>
      <w:r w:rsidRPr="0075494B">
        <w:rPr>
          <w:rFonts w:hAnsi="標楷體" w:hint="eastAsia"/>
        </w:rPr>
        <w:t>（</w:t>
      </w:r>
      <w:proofErr w:type="gramEnd"/>
      <w:r w:rsidRPr="0075494B">
        <w:rPr>
          <w:rFonts w:hAnsi="標楷體" w:hint="eastAsia"/>
        </w:rPr>
        <w:t>zeitlich oder sachlich eingeschränkte Aufrechterhaltung des alten Rechts)：若立法者對於「</w:t>
      </w:r>
      <w:proofErr w:type="gramStart"/>
      <w:r w:rsidRPr="0075494B">
        <w:rPr>
          <w:rFonts w:hAnsi="標楷體" w:hint="eastAsia"/>
        </w:rPr>
        <w:t>不</w:t>
      </w:r>
      <w:proofErr w:type="gramEnd"/>
      <w:r w:rsidRPr="0075494B">
        <w:rPr>
          <w:rFonts w:hAnsi="標楷體" w:hint="eastAsia"/>
        </w:rPr>
        <w:t>溯及適用條款」在「時間上」或「案例類型上」施加限制，就可歸類為「過渡條款」。所謂在「時間上」施加限制，係指在新法施行後的一段時間之內，容許施行前已經發生的案例得繼續適用舊法</w:t>
      </w:r>
      <w:proofErr w:type="gramStart"/>
      <w:r w:rsidRPr="0075494B">
        <w:rPr>
          <w:rFonts w:hAnsi="標楷體" w:hint="eastAsia"/>
        </w:rPr>
        <w:t>（</w:t>
      </w:r>
      <w:proofErr w:type="gramEnd"/>
      <w:r w:rsidRPr="0075494B">
        <w:rPr>
          <w:rFonts w:hAnsi="標楷體" w:hint="eastAsia"/>
        </w:rPr>
        <w:t>類型1.1.）；而所謂在「案例類型上」施加限制，則係指在新法施行前已經存在的案例中，僅容許一部分案例類型得繼續適用舊法</w:t>
      </w:r>
      <w:proofErr w:type="gramStart"/>
      <w:r w:rsidRPr="0075494B">
        <w:rPr>
          <w:rFonts w:hAnsi="標楷體" w:hint="eastAsia"/>
        </w:rPr>
        <w:t>（</w:t>
      </w:r>
      <w:proofErr w:type="gramEnd"/>
      <w:r w:rsidRPr="0075494B">
        <w:rPr>
          <w:rFonts w:hAnsi="標楷體" w:hint="eastAsia"/>
        </w:rPr>
        <w:t>類型1.2.）。當然，立法者在訂定此類型的過渡條款時，也可以兼</w:t>
      </w:r>
      <w:proofErr w:type="gramStart"/>
      <w:r w:rsidRPr="0075494B">
        <w:rPr>
          <w:rFonts w:hAnsi="標楷體" w:hint="eastAsia"/>
        </w:rPr>
        <w:t>採</w:t>
      </w:r>
      <w:proofErr w:type="gramEnd"/>
      <w:r w:rsidRPr="0075494B">
        <w:rPr>
          <w:rFonts w:hAnsi="標楷體" w:hint="eastAsia"/>
        </w:rPr>
        <w:t>「時間」與「案例類型」二項要素，來界定「得繼續適用舊法的範國」</w:t>
      </w:r>
      <w:proofErr w:type="gramStart"/>
      <w:r w:rsidRPr="0075494B">
        <w:rPr>
          <w:rFonts w:hAnsi="標楷體" w:hint="eastAsia"/>
        </w:rPr>
        <w:t>（</w:t>
      </w:r>
      <w:proofErr w:type="gramEnd"/>
      <w:r w:rsidRPr="0075494B">
        <w:rPr>
          <w:rFonts w:hAnsi="標楷體" w:hint="eastAsia"/>
        </w:rPr>
        <w:t>類型1.3.)。2.嚴苛排除條款(Härteklauseln)：係指當新法秩序施行之後，若其對於「</w:t>
      </w:r>
      <w:proofErr w:type="gramStart"/>
      <w:r w:rsidRPr="0075494B">
        <w:rPr>
          <w:rFonts w:hAnsi="標楷體" w:hint="eastAsia"/>
        </w:rPr>
        <w:t>某些」</w:t>
      </w:r>
      <w:proofErr w:type="gramEnd"/>
      <w:r w:rsidRPr="0075494B">
        <w:rPr>
          <w:rFonts w:hAnsi="標楷體" w:hint="eastAsia"/>
        </w:rPr>
        <w:t>案例造成過於嚴苛、難以期待當事人忍受的效果，可依據新法之規定對這些案例做必要的處理，以減輕其所受到新法秩序的衝擊。而所謂「減輕衝擊的必要處理措施」，包括「給予財產上的利益」以及「排除全部或一部分新法秩序的效果」。3.減輕新法的衝擊(Anpassungshilfen)：此種類型的過渡條款，係經由法令規範，減輕或排除新法秩序所帶給人民的</w:t>
      </w:r>
      <w:proofErr w:type="gramStart"/>
      <w:r w:rsidRPr="0075494B">
        <w:rPr>
          <w:rFonts w:hAnsi="標楷體" w:hint="eastAsia"/>
        </w:rPr>
        <w:t>不</w:t>
      </w:r>
      <w:proofErr w:type="gramEnd"/>
      <w:r w:rsidRPr="0075494B">
        <w:rPr>
          <w:rFonts w:hAnsi="標楷體" w:hint="eastAsia"/>
        </w:rPr>
        <w:t>利益。「減輕新法衝擊」的具體方法不一而足，必須視法律領域、法秩序變動的緣由以及當事人所已經作成的處分措施而定。可能的措施例如給予「財產上或其他實質上的補貼」以協助人民度過新舊法交替時期。經由此類措施，可以達成前述</w:t>
      </w:r>
      <w:proofErr w:type="gramStart"/>
      <w:r w:rsidRPr="0075494B">
        <w:rPr>
          <w:rFonts w:hAnsi="標楷體" w:hint="eastAsia"/>
        </w:rPr>
        <w:t>所說的</w:t>
      </w:r>
      <w:proofErr w:type="gramEnd"/>
      <w:r w:rsidRPr="0075494B">
        <w:rPr>
          <w:rFonts w:hAnsi="標楷體" w:hint="eastAsia"/>
        </w:rPr>
        <w:t>「公私法益最佳調和狀態」。4.新舊法分段適用：係指將同一案例事實分為二階段，一部分適用新法、一部分適用舊法，而適用新、舊法的分界點通常即是新法生效之日。例如依據勞動基準法（下稱勞基法）第84條之2之規定，資遣費及退休金給與標準以勞動基準法的施行日為分界點，分為前後二階段。分界時點以前的年資（勞基法施行前的年資）適用舊制度；而分界時點以後的年資（勞基法施行後之年資）則適用勞基法。見林三欽，法令變遷、信賴保護與法令溯及適用，臺北市，新學林，2008，第23-28頁。</w:t>
      </w:r>
    </w:p>
  </w:footnote>
  <w:footnote w:id="6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公務人員退休法（舊法）第32條第3</w:t>
      </w:r>
      <w:r w:rsidRPr="0075494B">
        <w:rPr>
          <w:rFonts w:hAnsi="標楷體" w:hint="eastAsia"/>
        </w:rPr>
        <w:t>、4</w:t>
      </w:r>
      <w:r w:rsidRPr="0075494B">
        <w:rPr>
          <w:rFonts w:hAnsi="標楷體"/>
        </w:rPr>
        <w:t>項規定：「前項退休所得以月退休金及公保養老給付優惠存款每月利息計算；現職待遇以本（年功）</w:t>
      </w:r>
      <w:proofErr w:type="gramStart"/>
      <w:r w:rsidRPr="0075494B">
        <w:rPr>
          <w:rFonts w:hAnsi="標楷體"/>
        </w:rPr>
        <w:t>俸</w:t>
      </w:r>
      <w:proofErr w:type="gramEnd"/>
      <w:r w:rsidRPr="0075494B">
        <w:rPr>
          <w:rFonts w:hAnsi="標楷體"/>
        </w:rPr>
        <w:t>加</w:t>
      </w:r>
      <w:r w:rsidRPr="0075494B">
        <w:rPr>
          <w:rFonts w:hAnsi="標楷體" w:hint="eastAsia"/>
        </w:rPr>
        <w:t>1</w:t>
      </w:r>
      <w:r w:rsidRPr="0075494B">
        <w:rPr>
          <w:rFonts w:hAnsi="標楷體"/>
        </w:rPr>
        <w:t>倍計算。退休所得比率上限計算如下：一、支領月退休金人員，核定退休年資</w:t>
      </w:r>
      <w:r w:rsidRPr="0075494B">
        <w:rPr>
          <w:rFonts w:hAnsi="標楷體" w:hint="eastAsia"/>
        </w:rPr>
        <w:t>25</w:t>
      </w:r>
      <w:r w:rsidRPr="0075494B">
        <w:rPr>
          <w:rFonts w:hAnsi="標楷體"/>
        </w:rPr>
        <w:t>年以下者，以</w:t>
      </w:r>
      <w:r w:rsidRPr="0075494B">
        <w:rPr>
          <w:rFonts w:hAnsi="標楷體" w:hint="eastAsia"/>
        </w:rPr>
        <w:t>75%</w:t>
      </w:r>
      <w:r w:rsidRPr="0075494B">
        <w:rPr>
          <w:rFonts w:hAnsi="標楷體"/>
        </w:rPr>
        <w:t>為上限；以後每增</w:t>
      </w:r>
      <w:r w:rsidRPr="0075494B">
        <w:rPr>
          <w:rFonts w:hAnsi="標楷體" w:hint="eastAsia"/>
        </w:rPr>
        <w:t>1</w:t>
      </w:r>
      <w:r w:rsidRPr="0075494B">
        <w:rPr>
          <w:rFonts w:hAnsi="標楷體"/>
        </w:rPr>
        <w:t>年，上限增加</w:t>
      </w:r>
      <w:r w:rsidRPr="0075494B">
        <w:rPr>
          <w:rFonts w:hAnsi="標楷體" w:hint="eastAsia"/>
        </w:rPr>
        <w:t>2%</w:t>
      </w:r>
      <w:r w:rsidRPr="0075494B">
        <w:rPr>
          <w:rFonts w:hAnsi="標楷體"/>
        </w:rPr>
        <w:t>，最高增至</w:t>
      </w:r>
      <w:r w:rsidRPr="0075494B">
        <w:rPr>
          <w:rFonts w:hAnsi="標楷體" w:hint="eastAsia"/>
        </w:rPr>
        <w:t>95%</w:t>
      </w:r>
      <w:r w:rsidRPr="0075494B">
        <w:rPr>
          <w:rFonts w:hAnsi="標楷體"/>
        </w:rPr>
        <w:t>。未滿</w:t>
      </w:r>
      <w:r w:rsidRPr="0075494B">
        <w:rPr>
          <w:rFonts w:hAnsi="標楷體" w:hint="eastAsia"/>
        </w:rPr>
        <w:t>6</w:t>
      </w:r>
      <w:r w:rsidRPr="0075494B">
        <w:rPr>
          <w:rFonts w:hAnsi="標楷體"/>
        </w:rPr>
        <w:t>個月者，增加</w:t>
      </w:r>
      <w:r w:rsidRPr="0075494B">
        <w:rPr>
          <w:rFonts w:hAnsi="標楷體" w:hint="eastAsia"/>
        </w:rPr>
        <w:t>1%</w:t>
      </w:r>
      <w:r w:rsidRPr="0075494B">
        <w:rPr>
          <w:rFonts w:hAnsi="標楷體"/>
        </w:rPr>
        <w:t>；滿</w:t>
      </w:r>
      <w:r w:rsidRPr="0075494B">
        <w:rPr>
          <w:rFonts w:hAnsi="標楷體" w:hint="eastAsia"/>
        </w:rPr>
        <w:t>6</w:t>
      </w:r>
      <w:r w:rsidRPr="0075494B">
        <w:rPr>
          <w:rFonts w:hAnsi="標楷體"/>
        </w:rPr>
        <w:t>個月以上未滿</w:t>
      </w:r>
      <w:r w:rsidRPr="0075494B">
        <w:rPr>
          <w:rFonts w:hAnsi="標楷體" w:hint="eastAsia"/>
        </w:rPr>
        <w:t>1</w:t>
      </w:r>
      <w:r w:rsidRPr="0075494B">
        <w:rPr>
          <w:rFonts w:hAnsi="標楷體"/>
        </w:rPr>
        <w:t>年者，以</w:t>
      </w:r>
      <w:r w:rsidRPr="0075494B">
        <w:rPr>
          <w:rFonts w:hAnsi="標楷體" w:hint="eastAsia"/>
        </w:rPr>
        <w:t>1</w:t>
      </w:r>
      <w:r w:rsidRPr="0075494B">
        <w:rPr>
          <w:rFonts w:hAnsi="標楷體"/>
        </w:rPr>
        <w:t>年計。二、兼領月退休金人員，依前款比率，</w:t>
      </w:r>
      <w:proofErr w:type="gramStart"/>
      <w:r w:rsidRPr="0075494B">
        <w:rPr>
          <w:rFonts w:hAnsi="標楷體"/>
        </w:rPr>
        <w:t>按其兼領</w:t>
      </w:r>
      <w:proofErr w:type="gramEnd"/>
      <w:r w:rsidRPr="0075494B">
        <w:rPr>
          <w:rFonts w:hAnsi="標楷體"/>
        </w:rPr>
        <w:t>月退休金之比例折算。前項人員所領退休所得不得高於同等級現職人員待遇。」</w:t>
      </w:r>
      <w:proofErr w:type="gramStart"/>
      <w:r w:rsidRPr="0075494B">
        <w:rPr>
          <w:rFonts w:hAnsi="標楷體" w:hint="eastAsia"/>
        </w:rPr>
        <w:t>另</w:t>
      </w:r>
      <w:proofErr w:type="gramEnd"/>
      <w:r w:rsidRPr="0075494B">
        <w:rPr>
          <w:rFonts w:hAnsi="標楷體" w:hint="eastAsia"/>
        </w:rPr>
        <w:t>，</w:t>
      </w:r>
      <w:r w:rsidRPr="0075494B">
        <w:rPr>
          <w:rFonts w:hAnsi="標楷體"/>
        </w:rPr>
        <w:t>退休公務人員一次退休金與養老給付優惠存款辦法第4條</w:t>
      </w:r>
      <w:r w:rsidRPr="0075494B">
        <w:rPr>
          <w:rFonts w:hAnsi="標楷體" w:hint="eastAsia"/>
        </w:rPr>
        <w:t>第3、4項</w:t>
      </w:r>
      <w:r w:rsidRPr="0075494B">
        <w:rPr>
          <w:rFonts w:hAnsi="標楷體"/>
        </w:rPr>
        <w:t>規定</w:t>
      </w:r>
      <w:r w:rsidRPr="0075494B">
        <w:rPr>
          <w:rFonts w:hAnsi="標楷體" w:hint="eastAsia"/>
        </w:rPr>
        <w:t>：「前項百分比之計算，核定退休年資25年者，以80%為上限；以後每增1年，上限增加1%，最高增至90%。滿6個月以上未滿1年之</w:t>
      </w:r>
      <w:proofErr w:type="gramStart"/>
      <w:r w:rsidRPr="0075494B">
        <w:rPr>
          <w:rFonts w:hAnsi="標楷體" w:hint="eastAsia"/>
        </w:rPr>
        <w:t>畸</w:t>
      </w:r>
      <w:proofErr w:type="gramEnd"/>
      <w:r w:rsidRPr="0075494B">
        <w:rPr>
          <w:rFonts w:hAnsi="標楷體" w:hint="eastAsia"/>
        </w:rPr>
        <w:t>零年資，以1年計。依第1項及第3項規定計算得辦理優惠存款之公保養老給付金額高於依前條規定計算之</w:t>
      </w:r>
      <w:proofErr w:type="gramStart"/>
      <w:r w:rsidRPr="0075494B">
        <w:rPr>
          <w:rFonts w:hAnsi="標楷體" w:hint="eastAsia"/>
        </w:rPr>
        <w:t>公保優存</w:t>
      </w:r>
      <w:proofErr w:type="gramEnd"/>
      <w:r w:rsidRPr="0075494B">
        <w:rPr>
          <w:rFonts w:hAnsi="標楷體" w:hint="eastAsia"/>
        </w:rPr>
        <w:t>金額者，應按較低金額辦理優惠存款。」</w:t>
      </w:r>
    </w:p>
  </w:footnote>
  <w:footnote w:id="6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r w:rsidRPr="0075494B">
        <w:rPr>
          <w:rFonts w:hAnsi="標楷體" w:hint="eastAsia"/>
        </w:rPr>
        <w:t>公立學校退休教職員一次退休金及養老給付優惠存款辦法第4條第3、4項</w:t>
      </w:r>
      <w:r w:rsidRPr="0075494B">
        <w:rPr>
          <w:rFonts w:hAnsi="標楷體"/>
        </w:rPr>
        <w:t>規定</w:t>
      </w:r>
      <w:r w:rsidRPr="0075494B">
        <w:rPr>
          <w:rFonts w:hAnsi="標楷體" w:hint="eastAsia"/>
        </w:rPr>
        <w:t>：「前項百分比之計算，核定退休年資25年者，以80%為上限；以後每增1年，上限增加1%，最高增至90%。滿6個月以上未滿1年之</w:t>
      </w:r>
      <w:proofErr w:type="gramStart"/>
      <w:r w:rsidRPr="0075494B">
        <w:rPr>
          <w:rFonts w:hAnsi="標楷體" w:hint="eastAsia"/>
        </w:rPr>
        <w:t>畸</w:t>
      </w:r>
      <w:proofErr w:type="gramEnd"/>
      <w:r w:rsidRPr="0075494B">
        <w:rPr>
          <w:rFonts w:hAnsi="標楷體" w:hint="eastAsia"/>
        </w:rPr>
        <w:t>零年資，以1年計。</w:t>
      </w:r>
      <w:proofErr w:type="gramStart"/>
      <w:r w:rsidRPr="0075494B">
        <w:rPr>
          <w:rFonts w:hAnsi="標楷體" w:hint="eastAsia"/>
        </w:rPr>
        <w:t>符合增核退休金</w:t>
      </w:r>
      <w:proofErr w:type="gramEnd"/>
      <w:r w:rsidRPr="0075494B">
        <w:rPr>
          <w:rFonts w:hAnsi="標楷體" w:hint="eastAsia"/>
        </w:rPr>
        <w:t>基數要件者，自第36年起，每年增加0.25%，最高40年，上限百分比為91.25%。依第1項及第3項規定計算得辦理優惠存款之公保養老給付金額高於依前條規定計算之</w:t>
      </w:r>
      <w:proofErr w:type="gramStart"/>
      <w:r w:rsidRPr="0075494B">
        <w:rPr>
          <w:rFonts w:hAnsi="標楷體" w:hint="eastAsia"/>
        </w:rPr>
        <w:t>公保優存</w:t>
      </w:r>
      <w:proofErr w:type="gramEnd"/>
      <w:r w:rsidRPr="0075494B">
        <w:rPr>
          <w:rFonts w:hAnsi="標楷體" w:hint="eastAsia"/>
        </w:rPr>
        <w:t>金額者，應按較低金額辦理優惠存款。」</w:t>
      </w:r>
    </w:p>
  </w:footnote>
  <w:footnote w:id="7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依106年8月9日修正公布公務人員退撫法（新法）第37條（本法公布施行前已退休人員每月退休所得替代率上限及調降事宜）：「本法公布施行前退休生效者之每月退休所得，於本法公布施行後，不得超過依替代率上限計算之金額。前項替代率應依退休人員審定之退休年資，照附表三所定替代率計算，任職滿15年者，替代率為45%，其後每增加1年，替代率增給1.5%，最高增至35年，為75%。未滿1年之</w:t>
      </w:r>
      <w:proofErr w:type="gramStart"/>
      <w:r w:rsidRPr="0075494B">
        <w:rPr>
          <w:rFonts w:hAnsi="標楷體" w:hint="eastAsia"/>
        </w:rPr>
        <w:t>畸</w:t>
      </w:r>
      <w:proofErr w:type="gramEnd"/>
      <w:r w:rsidRPr="0075494B">
        <w:rPr>
          <w:rFonts w:hAnsi="標楷體" w:hint="eastAsia"/>
        </w:rPr>
        <w:t>零年資，按比率計算；未滿1個月者，以1個月計。前項替代率之上限，依退休人員審定之退休年資，照附表三所列各年度替代率認定。前3項所定替代率，於選擇兼領月退休金者，各依其兼領一次退休金與兼領月退休金比率計算。本法公布施行前退休生效者，應按本法公布施行時之待遇標準，依前4項規定重新計算每月退休所得；經審定後，不再隨在職同等級人員本（年功）</w:t>
      </w:r>
      <w:proofErr w:type="gramStart"/>
      <w:r w:rsidRPr="0075494B">
        <w:rPr>
          <w:rFonts w:hAnsi="標楷體" w:hint="eastAsia"/>
        </w:rPr>
        <w:t>俸</w:t>
      </w:r>
      <w:proofErr w:type="gramEnd"/>
      <w:r w:rsidRPr="0075494B">
        <w:rPr>
          <w:rFonts w:hAnsi="標楷體" w:hint="eastAsia"/>
        </w:rPr>
        <w:t>之調整重新計算。」同日修正公布公立學校教職員退撫條例（新法）第37條亦有相同規定。</w:t>
      </w:r>
    </w:p>
  </w:footnote>
  <w:footnote w:id="7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r w:rsidRPr="0075494B">
        <w:rPr>
          <w:rFonts w:hAnsi="標楷體" w:hint="eastAsia"/>
        </w:rPr>
        <w:t>公務人員退撫法（新法）第6條及第7條規定：「…</w:t>
      </w:r>
      <w:proofErr w:type="gramStart"/>
      <w:r w:rsidRPr="0075494B">
        <w:rPr>
          <w:rFonts w:hAnsi="標楷體" w:hint="eastAsia"/>
        </w:rPr>
        <w:t>…</w:t>
      </w:r>
      <w:proofErr w:type="gramEnd"/>
      <w:r w:rsidRPr="0075494B">
        <w:rPr>
          <w:rFonts w:hAnsi="標楷體" w:hint="eastAsia"/>
        </w:rPr>
        <w:t>退撫給與，屬於退撫新制實施前年資計得者，應由各級政府編列預算支給；屬於退撫新制實施後年資計得者，應由退撫基金支給。…</w:t>
      </w:r>
      <w:proofErr w:type="gramStart"/>
      <w:r w:rsidRPr="0075494B">
        <w:rPr>
          <w:rFonts w:hAnsi="標楷體" w:hint="eastAsia"/>
        </w:rPr>
        <w:t>…</w:t>
      </w:r>
      <w:proofErr w:type="gramEnd"/>
      <w:r w:rsidRPr="0075494B">
        <w:rPr>
          <w:rFonts w:hAnsi="標楷體" w:hint="eastAsia"/>
        </w:rPr>
        <w:t>」及「第6條所定退撫基金，由公務人員與政府共同</w:t>
      </w:r>
      <w:proofErr w:type="gramStart"/>
      <w:r w:rsidRPr="0075494B">
        <w:rPr>
          <w:rFonts w:hAnsi="標楷體" w:hint="eastAsia"/>
        </w:rPr>
        <w:t>按月撥繳退撫</w:t>
      </w:r>
      <w:proofErr w:type="gramEnd"/>
      <w:r w:rsidRPr="0075494B">
        <w:rPr>
          <w:rFonts w:hAnsi="標楷體" w:hint="eastAsia"/>
        </w:rPr>
        <w:t>基金費用設立之，並由政府負最後支付保證責任。前項退撫基金費用按公務人員本（年功）</w:t>
      </w:r>
      <w:proofErr w:type="gramStart"/>
      <w:r w:rsidRPr="0075494B">
        <w:rPr>
          <w:rFonts w:hAnsi="標楷體" w:hint="eastAsia"/>
        </w:rPr>
        <w:t>俸</w:t>
      </w:r>
      <w:proofErr w:type="gramEnd"/>
      <w:r w:rsidRPr="0075494B">
        <w:rPr>
          <w:rFonts w:hAnsi="標楷體" w:hint="eastAsia"/>
        </w:rPr>
        <w:t>（薪）額加1倍12%至18%之</w:t>
      </w:r>
      <w:proofErr w:type="gramStart"/>
      <w:r w:rsidRPr="0075494B">
        <w:rPr>
          <w:rFonts w:hAnsi="標楷體" w:hint="eastAsia"/>
        </w:rPr>
        <w:t>提撥</w:t>
      </w:r>
      <w:proofErr w:type="gramEnd"/>
      <w:r w:rsidRPr="0075494B">
        <w:rPr>
          <w:rFonts w:hAnsi="標楷體" w:hint="eastAsia"/>
        </w:rPr>
        <w:t>費率，按月由</w:t>
      </w:r>
      <w:proofErr w:type="gramStart"/>
      <w:r w:rsidRPr="0075494B">
        <w:rPr>
          <w:rFonts w:hAnsi="標楷體" w:hint="eastAsia"/>
        </w:rPr>
        <w:t>政府撥繳</w:t>
      </w:r>
      <w:proofErr w:type="gramEnd"/>
      <w:r w:rsidRPr="0075494B">
        <w:rPr>
          <w:rFonts w:hAnsi="標楷體" w:hint="eastAsia"/>
        </w:rPr>
        <w:t>65%；公務人員繳付35%。」同日修正公布公立學校教職員退撫條例（新法）第6條及第8條亦有相同規定。</w:t>
      </w:r>
      <w:proofErr w:type="gramStart"/>
      <w:r w:rsidRPr="0075494B">
        <w:rPr>
          <w:rFonts w:hAnsi="標楷體" w:hint="eastAsia"/>
        </w:rPr>
        <w:t>爰</w:t>
      </w:r>
      <w:proofErr w:type="gramEnd"/>
      <w:r w:rsidRPr="0075494B">
        <w:rPr>
          <w:rFonts w:hAnsi="標楷體" w:hint="eastAsia"/>
        </w:rPr>
        <w:t>84年7月1日起，陸續實施公教人員退撫新制所建立退撫基金資金來源中，有35%來自在職公教人員自行</w:t>
      </w:r>
      <w:proofErr w:type="gramStart"/>
      <w:r w:rsidRPr="0075494B">
        <w:rPr>
          <w:rFonts w:hAnsi="標楷體" w:hint="eastAsia"/>
        </w:rPr>
        <w:t>提撥</w:t>
      </w:r>
      <w:proofErr w:type="gramEnd"/>
      <w:r w:rsidRPr="0075494B">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808C05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lvlOverride w:ilvl="0">
      <w:startOverride w:val="1"/>
    </w:lvlOverride>
  </w:num>
  <w:num w:numId="3">
    <w:abstractNumId w:val="5"/>
  </w:num>
  <w:num w:numId="4">
    <w:abstractNumId w:val="4"/>
  </w:num>
  <w:num w:numId="5">
    <w:abstractNumId w:val="2"/>
  </w:num>
  <w:num w:numId="6">
    <w:abstractNumId w:val="0"/>
  </w:num>
  <w:num w:numId="7">
    <w:abstractNumId w:val="6"/>
  </w:num>
  <w:num w:numId="8">
    <w:abstractNumId w:val="7"/>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39"/>
    <w:rsid w:val="00000B7F"/>
    <w:rsid w:val="00006961"/>
    <w:rsid w:val="00006C94"/>
    <w:rsid w:val="000108BD"/>
    <w:rsid w:val="000112BF"/>
    <w:rsid w:val="00011CDB"/>
    <w:rsid w:val="00012233"/>
    <w:rsid w:val="00012988"/>
    <w:rsid w:val="000158FA"/>
    <w:rsid w:val="00015978"/>
    <w:rsid w:val="00017318"/>
    <w:rsid w:val="00021C66"/>
    <w:rsid w:val="00022465"/>
    <w:rsid w:val="00022BD1"/>
    <w:rsid w:val="000246F7"/>
    <w:rsid w:val="0002548D"/>
    <w:rsid w:val="00026060"/>
    <w:rsid w:val="00026D01"/>
    <w:rsid w:val="0003114D"/>
    <w:rsid w:val="00031D46"/>
    <w:rsid w:val="00036D76"/>
    <w:rsid w:val="00036E72"/>
    <w:rsid w:val="00040335"/>
    <w:rsid w:val="0004065A"/>
    <w:rsid w:val="00040FC5"/>
    <w:rsid w:val="00042C84"/>
    <w:rsid w:val="00043E7B"/>
    <w:rsid w:val="000453BA"/>
    <w:rsid w:val="00047459"/>
    <w:rsid w:val="000509B7"/>
    <w:rsid w:val="00052556"/>
    <w:rsid w:val="000533ED"/>
    <w:rsid w:val="00057F32"/>
    <w:rsid w:val="00060969"/>
    <w:rsid w:val="00060C90"/>
    <w:rsid w:val="00062654"/>
    <w:rsid w:val="0006281E"/>
    <w:rsid w:val="00062A25"/>
    <w:rsid w:val="00062C4B"/>
    <w:rsid w:val="00065D7A"/>
    <w:rsid w:val="000667B9"/>
    <w:rsid w:val="00070D1C"/>
    <w:rsid w:val="00071AF7"/>
    <w:rsid w:val="000727A2"/>
    <w:rsid w:val="000738F1"/>
    <w:rsid w:val="00073A0C"/>
    <w:rsid w:val="00073CB5"/>
    <w:rsid w:val="0007425C"/>
    <w:rsid w:val="00074D92"/>
    <w:rsid w:val="00075158"/>
    <w:rsid w:val="000762D8"/>
    <w:rsid w:val="00076433"/>
    <w:rsid w:val="00077553"/>
    <w:rsid w:val="00077A2A"/>
    <w:rsid w:val="000827FD"/>
    <w:rsid w:val="00082CC6"/>
    <w:rsid w:val="00083092"/>
    <w:rsid w:val="00084303"/>
    <w:rsid w:val="000851A2"/>
    <w:rsid w:val="00087C9A"/>
    <w:rsid w:val="00090B1C"/>
    <w:rsid w:val="00090C19"/>
    <w:rsid w:val="00091E92"/>
    <w:rsid w:val="00092982"/>
    <w:rsid w:val="00092FB0"/>
    <w:rsid w:val="0009352E"/>
    <w:rsid w:val="00094B03"/>
    <w:rsid w:val="000969D9"/>
    <w:rsid w:val="00096B96"/>
    <w:rsid w:val="000A1AE7"/>
    <w:rsid w:val="000A2F3F"/>
    <w:rsid w:val="000A6BFA"/>
    <w:rsid w:val="000B0B4A"/>
    <w:rsid w:val="000B279A"/>
    <w:rsid w:val="000B335B"/>
    <w:rsid w:val="000B6144"/>
    <w:rsid w:val="000B61D2"/>
    <w:rsid w:val="000B663C"/>
    <w:rsid w:val="000B6F58"/>
    <w:rsid w:val="000B70A7"/>
    <w:rsid w:val="000B73DD"/>
    <w:rsid w:val="000C0C83"/>
    <w:rsid w:val="000C187D"/>
    <w:rsid w:val="000C1FDE"/>
    <w:rsid w:val="000C287F"/>
    <w:rsid w:val="000C42EA"/>
    <w:rsid w:val="000C495F"/>
    <w:rsid w:val="000C72B5"/>
    <w:rsid w:val="000C75B1"/>
    <w:rsid w:val="000C78CD"/>
    <w:rsid w:val="000D1828"/>
    <w:rsid w:val="000D1E49"/>
    <w:rsid w:val="000D2647"/>
    <w:rsid w:val="000D2A45"/>
    <w:rsid w:val="000D4232"/>
    <w:rsid w:val="000D5BE5"/>
    <w:rsid w:val="000D6631"/>
    <w:rsid w:val="000D6C61"/>
    <w:rsid w:val="000E078F"/>
    <w:rsid w:val="000E139D"/>
    <w:rsid w:val="000E2041"/>
    <w:rsid w:val="000E295E"/>
    <w:rsid w:val="000E4763"/>
    <w:rsid w:val="000E6431"/>
    <w:rsid w:val="000F16F6"/>
    <w:rsid w:val="000F21A5"/>
    <w:rsid w:val="00102B9F"/>
    <w:rsid w:val="0010657A"/>
    <w:rsid w:val="0010685C"/>
    <w:rsid w:val="001073ED"/>
    <w:rsid w:val="00112637"/>
    <w:rsid w:val="00112ABC"/>
    <w:rsid w:val="0011389A"/>
    <w:rsid w:val="00114286"/>
    <w:rsid w:val="0011464C"/>
    <w:rsid w:val="00115875"/>
    <w:rsid w:val="0012001E"/>
    <w:rsid w:val="001200CF"/>
    <w:rsid w:val="00122AAB"/>
    <w:rsid w:val="00124300"/>
    <w:rsid w:val="00124B66"/>
    <w:rsid w:val="001250F4"/>
    <w:rsid w:val="001251B7"/>
    <w:rsid w:val="00126A55"/>
    <w:rsid w:val="0012746A"/>
    <w:rsid w:val="001275BA"/>
    <w:rsid w:val="00131B7A"/>
    <w:rsid w:val="00133A66"/>
    <w:rsid w:val="00133F08"/>
    <w:rsid w:val="001345E6"/>
    <w:rsid w:val="00136515"/>
    <w:rsid w:val="001378B0"/>
    <w:rsid w:val="00140958"/>
    <w:rsid w:val="001413B7"/>
    <w:rsid w:val="00142237"/>
    <w:rsid w:val="00142E00"/>
    <w:rsid w:val="001520E7"/>
    <w:rsid w:val="00152793"/>
    <w:rsid w:val="0015359A"/>
    <w:rsid w:val="001535B0"/>
    <w:rsid w:val="00153728"/>
    <w:rsid w:val="00153B7E"/>
    <w:rsid w:val="00154534"/>
    <w:rsid w:val="001545A9"/>
    <w:rsid w:val="0016043B"/>
    <w:rsid w:val="001611E3"/>
    <w:rsid w:val="00162206"/>
    <w:rsid w:val="0016378C"/>
    <w:rsid w:val="001637C7"/>
    <w:rsid w:val="0016409E"/>
    <w:rsid w:val="0016480E"/>
    <w:rsid w:val="0016657F"/>
    <w:rsid w:val="001711ED"/>
    <w:rsid w:val="001723E2"/>
    <w:rsid w:val="001730F0"/>
    <w:rsid w:val="00174297"/>
    <w:rsid w:val="00174639"/>
    <w:rsid w:val="00174DCA"/>
    <w:rsid w:val="00176462"/>
    <w:rsid w:val="00176DEC"/>
    <w:rsid w:val="001772B6"/>
    <w:rsid w:val="00180E06"/>
    <w:rsid w:val="00180F03"/>
    <w:rsid w:val="001817B3"/>
    <w:rsid w:val="00181E52"/>
    <w:rsid w:val="00181E8F"/>
    <w:rsid w:val="00182884"/>
    <w:rsid w:val="001828CA"/>
    <w:rsid w:val="00183014"/>
    <w:rsid w:val="00185DC2"/>
    <w:rsid w:val="001879A9"/>
    <w:rsid w:val="001910BC"/>
    <w:rsid w:val="00191A5A"/>
    <w:rsid w:val="00193C4C"/>
    <w:rsid w:val="00194B41"/>
    <w:rsid w:val="001959C2"/>
    <w:rsid w:val="0019770F"/>
    <w:rsid w:val="001A19FF"/>
    <w:rsid w:val="001A2E36"/>
    <w:rsid w:val="001A3C39"/>
    <w:rsid w:val="001A51E3"/>
    <w:rsid w:val="001A5753"/>
    <w:rsid w:val="001A57CE"/>
    <w:rsid w:val="001A7968"/>
    <w:rsid w:val="001B2E98"/>
    <w:rsid w:val="001B3483"/>
    <w:rsid w:val="001B3C1E"/>
    <w:rsid w:val="001B4494"/>
    <w:rsid w:val="001B5F9E"/>
    <w:rsid w:val="001B76BE"/>
    <w:rsid w:val="001C0AC0"/>
    <w:rsid w:val="001C0B4C"/>
    <w:rsid w:val="001C0D8B"/>
    <w:rsid w:val="001C0DA8"/>
    <w:rsid w:val="001C3366"/>
    <w:rsid w:val="001C3D5B"/>
    <w:rsid w:val="001C47DD"/>
    <w:rsid w:val="001C711C"/>
    <w:rsid w:val="001C7126"/>
    <w:rsid w:val="001D0C77"/>
    <w:rsid w:val="001D392C"/>
    <w:rsid w:val="001D4179"/>
    <w:rsid w:val="001D4461"/>
    <w:rsid w:val="001D4AD7"/>
    <w:rsid w:val="001D5D83"/>
    <w:rsid w:val="001D6C95"/>
    <w:rsid w:val="001E0D8A"/>
    <w:rsid w:val="001E44E6"/>
    <w:rsid w:val="001E59DD"/>
    <w:rsid w:val="001E67BA"/>
    <w:rsid w:val="001E705C"/>
    <w:rsid w:val="001E74C2"/>
    <w:rsid w:val="001E74FC"/>
    <w:rsid w:val="001F0F2C"/>
    <w:rsid w:val="001F172D"/>
    <w:rsid w:val="001F217E"/>
    <w:rsid w:val="001F2238"/>
    <w:rsid w:val="001F4F82"/>
    <w:rsid w:val="001F5A48"/>
    <w:rsid w:val="001F5B3F"/>
    <w:rsid w:val="001F610C"/>
    <w:rsid w:val="001F6260"/>
    <w:rsid w:val="00200007"/>
    <w:rsid w:val="00200106"/>
    <w:rsid w:val="00200694"/>
    <w:rsid w:val="0020111C"/>
    <w:rsid w:val="0020187E"/>
    <w:rsid w:val="002024D2"/>
    <w:rsid w:val="002030A5"/>
    <w:rsid w:val="00203131"/>
    <w:rsid w:val="00204FE9"/>
    <w:rsid w:val="00206C94"/>
    <w:rsid w:val="00212E88"/>
    <w:rsid w:val="00213C9C"/>
    <w:rsid w:val="00215336"/>
    <w:rsid w:val="00216944"/>
    <w:rsid w:val="0022009E"/>
    <w:rsid w:val="00220DFA"/>
    <w:rsid w:val="0022191C"/>
    <w:rsid w:val="00222787"/>
    <w:rsid w:val="00222A05"/>
    <w:rsid w:val="00223241"/>
    <w:rsid w:val="0022425C"/>
    <w:rsid w:val="002246DE"/>
    <w:rsid w:val="00225901"/>
    <w:rsid w:val="00226626"/>
    <w:rsid w:val="00233211"/>
    <w:rsid w:val="0023489C"/>
    <w:rsid w:val="00234B98"/>
    <w:rsid w:val="00234F4C"/>
    <w:rsid w:val="002350CE"/>
    <w:rsid w:val="0023603F"/>
    <w:rsid w:val="00236AA3"/>
    <w:rsid w:val="00240B00"/>
    <w:rsid w:val="00240F23"/>
    <w:rsid w:val="002428F9"/>
    <w:rsid w:val="00243638"/>
    <w:rsid w:val="00244F4E"/>
    <w:rsid w:val="00245BA5"/>
    <w:rsid w:val="00246C75"/>
    <w:rsid w:val="00250E9C"/>
    <w:rsid w:val="00252BC4"/>
    <w:rsid w:val="00254014"/>
    <w:rsid w:val="00254B39"/>
    <w:rsid w:val="00256DF5"/>
    <w:rsid w:val="00257E30"/>
    <w:rsid w:val="00257F6E"/>
    <w:rsid w:val="0026157B"/>
    <w:rsid w:val="00261D27"/>
    <w:rsid w:val="00261FF7"/>
    <w:rsid w:val="0026504D"/>
    <w:rsid w:val="002666AD"/>
    <w:rsid w:val="00266D78"/>
    <w:rsid w:val="0026768B"/>
    <w:rsid w:val="00271559"/>
    <w:rsid w:val="00272351"/>
    <w:rsid w:val="00272906"/>
    <w:rsid w:val="00272D27"/>
    <w:rsid w:val="00273A2F"/>
    <w:rsid w:val="00275985"/>
    <w:rsid w:val="00276FF9"/>
    <w:rsid w:val="00280122"/>
    <w:rsid w:val="002801AC"/>
    <w:rsid w:val="00280986"/>
    <w:rsid w:val="00281687"/>
    <w:rsid w:val="002817FF"/>
    <w:rsid w:val="00281ECE"/>
    <w:rsid w:val="002824D1"/>
    <w:rsid w:val="002831C7"/>
    <w:rsid w:val="002840C6"/>
    <w:rsid w:val="00284CC2"/>
    <w:rsid w:val="00284D63"/>
    <w:rsid w:val="0028527F"/>
    <w:rsid w:val="00295174"/>
    <w:rsid w:val="002956CD"/>
    <w:rsid w:val="00295B60"/>
    <w:rsid w:val="00295CA4"/>
    <w:rsid w:val="00296172"/>
    <w:rsid w:val="00296B92"/>
    <w:rsid w:val="002A0FF2"/>
    <w:rsid w:val="002A1798"/>
    <w:rsid w:val="002A2C22"/>
    <w:rsid w:val="002A57A3"/>
    <w:rsid w:val="002B02EB"/>
    <w:rsid w:val="002B080F"/>
    <w:rsid w:val="002B12E7"/>
    <w:rsid w:val="002B1932"/>
    <w:rsid w:val="002B1BBD"/>
    <w:rsid w:val="002B2885"/>
    <w:rsid w:val="002B59C9"/>
    <w:rsid w:val="002B6953"/>
    <w:rsid w:val="002C02B8"/>
    <w:rsid w:val="002C04E4"/>
    <w:rsid w:val="002C0602"/>
    <w:rsid w:val="002C0D67"/>
    <w:rsid w:val="002C3F6A"/>
    <w:rsid w:val="002C3F7C"/>
    <w:rsid w:val="002C4D5D"/>
    <w:rsid w:val="002C4DDF"/>
    <w:rsid w:val="002C6038"/>
    <w:rsid w:val="002C63EC"/>
    <w:rsid w:val="002D3361"/>
    <w:rsid w:val="002D46CC"/>
    <w:rsid w:val="002D544E"/>
    <w:rsid w:val="002D5C16"/>
    <w:rsid w:val="002D7CAD"/>
    <w:rsid w:val="002E7B70"/>
    <w:rsid w:val="002E7C39"/>
    <w:rsid w:val="002E7D73"/>
    <w:rsid w:val="002E7E4E"/>
    <w:rsid w:val="002E7EAD"/>
    <w:rsid w:val="002F2476"/>
    <w:rsid w:val="002F3DFF"/>
    <w:rsid w:val="002F45DD"/>
    <w:rsid w:val="002F52ED"/>
    <w:rsid w:val="002F572A"/>
    <w:rsid w:val="002F5E05"/>
    <w:rsid w:val="002F6078"/>
    <w:rsid w:val="002F6BCD"/>
    <w:rsid w:val="00302C12"/>
    <w:rsid w:val="003031AD"/>
    <w:rsid w:val="00303FC4"/>
    <w:rsid w:val="00304E6D"/>
    <w:rsid w:val="003050D1"/>
    <w:rsid w:val="00305F8D"/>
    <w:rsid w:val="00307A76"/>
    <w:rsid w:val="00310777"/>
    <w:rsid w:val="0031267B"/>
    <w:rsid w:val="00313B45"/>
    <w:rsid w:val="003148C1"/>
    <w:rsid w:val="00315A16"/>
    <w:rsid w:val="00317053"/>
    <w:rsid w:val="0032109C"/>
    <w:rsid w:val="00322879"/>
    <w:rsid w:val="00322B45"/>
    <w:rsid w:val="00323809"/>
    <w:rsid w:val="00323D41"/>
    <w:rsid w:val="00325414"/>
    <w:rsid w:val="00325AB8"/>
    <w:rsid w:val="003302F1"/>
    <w:rsid w:val="0033365D"/>
    <w:rsid w:val="00334761"/>
    <w:rsid w:val="00337015"/>
    <w:rsid w:val="003414E1"/>
    <w:rsid w:val="00342E0D"/>
    <w:rsid w:val="00343B12"/>
    <w:rsid w:val="0034470E"/>
    <w:rsid w:val="00346D0A"/>
    <w:rsid w:val="00347F34"/>
    <w:rsid w:val="00350FDA"/>
    <w:rsid w:val="00352DB0"/>
    <w:rsid w:val="003534B9"/>
    <w:rsid w:val="003557E5"/>
    <w:rsid w:val="00356A20"/>
    <w:rsid w:val="00361063"/>
    <w:rsid w:val="00363938"/>
    <w:rsid w:val="003647DC"/>
    <w:rsid w:val="0037094A"/>
    <w:rsid w:val="00371ED3"/>
    <w:rsid w:val="00372137"/>
    <w:rsid w:val="00372FFC"/>
    <w:rsid w:val="00373F5D"/>
    <w:rsid w:val="00373F90"/>
    <w:rsid w:val="00375A15"/>
    <w:rsid w:val="0037728A"/>
    <w:rsid w:val="003779C7"/>
    <w:rsid w:val="00380665"/>
    <w:rsid w:val="00380B7D"/>
    <w:rsid w:val="00381A99"/>
    <w:rsid w:val="00382935"/>
    <w:rsid w:val="003829C2"/>
    <w:rsid w:val="003830B2"/>
    <w:rsid w:val="00383385"/>
    <w:rsid w:val="00383AE1"/>
    <w:rsid w:val="00384724"/>
    <w:rsid w:val="00386ABB"/>
    <w:rsid w:val="00390F8C"/>
    <w:rsid w:val="003919B7"/>
    <w:rsid w:val="00391D57"/>
    <w:rsid w:val="00392292"/>
    <w:rsid w:val="00393258"/>
    <w:rsid w:val="00393615"/>
    <w:rsid w:val="00394F45"/>
    <w:rsid w:val="00397B88"/>
    <w:rsid w:val="003A4DEB"/>
    <w:rsid w:val="003A5927"/>
    <w:rsid w:val="003A6000"/>
    <w:rsid w:val="003B1017"/>
    <w:rsid w:val="003B24E0"/>
    <w:rsid w:val="003B2AFE"/>
    <w:rsid w:val="003B3C07"/>
    <w:rsid w:val="003B497B"/>
    <w:rsid w:val="003B4BF4"/>
    <w:rsid w:val="003B4CED"/>
    <w:rsid w:val="003B5017"/>
    <w:rsid w:val="003B6081"/>
    <w:rsid w:val="003B6775"/>
    <w:rsid w:val="003C3AD2"/>
    <w:rsid w:val="003C4452"/>
    <w:rsid w:val="003C54A4"/>
    <w:rsid w:val="003C5FE2"/>
    <w:rsid w:val="003C6255"/>
    <w:rsid w:val="003C70EF"/>
    <w:rsid w:val="003C790A"/>
    <w:rsid w:val="003D05FB"/>
    <w:rsid w:val="003D0F39"/>
    <w:rsid w:val="003D1B16"/>
    <w:rsid w:val="003D2FFA"/>
    <w:rsid w:val="003D45BF"/>
    <w:rsid w:val="003D508A"/>
    <w:rsid w:val="003D537F"/>
    <w:rsid w:val="003D580A"/>
    <w:rsid w:val="003D7A61"/>
    <w:rsid w:val="003D7B75"/>
    <w:rsid w:val="003E0208"/>
    <w:rsid w:val="003E1256"/>
    <w:rsid w:val="003E14B5"/>
    <w:rsid w:val="003E14E0"/>
    <w:rsid w:val="003E3DB5"/>
    <w:rsid w:val="003E4B57"/>
    <w:rsid w:val="003E5402"/>
    <w:rsid w:val="003E585D"/>
    <w:rsid w:val="003E6603"/>
    <w:rsid w:val="003E671F"/>
    <w:rsid w:val="003E7A2E"/>
    <w:rsid w:val="003F27E1"/>
    <w:rsid w:val="003F437A"/>
    <w:rsid w:val="003F5214"/>
    <w:rsid w:val="003F5C2B"/>
    <w:rsid w:val="003F6739"/>
    <w:rsid w:val="003F704F"/>
    <w:rsid w:val="003F71EA"/>
    <w:rsid w:val="003F74DE"/>
    <w:rsid w:val="003F7BA0"/>
    <w:rsid w:val="00402240"/>
    <w:rsid w:val="004023E9"/>
    <w:rsid w:val="00402778"/>
    <w:rsid w:val="0040377B"/>
    <w:rsid w:val="00403C54"/>
    <w:rsid w:val="0040454A"/>
    <w:rsid w:val="00411B2E"/>
    <w:rsid w:val="00413F83"/>
    <w:rsid w:val="0041490C"/>
    <w:rsid w:val="00415A02"/>
    <w:rsid w:val="00416191"/>
    <w:rsid w:val="00416721"/>
    <w:rsid w:val="00417262"/>
    <w:rsid w:val="00417CEE"/>
    <w:rsid w:val="004213E4"/>
    <w:rsid w:val="00421506"/>
    <w:rsid w:val="00421EF0"/>
    <w:rsid w:val="004224FA"/>
    <w:rsid w:val="004226C6"/>
    <w:rsid w:val="00423CDF"/>
    <w:rsid w:val="00423D07"/>
    <w:rsid w:val="00424A6C"/>
    <w:rsid w:val="00424B3B"/>
    <w:rsid w:val="00424C34"/>
    <w:rsid w:val="00427936"/>
    <w:rsid w:val="00431062"/>
    <w:rsid w:val="00431500"/>
    <w:rsid w:val="004332C3"/>
    <w:rsid w:val="00434AF5"/>
    <w:rsid w:val="00434C2C"/>
    <w:rsid w:val="004362DB"/>
    <w:rsid w:val="00436352"/>
    <w:rsid w:val="00437A28"/>
    <w:rsid w:val="00440CC8"/>
    <w:rsid w:val="00441211"/>
    <w:rsid w:val="00441B61"/>
    <w:rsid w:val="0044346F"/>
    <w:rsid w:val="004443E6"/>
    <w:rsid w:val="00444B01"/>
    <w:rsid w:val="00444BE7"/>
    <w:rsid w:val="00446EA5"/>
    <w:rsid w:val="00450DDD"/>
    <w:rsid w:val="0045394E"/>
    <w:rsid w:val="00454927"/>
    <w:rsid w:val="004555B0"/>
    <w:rsid w:val="00455E60"/>
    <w:rsid w:val="004562F7"/>
    <w:rsid w:val="00456630"/>
    <w:rsid w:val="0045673C"/>
    <w:rsid w:val="00456D6D"/>
    <w:rsid w:val="004615C0"/>
    <w:rsid w:val="00461CCD"/>
    <w:rsid w:val="00462F97"/>
    <w:rsid w:val="0046520A"/>
    <w:rsid w:val="0046687F"/>
    <w:rsid w:val="004672AB"/>
    <w:rsid w:val="00470B8D"/>
    <w:rsid w:val="004714FE"/>
    <w:rsid w:val="00472F31"/>
    <w:rsid w:val="00477578"/>
    <w:rsid w:val="00477BAA"/>
    <w:rsid w:val="00480488"/>
    <w:rsid w:val="00484291"/>
    <w:rsid w:val="00486E77"/>
    <w:rsid w:val="004875C7"/>
    <w:rsid w:val="00490942"/>
    <w:rsid w:val="00495053"/>
    <w:rsid w:val="004A1F59"/>
    <w:rsid w:val="004A29BE"/>
    <w:rsid w:val="004A3225"/>
    <w:rsid w:val="004A33EE"/>
    <w:rsid w:val="004A373D"/>
    <w:rsid w:val="004A38BF"/>
    <w:rsid w:val="004A3AA8"/>
    <w:rsid w:val="004A3BDC"/>
    <w:rsid w:val="004A47E0"/>
    <w:rsid w:val="004A67EB"/>
    <w:rsid w:val="004A73BD"/>
    <w:rsid w:val="004B0B91"/>
    <w:rsid w:val="004B13C7"/>
    <w:rsid w:val="004B28D9"/>
    <w:rsid w:val="004B3646"/>
    <w:rsid w:val="004B3FED"/>
    <w:rsid w:val="004B4BF1"/>
    <w:rsid w:val="004B5D42"/>
    <w:rsid w:val="004B5D90"/>
    <w:rsid w:val="004B6CFF"/>
    <w:rsid w:val="004B7605"/>
    <w:rsid w:val="004B778F"/>
    <w:rsid w:val="004B7BFA"/>
    <w:rsid w:val="004C0380"/>
    <w:rsid w:val="004C0609"/>
    <w:rsid w:val="004C1646"/>
    <w:rsid w:val="004C182B"/>
    <w:rsid w:val="004C3224"/>
    <w:rsid w:val="004C71A6"/>
    <w:rsid w:val="004D0A4E"/>
    <w:rsid w:val="004D141F"/>
    <w:rsid w:val="004D2741"/>
    <w:rsid w:val="004D2742"/>
    <w:rsid w:val="004D2C53"/>
    <w:rsid w:val="004D4363"/>
    <w:rsid w:val="004D6310"/>
    <w:rsid w:val="004E0062"/>
    <w:rsid w:val="004E05A1"/>
    <w:rsid w:val="004E1079"/>
    <w:rsid w:val="004E258E"/>
    <w:rsid w:val="004E44D4"/>
    <w:rsid w:val="004E5FC7"/>
    <w:rsid w:val="004E6C54"/>
    <w:rsid w:val="004F089B"/>
    <w:rsid w:val="004F1147"/>
    <w:rsid w:val="004F1A9E"/>
    <w:rsid w:val="004F3B1F"/>
    <w:rsid w:val="004F5E57"/>
    <w:rsid w:val="004F6710"/>
    <w:rsid w:val="004F68C0"/>
    <w:rsid w:val="00500C3E"/>
    <w:rsid w:val="00501304"/>
    <w:rsid w:val="00501A01"/>
    <w:rsid w:val="00502849"/>
    <w:rsid w:val="00504334"/>
    <w:rsid w:val="00504389"/>
    <w:rsid w:val="0050498D"/>
    <w:rsid w:val="005050B3"/>
    <w:rsid w:val="005060DF"/>
    <w:rsid w:val="005064A3"/>
    <w:rsid w:val="005104D7"/>
    <w:rsid w:val="00510B9E"/>
    <w:rsid w:val="00510C74"/>
    <w:rsid w:val="00513908"/>
    <w:rsid w:val="005141B2"/>
    <w:rsid w:val="00516B19"/>
    <w:rsid w:val="00516CFE"/>
    <w:rsid w:val="00520FBD"/>
    <w:rsid w:val="00522EDD"/>
    <w:rsid w:val="005236E1"/>
    <w:rsid w:val="0052494F"/>
    <w:rsid w:val="00525C4A"/>
    <w:rsid w:val="0053615D"/>
    <w:rsid w:val="00536A6B"/>
    <w:rsid w:val="00536BC2"/>
    <w:rsid w:val="005400C7"/>
    <w:rsid w:val="005408BB"/>
    <w:rsid w:val="00541028"/>
    <w:rsid w:val="005425E1"/>
    <w:rsid w:val="005427C5"/>
    <w:rsid w:val="00542CF6"/>
    <w:rsid w:val="00544455"/>
    <w:rsid w:val="00545E85"/>
    <w:rsid w:val="005460BB"/>
    <w:rsid w:val="0055001E"/>
    <w:rsid w:val="0055282C"/>
    <w:rsid w:val="0055389E"/>
    <w:rsid w:val="00553C03"/>
    <w:rsid w:val="00556CBB"/>
    <w:rsid w:val="0056366F"/>
    <w:rsid w:val="00563692"/>
    <w:rsid w:val="005651BE"/>
    <w:rsid w:val="0056540B"/>
    <w:rsid w:val="00566B77"/>
    <w:rsid w:val="00571679"/>
    <w:rsid w:val="0057180F"/>
    <w:rsid w:val="005735FF"/>
    <w:rsid w:val="00573D56"/>
    <w:rsid w:val="0057666A"/>
    <w:rsid w:val="00576EBA"/>
    <w:rsid w:val="00577519"/>
    <w:rsid w:val="005814A5"/>
    <w:rsid w:val="00583A9D"/>
    <w:rsid w:val="00583C3E"/>
    <w:rsid w:val="005844E7"/>
    <w:rsid w:val="0058733B"/>
    <w:rsid w:val="00590100"/>
    <w:rsid w:val="005908B8"/>
    <w:rsid w:val="00590F84"/>
    <w:rsid w:val="00593358"/>
    <w:rsid w:val="0059442D"/>
    <w:rsid w:val="00594E60"/>
    <w:rsid w:val="0059512E"/>
    <w:rsid w:val="00596F56"/>
    <w:rsid w:val="005A2E37"/>
    <w:rsid w:val="005A3A0C"/>
    <w:rsid w:val="005A3AFC"/>
    <w:rsid w:val="005A408E"/>
    <w:rsid w:val="005A55C8"/>
    <w:rsid w:val="005A6DD2"/>
    <w:rsid w:val="005B0B63"/>
    <w:rsid w:val="005B33F4"/>
    <w:rsid w:val="005B463A"/>
    <w:rsid w:val="005C2927"/>
    <w:rsid w:val="005C385D"/>
    <w:rsid w:val="005C61B4"/>
    <w:rsid w:val="005C715E"/>
    <w:rsid w:val="005C7568"/>
    <w:rsid w:val="005D0481"/>
    <w:rsid w:val="005D2243"/>
    <w:rsid w:val="005D3B20"/>
    <w:rsid w:val="005E0BB7"/>
    <w:rsid w:val="005E1246"/>
    <w:rsid w:val="005E3756"/>
    <w:rsid w:val="005E4759"/>
    <w:rsid w:val="005E51D6"/>
    <w:rsid w:val="005E5C68"/>
    <w:rsid w:val="005E629D"/>
    <w:rsid w:val="005E65C0"/>
    <w:rsid w:val="005F0390"/>
    <w:rsid w:val="005F06FC"/>
    <w:rsid w:val="005F273E"/>
    <w:rsid w:val="005F3F73"/>
    <w:rsid w:val="005F48A3"/>
    <w:rsid w:val="005F6323"/>
    <w:rsid w:val="005F7549"/>
    <w:rsid w:val="005F7BE6"/>
    <w:rsid w:val="0060048D"/>
    <w:rsid w:val="00600497"/>
    <w:rsid w:val="00601F30"/>
    <w:rsid w:val="00603C04"/>
    <w:rsid w:val="00605377"/>
    <w:rsid w:val="00605B89"/>
    <w:rsid w:val="00605ECB"/>
    <w:rsid w:val="00606029"/>
    <w:rsid w:val="0060606F"/>
    <w:rsid w:val="0060677A"/>
    <w:rsid w:val="006072CD"/>
    <w:rsid w:val="00612023"/>
    <w:rsid w:val="00614190"/>
    <w:rsid w:val="00615033"/>
    <w:rsid w:val="006173C4"/>
    <w:rsid w:val="00621282"/>
    <w:rsid w:val="006215FA"/>
    <w:rsid w:val="00621E6E"/>
    <w:rsid w:val="00622A99"/>
    <w:rsid w:val="00622E67"/>
    <w:rsid w:val="00626108"/>
    <w:rsid w:val="006268AD"/>
    <w:rsid w:val="00626EDC"/>
    <w:rsid w:val="0063239E"/>
    <w:rsid w:val="006336B5"/>
    <w:rsid w:val="0063418D"/>
    <w:rsid w:val="00636D81"/>
    <w:rsid w:val="0063707E"/>
    <w:rsid w:val="00640C5E"/>
    <w:rsid w:val="00643663"/>
    <w:rsid w:val="00643F04"/>
    <w:rsid w:val="00645E52"/>
    <w:rsid w:val="006470EC"/>
    <w:rsid w:val="00650670"/>
    <w:rsid w:val="00650BCE"/>
    <w:rsid w:val="00650BE3"/>
    <w:rsid w:val="00650E14"/>
    <w:rsid w:val="006519A9"/>
    <w:rsid w:val="00651B5B"/>
    <w:rsid w:val="00652816"/>
    <w:rsid w:val="006542D6"/>
    <w:rsid w:val="00654372"/>
    <w:rsid w:val="006546BA"/>
    <w:rsid w:val="0065598E"/>
    <w:rsid w:val="00655AF2"/>
    <w:rsid w:val="00655BC5"/>
    <w:rsid w:val="00655D1B"/>
    <w:rsid w:val="00656404"/>
    <w:rsid w:val="006568BE"/>
    <w:rsid w:val="00657500"/>
    <w:rsid w:val="0066025D"/>
    <w:rsid w:val="006606DA"/>
    <w:rsid w:val="0066091A"/>
    <w:rsid w:val="006623CC"/>
    <w:rsid w:val="006623E2"/>
    <w:rsid w:val="00663211"/>
    <w:rsid w:val="006636C2"/>
    <w:rsid w:val="0066394F"/>
    <w:rsid w:val="00663E88"/>
    <w:rsid w:val="00663FEF"/>
    <w:rsid w:val="0066403C"/>
    <w:rsid w:val="0066410A"/>
    <w:rsid w:val="00664743"/>
    <w:rsid w:val="0066539D"/>
    <w:rsid w:val="0066550A"/>
    <w:rsid w:val="0067029F"/>
    <w:rsid w:val="00670302"/>
    <w:rsid w:val="00670345"/>
    <w:rsid w:val="006736F6"/>
    <w:rsid w:val="00676183"/>
    <w:rsid w:val="006773EC"/>
    <w:rsid w:val="00677BB7"/>
    <w:rsid w:val="00680504"/>
    <w:rsid w:val="00680905"/>
    <w:rsid w:val="00681CD9"/>
    <w:rsid w:val="00682602"/>
    <w:rsid w:val="00683DDE"/>
    <w:rsid w:val="00683E30"/>
    <w:rsid w:val="006841FF"/>
    <w:rsid w:val="006848E5"/>
    <w:rsid w:val="00684F17"/>
    <w:rsid w:val="00685248"/>
    <w:rsid w:val="006852C0"/>
    <w:rsid w:val="00685318"/>
    <w:rsid w:val="00686C46"/>
    <w:rsid w:val="00687024"/>
    <w:rsid w:val="00687B13"/>
    <w:rsid w:val="00690166"/>
    <w:rsid w:val="00693B26"/>
    <w:rsid w:val="00695619"/>
    <w:rsid w:val="00695AA4"/>
    <w:rsid w:val="00695E22"/>
    <w:rsid w:val="0069658C"/>
    <w:rsid w:val="00696948"/>
    <w:rsid w:val="006A6628"/>
    <w:rsid w:val="006A79A3"/>
    <w:rsid w:val="006B24BE"/>
    <w:rsid w:val="006B393F"/>
    <w:rsid w:val="006B4CD0"/>
    <w:rsid w:val="006B5FAE"/>
    <w:rsid w:val="006B67AF"/>
    <w:rsid w:val="006B6EC5"/>
    <w:rsid w:val="006B7093"/>
    <w:rsid w:val="006B72CB"/>
    <w:rsid w:val="006B7417"/>
    <w:rsid w:val="006C4A46"/>
    <w:rsid w:val="006C4BD4"/>
    <w:rsid w:val="006C540A"/>
    <w:rsid w:val="006C62C1"/>
    <w:rsid w:val="006C6D3A"/>
    <w:rsid w:val="006D2AB8"/>
    <w:rsid w:val="006D3691"/>
    <w:rsid w:val="006D49AA"/>
    <w:rsid w:val="006D53DE"/>
    <w:rsid w:val="006E110D"/>
    <w:rsid w:val="006E3CD0"/>
    <w:rsid w:val="006E3EC3"/>
    <w:rsid w:val="006E5EF0"/>
    <w:rsid w:val="006E771C"/>
    <w:rsid w:val="006F3563"/>
    <w:rsid w:val="006F42B9"/>
    <w:rsid w:val="006F5486"/>
    <w:rsid w:val="006F6103"/>
    <w:rsid w:val="006F7301"/>
    <w:rsid w:val="00701008"/>
    <w:rsid w:val="007023B8"/>
    <w:rsid w:val="00703481"/>
    <w:rsid w:val="00704DE6"/>
    <w:rsid w:val="00704E00"/>
    <w:rsid w:val="007053D3"/>
    <w:rsid w:val="0070652B"/>
    <w:rsid w:val="00706A18"/>
    <w:rsid w:val="007070A0"/>
    <w:rsid w:val="00707A26"/>
    <w:rsid w:val="007103CB"/>
    <w:rsid w:val="007118E5"/>
    <w:rsid w:val="00711F75"/>
    <w:rsid w:val="00711F90"/>
    <w:rsid w:val="00712F52"/>
    <w:rsid w:val="00713D81"/>
    <w:rsid w:val="007145A9"/>
    <w:rsid w:val="00715EAE"/>
    <w:rsid w:val="007167C6"/>
    <w:rsid w:val="00716943"/>
    <w:rsid w:val="00717E92"/>
    <w:rsid w:val="007205D0"/>
    <w:rsid w:val="007209E7"/>
    <w:rsid w:val="0072118C"/>
    <w:rsid w:val="007218B6"/>
    <w:rsid w:val="0072207B"/>
    <w:rsid w:val="00722A92"/>
    <w:rsid w:val="00723FDC"/>
    <w:rsid w:val="00725183"/>
    <w:rsid w:val="00726131"/>
    <w:rsid w:val="00726182"/>
    <w:rsid w:val="007266E8"/>
    <w:rsid w:val="00726717"/>
    <w:rsid w:val="00727635"/>
    <w:rsid w:val="007319CD"/>
    <w:rsid w:val="00731EF1"/>
    <w:rsid w:val="00732329"/>
    <w:rsid w:val="0073305C"/>
    <w:rsid w:val="007337CA"/>
    <w:rsid w:val="00734CE4"/>
    <w:rsid w:val="00735123"/>
    <w:rsid w:val="0073574C"/>
    <w:rsid w:val="00740A34"/>
    <w:rsid w:val="0074118B"/>
    <w:rsid w:val="00741837"/>
    <w:rsid w:val="00741DE5"/>
    <w:rsid w:val="007423FA"/>
    <w:rsid w:val="00742B48"/>
    <w:rsid w:val="00744DA2"/>
    <w:rsid w:val="007453E6"/>
    <w:rsid w:val="00746D6E"/>
    <w:rsid w:val="00747694"/>
    <w:rsid w:val="00751823"/>
    <w:rsid w:val="007523E0"/>
    <w:rsid w:val="0075494B"/>
    <w:rsid w:val="00754D24"/>
    <w:rsid w:val="00755385"/>
    <w:rsid w:val="00755886"/>
    <w:rsid w:val="007564F2"/>
    <w:rsid w:val="0075682E"/>
    <w:rsid w:val="0075698E"/>
    <w:rsid w:val="007627F3"/>
    <w:rsid w:val="00763BA5"/>
    <w:rsid w:val="00766245"/>
    <w:rsid w:val="00767955"/>
    <w:rsid w:val="00770A23"/>
    <w:rsid w:val="0077263F"/>
    <w:rsid w:val="0077309D"/>
    <w:rsid w:val="007738F7"/>
    <w:rsid w:val="00774CA7"/>
    <w:rsid w:val="007774EE"/>
    <w:rsid w:val="00780F04"/>
    <w:rsid w:val="0078147C"/>
    <w:rsid w:val="00781822"/>
    <w:rsid w:val="00783F21"/>
    <w:rsid w:val="00784805"/>
    <w:rsid w:val="00785EEB"/>
    <w:rsid w:val="00786D8E"/>
    <w:rsid w:val="00787159"/>
    <w:rsid w:val="0079043A"/>
    <w:rsid w:val="00791156"/>
    <w:rsid w:val="00791668"/>
    <w:rsid w:val="00791AA1"/>
    <w:rsid w:val="00791D9B"/>
    <w:rsid w:val="00791DB3"/>
    <w:rsid w:val="00793719"/>
    <w:rsid w:val="007A014B"/>
    <w:rsid w:val="007A17D0"/>
    <w:rsid w:val="007A3793"/>
    <w:rsid w:val="007A39B6"/>
    <w:rsid w:val="007A50AD"/>
    <w:rsid w:val="007A56FF"/>
    <w:rsid w:val="007A5785"/>
    <w:rsid w:val="007A63FD"/>
    <w:rsid w:val="007B2132"/>
    <w:rsid w:val="007B2CDB"/>
    <w:rsid w:val="007B547E"/>
    <w:rsid w:val="007C16FD"/>
    <w:rsid w:val="007C1BA2"/>
    <w:rsid w:val="007C1C57"/>
    <w:rsid w:val="007C2B48"/>
    <w:rsid w:val="007C5F42"/>
    <w:rsid w:val="007C69DD"/>
    <w:rsid w:val="007C7F83"/>
    <w:rsid w:val="007D20E9"/>
    <w:rsid w:val="007D2A67"/>
    <w:rsid w:val="007D399B"/>
    <w:rsid w:val="007D3FCE"/>
    <w:rsid w:val="007D5BC4"/>
    <w:rsid w:val="007D7881"/>
    <w:rsid w:val="007D7E3A"/>
    <w:rsid w:val="007D7FA0"/>
    <w:rsid w:val="007E0057"/>
    <w:rsid w:val="007E0E10"/>
    <w:rsid w:val="007E1276"/>
    <w:rsid w:val="007E3D2B"/>
    <w:rsid w:val="007E4318"/>
    <w:rsid w:val="007E4768"/>
    <w:rsid w:val="007E4770"/>
    <w:rsid w:val="007E5A72"/>
    <w:rsid w:val="007E777B"/>
    <w:rsid w:val="007F0472"/>
    <w:rsid w:val="007F2070"/>
    <w:rsid w:val="007F32A2"/>
    <w:rsid w:val="007F3597"/>
    <w:rsid w:val="007F3616"/>
    <w:rsid w:val="007F3FF3"/>
    <w:rsid w:val="007F42B4"/>
    <w:rsid w:val="007F63B8"/>
    <w:rsid w:val="008014DC"/>
    <w:rsid w:val="0080383A"/>
    <w:rsid w:val="00805326"/>
    <w:rsid w:val="008053F5"/>
    <w:rsid w:val="008062E8"/>
    <w:rsid w:val="00806866"/>
    <w:rsid w:val="0080751F"/>
    <w:rsid w:val="00807AF7"/>
    <w:rsid w:val="00810198"/>
    <w:rsid w:val="00815204"/>
    <w:rsid w:val="00815B91"/>
    <w:rsid w:val="00815DA8"/>
    <w:rsid w:val="00815FEF"/>
    <w:rsid w:val="008169B6"/>
    <w:rsid w:val="0082055F"/>
    <w:rsid w:val="008205AE"/>
    <w:rsid w:val="0082194D"/>
    <w:rsid w:val="008221F9"/>
    <w:rsid w:val="008236FF"/>
    <w:rsid w:val="008246DE"/>
    <w:rsid w:val="008251DE"/>
    <w:rsid w:val="00825E50"/>
    <w:rsid w:val="00826EF5"/>
    <w:rsid w:val="00831693"/>
    <w:rsid w:val="00831A07"/>
    <w:rsid w:val="00831E61"/>
    <w:rsid w:val="00832A35"/>
    <w:rsid w:val="00832B7E"/>
    <w:rsid w:val="00832F19"/>
    <w:rsid w:val="008339C9"/>
    <w:rsid w:val="00840104"/>
    <w:rsid w:val="00840C1F"/>
    <w:rsid w:val="00841FC5"/>
    <w:rsid w:val="00842E92"/>
    <w:rsid w:val="00843129"/>
    <w:rsid w:val="00843D8F"/>
    <w:rsid w:val="00844A05"/>
    <w:rsid w:val="00845709"/>
    <w:rsid w:val="00846C91"/>
    <w:rsid w:val="00846EAF"/>
    <w:rsid w:val="008500C6"/>
    <w:rsid w:val="008511CB"/>
    <w:rsid w:val="008518D1"/>
    <w:rsid w:val="00854092"/>
    <w:rsid w:val="0085739D"/>
    <w:rsid w:val="008576BD"/>
    <w:rsid w:val="008603B7"/>
    <w:rsid w:val="00860463"/>
    <w:rsid w:val="0086050C"/>
    <w:rsid w:val="00860CDD"/>
    <w:rsid w:val="008615B6"/>
    <w:rsid w:val="00864D45"/>
    <w:rsid w:val="008662F6"/>
    <w:rsid w:val="00867D7E"/>
    <w:rsid w:val="008733DA"/>
    <w:rsid w:val="00873C48"/>
    <w:rsid w:val="00875470"/>
    <w:rsid w:val="00876EAC"/>
    <w:rsid w:val="00883943"/>
    <w:rsid w:val="008850E4"/>
    <w:rsid w:val="0088548F"/>
    <w:rsid w:val="00885E8A"/>
    <w:rsid w:val="00886B23"/>
    <w:rsid w:val="00886BD5"/>
    <w:rsid w:val="0089081F"/>
    <w:rsid w:val="00891500"/>
    <w:rsid w:val="008939AB"/>
    <w:rsid w:val="00895B37"/>
    <w:rsid w:val="0089722D"/>
    <w:rsid w:val="008975F6"/>
    <w:rsid w:val="00897AB5"/>
    <w:rsid w:val="008A0540"/>
    <w:rsid w:val="008A12F5"/>
    <w:rsid w:val="008A1E0A"/>
    <w:rsid w:val="008A2FFD"/>
    <w:rsid w:val="008A504D"/>
    <w:rsid w:val="008A5B65"/>
    <w:rsid w:val="008A5B7D"/>
    <w:rsid w:val="008A739D"/>
    <w:rsid w:val="008B031A"/>
    <w:rsid w:val="008B0C99"/>
    <w:rsid w:val="008B1587"/>
    <w:rsid w:val="008B1B01"/>
    <w:rsid w:val="008B1EFD"/>
    <w:rsid w:val="008B2334"/>
    <w:rsid w:val="008B3BCD"/>
    <w:rsid w:val="008B4021"/>
    <w:rsid w:val="008B57FE"/>
    <w:rsid w:val="008B6DF8"/>
    <w:rsid w:val="008B7F19"/>
    <w:rsid w:val="008C0E52"/>
    <w:rsid w:val="008C106C"/>
    <w:rsid w:val="008C10F1"/>
    <w:rsid w:val="008C1926"/>
    <w:rsid w:val="008C1E99"/>
    <w:rsid w:val="008C2A89"/>
    <w:rsid w:val="008C3E06"/>
    <w:rsid w:val="008C669A"/>
    <w:rsid w:val="008C7467"/>
    <w:rsid w:val="008C74D0"/>
    <w:rsid w:val="008D0565"/>
    <w:rsid w:val="008D11E0"/>
    <w:rsid w:val="008D53F1"/>
    <w:rsid w:val="008D54BA"/>
    <w:rsid w:val="008D562F"/>
    <w:rsid w:val="008D71EF"/>
    <w:rsid w:val="008E0085"/>
    <w:rsid w:val="008E04CA"/>
    <w:rsid w:val="008E2AA6"/>
    <w:rsid w:val="008E311B"/>
    <w:rsid w:val="008E3983"/>
    <w:rsid w:val="008E54FD"/>
    <w:rsid w:val="008F09C9"/>
    <w:rsid w:val="008F1569"/>
    <w:rsid w:val="008F3845"/>
    <w:rsid w:val="008F46E7"/>
    <w:rsid w:val="008F581C"/>
    <w:rsid w:val="008F68DE"/>
    <w:rsid w:val="008F6D21"/>
    <w:rsid w:val="008F6F0B"/>
    <w:rsid w:val="00900B3B"/>
    <w:rsid w:val="00901FBA"/>
    <w:rsid w:val="00902715"/>
    <w:rsid w:val="009029C6"/>
    <w:rsid w:val="00902A67"/>
    <w:rsid w:val="00902DBE"/>
    <w:rsid w:val="00903703"/>
    <w:rsid w:val="00903785"/>
    <w:rsid w:val="00904ECB"/>
    <w:rsid w:val="009066B0"/>
    <w:rsid w:val="00907BA7"/>
    <w:rsid w:val="0091040E"/>
    <w:rsid w:val="0091045E"/>
    <w:rsid w:val="0091064E"/>
    <w:rsid w:val="00910EB7"/>
    <w:rsid w:val="009111EE"/>
    <w:rsid w:val="00911FC5"/>
    <w:rsid w:val="009128E5"/>
    <w:rsid w:val="00914E2B"/>
    <w:rsid w:val="00916187"/>
    <w:rsid w:val="009208D4"/>
    <w:rsid w:val="00920F38"/>
    <w:rsid w:val="00920FF5"/>
    <w:rsid w:val="009226A3"/>
    <w:rsid w:val="00922917"/>
    <w:rsid w:val="00923876"/>
    <w:rsid w:val="00923984"/>
    <w:rsid w:val="009244DB"/>
    <w:rsid w:val="00924C44"/>
    <w:rsid w:val="009256A2"/>
    <w:rsid w:val="00925CA1"/>
    <w:rsid w:val="00930805"/>
    <w:rsid w:val="009308ED"/>
    <w:rsid w:val="0093091D"/>
    <w:rsid w:val="009315F3"/>
    <w:rsid w:val="00931A10"/>
    <w:rsid w:val="00931B9F"/>
    <w:rsid w:val="00934B37"/>
    <w:rsid w:val="00935EDA"/>
    <w:rsid w:val="0093617A"/>
    <w:rsid w:val="00936FED"/>
    <w:rsid w:val="00940408"/>
    <w:rsid w:val="00941FCD"/>
    <w:rsid w:val="00942AD7"/>
    <w:rsid w:val="0094518D"/>
    <w:rsid w:val="00945817"/>
    <w:rsid w:val="00946EB4"/>
    <w:rsid w:val="00947967"/>
    <w:rsid w:val="009506FB"/>
    <w:rsid w:val="00952AE0"/>
    <w:rsid w:val="00953E76"/>
    <w:rsid w:val="00955201"/>
    <w:rsid w:val="009560A9"/>
    <w:rsid w:val="00957824"/>
    <w:rsid w:val="00957C75"/>
    <w:rsid w:val="009601D3"/>
    <w:rsid w:val="0096144B"/>
    <w:rsid w:val="00963368"/>
    <w:rsid w:val="0096443C"/>
    <w:rsid w:val="00965090"/>
    <w:rsid w:val="00965200"/>
    <w:rsid w:val="00965BD3"/>
    <w:rsid w:val="00965FCA"/>
    <w:rsid w:val="009668B3"/>
    <w:rsid w:val="00967A75"/>
    <w:rsid w:val="00967CAC"/>
    <w:rsid w:val="00970A40"/>
    <w:rsid w:val="00971471"/>
    <w:rsid w:val="00972CE3"/>
    <w:rsid w:val="00972EF0"/>
    <w:rsid w:val="009738D6"/>
    <w:rsid w:val="00974DBE"/>
    <w:rsid w:val="009773CB"/>
    <w:rsid w:val="0097791A"/>
    <w:rsid w:val="009845DB"/>
    <w:rsid w:val="009849C2"/>
    <w:rsid w:val="00984D24"/>
    <w:rsid w:val="009858EB"/>
    <w:rsid w:val="00987448"/>
    <w:rsid w:val="00987DAF"/>
    <w:rsid w:val="00990E8B"/>
    <w:rsid w:val="00994690"/>
    <w:rsid w:val="009A28BE"/>
    <w:rsid w:val="009A3F47"/>
    <w:rsid w:val="009A4139"/>
    <w:rsid w:val="009A4F07"/>
    <w:rsid w:val="009A547C"/>
    <w:rsid w:val="009A5DF4"/>
    <w:rsid w:val="009B0046"/>
    <w:rsid w:val="009B0348"/>
    <w:rsid w:val="009B14A8"/>
    <w:rsid w:val="009B1F04"/>
    <w:rsid w:val="009B46B5"/>
    <w:rsid w:val="009C044D"/>
    <w:rsid w:val="009C1049"/>
    <w:rsid w:val="009C1440"/>
    <w:rsid w:val="009C2107"/>
    <w:rsid w:val="009C27AE"/>
    <w:rsid w:val="009C2976"/>
    <w:rsid w:val="009C3F33"/>
    <w:rsid w:val="009C5A36"/>
    <w:rsid w:val="009C5D9E"/>
    <w:rsid w:val="009C65A7"/>
    <w:rsid w:val="009D2C3E"/>
    <w:rsid w:val="009D3142"/>
    <w:rsid w:val="009D3952"/>
    <w:rsid w:val="009D3F84"/>
    <w:rsid w:val="009E0316"/>
    <w:rsid w:val="009E0625"/>
    <w:rsid w:val="009E1225"/>
    <w:rsid w:val="009E16FA"/>
    <w:rsid w:val="009E1970"/>
    <w:rsid w:val="009E3034"/>
    <w:rsid w:val="009E349C"/>
    <w:rsid w:val="009E53F4"/>
    <w:rsid w:val="009E549F"/>
    <w:rsid w:val="009E618A"/>
    <w:rsid w:val="009E67D7"/>
    <w:rsid w:val="009E69EC"/>
    <w:rsid w:val="009E6F5C"/>
    <w:rsid w:val="009E7D3E"/>
    <w:rsid w:val="009F060F"/>
    <w:rsid w:val="009F28A8"/>
    <w:rsid w:val="009F4371"/>
    <w:rsid w:val="009F473E"/>
    <w:rsid w:val="009F5790"/>
    <w:rsid w:val="009F682A"/>
    <w:rsid w:val="00A008EF"/>
    <w:rsid w:val="00A0110A"/>
    <w:rsid w:val="00A022BE"/>
    <w:rsid w:val="00A022CB"/>
    <w:rsid w:val="00A03BAE"/>
    <w:rsid w:val="00A042D2"/>
    <w:rsid w:val="00A07B4B"/>
    <w:rsid w:val="00A10F9D"/>
    <w:rsid w:val="00A125C8"/>
    <w:rsid w:val="00A14F11"/>
    <w:rsid w:val="00A16978"/>
    <w:rsid w:val="00A20B77"/>
    <w:rsid w:val="00A2313B"/>
    <w:rsid w:val="00A24C95"/>
    <w:rsid w:val="00A24E73"/>
    <w:rsid w:val="00A2554A"/>
    <w:rsid w:val="00A258DE"/>
    <w:rsid w:val="00A2599A"/>
    <w:rsid w:val="00A26094"/>
    <w:rsid w:val="00A26495"/>
    <w:rsid w:val="00A2753A"/>
    <w:rsid w:val="00A2772B"/>
    <w:rsid w:val="00A27809"/>
    <w:rsid w:val="00A301BF"/>
    <w:rsid w:val="00A302B2"/>
    <w:rsid w:val="00A3113D"/>
    <w:rsid w:val="00A3225B"/>
    <w:rsid w:val="00A331B4"/>
    <w:rsid w:val="00A33FB5"/>
    <w:rsid w:val="00A3484E"/>
    <w:rsid w:val="00A34D75"/>
    <w:rsid w:val="00A34FAB"/>
    <w:rsid w:val="00A356D3"/>
    <w:rsid w:val="00A35944"/>
    <w:rsid w:val="00A36ADA"/>
    <w:rsid w:val="00A438D8"/>
    <w:rsid w:val="00A4477A"/>
    <w:rsid w:val="00A45562"/>
    <w:rsid w:val="00A455C4"/>
    <w:rsid w:val="00A473F5"/>
    <w:rsid w:val="00A47753"/>
    <w:rsid w:val="00A505BB"/>
    <w:rsid w:val="00A51C83"/>
    <w:rsid w:val="00A51F9D"/>
    <w:rsid w:val="00A5416A"/>
    <w:rsid w:val="00A56897"/>
    <w:rsid w:val="00A56D18"/>
    <w:rsid w:val="00A570EB"/>
    <w:rsid w:val="00A61202"/>
    <w:rsid w:val="00A639F4"/>
    <w:rsid w:val="00A64AC9"/>
    <w:rsid w:val="00A65C23"/>
    <w:rsid w:val="00A664A2"/>
    <w:rsid w:val="00A71788"/>
    <w:rsid w:val="00A722EE"/>
    <w:rsid w:val="00A747C6"/>
    <w:rsid w:val="00A75B63"/>
    <w:rsid w:val="00A81179"/>
    <w:rsid w:val="00A8172B"/>
    <w:rsid w:val="00A8188A"/>
    <w:rsid w:val="00A81A32"/>
    <w:rsid w:val="00A81C8A"/>
    <w:rsid w:val="00A81D69"/>
    <w:rsid w:val="00A826EA"/>
    <w:rsid w:val="00A835BD"/>
    <w:rsid w:val="00A85218"/>
    <w:rsid w:val="00A861CC"/>
    <w:rsid w:val="00A87B89"/>
    <w:rsid w:val="00A9061D"/>
    <w:rsid w:val="00A9344F"/>
    <w:rsid w:val="00A93C5D"/>
    <w:rsid w:val="00A96BDF"/>
    <w:rsid w:val="00A97B15"/>
    <w:rsid w:val="00AA1956"/>
    <w:rsid w:val="00AA30DE"/>
    <w:rsid w:val="00AA42D5"/>
    <w:rsid w:val="00AA50AC"/>
    <w:rsid w:val="00AA6DA9"/>
    <w:rsid w:val="00AA70A1"/>
    <w:rsid w:val="00AB2368"/>
    <w:rsid w:val="00AB2A16"/>
    <w:rsid w:val="00AB2FAB"/>
    <w:rsid w:val="00AB42DD"/>
    <w:rsid w:val="00AB5C14"/>
    <w:rsid w:val="00AB6042"/>
    <w:rsid w:val="00AB668C"/>
    <w:rsid w:val="00AB78DD"/>
    <w:rsid w:val="00AC1EE7"/>
    <w:rsid w:val="00AC3315"/>
    <w:rsid w:val="00AC333F"/>
    <w:rsid w:val="00AC5075"/>
    <w:rsid w:val="00AC585C"/>
    <w:rsid w:val="00AC60B9"/>
    <w:rsid w:val="00AC69A5"/>
    <w:rsid w:val="00AC7F27"/>
    <w:rsid w:val="00AD1925"/>
    <w:rsid w:val="00AD3CDA"/>
    <w:rsid w:val="00AD618D"/>
    <w:rsid w:val="00AE067D"/>
    <w:rsid w:val="00AE5387"/>
    <w:rsid w:val="00AE62EA"/>
    <w:rsid w:val="00AE6A1C"/>
    <w:rsid w:val="00AE6D4F"/>
    <w:rsid w:val="00AF00F2"/>
    <w:rsid w:val="00AF03DA"/>
    <w:rsid w:val="00AF1181"/>
    <w:rsid w:val="00AF2A29"/>
    <w:rsid w:val="00AF2AA3"/>
    <w:rsid w:val="00AF2C70"/>
    <w:rsid w:val="00AF2F79"/>
    <w:rsid w:val="00AF4653"/>
    <w:rsid w:val="00AF5BDB"/>
    <w:rsid w:val="00AF7C5C"/>
    <w:rsid w:val="00AF7DB7"/>
    <w:rsid w:val="00B0104B"/>
    <w:rsid w:val="00B04643"/>
    <w:rsid w:val="00B0558F"/>
    <w:rsid w:val="00B05E7A"/>
    <w:rsid w:val="00B10D02"/>
    <w:rsid w:val="00B1388F"/>
    <w:rsid w:val="00B13980"/>
    <w:rsid w:val="00B13E3C"/>
    <w:rsid w:val="00B14218"/>
    <w:rsid w:val="00B1425A"/>
    <w:rsid w:val="00B17277"/>
    <w:rsid w:val="00B201E2"/>
    <w:rsid w:val="00B20388"/>
    <w:rsid w:val="00B204E4"/>
    <w:rsid w:val="00B21B30"/>
    <w:rsid w:val="00B2249E"/>
    <w:rsid w:val="00B2289E"/>
    <w:rsid w:val="00B22EC6"/>
    <w:rsid w:val="00B235EF"/>
    <w:rsid w:val="00B23E7C"/>
    <w:rsid w:val="00B240E2"/>
    <w:rsid w:val="00B24338"/>
    <w:rsid w:val="00B26A42"/>
    <w:rsid w:val="00B30E01"/>
    <w:rsid w:val="00B330B8"/>
    <w:rsid w:val="00B35BA4"/>
    <w:rsid w:val="00B36E9C"/>
    <w:rsid w:val="00B40E4A"/>
    <w:rsid w:val="00B41F3A"/>
    <w:rsid w:val="00B421BF"/>
    <w:rsid w:val="00B42B31"/>
    <w:rsid w:val="00B4331F"/>
    <w:rsid w:val="00B43461"/>
    <w:rsid w:val="00B443E4"/>
    <w:rsid w:val="00B44A00"/>
    <w:rsid w:val="00B44E4B"/>
    <w:rsid w:val="00B463C2"/>
    <w:rsid w:val="00B519BF"/>
    <w:rsid w:val="00B5484D"/>
    <w:rsid w:val="00B563A4"/>
    <w:rsid w:val="00B563EA"/>
    <w:rsid w:val="00B56CDF"/>
    <w:rsid w:val="00B56F42"/>
    <w:rsid w:val="00B60E51"/>
    <w:rsid w:val="00B610EA"/>
    <w:rsid w:val="00B63A54"/>
    <w:rsid w:val="00B7287C"/>
    <w:rsid w:val="00B74B4B"/>
    <w:rsid w:val="00B760BC"/>
    <w:rsid w:val="00B7703D"/>
    <w:rsid w:val="00B77D18"/>
    <w:rsid w:val="00B808DE"/>
    <w:rsid w:val="00B8313A"/>
    <w:rsid w:val="00B83B03"/>
    <w:rsid w:val="00B863DC"/>
    <w:rsid w:val="00B86EF9"/>
    <w:rsid w:val="00B9071B"/>
    <w:rsid w:val="00B915A6"/>
    <w:rsid w:val="00B92686"/>
    <w:rsid w:val="00B93503"/>
    <w:rsid w:val="00B935F6"/>
    <w:rsid w:val="00B93D7B"/>
    <w:rsid w:val="00B95CC6"/>
    <w:rsid w:val="00B96071"/>
    <w:rsid w:val="00B977F9"/>
    <w:rsid w:val="00BA1093"/>
    <w:rsid w:val="00BA2C66"/>
    <w:rsid w:val="00BA31E8"/>
    <w:rsid w:val="00BA3C30"/>
    <w:rsid w:val="00BA3F8F"/>
    <w:rsid w:val="00BA4F6F"/>
    <w:rsid w:val="00BA55E0"/>
    <w:rsid w:val="00BA6BD4"/>
    <w:rsid w:val="00BA6C7A"/>
    <w:rsid w:val="00BA7375"/>
    <w:rsid w:val="00BA7D98"/>
    <w:rsid w:val="00BB0B32"/>
    <w:rsid w:val="00BB17D1"/>
    <w:rsid w:val="00BB29B8"/>
    <w:rsid w:val="00BB3752"/>
    <w:rsid w:val="00BB3B83"/>
    <w:rsid w:val="00BB5731"/>
    <w:rsid w:val="00BB609C"/>
    <w:rsid w:val="00BB6688"/>
    <w:rsid w:val="00BC26D4"/>
    <w:rsid w:val="00BC774D"/>
    <w:rsid w:val="00BC794D"/>
    <w:rsid w:val="00BD0BB5"/>
    <w:rsid w:val="00BD2A79"/>
    <w:rsid w:val="00BD338A"/>
    <w:rsid w:val="00BD3F6C"/>
    <w:rsid w:val="00BD62D0"/>
    <w:rsid w:val="00BD6339"/>
    <w:rsid w:val="00BD6E9C"/>
    <w:rsid w:val="00BD78E8"/>
    <w:rsid w:val="00BE0C80"/>
    <w:rsid w:val="00BE131E"/>
    <w:rsid w:val="00BE202A"/>
    <w:rsid w:val="00BE79BA"/>
    <w:rsid w:val="00BF0D27"/>
    <w:rsid w:val="00BF17D6"/>
    <w:rsid w:val="00BF2A42"/>
    <w:rsid w:val="00BF3E06"/>
    <w:rsid w:val="00BF4215"/>
    <w:rsid w:val="00BF66BE"/>
    <w:rsid w:val="00BF67F5"/>
    <w:rsid w:val="00BF6B5F"/>
    <w:rsid w:val="00BF7E0C"/>
    <w:rsid w:val="00C000F7"/>
    <w:rsid w:val="00C00401"/>
    <w:rsid w:val="00C0093C"/>
    <w:rsid w:val="00C01015"/>
    <w:rsid w:val="00C01464"/>
    <w:rsid w:val="00C02E69"/>
    <w:rsid w:val="00C03234"/>
    <w:rsid w:val="00C03D8C"/>
    <w:rsid w:val="00C0452A"/>
    <w:rsid w:val="00C05537"/>
    <w:rsid w:val="00C055EC"/>
    <w:rsid w:val="00C07A10"/>
    <w:rsid w:val="00C10DC9"/>
    <w:rsid w:val="00C12FB3"/>
    <w:rsid w:val="00C13D02"/>
    <w:rsid w:val="00C1418A"/>
    <w:rsid w:val="00C149A4"/>
    <w:rsid w:val="00C15D92"/>
    <w:rsid w:val="00C160B9"/>
    <w:rsid w:val="00C17341"/>
    <w:rsid w:val="00C17C2D"/>
    <w:rsid w:val="00C20D01"/>
    <w:rsid w:val="00C23EAB"/>
    <w:rsid w:val="00C24EEF"/>
    <w:rsid w:val="00C25CF6"/>
    <w:rsid w:val="00C26C36"/>
    <w:rsid w:val="00C271CD"/>
    <w:rsid w:val="00C3075D"/>
    <w:rsid w:val="00C31C76"/>
    <w:rsid w:val="00C320F8"/>
    <w:rsid w:val="00C3211E"/>
    <w:rsid w:val="00C32354"/>
    <w:rsid w:val="00C32768"/>
    <w:rsid w:val="00C331E4"/>
    <w:rsid w:val="00C34C3A"/>
    <w:rsid w:val="00C354A8"/>
    <w:rsid w:val="00C35B89"/>
    <w:rsid w:val="00C371A3"/>
    <w:rsid w:val="00C404CF"/>
    <w:rsid w:val="00C408AC"/>
    <w:rsid w:val="00C424DE"/>
    <w:rsid w:val="00C431DF"/>
    <w:rsid w:val="00C43DB0"/>
    <w:rsid w:val="00C45093"/>
    <w:rsid w:val="00C456BD"/>
    <w:rsid w:val="00C47940"/>
    <w:rsid w:val="00C50D69"/>
    <w:rsid w:val="00C51C25"/>
    <w:rsid w:val="00C521E2"/>
    <w:rsid w:val="00C527F5"/>
    <w:rsid w:val="00C530DC"/>
    <w:rsid w:val="00C5350D"/>
    <w:rsid w:val="00C54E9C"/>
    <w:rsid w:val="00C57F56"/>
    <w:rsid w:val="00C6123C"/>
    <w:rsid w:val="00C613C4"/>
    <w:rsid w:val="00C62031"/>
    <w:rsid w:val="00C627E3"/>
    <w:rsid w:val="00C6311A"/>
    <w:rsid w:val="00C63712"/>
    <w:rsid w:val="00C65CF2"/>
    <w:rsid w:val="00C66C5A"/>
    <w:rsid w:val="00C6764A"/>
    <w:rsid w:val="00C7084D"/>
    <w:rsid w:val="00C7315E"/>
    <w:rsid w:val="00C74E5E"/>
    <w:rsid w:val="00C75895"/>
    <w:rsid w:val="00C75EF3"/>
    <w:rsid w:val="00C76E0C"/>
    <w:rsid w:val="00C83C9F"/>
    <w:rsid w:val="00C860DD"/>
    <w:rsid w:val="00C86355"/>
    <w:rsid w:val="00C87387"/>
    <w:rsid w:val="00C876C3"/>
    <w:rsid w:val="00C87E5E"/>
    <w:rsid w:val="00C907AA"/>
    <w:rsid w:val="00C920F3"/>
    <w:rsid w:val="00C94840"/>
    <w:rsid w:val="00CA216B"/>
    <w:rsid w:val="00CA4587"/>
    <w:rsid w:val="00CA4EE3"/>
    <w:rsid w:val="00CA4FFA"/>
    <w:rsid w:val="00CA543E"/>
    <w:rsid w:val="00CA5B49"/>
    <w:rsid w:val="00CB027F"/>
    <w:rsid w:val="00CB0B31"/>
    <w:rsid w:val="00CB14C4"/>
    <w:rsid w:val="00CB1CAA"/>
    <w:rsid w:val="00CB1FBE"/>
    <w:rsid w:val="00CB2266"/>
    <w:rsid w:val="00CB4046"/>
    <w:rsid w:val="00CB7987"/>
    <w:rsid w:val="00CC07AE"/>
    <w:rsid w:val="00CC0EBB"/>
    <w:rsid w:val="00CC1150"/>
    <w:rsid w:val="00CC2A9D"/>
    <w:rsid w:val="00CC6297"/>
    <w:rsid w:val="00CC7690"/>
    <w:rsid w:val="00CD05EB"/>
    <w:rsid w:val="00CD0DEF"/>
    <w:rsid w:val="00CD1120"/>
    <w:rsid w:val="00CD1986"/>
    <w:rsid w:val="00CD1C50"/>
    <w:rsid w:val="00CD54BF"/>
    <w:rsid w:val="00CD616C"/>
    <w:rsid w:val="00CD7658"/>
    <w:rsid w:val="00CE0E3F"/>
    <w:rsid w:val="00CE46A1"/>
    <w:rsid w:val="00CE4D5C"/>
    <w:rsid w:val="00CE7A5C"/>
    <w:rsid w:val="00CF05DA"/>
    <w:rsid w:val="00CF0D22"/>
    <w:rsid w:val="00CF131A"/>
    <w:rsid w:val="00CF3655"/>
    <w:rsid w:val="00CF58EB"/>
    <w:rsid w:val="00CF6832"/>
    <w:rsid w:val="00CF6FEC"/>
    <w:rsid w:val="00D00A32"/>
    <w:rsid w:val="00D00B69"/>
    <w:rsid w:val="00D00EE4"/>
    <w:rsid w:val="00D0106E"/>
    <w:rsid w:val="00D01418"/>
    <w:rsid w:val="00D0330F"/>
    <w:rsid w:val="00D043FB"/>
    <w:rsid w:val="00D05C9B"/>
    <w:rsid w:val="00D06383"/>
    <w:rsid w:val="00D0706B"/>
    <w:rsid w:val="00D1020B"/>
    <w:rsid w:val="00D10318"/>
    <w:rsid w:val="00D13407"/>
    <w:rsid w:val="00D137DA"/>
    <w:rsid w:val="00D13AE0"/>
    <w:rsid w:val="00D14A09"/>
    <w:rsid w:val="00D17BF2"/>
    <w:rsid w:val="00D20E85"/>
    <w:rsid w:val="00D22D6D"/>
    <w:rsid w:val="00D24615"/>
    <w:rsid w:val="00D27E2B"/>
    <w:rsid w:val="00D30514"/>
    <w:rsid w:val="00D30CF7"/>
    <w:rsid w:val="00D31B0D"/>
    <w:rsid w:val="00D31FF0"/>
    <w:rsid w:val="00D3479C"/>
    <w:rsid w:val="00D37842"/>
    <w:rsid w:val="00D42DC2"/>
    <w:rsid w:val="00D43189"/>
    <w:rsid w:val="00D43C6C"/>
    <w:rsid w:val="00D45BCE"/>
    <w:rsid w:val="00D46BEF"/>
    <w:rsid w:val="00D47C99"/>
    <w:rsid w:val="00D5047A"/>
    <w:rsid w:val="00D537E1"/>
    <w:rsid w:val="00D55191"/>
    <w:rsid w:val="00D55BB2"/>
    <w:rsid w:val="00D57029"/>
    <w:rsid w:val="00D6091A"/>
    <w:rsid w:val="00D60DA7"/>
    <w:rsid w:val="00D62A19"/>
    <w:rsid w:val="00D6605A"/>
    <w:rsid w:val="00D6695F"/>
    <w:rsid w:val="00D66CC3"/>
    <w:rsid w:val="00D7042F"/>
    <w:rsid w:val="00D73047"/>
    <w:rsid w:val="00D7415A"/>
    <w:rsid w:val="00D75644"/>
    <w:rsid w:val="00D77609"/>
    <w:rsid w:val="00D778BE"/>
    <w:rsid w:val="00D80F38"/>
    <w:rsid w:val="00D81656"/>
    <w:rsid w:val="00D82E78"/>
    <w:rsid w:val="00D83C58"/>
    <w:rsid w:val="00D83D87"/>
    <w:rsid w:val="00D84A6D"/>
    <w:rsid w:val="00D86991"/>
    <w:rsid w:val="00D86A30"/>
    <w:rsid w:val="00D90D91"/>
    <w:rsid w:val="00D9129D"/>
    <w:rsid w:val="00D950C8"/>
    <w:rsid w:val="00D97CB4"/>
    <w:rsid w:val="00D97DD4"/>
    <w:rsid w:val="00DA2F7A"/>
    <w:rsid w:val="00DA3A4A"/>
    <w:rsid w:val="00DA4D6C"/>
    <w:rsid w:val="00DA4FB3"/>
    <w:rsid w:val="00DA5A8A"/>
    <w:rsid w:val="00DA67BC"/>
    <w:rsid w:val="00DA6EC5"/>
    <w:rsid w:val="00DA7653"/>
    <w:rsid w:val="00DB1170"/>
    <w:rsid w:val="00DB1C16"/>
    <w:rsid w:val="00DB26CD"/>
    <w:rsid w:val="00DB35B3"/>
    <w:rsid w:val="00DB441C"/>
    <w:rsid w:val="00DB44AF"/>
    <w:rsid w:val="00DB5DAB"/>
    <w:rsid w:val="00DB6625"/>
    <w:rsid w:val="00DC1F58"/>
    <w:rsid w:val="00DC339B"/>
    <w:rsid w:val="00DC3C14"/>
    <w:rsid w:val="00DC42D9"/>
    <w:rsid w:val="00DC5D40"/>
    <w:rsid w:val="00DC69A7"/>
    <w:rsid w:val="00DD0D3B"/>
    <w:rsid w:val="00DD30E9"/>
    <w:rsid w:val="00DD3DA6"/>
    <w:rsid w:val="00DD44C1"/>
    <w:rsid w:val="00DD46B4"/>
    <w:rsid w:val="00DD49AB"/>
    <w:rsid w:val="00DD4F47"/>
    <w:rsid w:val="00DD583D"/>
    <w:rsid w:val="00DD634D"/>
    <w:rsid w:val="00DD7FBB"/>
    <w:rsid w:val="00DE0312"/>
    <w:rsid w:val="00DE0A55"/>
    <w:rsid w:val="00DE0B9F"/>
    <w:rsid w:val="00DE0CED"/>
    <w:rsid w:val="00DE2A9E"/>
    <w:rsid w:val="00DE328E"/>
    <w:rsid w:val="00DE4238"/>
    <w:rsid w:val="00DE657F"/>
    <w:rsid w:val="00DF05A6"/>
    <w:rsid w:val="00DF1218"/>
    <w:rsid w:val="00DF2F3F"/>
    <w:rsid w:val="00DF3AA6"/>
    <w:rsid w:val="00DF3AF8"/>
    <w:rsid w:val="00DF6141"/>
    <w:rsid w:val="00DF6462"/>
    <w:rsid w:val="00DF77F2"/>
    <w:rsid w:val="00E0119A"/>
    <w:rsid w:val="00E0171A"/>
    <w:rsid w:val="00E02EF1"/>
    <w:rsid w:val="00E02FA0"/>
    <w:rsid w:val="00E036DC"/>
    <w:rsid w:val="00E0602E"/>
    <w:rsid w:val="00E065B9"/>
    <w:rsid w:val="00E10454"/>
    <w:rsid w:val="00E10BA3"/>
    <w:rsid w:val="00E112E5"/>
    <w:rsid w:val="00E122D8"/>
    <w:rsid w:val="00E12781"/>
    <w:rsid w:val="00E128D2"/>
    <w:rsid w:val="00E12999"/>
    <w:rsid w:val="00E12CC8"/>
    <w:rsid w:val="00E15352"/>
    <w:rsid w:val="00E21CC7"/>
    <w:rsid w:val="00E22AA9"/>
    <w:rsid w:val="00E23438"/>
    <w:rsid w:val="00E24D9E"/>
    <w:rsid w:val="00E255D5"/>
    <w:rsid w:val="00E25849"/>
    <w:rsid w:val="00E25895"/>
    <w:rsid w:val="00E3197E"/>
    <w:rsid w:val="00E342F8"/>
    <w:rsid w:val="00E351ED"/>
    <w:rsid w:val="00E3525E"/>
    <w:rsid w:val="00E37F0A"/>
    <w:rsid w:val="00E400D9"/>
    <w:rsid w:val="00E40BCE"/>
    <w:rsid w:val="00E41158"/>
    <w:rsid w:val="00E414AA"/>
    <w:rsid w:val="00E418EE"/>
    <w:rsid w:val="00E41A2F"/>
    <w:rsid w:val="00E428E3"/>
    <w:rsid w:val="00E42DD6"/>
    <w:rsid w:val="00E43014"/>
    <w:rsid w:val="00E43F1E"/>
    <w:rsid w:val="00E44CE5"/>
    <w:rsid w:val="00E47F4F"/>
    <w:rsid w:val="00E510F0"/>
    <w:rsid w:val="00E52111"/>
    <w:rsid w:val="00E5211B"/>
    <w:rsid w:val="00E53BE2"/>
    <w:rsid w:val="00E54471"/>
    <w:rsid w:val="00E54955"/>
    <w:rsid w:val="00E5549D"/>
    <w:rsid w:val="00E56595"/>
    <w:rsid w:val="00E5712B"/>
    <w:rsid w:val="00E6022D"/>
    <w:rsid w:val="00E6034B"/>
    <w:rsid w:val="00E61559"/>
    <w:rsid w:val="00E61D98"/>
    <w:rsid w:val="00E6339C"/>
    <w:rsid w:val="00E63B5D"/>
    <w:rsid w:val="00E6549E"/>
    <w:rsid w:val="00E65773"/>
    <w:rsid w:val="00E65EDE"/>
    <w:rsid w:val="00E67EE6"/>
    <w:rsid w:val="00E700F3"/>
    <w:rsid w:val="00E70E45"/>
    <w:rsid w:val="00E70F81"/>
    <w:rsid w:val="00E71ECB"/>
    <w:rsid w:val="00E7298E"/>
    <w:rsid w:val="00E72E28"/>
    <w:rsid w:val="00E734D3"/>
    <w:rsid w:val="00E73B37"/>
    <w:rsid w:val="00E76B64"/>
    <w:rsid w:val="00E76F15"/>
    <w:rsid w:val="00E77055"/>
    <w:rsid w:val="00E77407"/>
    <w:rsid w:val="00E77460"/>
    <w:rsid w:val="00E8119E"/>
    <w:rsid w:val="00E81B17"/>
    <w:rsid w:val="00E82613"/>
    <w:rsid w:val="00E82799"/>
    <w:rsid w:val="00E82BE2"/>
    <w:rsid w:val="00E83ABC"/>
    <w:rsid w:val="00E844F2"/>
    <w:rsid w:val="00E85E4D"/>
    <w:rsid w:val="00E90AD0"/>
    <w:rsid w:val="00E90DD2"/>
    <w:rsid w:val="00E91625"/>
    <w:rsid w:val="00E91E59"/>
    <w:rsid w:val="00E92679"/>
    <w:rsid w:val="00E92DC0"/>
    <w:rsid w:val="00E92FCB"/>
    <w:rsid w:val="00E95122"/>
    <w:rsid w:val="00E97002"/>
    <w:rsid w:val="00E97CD5"/>
    <w:rsid w:val="00E97D34"/>
    <w:rsid w:val="00EA07BC"/>
    <w:rsid w:val="00EA147F"/>
    <w:rsid w:val="00EA2D1E"/>
    <w:rsid w:val="00EA3CCF"/>
    <w:rsid w:val="00EA3EF1"/>
    <w:rsid w:val="00EA4797"/>
    <w:rsid w:val="00EA4A27"/>
    <w:rsid w:val="00EA4FA6"/>
    <w:rsid w:val="00EA5367"/>
    <w:rsid w:val="00EA670E"/>
    <w:rsid w:val="00EB1A25"/>
    <w:rsid w:val="00EB5B88"/>
    <w:rsid w:val="00EB66FE"/>
    <w:rsid w:val="00EC1BDB"/>
    <w:rsid w:val="00EC1E16"/>
    <w:rsid w:val="00EC38BB"/>
    <w:rsid w:val="00EC3902"/>
    <w:rsid w:val="00EC3A49"/>
    <w:rsid w:val="00EC3DED"/>
    <w:rsid w:val="00EC4C40"/>
    <w:rsid w:val="00EC4F0D"/>
    <w:rsid w:val="00EC5589"/>
    <w:rsid w:val="00EC7363"/>
    <w:rsid w:val="00EC7C64"/>
    <w:rsid w:val="00ED03AB"/>
    <w:rsid w:val="00ED1963"/>
    <w:rsid w:val="00ED1CD4"/>
    <w:rsid w:val="00ED1D2B"/>
    <w:rsid w:val="00ED256D"/>
    <w:rsid w:val="00ED38C2"/>
    <w:rsid w:val="00ED4183"/>
    <w:rsid w:val="00ED64B5"/>
    <w:rsid w:val="00ED6DB4"/>
    <w:rsid w:val="00ED7459"/>
    <w:rsid w:val="00EE24C7"/>
    <w:rsid w:val="00EE331A"/>
    <w:rsid w:val="00EE4184"/>
    <w:rsid w:val="00EE47C5"/>
    <w:rsid w:val="00EE4C9F"/>
    <w:rsid w:val="00EE7CCA"/>
    <w:rsid w:val="00EF0574"/>
    <w:rsid w:val="00EF0958"/>
    <w:rsid w:val="00EF14C1"/>
    <w:rsid w:val="00EF2905"/>
    <w:rsid w:val="00EF3BF0"/>
    <w:rsid w:val="00EF4272"/>
    <w:rsid w:val="00EF4EDE"/>
    <w:rsid w:val="00EF4FAB"/>
    <w:rsid w:val="00EF53EF"/>
    <w:rsid w:val="00EF6F07"/>
    <w:rsid w:val="00F014D5"/>
    <w:rsid w:val="00F026C5"/>
    <w:rsid w:val="00F05995"/>
    <w:rsid w:val="00F0689B"/>
    <w:rsid w:val="00F12284"/>
    <w:rsid w:val="00F129C3"/>
    <w:rsid w:val="00F131E1"/>
    <w:rsid w:val="00F142A5"/>
    <w:rsid w:val="00F14846"/>
    <w:rsid w:val="00F14CE5"/>
    <w:rsid w:val="00F14DCA"/>
    <w:rsid w:val="00F15354"/>
    <w:rsid w:val="00F16A14"/>
    <w:rsid w:val="00F20318"/>
    <w:rsid w:val="00F20AB2"/>
    <w:rsid w:val="00F25BEA"/>
    <w:rsid w:val="00F25C82"/>
    <w:rsid w:val="00F26109"/>
    <w:rsid w:val="00F26ADA"/>
    <w:rsid w:val="00F27C2B"/>
    <w:rsid w:val="00F3027E"/>
    <w:rsid w:val="00F30BE0"/>
    <w:rsid w:val="00F32805"/>
    <w:rsid w:val="00F352C7"/>
    <w:rsid w:val="00F362D7"/>
    <w:rsid w:val="00F37D7B"/>
    <w:rsid w:val="00F42153"/>
    <w:rsid w:val="00F42674"/>
    <w:rsid w:val="00F440C6"/>
    <w:rsid w:val="00F446FB"/>
    <w:rsid w:val="00F44D15"/>
    <w:rsid w:val="00F4515F"/>
    <w:rsid w:val="00F4528F"/>
    <w:rsid w:val="00F45C89"/>
    <w:rsid w:val="00F5314C"/>
    <w:rsid w:val="00F540CA"/>
    <w:rsid w:val="00F553D6"/>
    <w:rsid w:val="00F559CC"/>
    <w:rsid w:val="00F5688C"/>
    <w:rsid w:val="00F56C7D"/>
    <w:rsid w:val="00F571B6"/>
    <w:rsid w:val="00F575A8"/>
    <w:rsid w:val="00F60048"/>
    <w:rsid w:val="00F6010B"/>
    <w:rsid w:val="00F60F7A"/>
    <w:rsid w:val="00F61A35"/>
    <w:rsid w:val="00F635DD"/>
    <w:rsid w:val="00F638F7"/>
    <w:rsid w:val="00F6502D"/>
    <w:rsid w:val="00F6627B"/>
    <w:rsid w:val="00F70C2E"/>
    <w:rsid w:val="00F7336E"/>
    <w:rsid w:val="00F734F2"/>
    <w:rsid w:val="00F7380D"/>
    <w:rsid w:val="00F73D94"/>
    <w:rsid w:val="00F75052"/>
    <w:rsid w:val="00F75D3F"/>
    <w:rsid w:val="00F76B82"/>
    <w:rsid w:val="00F76CCD"/>
    <w:rsid w:val="00F804D3"/>
    <w:rsid w:val="00F80B60"/>
    <w:rsid w:val="00F816CB"/>
    <w:rsid w:val="00F81CD2"/>
    <w:rsid w:val="00F82641"/>
    <w:rsid w:val="00F83759"/>
    <w:rsid w:val="00F83869"/>
    <w:rsid w:val="00F83CA6"/>
    <w:rsid w:val="00F8462E"/>
    <w:rsid w:val="00F87F8A"/>
    <w:rsid w:val="00F90F18"/>
    <w:rsid w:val="00F937E4"/>
    <w:rsid w:val="00F94F45"/>
    <w:rsid w:val="00F95EE7"/>
    <w:rsid w:val="00FA0C89"/>
    <w:rsid w:val="00FA1E4F"/>
    <w:rsid w:val="00FA39E6"/>
    <w:rsid w:val="00FA4F62"/>
    <w:rsid w:val="00FA60E8"/>
    <w:rsid w:val="00FA6A07"/>
    <w:rsid w:val="00FA7BC9"/>
    <w:rsid w:val="00FB0C16"/>
    <w:rsid w:val="00FB2BCD"/>
    <w:rsid w:val="00FB3714"/>
    <w:rsid w:val="00FB378E"/>
    <w:rsid w:val="00FB37F1"/>
    <w:rsid w:val="00FB47C0"/>
    <w:rsid w:val="00FB501B"/>
    <w:rsid w:val="00FB602E"/>
    <w:rsid w:val="00FB6C9E"/>
    <w:rsid w:val="00FB6FE1"/>
    <w:rsid w:val="00FB7749"/>
    <w:rsid w:val="00FB7770"/>
    <w:rsid w:val="00FB7E14"/>
    <w:rsid w:val="00FC4E59"/>
    <w:rsid w:val="00FD14BE"/>
    <w:rsid w:val="00FD2955"/>
    <w:rsid w:val="00FD3B91"/>
    <w:rsid w:val="00FD576B"/>
    <w:rsid w:val="00FD579E"/>
    <w:rsid w:val="00FD6845"/>
    <w:rsid w:val="00FD7AE7"/>
    <w:rsid w:val="00FE024E"/>
    <w:rsid w:val="00FE10EF"/>
    <w:rsid w:val="00FE11DC"/>
    <w:rsid w:val="00FE14EF"/>
    <w:rsid w:val="00FE41A9"/>
    <w:rsid w:val="00FE4516"/>
    <w:rsid w:val="00FE64C8"/>
    <w:rsid w:val="00FE6FB8"/>
    <w:rsid w:val="00FF0395"/>
    <w:rsid w:val="00FF41C1"/>
    <w:rsid w:val="00FF5505"/>
    <w:rsid w:val="00FF7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0171A"/>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0171A"/>
    <w:pPr>
      <w:numPr>
        <w:numId w:val="10"/>
      </w:numPr>
      <w:outlineLvl w:val="0"/>
    </w:pPr>
    <w:rPr>
      <w:rFonts w:hAnsi="Arial"/>
      <w:bCs/>
      <w:kern w:val="32"/>
      <w:szCs w:val="52"/>
    </w:rPr>
  </w:style>
  <w:style w:type="paragraph" w:styleId="2">
    <w:name w:val="heading 2"/>
    <w:basedOn w:val="a6"/>
    <w:link w:val="20"/>
    <w:qFormat/>
    <w:rsid w:val="00E0171A"/>
    <w:pPr>
      <w:numPr>
        <w:ilvl w:val="1"/>
        <w:numId w:val="10"/>
      </w:numPr>
      <w:outlineLvl w:val="1"/>
    </w:pPr>
    <w:rPr>
      <w:rFonts w:hAnsi="Arial"/>
      <w:bCs/>
      <w:kern w:val="32"/>
      <w:szCs w:val="48"/>
    </w:rPr>
  </w:style>
  <w:style w:type="paragraph" w:styleId="3">
    <w:name w:val="heading 3"/>
    <w:basedOn w:val="a6"/>
    <w:link w:val="30"/>
    <w:qFormat/>
    <w:rsid w:val="00E0171A"/>
    <w:pPr>
      <w:numPr>
        <w:ilvl w:val="2"/>
        <w:numId w:val="10"/>
      </w:numPr>
      <w:outlineLvl w:val="2"/>
    </w:pPr>
    <w:rPr>
      <w:rFonts w:hAnsi="Arial"/>
      <w:bCs/>
      <w:kern w:val="32"/>
      <w:szCs w:val="36"/>
    </w:rPr>
  </w:style>
  <w:style w:type="paragraph" w:styleId="4">
    <w:name w:val="heading 4"/>
    <w:basedOn w:val="a6"/>
    <w:link w:val="40"/>
    <w:qFormat/>
    <w:rsid w:val="00E0171A"/>
    <w:pPr>
      <w:numPr>
        <w:ilvl w:val="3"/>
        <w:numId w:val="10"/>
      </w:numPr>
      <w:outlineLvl w:val="3"/>
    </w:pPr>
    <w:rPr>
      <w:rFonts w:hAnsi="Arial"/>
      <w:kern w:val="32"/>
      <w:szCs w:val="36"/>
    </w:rPr>
  </w:style>
  <w:style w:type="paragraph" w:styleId="5">
    <w:name w:val="heading 5"/>
    <w:basedOn w:val="a6"/>
    <w:link w:val="50"/>
    <w:qFormat/>
    <w:rsid w:val="00E0171A"/>
    <w:pPr>
      <w:numPr>
        <w:ilvl w:val="4"/>
        <w:numId w:val="10"/>
      </w:numPr>
      <w:outlineLvl w:val="4"/>
    </w:pPr>
    <w:rPr>
      <w:rFonts w:hAnsi="Arial"/>
      <w:bCs/>
      <w:kern w:val="32"/>
      <w:szCs w:val="36"/>
    </w:rPr>
  </w:style>
  <w:style w:type="paragraph" w:styleId="6">
    <w:name w:val="heading 6"/>
    <w:basedOn w:val="a6"/>
    <w:link w:val="60"/>
    <w:qFormat/>
    <w:rsid w:val="00E0171A"/>
    <w:pPr>
      <w:numPr>
        <w:ilvl w:val="5"/>
        <w:numId w:val="10"/>
      </w:numPr>
      <w:tabs>
        <w:tab w:val="left" w:pos="2094"/>
      </w:tabs>
      <w:outlineLvl w:val="5"/>
    </w:pPr>
    <w:rPr>
      <w:rFonts w:hAnsi="Arial"/>
      <w:kern w:val="32"/>
      <w:szCs w:val="36"/>
    </w:rPr>
  </w:style>
  <w:style w:type="paragraph" w:styleId="7">
    <w:name w:val="heading 7"/>
    <w:basedOn w:val="a6"/>
    <w:link w:val="70"/>
    <w:qFormat/>
    <w:rsid w:val="00E0171A"/>
    <w:pPr>
      <w:numPr>
        <w:ilvl w:val="6"/>
        <w:numId w:val="10"/>
      </w:numPr>
      <w:outlineLvl w:val="6"/>
    </w:pPr>
    <w:rPr>
      <w:rFonts w:hAnsi="Arial"/>
      <w:bCs/>
      <w:kern w:val="32"/>
      <w:szCs w:val="36"/>
    </w:rPr>
  </w:style>
  <w:style w:type="paragraph" w:styleId="8">
    <w:name w:val="heading 8"/>
    <w:basedOn w:val="a6"/>
    <w:link w:val="80"/>
    <w:qFormat/>
    <w:rsid w:val="00E0171A"/>
    <w:pPr>
      <w:numPr>
        <w:ilvl w:val="7"/>
        <w:numId w:val="10"/>
      </w:numPr>
      <w:outlineLvl w:val="7"/>
    </w:pPr>
    <w:rPr>
      <w:rFonts w:hAnsi="Arial"/>
      <w:kern w:val="32"/>
      <w:szCs w:val="36"/>
    </w:rPr>
  </w:style>
  <w:style w:type="paragraph" w:styleId="9">
    <w:name w:val="heading 9"/>
    <w:basedOn w:val="a6"/>
    <w:link w:val="90"/>
    <w:uiPriority w:val="9"/>
    <w:unhideWhenUsed/>
    <w:qFormat/>
    <w:rsid w:val="00E0171A"/>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E0171A"/>
    <w:rPr>
      <w:rFonts w:ascii="標楷體" w:eastAsia="標楷體" w:hAnsi="Arial"/>
      <w:bCs/>
      <w:kern w:val="32"/>
      <w:sz w:val="32"/>
      <w:szCs w:val="52"/>
    </w:rPr>
  </w:style>
  <w:style w:type="character" w:customStyle="1" w:styleId="20">
    <w:name w:val="標題 2 字元"/>
    <w:basedOn w:val="a7"/>
    <w:link w:val="2"/>
    <w:rsid w:val="00E0171A"/>
    <w:rPr>
      <w:rFonts w:ascii="標楷體" w:eastAsia="標楷體" w:hAnsi="Arial"/>
      <w:bCs/>
      <w:kern w:val="32"/>
      <w:sz w:val="32"/>
      <w:szCs w:val="48"/>
    </w:rPr>
  </w:style>
  <w:style w:type="character" w:customStyle="1" w:styleId="30">
    <w:name w:val="標題 3 字元"/>
    <w:basedOn w:val="a7"/>
    <w:link w:val="3"/>
    <w:rsid w:val="00E0171A"/>
    <w:rPr>
      <w:rFonts w:ascii="標楷體" w:eastAsia="標楷體" w:hAnsi="Arial"/>
      <w:bCs/>
      <w:kern w:val="32"/>
      <w:sz w:val="32"/>
      <w:szCs w:val="36"/>
    </w:rPr>
  </w:style>
  <w:style w:type="character" w:customStyle="1" w:styleId="40">
    <w:name w:val="標題 4 字元"/>
    <w:basedOn w:val="a7"/>
    <w:link w:val="4"/>
    <w:rsid w:val="00E0171A"/>
    <w:rPr>
      <w:rFonts w:ascii="標楷體" w:eastAsia="標楷體" w:hAnsi="Arial"/>
      <w:kern w:val="32"/>
      <w:sz w:val="32"/>
      <w:szCs w:val="36"/>
    </w:rPr>
  </w:style>
  <w:style w:type="character" w:customStyle="1" w:styleId="50">
    <w:name w:val="標題 5 字元"/>
    <w:basedOn w:val="a7"/>
    <w:link w:val="5"/>
    <w:rsid w:val="00E0171A"/>
    <w:rPr>
      <w:rFonts w:ascii="標楷體" w:eastAsia="標楷體" w:hAnsi="Arial"/>
      <w:bCs/>
      <w:kern w:val="32"/>
      <w:sz w:val="32"/>
      <w:szCs w:val="36"/>
    </w:rPr>
  </w:style>
  <w:style w:type="character" w:customStyle="1" w:styleId="60">
    <w:name w:val="標題 6 字元"/>
    <w:basedOn w:val="a7"/>
    <w:link w:val="6"/>
    <w:rsid w:val="00E0171A"/>
    <w:rPr>
      <w:rFonts w:ascii="標楷體" w:eastAsia="標楷體" w:hAnsi="Arial"/>
      <w:kern w:val="32"/>
      <w:sz w:val="32"/>
      <w:szCs w:val="36"/>
    </w:rPr>
  </w:style>
  <w:style w:type="character" w:customStyle="1" w:styleId="70">
    <w:name w:val="標題 7 字元"/>
    <w:basedOn w:val="a7"/>
    <w:link w:val="7"/>
    <w:rsid w:val="00E0171A"/>
    <w:rPr>
      <w:rFonts w:ascii="標楷體" w:eastAsia="標楷體" w:hAnsi="Arial"/>
      <w:bCs/>
      <w:kern w:val="32"/>
      <w:sz w:val="32"/>
      <w:szCs w:val="36"/>
    </w:rPr>
  </w:style>
  <w:style w:type="character" w:customStyle="1" w:styleId="80">
    <w:name w:val="標題 8 字元"/>
    <w:basedOn w:val="a7"/>
    <w:link w:val="8"/>
    <w:rsid w:val="00E0171A"/>
    <w:rPr>
      <w:rFonts w:ascii="標楷體" w:eastAsia="標楷體" w:hAnsi="Arial"/>
      <w:kern w:val="32"/>
      <w:sz w:val="32"/>
      <w:szCs w:val="36"/>
    </w:rPr>
  </w:style>
  <w:style w:type="character" w:customStyle="1" w:styleId="90">
    <w:name w:val="標題 9 字元"/>
    <w:basedOn w:val="a7"/>
    <w:link w:val="9"/>
    <w:uiPriority w:val="9"/>
    <w:rsid w:val="00E0171A"/>
    <w:rPr>
      <w:rFonts w:ascii="標楷體" w:eastAsia="標楷體" w:hAnsiTheme="majorHAnsi" w:cstheme="majorBidi"/>
      <w:kern w:val="32"/>
      <w:sz w:val="32"/>
      <w:szCs w:val="36"/>
    </w:rPr>
  </w:style>
  <w:style w:type="paragraph" w:styleId="aa">
    <w:name w:val="Signature"/>
    <w:basedOn w:val="a6"/>
    <w:link w:val="ab"/>
    <w:rsid w:val="00E0171A"/>
    <w:pPr>
      <w:spacing w:before="720" w:after="720"/>
      <w:ind w:left="7371"/>
    </w:pPr>
    <w:rPr>
      <w:b/>
      <w:snapToGrid w:val="0"/>
      <w:spacing w:val="10"/>
      <w:sz w:val="36"/>
    </w:rPr>
  </w:style>
  <w:style w:type="character" w:customStyle="1" w:styleId="ab">
    <w:name w:val="簽名 字元"/>
    <w:basedOn w:val="a7"/>
    <w:link w:val="aa"/>
    <w:rsid w:val="00E0171A"/>
    <w:rPr>
      <w:rFonts w:ascii="標楷體" w:eastAsia="標楷體"/>
      <w:b/>
      <w:snapToGrid w:val="0"/>
      <w:spacing w:val="10"/>
      <w:kern w:val="2"/>
      <w:sz w:val="36"/>
    </w:rPr>
  </w:style>
  <w:style w:type="paragraph" w:styleId="ac">
    <w:name w:val="endnote text"/>
    <w:basedOn w:val="a6"/>
    <w:link w:val="ad"/>
    <w:semiHidden/>
    <w:rsid w:val="00E0171A"/>
    <w:pPr>
      <w:kinsoku w:val="0"/>
      <w:autoSpaceDE/>
      <w:spacing w:before="240"/>
      <w:ind w:left="1021" w:hanging="1021"/>
    </w:pPr>
    <w:rPr>
      <w:snapToGrid w:val="0"/>
      <w:spacing w:val="10"/>
    </w:rPr>
  </w:style>
  <w:style w:type="character" w:customStyle="1" w:styleId="ad">
    <w:name w:val="章節附註文字 字元"/>
    <w:basedOn w:val="a7"/>
    <w:link w:val="ac"/>
    <w:semiHidden/>
    <w:rsid w:val="00E0171A"/>
    <w:rPr>
      <w:rFonts w:ascii="標楷體" w:eastAsia="標楷體"/>
      <w:snapToGrid w:val="0"/>
      <w:spacing w:val="10"/>
      <w:kern w:val="2"/>
      <w:sz w:val="32"/>
    </w:rPr>
  </w:style>
  <w:style w:type="paragraph" w:styleId="51">
    <w:name w:val="toc 5"/>
    <w:basedOn w:val="a6"/>
    <w:next w:val="a6"/>
    <w:autoRedefine/>
    <w:semiHidden/>
    <w:rsid w:val="00E0171A"/>
    <w:pPr>
      <w:ind w:leftChars="400" w:left="600" w:rightChars="200" w:right="200" w:hangingChars="200" w:hanging="200"/>
    </w:pPr>
  </w:style>
  <w:style w:type="character" w:styleId="ae">
    <w:name w:val="page number"/>
    <w:basedOn w:val="a7"/>
    <w:semiHidden/>
    <w:rsid w:val="00E0171A"/>
    <w:rPr>
      <w:rFonts w:ascii="標楷體" w:eastAsia="標楷體"/>
      <w:sz w:val="20"/>
    </w:rPr>
  </w:style>
  <w:style w:type="paragraph" w:styleId="61">
    <w:name w:val="toc 6"/>
    <w:basedOn w:val="a6"/>
    <w:next w:val="a6"/>
    <w:autoRedefine/>
    <w:semiHidden/>
    <w:rsid w:val="00E0171A"/>
    <w:pPr>
      <w:ind w:leftChars="500" w:left="500"/>
    </w:pPr>
  </w:style>
  <w:style w:type="paragraph" w:customStyle="1" w:styleId="11">
    <w:name w:val="段落樣式1"/>
    <w:basedOn w:val="a6"/>
    <w:qFormat/>
    <w:rsid w:val="00E0171A"/>
    <w:pPr>
      <w:tabs>
        <w:tab w:val="left" w:pos="567"/>
      </w:tabs>
      <w:ind w:leftChars="200" w:left="200" w:firstLineChars="200" w:firstLine="200"/>
    </w:pPr>
    <w:rPr>
      <w:kern w:val="32"/>
    </w:rPr>
  </w:style>
  <w:style w:type="paragraph" w:customStyle="1" w:styleId="21">
    <w:name w:val="段落樣式2"/>
    <w:basedOn w:val="a6"/>
    <w:qFormat/>
    <w:rsid w:val="00E0171A"/>
    <w:pPr>
      <w:tabs>
        <w:tab w:val="left" w:pos="567"/>
      </w:tabs>
      <w:ind w:leftChars="300" w:left="300" w:firstLineChars="200" w:firstLine="200"/>
    </w:pPr>
    <w:rPr>
      <w:kern w:val="32"/>
    </w:rPr>
  </w:style>
  <w:style w:type="paragraph" w:styleId="12">
    <w:name w:val="toc 1"/>
    <w:basedOn w:val="a6"/>
    <w:next w:val="a6"/>
    <w:autoRedefine/>
    <w:uiPriority w:val="39"/>
    <w:rsid w:val="00E0171A"/>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0171A"/>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0171A"/>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0171A"/>
    <w:pPr>
      <w:kinsoku w:val="0"/>
      <w:ind w:leftChars="300" w:left="500" w:rightChars="200" w:right="200" w:hangingChars="200" w:hanging="200"/>
    </w:pPr>
  </w:style>
  <w:style w:type="paragraph" w:styleId="71">
    <w:name w:val="toc 7"/>
    <w:basedOn w:val="a6"/>
    <w:next w:val="a6"/>
    <w:autoRedefine/>
    <w:semiHidden/>
    <w:rsid w:val="00E0171A"/>
    <w:pPr>
      <w:ind w:leftChars="600" w:left="800" w:hangingChars="200" w:hanging="200"/>
    </w:pPr>
  </w:style>
  <w:style w:type="paragraph" w:styleId="81">
    <w:name w:val="toc 8"/>
    <w:basedOn w:val="a6"/>
    <w:next w:val="a6"/>
    <w:autoRedefine/>
    <w:semiHidden/>
    <w:rsid w:val="00E0171A"/>
    <w:pPr>
      <w:ind w:leftChars="700" w:left="900" w:hangingChars="200" w:hanging="200"/>
    </w:pPr>
  </w:style>
  <w:style w:type="paragraph" w:styleId="91">
    <w:name w:val="toc 9"/>
    <w:basedOn w:val="a6"/>
    <w:next w:val="a6"/>
    <w:autoRedefine/>
    <w:semiHidden/>
    <w:rsid w:val="00E0171A"/>
    <w:pPr>
      <w:ind w:leftChars="1600" w:left="3840"/>
    </w:pPr>
  </w:style>
  <w:style w:type="paragraph" w:styleId="af">
    <w:name w:val="header"/>
    <w:basedOn w:val="a6"/>
    <w:link w:val="af0"/>
    <w:rsid w:val="00E0171A"/>
    <w:pPr>
      <w:tabs>
        <w:tab w:val="center" w:pos="4153"/>
        <w:tab w:val="right" w:pos="8306"/>
      </w:tabs>
      <w:snapToGrid w:val="0"/>
    </w:pPr>
    <w:rPr>
      <w:sz w:val="20"/>
    </w:rPr>
  </w:style>
  <w:style w:type="character" w:customStyle="1" w:styleId="af0">
    <w:name w:val="頁首 字元"/>
    <w:basedOn w:val="a7"/>
    <w:link w:val="af"/>
    <w:rsid w:val="00E0171A"/>
    <w:rPr>
      <w:rFonts w:ascii="標楷體" w:eastAsia="標楷體"/>
      <w:kern w:val="2"/>
    </w:rPr>
  </w:style>
  <w:style w:type="paragraph" w:customStyle="1" w:styleId="32">
    <w:name w:val="段落樣式3"/>
    <w:basedOn w:val="21"/>
    <w:qFormat/>
    <w:rsid w:val="00E0171A"/>
    <w:pPr>
      <w:ind w:leftChars="400" w:left="400"/>
    </w:pPr>
  </w:style>
  <w:style w:type="character" w:styleId="af1">
    <w:name w:val="Hyperlink"/>
    <w:basedOn w:val="a7"/>
    <w:uiPriority w:val="99"/>
    <w:rsid w:val="00E0171A"/>
    <w:rPr>
      <w:color w:val="0000FF"/>
      <w:u w:val="single"/>
    </w:rPr>
  </w:style>
  <w:style w:type="paragraph" w:customStyle="1" w:styleId="af2">
    <w:name w:val="簽名日期"/>
    <w:basedOn w:val="a6"/>
    <w:rsid w:val="00E0171A"/>
    <w:pPr>
      <w:kinsoku w:val="0"/>
      <w:jc w:val="distribute"/>
    </w:pPr>
    <w:rPr>
      <w:kern w:val="0"/>
    </w:rPr>
  </w:style>
  <w:style w:type="paragraph" w:customStyle="1" w:styleId="0">
    <w:name w:val="段落樣式0"/>
    <w:basedOn w:val="21"/>
    <w:qFormat/>
    <w:rsid w:val="00E0171A"/>
    <w:pPr>
      <w:ind w:leftChars="200" w:left="200" w:firstLineChars="0" w:firstLine="0"/>
    </w:pPr>
  </w:style>
  <w:style w:type="paragraph" w:customStyle="1" w:styleId="af3">
    <w:name w:val="附件"/>
    <w:basedOn w:val="ac"/>
    <w:rsid w:val="00E0171A"/>
    <w:pPr>
      <w:spacing w:before="0"/>
      <w:ind w:left="1047" w:hangingChars="300" w:hanging="1047"/>
    </w:pPr>
    <w:rPr>
      <w:snapToGrid/>
      <w:spacing w:val="0"/>
      <w:kern w:val="0"/>
    </w:rPr>
  </w:style>
  <w:style w:type="paragraph" w:customStyle="1" w:styleId="42">
    <w:name w:val="段落樣式4"/>
    <w:basedOn w:val="32"/>
    <w:qFormat/>
    <w:rsid w:val="00E0171A"/>
    <w:pPr>
      <w:ind w:leftChars="500" w:left="500"/>
    </w:pPr>
  </w:style>
  <w:style w:type="paragraph" w:customStyle="1" w:styleId="52">
    <w:name w:val="段落樣式5"/>
    <w:basedOn w:val="42"/>
    <w:qFormat/>
    <w:rsid w:val="00E0171A"/>
    <w:pPr>
      <w:ind w:leftChars="600" w:left="600"/>
    </w:pPr>
  </w:style>
  <w:style w:type="paragraph" w:customStyle="1" w:styleId="62">
    <w:name w:val="段落樣式6"/>
    <w:basedOn w:val="52"/>
    <w:qFormat/>
    <w:rsid w:val="00E0171A"/>
    <w:pPr>
      <w:ind w:leftChars="700" w:left="700"/>
    </w:pPr>
  </w:style>
  <w:style w:type="paragraph" w:customStyle="1" w:styleId="72">
    <w:name w:val="段落樣式7"/>
    <w:basedOn w:val="62"/>
    <w:qFormat/>
    <w:rsid w:val="00E0171A"/>
    <w:pPr>
      <w:ind w:leftChars="800" w:left="800"/>
    </w:pPr>
  </w:style>
  <w:style w:type="paragraph" w:customStyle="1" w:styleId="82">
    <w:name w:val="段落樣式8"/>
    <w:basedOn w:val="72"/>
    <w:qFormat/>
    <w:rsid w:val="00E0171A"/>
    <w:pPr>
      <w:ind w:leftChars="900" w:left="900"/>
    </w:pPr>
  </w:style>
  <w:style w:type="paragraph" w:customStyle="1" w:styleId="a0">
    <w:name w:val="附表樣式"/>
    <w:basedOn w:val="a6"/>
    <w:qFormat/>
    <w:rsid w:val="00E0171A"/>
    <w:pPr>
      <w:keepNext/>
      <w:numPr>
        <w:numId w:val="5"/>
      </w:numPr>
      <w:outlineLvl w:val="0"/>
    </w:pPr>
    <w:rPr>
      <w:kern w:val="32"/>
    </w:rPr>
  </w:style>
  <w:style w:type="paragraph" w:styleId="af4">
    <w:name w:val="Body Text Indent"/>
    <w:basedOn w:val="a6"/>
    <w:link w:val="af5"/>
    <w:semiHidden/>
    <w:rsid w:val="00E0171A"/>
    <w:pPr>
      <w:ind w:left="698" w:hangingChars="200" w:hanging="698"/>
    </w:pPr>
  </w:style>
  <w:style w:type="character" w:customStyle="1" w:styleId="af5">
    <w:name w:val="本文縮排 字元"/>
    <w:basedOn w:val="a7"/>
    <w:link w:val="af4"/>
    <w:semiHidden/>
    <w:rsid w:val="00E0171A"/>
    <w:rPr>
      <w:rFonts w:ascii="標楷體" w:eastAsia="標楷體"/>
      <w:kern w:val="2"/>
      <w:sz w:val="32"/>
    </w:rPr>
  </w:style>
  <w:style w:type="paragraph" w:customStyle="1" w:styleId="af6">
    <w:name w:val="調查報告"/>
    <w:basedOn w:val="ac"/>
    <w:rsid w:val="00E0171A"/>
    <w:pPr>
      <w:adjustRightInd w:val="0"/>
      <w:spacing w:before="0"/>
      <w:ind w:left="0" w:firstLine="0"/>
      <w:jc w:val="center"/>
    </w:pPr>
    <w:rPr>
      <w:b/>
      <w:snapToGrid/>
      <w:spacing w:val="200"/>
      <w:kern w:val="0"/>
      <w:sz w:val="40"/>
    </w:rPr>
  </w:style>
  <w:style w:type="paragraph" w:customStyle="1" w:styleId="14">
    <w:name w:val="表格14"/>
    <w:basedOn w:val="a6"/>
    <w:rsid w:val="00E0171A"/>
    <w:pPr>
      <w:adjustRightInd w:val="0"/>
      <w:snapToGrid w:val="0"/>
      <w:spacing w:line="360" w:lineRule="exact"/>
    </w:pPr>
    <w:rPr>
      <w:snapToGrid w:val="0"/>
      <w:spacing w:val="-14"/>
      <w:kern w:val="0"/>
      <w:sz w:val="28"/>
    </w:rPr>
  </w:style>
  <w:style w:type="paragraph" w:customStyle="1" w:styleId="a">
    <w:name w:val="附圖樣式"/>
    <w:basedOn w:val="a6"/>
    <w:qFormat/>
    <w:rsid w:val="00E0171A"/>
    <w:pPr>
      <w:keepNext/>
      <w:numPr>
        <w:numId w:val="6"/>
      </w:numPr>
      <w:outlineLvl w:val="0"/>
    </w:pPr>
    <w:rPr>
      <w:kern w:val="32"/>
    </w:rPr>
  </w:style>
  <w:style w:type="paragraph" w:styleId="af7">
    <w:name w:val="footer"/>
    <w:basedOn w:val="a6"/>
    <w:link w:val="af8"/>
    <w:rsid w:val="00E0171A"/>
    <w:pPr>
      <w:tabs>
        <w:tab w:val="center" w:pos="4153"/>
        <w:tab w:val="right" w:pos="8306"/>
      </w:tabs>
      <w:snapToGrid w:val="0"/>
    </w:pPr>
    <w:rPr>
      <w:sz w:val="20"/>
    </w:rPr>
  </w:style>
  <w:style w:type="character" w:customStyle="1" w:styleId="af8">
    <w:name w:val="頁尾 字元"/>
    <w:basedOn w:val="a7"/>
    <w:link w:val="af7"/>
    <w:rsid w:val="00E0171A"/>
    <w:rPr>
      <w:rFonts w:ascii="標楷體" w:eastAsia="標楷體"/>
      <w:kern w:val="2"/>
    </w:rPr>
  </w:style>
  <w:style w:type="paragraph" w:styleId="af9">
    <w:name w:val="table of figures"/>
    <w:basedOn w:val="a6"/>
    <w:next w:val="a6"/>
    <w:semiHidden/>
    <w:rsid w:val="00E0171A"/>
    <w:pPr>
      <w:ind w:left="400" w:hangingChars="400" w:hanging="400"/>
    </w:pPr>
  </w:style>
  <w:style w:type="paragraph" w:customStyle="1" w:styleId="140">
    <w:name w:val="表格標題14"/>
    <w:basedOn w:val="a6"/>
    <w:rsid w:val="00E0171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0171A"/>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0171A"/>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0171A"/>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01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0171A"/>
    <w:pPr>
      <w:spacing w:line="240" w:lineRule="exact"/>
    </w:pPr>
    <w:rPr>
      <w:sz w:val="24"/>
      <w:szCs w:val="24"/>
    </w:rPr>
  </w:style>
  <w:style w:type="paragraph" w:customStyle="1" w:styleId="121">
    <w:name w:val="表格12"/>
    <w:basedOn w:val="14"/>
    <w:rsid w:val="00E0171A"/>
    <w:pPr>
      <w:spacing w:line="300" w:lineRule="exact"/>
    </w:pPr>
    <w:rPr>
      <w:sz w:val="24"/>
      <w:szCs w:val="24"/>
    </w:rPr>
  </w:style>
  <w:style w:type="paragraph" w:customStyle="1" w:styleId="a4">
    <w:name w:val="附錄"/>
    <w:basedOn w:val="a6"/>
    <w:qFormat/>
    <w:rsid w:val="00E0171A"/>
    <w:pPr>
      <w:keepNext/>
      <w:numPr>
        <w:numId w:val="7"/>
      </w:numPr>
      <w:outlineLvl w:val="0"/>
    </w:pPr>
    <w:rPr>
      <w:kern w:val="32"/>
    </w:rPr>
  </w:style>
  <w:style w:type="paragraph" w:styleId="afc">
    <w:name w:val="List Paragraph"/>
    <w:basedOn w:val="a6"/>
    <w:uiPriority w:val="34"/>
    <w:qFormat/>
    <w:rsid w:val="00E0171A"/>
    <w:pPr>
      <w:ind w:leftChars="200" w:left="480"/>
    </w:pPr>
  </w:style>
  <w:style w:type="paragraph" w:styleId="afd">
    <w:name w:val="Balloon Text"/>
    <w:basedOn w:val="a6"/>
    <w:link w:val="afe"/>
    <w:uiPriority w:val="99"/>
    <w:semiHidden/>
    <w:unhideWhenUsed/>
    <w:rsid w:val="00E0171A"/>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0171A"/>
    <w:rPr>
      <w:rFonts w:asciiTheme="majorHAnsi" w:eastAsiaTheme="majorEastAsia" w:hAnsiTheme="majorHAnsi" w:cstheme="majorBidi"/>
      <w:kern w:val="2"/>
      <w:sz w:val="18"/>
      <w:szCs w:val="18"/>
    </w:rPr>
  </w:style>
  <w:style w:type="paragraph" w:customStyle="1" w:styleId="a5">
    <w:name w:val="照片標題"/>
    <w:qFormat/>
    <w:rsid w:val="00E0171A"/>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0171A"/>
    <w:pPr>
      <w:keepNext/>
      <w:numPr>
        <w:numId w:val="4"/>
      </w:numPr>
      <w:outlineLvl w:val="0"/>
    </w:pPr>
    <w:rPr>
      <w:kern w:val="32"/>
    </w:rPr>
  </w:style>
  <w:style w:type="paragraph" w:customStyle="1" w:styleId="92">
    <w:name w:val="段落樣式9"/>
    <w:basedOn w:val="82"/>
    <w:qFormat/>
    <w:rsid w:val="00E0171A"/>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480488"/>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480488"/>
    <w:rPr>
      <w:rFonts w:ascii="標楷體" w:eastAsia="標楷體"/>
      <w:kern w:val="2"/>
    </w:rPr>
  </w:style>
  <w:style w:type="character" w:styleId="aff1">
    <w:name w:val="footnote reference"/>
    <w:basedOn w:val="a7"/>
    <w:uiPriority w:val="99"/>
    <w:semiHidden/>
    <w:unhideWhenUsed/>
    <w:rsid w:val="00480488"/>
    <w:rPr>
      <w:vertAlign w:val="superscript"/>
    </w:rPr>
  </w:style>
  <w:style w:type="character" w:customStyle="1" w:styleId="aff2">
    <w:name w:val="純文字 字元"/>
    <w:basedOn w:val="a7"/>
    <w:link w:val="aff3"/>
    <w:uiPriority w:val="99"/>
    <w:semiHidden/>
    <w:rsid w:val="00E0171A"/>
    <w:rPr>
      <w:rFonts w:ascii="Calibri" w:eastAsia="標楷體" w:hAnsi="Courier New" w:cs="Courier New"/>
      <w:color w:val="244061" w:themeColor="accent1" w:themeShade="80"/>
      <w:sz w:val="28"/>
      <w:szCs w:val="24"/>
    </w:rPr>
  </w:style>
  <w:style w:type="paragraph" w:styleId="aff3">
    <w:name w:val="Plain Text"/>
    <w:basedOn w:val="a6"/>
    <w:link w:val="aff2"/>
    <w:uiPriority w:val="99"/>
    <w:semiHidden/>
    <w:unhideWhenUsed/>
    <w:rsid w:val="00E0171A"/>
    <w:pPr>
      <w:overflowPunct/>
      <w:autoSpaceDE/>
      <w:autoSpaceDN/>
      <w:jc w:val="left"/>
    </w:pPr>
    <w:rPr>
      <w:rFonts w:ascii="Calibri" w:hAnsi="Courier New" w:cs="Courier New"/>
      <w:color w:val="244061" w:themeColor="accent1" w:themeShade="80"/>
      <w:kern w:val="0"/>
      <w:sz w:val="28"/>
      <w:szCs w:val="24"/>
    </w:rPr>
  </w:style>
  <w:style w:type="character" w:customStyle="1" w:styleId="13">
    <w:name w:val="純文字 字元1"/>
    <w:basedOn w:val="a7"/>
    <w:uiPriority w:val="99"/>
    <w:semiHidden/>
    <w:rsid w:val="00707A26"/>
    <w:rPr>
      <w:rFonts w:ascii="細明體" w:eastAsia="細明體" w:hAnsi="Courier New" w:cs="Courier New"/>
      <w:kern w:val="2"/>
      <w:sz w:val="24"/>
      <w:szCs w:val="24"/>
    </w:rPr>
  </w:style>
  <w:style w:type="paragraph" w:customStyle="1" w:styleId="aff4">
    <w:name w:val="表樣式"/>
    <w:basedOn w:val="a6"/>
    <w:next w:val="a6"/>
    <w:rsid w:val="00707A26"/>
    <w:pPr>
      <w:tabs>
        <w:tab w:val="num" w:pos="1440"/>
      </w:tabs>
      <w:overflowPunct/>
      <w:autoSpaceDE/>
      <w:autoSpaceDN/>
      <w:ind w:left="695" w:hanging="695"/>
    </w:pPr>
    <w:rPr>
      <w:kern w:val="0"/>
    </w:rPr>
  </w:style>
  <w:style w:type="paragraph" w:customStyle="1" w:styleId="aff5">
    <w:name w:val="分項段落"/>
    <w:basedOn w:val="a6"/>
    <w:uiPriority w:val="99"/>
    <w:rsid w:val="00707A26"/>
    <w:pPr>
      <w:overflowPunct/>
      <w:autoSpaceDE/>
      <w:autoSpaceDN/>
      <w:jc w:val="left"/>
    </w:pPr>
    <w:rPr>
      <w:rFonts w:ascii="Times New Roman" w:eastAsia="新細明體"/>
      <w:sz w:val="24"/>
    </w:rPr>
  </w:style>
  <w:style w:type="paragraph" w:styleId="Web">
    <w:name w:val="Normal (Web)"/>
    <w:basedOn w:val="a6"/>
    <w:uiPriority w:val="99"/>
    <w:unhideWhenUsed/>
    <w:rsid w:val="00707A2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707A26"/>
    <w:pPr>
      <w:widowControl w:val="0"/>
      <w:autoSpaceDE w:val="0"/>
      <w:autoSpaceDN w:val="0"/>
      <w:adjustRightInd w:val="0"/>
    </w:pPr>
    <w:rPr>
      <w:rFonts w:ascii="標楷體" w:eastAsia="標楷體" w:cs="標楷體"/>
      <w:color w:val="000000"/>
      <w:sz w:val="24"/>
      <w:szCs w:val="24"/>
    </w:rPr>
  </w:style>
  <w:style w:type="table" w:styleId="-1">
    <w:name w:val="Light Grid Accent 1"/>
    <w:basedOn w:val="a8"/>
    <w:uiPriority w:val="62"/>
    <w:rsid w:val="00DD44C1"/>
    <w:rPr>
      <w:rFonts w:ascii="Century Gothic" w:hAnsi="Century Gothic"/>
      <w:kern w:val="2"/>
      <w:sz w:val="24"/>
      <w:szCs w:val="22"/>
    </w:rPr>
    <w:tblPr>
      <w:tblStyleRowBandSize w:val="1"/>
      <w:tblStyleColBandSize w:val="1"/>
      <w:tblInd w:w="0" w:type="dxa"/>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CellMar>
        <w:top w:w="0" w:type="dxa"/>
        <w:left w:w="108" w:type="dxa"/>
        <w:bottom w:w="0" w:type="dxa"/>
        <w:right w:w="108" w:type="dxa"/>
      </w:tblCellMar>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character" w:customStyle="1" w:styleId="st1">
    <w:name w:val="st1"/>
    <w:basedOn w:val="a7"/>
    <w:rsid w:val="00DD44C1"/>
  </w:style>
  <w:style w:type="character" w:styleId="aff6">
    <w:name w:val="Emphasis"/>
    <w:basedOn w:val="a7"/>
    <w:uiPriority w:val="20"/>
    <w:qFormat/>
    <w:rsid w:val="00DD44C1"/>
    <w:rPr>
      <w:b w:val="0"/>
      <w:bCs w:val="0"/>
      <w:i w:val="0"/>
      <w:iCs w:val="0"/>
      <w:color w:val="DD4B39"/>
    </w:rPr>
  </w:style>
  <w:style w:type="paragraph" w:customStyle="1" w:styleId="aff7">
    <w:name w:val="協查人員"/>
    <w:basedOn w:val="aa"/>
    <w:qFormat/>
    <w:rsid w:val="00E0171A"/>
    <w:pPr>
      <w:spacing w:beforeLines="50" w:before="228" w:after="0"/>
      <w:ind w:leftChars="1100" w:left="3742"/>
      <w:jc w:val="left"/>
    </w:pPr>
    <w:rPr>
      <w:bCs/>
      <w:snapToGrid/>
      <w:kern w:val="0"/>
      <w:szCs w:val="36"/>
    </w:rPr>
  </w:style>
  <w:style w:type="paragraph" w:customStyle="1" w:styleId="aff8">
    <w:name w:val="調查委員"/>
    <w:basedOn w:val="aa"/>
    <w:qFormat/>
    <w:rsid w:val="00E0171A"/>
    <w:pPr>
      <w:spacing w:before="0" w:after="0"/>
      <w:ind w:left="0"/>
      <w:jc w:val="left"/>
    </w:pPr>
    <w:rPr>
      <w:b w:val="0"/>
      <w:bCs/>
      <w:szCs w:val="28"/>
    </w:rPr>
  </w:style>
  <w:style w:type="character" w:customStyle="1" w:styleId="A50">
    <w:name w:val="A5"/>
    <w:uiPriority w:val="99"/>
    <w:rsid w:val="003D7A61"/>
    <w:rPr>
      <w:rFonts w:cs="M Hei"/>
      <w:b/>
      <w:bCs/>
      <w:color w:val="000000"/>
      <w:sz w:val="80"/>
      <w:szCs w:val="80"/>
    </w:rPr>
  </w:style>
  <w:style w:type="paragraph" w:styleId="HTML">
    <w:name w:val="HTML Preformatted"/>
    <w:basedOn w:val="a6"/>
    <w:link w:val="HTML0"/>
    <w:uiPriority w:val="99"/>
    <w:unhideWhenUsed/>
    <w:rsid w:val="00D7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7415A"/>
    <w:rPr>
      <w:rFonts w:ascii="細明體" w:eastAsia="細明體" w:hAnsi="細明體" w:cs="細明體"/>
      <w:sz w:val="24"/>
      <w:szCs w:val="24"/>
    </w:rPr>
  </w:style>
  <w:style w:type="character" w:styleId="HTML1">
    <w:name w:val="HTML Cite"/>
    <w:basedOn w:val="a7"/>
    <w:uiPriority w:val="99"/>
    <w:semiHidden/>
    <w:unhideWhenUsed/>
    <w:rsid w:val="005933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0171A"/>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0171A"/>
    <w:pPr>
      <w:numPr>
        <w:numId w:val="10"/>
      </w:numPr>
      <w:outlineLvl w:val="0"/>
    </w:pPr>
    <w:rPr>
      <w:rFonts w:hAnsi="Arial"/>
      <w:bCs/>
      <w:kern w:val="32"/>
      <w:szCs w:val="52"/>
    </w:rPr>
  </w:style>
  <w:style w:type="paragraph" w:styleId="2">
    <w:name w:val="heading 2"/>
    <w:basedOn w:val="a6"/>
    <w:link w:val="20"/>
    <w:qFormat/>
    <w:rsid w:val="00E0171A"/>
    <w:pPr>
      <w:numPr>
        <w:ilvl w:val="1"/>
        <w:numId w:val="10"/>
      </w:numPr>
      <w:outlineLvl w:val="1"/>
    </w:pPr>
    <w:rPr>
      <w:rFonts w:hAnsi="Arial"/>
      <w:bCs/>
      <w:kern w:val="32"/>
      <w:szCs w:val="48"/>
    </w:rPr>
  </w:style>
  <w:style w:type="paragraph" w:styleId="3">
    <w:name w:val="heading 3"/>
    <w:basedOn w:val="a6"/>
    <w:link w:val="30"/>
    <w:qFormat/>
    <w:rsid w:val="00E0171A"/>
    <w:pPr>
      <w:numPr>
        <w:ilvl w:val="2"/>
        <w:numId w:val="10"/>
      </w:numPr>
      <w:outlineLvl w:val="2"/>
    </w:pPr>
    <w:rPr>
      <w:rFonts w:hAnsi="Arial"/>
      <w:bCs/>
      <w:kern w:val="32"/>
      <w:szCs w:val="36"/>
    </w:rPr>
  </w:style>
  <w:style w:type="paragraph" w:styleId="4">
    <w:name w:val="heading 4"/>
    <w:basedOn w:val="a6"/>
    <w:link w:val="40"/>
    <w:qFormat/>
    <w:rsid w:val="00E0171A"/>
    <w:pPr>
      <w:numPr>
        <w:ilvl w:val="3"/>
        <w:numId w:val="10"/>
      </w:numPr>
      <w:outlineLvl w:val="3"/>
    </w:pPr>
    <w:rPr>
      <w:rFonts w:hAnsi="Arial"/>
      <w:kern w:val="32"/>
      <w:szCs w:val="36"/>
    </w:rPr>
  </w:style>
  <w:style w:type="paragraph" w:styleId="5">
    <w:name w:val="heading 5"/>
    <w:basedOn w:val="a6"/>
    <w:link w:val="50"/>
    <w:qFormat/>
    <w:rsid w:val="00E0171A"/>
    <w:pPr>
      <w:numPr>
        <w:ilvl w:val="4"/>
        <w:numId w:val="10"/>
      </w:numPr>
      <w:outlineLvl w:val="4"/>
    </w:pPr>
    <w:rPr>
      <w:rFonts w:hAnsi="Arial"/>
      <w:bCs/>
      <w:kern w:val="32"/>
      <w:szCs w:val="36"/>
    </w:rPr>
  </w:style>
  <w:style w:type="paragraph" w:styleId="6">
    <w:name w:val="heading 6"/>
    <w:basedOn w:val="a6"/>
    <w:link w:val="60"/>
    <w:qFormat/>
    <w:rsid w:val="00E0171A"/>
    <w:pPr>
      <w:numPr>
        <w:ilvl w:val="5"/>
        <w:numId w:val="10"/>
      </w:numPr>
      <w:tabs>
        <w:tab w:val="left" w:pos="2094"/>
      </w:tabs>
      <w:outlineLvl w:val="5"/>
    </w:pPr>
    <w:rPr>
      <w:rFonts w:hAnsi="Arial"/>
      <w:kern w:val="32"/>
      <w:szCs w:val="36"/>
    </w:rPr>
  </w:style>
  <w:style w:type="paragraph" w:styleId="7">
    <w:name w:val="heading 7"/>
    <w:basedOn w:val="a6"/>
    <w:link w:val="70"/>
    <w:qFormat/>
    <w:rsid w:val="00E0171A"/>
    <w:pPr>
      <w:numPr>
        <w:ilvl w:val="6"/>
        <w:numId w:val="10"/>
      </w:numPr>
      <w:outlineLvl w:val="6"/>
    </w:pPr>
    <w:rPr>
      <w:rFonts w:hAnsi="Arial"/>
      <w:bCs/>
      <w:kern w:val="32"/>
      <w:szCs w:val="36"/>
    </w:rPr>
  </w:style>
  <w:style w:type="paragraph" w:styleId="8">
    <w:name w:val="heading 8"/>
    <w:basedOn w:val="a6"/>
    <w:link w:val="80"/>
    <w:qFormat/>
    <w:rsid w:val="00E0171A"/>
    <w:pPr>
      <w:numPr>
        <w:ilvl w:val="7"/>
        <w:numId w:val="10"/>
      </w:numPr>
      <w:outlineLvl w:val="7"/>
    </w:pPr>
    <w:rPr>
      <w:rFonts w:hAnsi="Arial"/>
      <w:kern w:val="32"/>
      <w:szCs w:val="36"/>
    </w:rPr>
  </w:style>
  <w:style w:type="paragraph" w:styleId="9">
    <w:name w:val="heading 9"/>
    <w:basedOn w:val="a6"/>
    <w:link w:val="90"/>
    <w:uiPriority w:val="9"/>
    <w:unhideWhenUsed/>
    <w:qFormat/>
    <w:rsid w:val="00E0171A"/>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E0171A"/>
    <w:rPr>
      <w:rFonts w:ascii="標楷體" w:eastAsia="標楷體" w:hAnsi="Arial"/>
      <w:bCs/>
      <w:kern w:val="32"/>
      <w:sz w:val="32"/>
      <w:szCs w:val="52"/>
    </w:rPr>
  </w:style>
  <w:style w:type="character" w:customStyle="1" w:styleId="20">
    <w:name w:val="標題 2 字元"/>
    <w:basedOn w:val="a7"/>
    <w:link w:val="2"/>
    <w:rsid w:val="00E0171A"/>
    <w:rPr>
      <w:rFonts w:ascii="標楷體" w:eastAsia="標楷體" w:hAnsi="Arial"/>
      <w:bCs/>
      <w:kern w:val="32"/>
      <w:sz w:val="32"/>
      <w:szCs w:val="48"/>
    </w:rPr>
  </w:style>
  <w:style w:type="character" w:customStyle="1" w:styleId="30">
    <w:name w:val="標題 3 字元"/>
    <w:basedOn w:val="a7"/>
    <w:link w:val="3"/>
    <w:rsid w:val="00E0171A"/>
    <w:rPr>
      <w:rFonts w:ascii="標楷體" w:eastAsia="標楷體" w:hAnsi="Arial"/>
      <w:bCs/>
      <w:kern w:val="32"/>
      <w:sz w:val="32"/>
      <w:szCs w:val="36"/>
    </w:rPr>
  </w:style>
  <w:style w:type="character" w:customStyle="1" w:styleId="40">
    <w:name w:val="標題 4 字元"/>
    <w:basedOn w:val="a7"/>
    <w:link w:val="4"/>
    <w:rsid w:val="00E0171A"/>
    <w:rPr>
      <w:rFonts w:ascii="標楷體" w:eastAsia="標楷體" w:hAnsi="Arial"/>
      <w:kern w:val="32"/>
      <w:sz w:val="32"/>
      <w:szCs w:val="36"/>
    </w:rPr>
  </w:style>
  <w:style w:type="character" w:customStyle="1" w:styleId="50">
    <w:name w:val="標題 5 字元"/>
    <w:basedOn w:val="a7"/>
    <w:link w:val="5"/>
    <w:rsid w:val="00E0171A"/>
    <w:rPr>
      <w:rFonts w:ascii="標楷體" w:eastAsia="標楷體" w:hAnsi="Arial"/>
      <w:bCs/>
      <w:kern w:val="32"/>
      <w:sz w:val="32"/>
      <w:szCs w:val="36"/>
    </w:rPr>
  </w:style>
  <w:style w:type="character" w:customStyle="1" w:styleId="60">
    <w:name w:val="標題 6 字元"/>
    <w:basedOn w:val="a7"/>
    <w:link w:val="6"/>
    <w:rsid w:val="00E0171A"/>
    <w:rPr>
      <w:rFonts w:ascii="標楷體" w:eastAsia="標楷體" w:hAnsi="Arial"/>
      <w:kern w:val="32"/>
      <w:sz w:val="32"/>
      <w:szCs w:val="36"/>
    </w:rPr>
  </w:style>
  <w:style w:type="character" w:customStyle="1" w:styleId="70">
    <w:name w:val="標題 7 字元"/>
    <w:basedOn w:val="a7"/>
    <w:link w:val="7"/>
    <w:rsid w:val="00E0171A"/>
    <w:rPr>
      <w:rFonts w:ascii="標楷體" w:eastAsia="標楷體" w:hAnsi="Arial"/>
      <w:bCs/>
      <w:kern w:val="32"/>
      <w:sz w:val="32"/>
      <w:szCs w:val="36"/>
    </w:rPr>
  </w:style>
  <w:style w:type="character" w:customStyle="1" w:styleId="80">
    <w:name w:val="標題 8 字元"/>
    <w:basedOn w:val="a7"/>
    <w:link w:val="8"/>
    <w:rsid w:val="00E0171A"/>
    <w:rPr>
      <w:rFonts w:ascii="標楷體" w:eastAsia="標楷體" w:hAnsi="Arial"/>
      <w:kern w:val="32"/>
      <w:sz w:val="32"/>
      <w:szCs w:val="36"/>
    </w:rPr>
  </w:style>
  <w:style w:type="character" w:customStyle="1" w:styleId="90">
    <w:name w:val="標題 9 字元"/>
    <w:basedOn w:val="a7"/>
    <w:link w:val="9"/>
    <w:uiPriority w:val="9"/>
    <w:rsid w:val="00E0171A"/>
    <w:rPr>
      <w:rFonts w:ascii="標楷體" w:eastAsia="標楷體" w:hAnsiTheme="majorHAnsi" w:cstheme="majorBidi"/>
      <w:kern w:val="32"/>
      <w:sz w:val="32"/>
      <w:szCs w:val="36"/>
    </w:rPr>
  </w:style>
  <w:style w:type="paragraph" w:styleId="aa">
    <w:name w:val="Signature"/>
    <w:basedOn w:val="a6"/>
    <w:link w:val="ab"/>
    <w:rsid w:val="00E0171A"/>
    <w:pPr>
      <w:spacing w:before="720" w:after="720"/>
      <w:ind w:left="7371"/>
    </w:pPr>
    <w:rPr>
      <w:b/>
      <w:snapToGrid w:val="0"/>
      <w:spacing w:val="10"/>
      <w:sz w:val="36"/>
    </w:rPr>
  </w:style>
  <w:style w:type="character" w:customStyle="1" w:styleId="ab">
    <w:name w:val="簽名 字元"/>
    <w:basedOn w:val="a7"/>
    <w:link w:val="aa"/>
    <w:rsid w:val="00E0171A"/>
    <w:rPr>
      <w:rFonts w:ascii="標楷體" w:eastAsia="標楷體"/>
      <w:b/>
      <w:snapToGrid w:val="0"/>
      <w:spacing w:val="10"/>
      <w:kern w:val="2"/>
      <w:sz w:val="36"/>
    </w:rPr>
  </w:style>
  <w:style w:type="paragraph" w:styleId="ac">
    <w:name w:val="endnote text"/>
    <w:basedOn w:val="a6"/>
    <w:link w:val="ad"/>
    <w:semiHidden/>
    <w:rsid w:val="00E0171A"/>
    <w:pPr>
      <w:kinsoku w:val="0"/>
      <w:autoSpaceDE/>
      <w:spacing w:before="240"/>
      <w:ind w:left="1021" w:hanging="1021"/>
    </w:pPr>
    <w:rPr>
      <w:snapToGrid w:val="0"/>
      <w:spacing w:val="10"/>
    </w:rPr>
  </w:style>
  <w:style w:type="character" w:customStyle="1" w:styleId="ad">
    <w:name w:val="章節附註文字 字元"/>
    <w:basedOn w:val="a7"/>
    <w:link w:val="ac"/>
    <w:semiHidden/>
    <w:rsid w:val="00E0171A"/>
    <w:rPr>
      <w:rFonts w:ascii="標楷體" w:eastAsia="標楷體"/>
      <w:snapToGrid w:val="0"/>
      <w:spacing w:val="10"/>
      <w:kern w:val="2"/>
      <w:sz w:val="32"/>
    </w:rPr>
  </w:style>
  <w:style w:type="paragraph" w:styleId="51">
    <w:name w:val="toc 5"/>
    <w:basedOn w:val="a6"/>
    <w:next w:val="a6"/>
    <w:autoRedefine/>
    <w:semiHidden/>
    <w:rsid w:val="00E0171A"/>
    <w:pPr>
      <w:ind w:leftChars="400" w:left="600" w:rightChars="200" w:right="200" w:hangingChars="200" w:hanging="200"/>
    </w:pPr>
  </w:style>
  <w:style w:type="character" w:styleId="ae">
    <w:name w:val="page number"/>
    <w:basedOn w:val="a7"/>
    <w:semiHidden/>
    <w:rsid w:val="00E0171A"/>
    <w:rPr>
      <w:rFonts w:ascii="標楷體" w:eastAsia="標楷體"/>
      <w:sz w:val="20"/>
    </w:rPr>
  </w:style>
  <w:style w:type="paragraph" w:styleId="61">
    <w:name w:val="toc 6"/>
    <w:basedOn w:val="a6"/>
    <w:next w:val="a6"/>
    <w:autoRedefine/>
    <w:semiHidden/>
    <w:rsid w:val="00E0171A"/>
    <w:pPr>
      <w:ind w:leftChars="500" w:left="500"/>
    </w:pPr>
  </w:style>
  <w:style w:type="paragraph" w:customStyle="1" w:styleId="11">
    <w:name w:val="段落樣式1"/>
    <w:basedOn w:val="a6"/>
    <w:qFormat/>
    <w:rsid w:val="00E0171A"/>
    <w:pPr>
      <w:tabs>
        <w:tab w:val="left" w:pos="567"/>
      </w:tabs>
      <w:ind w:leftChars="200" w:left="200" w:firstLineChars="200" w:firstLine="200"/>
    </w:pPr>
    <w:rPr>
      <w:kern w:val="32"/>
    </w:rPr>
  </w:style>
  <w:style w:type="paragraph" w:customStyle="1" w:styleId="21">
    <w:name w:val="段落樣式2"/>
    <w:basedOn w:val="a6"/>
    <w:qFormat/>
    <w:rsid w:val="00E0171A"/>
    <w:pPr>
      <w:tabs>
        <w:tab w:val="left" w:pos="567"/>
      </w:tabs>
      <w:ind w:leftChars="300" w:left="300" w:firstLineChars="200" w:firstLine="200"/>
    </w:pPr>
    <w:rPr>
      <w:kern w:val="32"/>
    </w:rPr>
  </w:style>
  <w:style w:type="paragraph" w:styleId="12">
    <w:name w:val="toc 1"/>
    <w:basedOn w:val="a6"/>
    <w:next w:val="a6"/>
    <w:autoRedefine/>
    <w:uiPriority w:val="39"/>
    <w:rsid w:val="00E0171A"/>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0171A"/>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0171A"/>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0171A"/>
    <w:pPr>
      <w:kinsoku w:val="0"/>
      <w:ind w:leftChars="300" w:left="500" w:rightChars="200" w:right="200" w:hangingChars="200" w:hanging="200"/>
    </w:pPr>
  </w:style>
  <w:style w:type="paragraph" w:styleId="71">
    <w:name w:val="toc 7"/>
    <w:basedOn w:val="a6"/>
    <w:next w:val="a6"/>
    <w:autoRedefine/>
    <w:semiHidden/>
    <w:rsid w:val="00E0171A"/>
    <w:pPr>
      <w:ind w:leftChars="600" w:left="800" w:hangingChars="200" w:hanging="200"/>
    </w:pPr>
  </w:style>
  <w:style w:type="paragraph" w:styleId="81">
    <w:name w:val="toc 8"/>
    <w:basedOn w:val="a6"/>
    <w:next w:val="a6"/>
    <w:autoRedefine/>
    <w:semiHidden/>
    <w:rsid w:val="00E0171A"/>
    <w:pPr>
      <w:ind w:leftChars="700" w:left="900" w:hangingChars="200" w:hanging="200"/>
    </w:pPr>
  </w:style>
  <w:style w:type="paragraph" w:styleId="91">
    <w:name w:val="toc 9"/>
    <w:basedOn w:val="a6"/>
    <w:next w:val="a6"/>
    <w:autoRedefine/>
    <w:semiHidden/>
    <w:rsid w:val="00E0171A"/>
    <w:pPr>
      <w:ind w:leftChars="1600" w:left="3840"/>
    </w:pPr>
  </w:style>
  <w:style w:type="paragraph" w:styleId="af">
    <w:name w:val="header"/>
    <w:basedOn w:val="a6"/>
    <w:link w:val="af0"/>
    <w:rsid w:val="00E0171A"/>
    <w:pPr>
      <w:tabs>
        <w:tab w:val="center" w:pos="4153"/>
        <w:tab w:val="right" w:pos="8306"/>
      </w:tabs>
      <w:snapToGrid w:val="0"/>
    </w:pPr>
    <w:rPr>
      <w:sz w:val="20"/>
    </w:rPr>
  </w:style>
  <w:style w:type="character" w:customStyle="1" w:styleId="af0">
    <w:name w:val="頁首 字元"/>
    <w:basedOn w:val="a7"/>
    <w:link w:val="af"/>
    <w:rsid w:val="00E0171A"/>
    <w:rPr>
      <w:rFonts w:ascii="標楷體" w:eastAsia="標楷體"/>
      <w:kern w:val="2"/>
    </w:rPr>
  </w:style>
  <w:style w:type="paragraph" w:customStyle="1" w:styleId="32">
    <w:name w:val="段落樣式3"/>
    <w:basedOn w:val="21"/>
    <w:qFormat/>
    <w:rsid w:val="00E0171A"/>
    <w:pPr>
      <w:ind w:leftChars="400" w:left="400"/>
    </w:pPr>
  </w:style>
  <w:style w:type="character" w:styleId="af1">
    <w:name w:val="Hyperlink"/>
    <w:basedOn w:val="a7"/>
    <w:uiPriority w:val="99"/>
    <w:rsid w:val="00E0171A"/>
    <w:rPr>
      <w:color w:val="0000FF"/>
      <w:u w:val="single"/>
    </w:rPr>
  </w:style>
  <w:style w:type="paragraph" w:customStyle="1" w:styleId="af2">
    <w:name w:val="簽名日期"/>
    <w:basedOn w:val="a6"/>
    <w:rsid w:val="00E0171A"/>
    <w:pPr>
      <w:kinsoku w:val="0"/>
      <w:jc w:val="distribute"/>
    </w:pPr>
    <w:rPr>
      <w:kern w:val="0"/>
    </w:rPr>
  </w:style>
  <w:style w:type="paragraph" w:customStyle="1" w:styleId="0">
    <w:name w:val="段落樣式0"/>
    <w:basedOn w:val="21"/>
    <w:qFormat/>
    <w:rsid w:val="00E0171A"/>
    <w:pPr>
      <w:ind w:leftChars="200" w:left="200" w:firstLineChars="0" w:firstLine="0"/>
    </w:pPr>
  </w:style>
  <w:style w:type="paragraph" w:customStyle="1" w:styleId="af3">
    <w:name w:val="附件"/>
    <w:basedOn w:val="ac"/>
    <w:rsid w:val="00E0171A"/>
    <w:pPr>
      <w:spacing w:before="0"/>
      <w:ind w:left="1047" w:hangingChars="300" w:hanging="1047"/>
    </w:pPr>
    <w:rPr>
      <w:snapToGrid/>
      <w:spacing w:val="0"/>
      <w:kern w:val="0"/>
    </w:rPr>
  </w:style>
  <w:style w:type="paragraph" w:customStyle="1" w:styleId="42">
    <w:name w:val="段落樣式4"/>
    <w:basedOn w:val="32"/>
    <w:qFormat/>
    <w:rsid w:val="00E0171A"/>
    <w:pPr>
      <w:ind w:leftChars="500" w:left="500"/>
    </w:pPr>
  </w:style>
  <w:style w:type="paragraph" w:customStyle="1" w:styleId="52">
    <w:name w:val="段落樣式5"/>
    <w:basedOn w:val="42"/>
    <w:qFormat/>
    <w:rsid w:val="00E0171A"/>
    <w:pPr>
      <w:ind w:leftChars="600" w:left="600"/>
    </w:pPr>
  </w:style>
  <w:style w:type="paragraph" w:customStyle="1" w:styleId="62">
    <w:name w:val="段落樣式6"/>
    <w:basedOn w:val="52"/>
    <w:qFormat/>
    <w:rsid w:val="00E0171A"/>
    <w:pPr>
      <w:ind w:leftChars="700" w:left="700"/>
    </w:pPr>
  </w:style>
  <w:style w:type="paragraph" w:customStyle="1" w:styleId="72">
    <w:name w:val="段落樣式7"/>
    <w:basedOn w:val="62"/>
    <w:qFormat/>
    <w:rsid w:val="00E0171A"/>
    <w:pPr>
      <w:ind w:leftChars="800" w:left="800"/>
    </w:pPr>
  </w:style>
  <w:style w:type="paragraph" w:customStyle="1" w:styleId="82">
    <w:name w:val="段落樣式8"/>
    <w:basedOn w:val="72"/>
    <w:qFormat/>
    <w:rsid w:val="00E0171A"/>
    <w:pPr>
      <w:ind w:leftChars="900" w:left="900"/>
    </w:pPr>
  </w:style>
  <w:style w:type="paragraph" w:customStyle="1" w:styleId="a0">
    <w:name w:val="附表樣式"/>
    <w:basedOn w:val="a6"/>
    <w:qFormat/>
    <w:rsid w:val="00E0171A"/>
    <w:pPr>
      <w:keepNext/>
      <w:numPr>
        <w:numId w:val="5"/>
      </w:numPr>
      <w:outlineLvl w:val="0"/>
    </w:pPr>
    <w:rPr>
      <w:kern w:val="32"/>
    </w:rPr>
  </w:style>
  <w:style w:type="paragraph" w:styleId="af4">
    <w:name w:val="Body Text Indent"/>
    <w:basedOn w:val="a6"/>
    <w:link w:val="af5"/>
    <w:semiHidden/>
    <w:rsid w:val="00E0171A"/>
    <w:pPr>
      <w:ind w:left="698" w:hangingChars="200" w:hanging="698"/>
    </w:pPr>
  </w:style>
  <w:style w:type="character" w:customStyle="1" w:styleId="af5">
    <w:name w:val="本文縮排 字元"/>
    <w:basedOn w:val="a7"/>
    <w:link w:val="af4"/>
    <w:semiHidden/>
    <w:rsid w:val="00E0171A"/>
    <w:rPr>
      <w:rFonts w:ascii="標楷體" w:eastAsia="標楷體"/>
      <w:kern w:val="2"/>
      <w:sz w:val="32"/>
    </w:rPr>
  </w:style>
  <w:style w:type="paragraph" w:customStyle="1" w:styleId="af6">
    <w:name w:val="調查報告"/>
    <w:basedOn w:val="ac"/>
    <w:rsid w:val="00E0171A"/>
    <w:pPr>
      <w:adjustRightInd w:val="0"/>
      <w:spacing w:before="0"/>
      <w:ind w:left="0" w:firstLine="0"/>
      <w:jc w:val="center"/>
    </w:pPr>
    <w:rPr>
      <w:b/>
      <w:snapToGrid/>
      <w:spacing w:val="200"/>
      <w:kern w:val="0"/>
      <w:sz w:val="40"/>
    </w:rPr>
  </w:style>
  <w:style w:type="paragraph" w:customStyle="1" w:styleId="14">
    <w:name w:val="表格14"/>
    <w:basedOn w:val="a6"/>
    <w:rsid w:val="00E0171A"/>
    <w:pPr>
      <w:adjustRightInd w:val="0"/>
      <w:snapToGrid w:val="0"/>
      <w:spacing w:line="360" w:lineRule="exact"/>
    </w:pPr>
    <w:rPr>
      <w:snapToGrid w:val="0"/>
      <w:spacing w:val="-14"/>
      <w:kern w:val="0"/>
      <w:sz w:val="28"/>
    </w:rPr>
  </w:style>
  <w:style w:type="paragraph" w:customStyle="1" w:styleId="a">
    <w:name w:val="附圖樣式"/>
    <w:basedOn w:val="a6"/>
    <w:qFormat/>
    <w:rsid w:val="00E0171A"/>
    <w:pPr>
      <w:keepNext/>
      <w:numPr>
        <w:numId w:val="6"/>
      </w:numPr>
      <w:outlineLvl w:val="0"/>
    </w:pPr>
    <w:rPr>
      <w:kern w:val="32"/>
    </w:rPr>
  </w:style>
  <w:style w:type="paragraph" w:styleId="af7">
    <w:name w:val="footer"/>
    <w:basedOn w:val="a6"/>
    <w:link w:val="af8"/>
    <w:rsid w:val="00E0171A"/>
    <w:pPr>
      <w:tabs>
        <w:tab w:val="center" w:pos="4153"/>
        <w:tab w:val="right" w:pos="8306"/>
      </w:tabs>
      <w:snapToGrid w:val="0"/>
    </w:pPr>
    <w:rPr>
      <w:sz w:val="20"/>
    </w:rPr>
  </w:style>
  <w:style w:type="character" w:customStyle="1" w:styleId="af8">
    <w:name w:val="頁尾 字元"/>
    <w:basedOn w:val="a7"/>
    <w:link w:val="af7"/>
    <w:rsid w:val="00E0171A"/>
    <w:rPr>
      <w:rFonts w:ascii="標楷體" w:eastAsia="標楷體"/>
      <w:kern w:val="2"/>
    </w:rPr>
  </w:style>
  <w:style w:type="paragraph" w:styleId="af9">
    <w:name w:val="table of figures"/>
    <w:basedOn w:val="a6"/>
    <w:next w:val="a6"/>
    <w:semiHidden/>
    <w:rsid w:val="00E0171A"/>
    <w:pPr>
      <w:ind w:left="400" w:hangingChars="400" w:hanging="400"/>
    </w:pPr>
  </w:style>
  <w:style w:type="paragraph" w:customStyle="1" w:styleId="140">
    <w:name w:val="表格標題14"/>
    <w:basedOn w:val="a6"/>
    <w:rsid w:val="00E0171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0171A"/>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0171A"/>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0171A"/>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01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0171A"/>
    <w:pPr>
      <w:spacing w:line="240" w:lineRule="exact"/>
    </w:pPr>
    <w:rPr>
      <w:sz w:val="24"/>
      <w:szCs w:val="24"/>
    </w:rPr>
  </w:style>
  <w:style w:type="paragraph" w:customStyle="1" w:styleId="121">
    <w:name w:val="表格12"/>
    <w:basedOn w:val="14"/>
    <w:rsid w:val="00E0171A"/>
    <w:pPr>
      <w:spacing w:line="300" w:lineRule="exact"/>
    </w:pPr>
    <w:rPr>
      <w:sz w:val="24"/>
      <w:szCs w:val="24"/>
    </w:rPr>
  </w:style>
  <w:style w:type="paragraph" w:customStyle="1" w:styleId="a4">
    <w:name w:val="附錄"/>
    <w:basedOn w:val="a6"/>
    <w:qFormat/>
    <w:rsid w:val="00E0171A"/>
    <w:pPr>
      <w:keepNext/>
      <w:numPr>
        <w:numId w:val="7"/>
      </w:numPr>
      <w:outlineLvl w:val="0"/>
    </w:pPr>
    <w:rPr>
      <w:kern w:val="32"/>
    </w:rPr>
  </w:style>
  <w:style w:type="paragraph" w:styleId="afc">
    <w:name w:val="List Paragraph"/>
    <w:basedOn w:val="a6"/>
    <w:uiPriority w:val="34"/>
    <w:qFormat/>
    <w:rsid w:val="00E0171A"/>
    <w:pPr>
      <w:ind w:leftChars="200" w:left="480"/>
    </w:pPr>
  </w:style>
  <w:style w:type="paragraph" w:styleId="afd">
    <w:name w:val="Balloon Text"/>
    <w:basedOn w:val="a6"/>
    <w:link w:val="afe"/>
    <w:uiPriority w:val="99"/>
    <w:semiHidden/>
    <w:unhideWhenUsed/>
    <w:rsid w:val="00E0171A"/>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0171A"/>
    <w:rPr>
      <w:rFonts w:asciiTheme="majorHAnsi" w:eastAsiaTheme="majorEastAsia" w:hAnsiTheme="majorHAnsi" w:cstheme="majorBidi"/>
      <w:kern w:val="2"/>
      <w:sz w:val="18"/>
      <w:szCs w:val="18"/>
    </w:rPr>
  </w:style>
  <w:style w:type="paragraph" w:customStyle="1" w:styleId="a5">
    <w:name w:val="照片標題"/>
    <w:qFormat/>
    <w:rsid w:val="00E0171A"/>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0171A"/>
    <w:pPr>
      <w:keepNext/>
      <w:numPr>
        <w:numId w:val="4"/>
      </w:numPr>
      <w:outlineLvl w:val="0"/>
    </w:pPr>
    <w:rPr>
      <w:kern w:val="32"/>
    </w:rPr>
  </w:style>
  <w:style w:type="paragraph" w:customStyle="1" w:styleId="92">
    <w:name w:val="段落樣式9"/>
    <w:basedOn w:val="82"/>
    <w:qFormat/>
    <w:rsid w:val="00E0171A"/>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480488"/>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480488"/>
    <w:rPr>
      <w:rFonts w:ascii="標楷體" w:eastAsia="標楷體"/>
      <w:kern w:val="2"/>
    </w:rPr>
  </w:style>
  <w:style w:type="character" w:styleId="aff1">
    <w:name w:val="footnote reference"/>
    <w:basedOn w:val="a7"/>
    <w:uiPriority w:val="99"/>
    <w:semiHidden/>
    <w:unhideWhenUsed/>
    <w:rsid w:val="00480488"/>
    <w:rPr>
      <w:vertAlign w:val="superscript"/>
    </w:rPr>
  </w:style>
  <w:style w:type="character" w:customStyle="1" w:styleId="aff2">
    <w:name w:val="純文字 字元"/>
    <w:basedOn w:val="a7"/>
    <w:link w:val="aff3"/>
    <w:uiPriority w:val="99"/>
    <w:semiHidden/>
    <w:rsid w:val="00E0171A"/>
    <w:rPr>
      <w:rFonts w:ascii="Calibri" w:eastAsia="標楷體" w:hAnsi="Courier New" w:cs="Courier New"/>
      <w:color w:val="244061" w:themeColor="accent1" w:themeShade="80"/>
      <w:sz w:val="28"/>
      <w:szCs w:val="24"/>
    </w:rPr>
  </w:style>
  <w:style w:type="paragraph" w:styleId="aff3">
    <w:name w:val="Plain Text"/>
    <w:basedOn w:val="a6"/>
    <w:link w:val="aff2"/>
    <w:uiPriority w:val="99"/>
    <w:semiHidden/>
    <w:unhideWhenUsed/>
    <w:rsid w:val="00E0171A"/>
    <w:pPr>
      <w:overflowPunct/>
      <w:autoSpaceDE/>
      <w:autoSpaceDN/>
      <w:jc w:val="left"/>
    </w:pPr>
    <w:rPr>
      <w:rFonts w:ascii="Calibri" w:hAnsi="Courier New" w:cs="Courier New"/>
      <w:color w:val="244061" w:themeColor="accent1" w:themeShade="80"/>
      <w:kern w:val="0"/>
      <w:sz w:val="28"/>
      <w:szCs w:val="24"/>
    </w:rPr>
  </w:style>
  <w:style w:type="character" w:customStyle="1" w:styleId="13">
    <w:name w:val="純文字 字元1"/>
    <w:basedOn w:val="a7"/>
    <w:uiPriority w:val="99"/>
    <w:semiHidden/>
    <w:rsid w:val="00707A26"/>
    <w:rPr>
      <w:rFonts w:ascii="細明體" w:eastAsia="細明體" w:hAnsi="Courier New" w:cs="Courier New"/>
      <w:kern w:val="2"/>
      <w:sz w:val="24"/>
      <w:szCs w:val="24"/>
    </w:rPr>
  </w:style>
  <w:style w:type="paragraph" w:customStyle="1" w:styleId="aff4">
    <w:name w:val="表樣式"/>
    <w:basedOn w:val="a6"/>
    <w:next w:val="a6"/>
    <w:rsid w:val="00707A26"/>
    <w:pPr>
      <w:tabs>
        <w:tab w:val="num" w:pos="1440"/>
      </w:tabs>
      <w:overflowPunct/>
      <w:autoSpaceDE/>
      <w:autoSpaceDN/>
      <w:ind w:left="695" w:hanging="695"/>
    </w:pPr>
    <w:rPr>
      <w:kern w:val="0"/>
    </w:rPr>
  </w:style>
  <w:style w:type="paragraph" w:customStyle="1" w:styleId="aff5">
    <w:name w:val="分項段落"/>
    <w:basedOn w:val="a6"/>
    <w:uiPriority w:val="99"/>
    <w:rsid w:val="00707A26"/>
    <w:pPr>
      <w:overflowPunct/>
      <w:autoSpaceDE/>
      <w:autoSpaceDN/>
      <w:jc w:val="left"/>
    </w:pPr>
    <w:rPr>
      <w:rFonts w:ascii="Times New Roman" w:eastAsia="新細明體"/>
      <w:sz w:val="24"/>
    </w:rPr>
  </w:style>
  <w:style w:type="paragraph" w:styleId="Web">
    <w:name w:val="Normal (Web)"/>
    <w:basedOn w:val="a6"/>
    <w:uiPriority w:val="99"/>
    <w:unhideWhenUsed/>
    <w:rsid w:val="00707A2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707A26"/>
    <w:pPr>
      <w:widowControl w:val="0"/>
      <w:autoSpaceDE w:val="0"/>
      <w:autoSpaceDN w:val="0"/>
      <w:adjustRightInd w:val="0"/>
    </w:pPr>
    <w:rPr>
      <w:rFonts w:ascii="標楷體" w:eastAsia="標楷體" w:cs="標楷體"/>
      <w:color w:val="000000"/>
      <w:sz w:val="24"/>
      <w:szCs w:val="24"/>
    </w:rPr>
  </w:style>
  <w:style w:type="table" w:styleId="-1">
    <w:name w:val="Light Grid Accent 1"/>
    <w:basedOn w:val="a8"/>
    <w:uiPriority w:val="62"/>
    <w:rsid w:val="00DD44C1"/>
    <w:rPr>
      <w:rFonts w:ascii="Century Gothic" w:hAnsi="Century Gothic"/>
      <w:kern w:val="2"/>
      <w:sz w:val="24"/>
      <w:szCs w:val="22"/>
    </w:rPr>
    <w:tblPr>
      <w:tblStyleRowBandSize w:val="1"/>
      <w:tblStyleColBandSize w:val="1"/>
      <w:tblInd w:w="0" w:type="dxa"/>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CellMar>
        <w:top w:w="0" w:type="dxa"/>
        <w:left w:w="108" w:type="dxa"/>
        <w:bottom w:w="0" w:type="dxa"/>
        <w:right w:w="108" w:type="dxa"/>
      </w:tblCellMar>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character" w:customStyle="1" w:styleId="st1">
    <w:name w:val="st1"/>
    <w:basedOn w:val="a7"/>
    <w:rsid w:val="00DD44C1"/>
  </w:style>
  <w:style w:type="character" w:styleId="aff6">
    <w:name w:val="Emphasis"/>
    <w:basedOn w:val="a7"/>
    <w:uiPriority w:val="20"/>
    <w:qFormat/>
    <w:rsid w:val="00DD44C1"/>
    <w:rPr>
      <w:b w:val="0"/>
      <w:bCs w:val="0"/>
      <w:i w:val="0"/>
      <w:iCs w:val="0"/>
      <w:color w:val="DD4B39"/>
    </w:rPr>
  </w:style>
  <w:style w:type="paragraph" w:customStyle="1" w:styleId="aff7">
    <w:name w:val="協查人員"/>
    <w:basedOn w:val="aa"/>
    <w:qFormat/>
    <w:rsid w:val="00E0171A"/>
    <w:pPr>
      <w:spacing w:beforeLines="50" w:before="228" w:after="0"/>
      <w:ind w:leftChars="1100" w:left="3742"/>
      <w:jc w:val="left"/>
    </w:pPr>
    <w:rPr>
      <w:bCs/>
      <w:snapToGrid/>
      <w:kern w:val="0"/>
      <w:szCs w:val="36"/>
    </w:rPr>
  </w:style>
  <w:style w:type="paragraph" w:customStyle="1" w:styleId="aff8">
    <w:name w:val="調查委員"/>
    <w:basedOn w:val="aa"/>
    <w:qFormat/>
    <w:rsid w:val="00E0171A"/>
    <w:pPr>
      <w:spacing w:before="0" w:after="0"/>
      <w:ind w:left="0"/>
      <w:jc w:val="left"/>
    </w:pPr>
    <w:rPr>
      <w:b w:val="0"/>
      <w:bCs/>
      <w:szCs w:val="28"/>
    </w:rPr>
  </w:style>
  <w:style w:type="character" w:customStyle="1" w:styleId="A50">
    <w:name w:val="A5"/>
    <w:uiPriority w:val="99"/>
    <w:rsid w:val="003D7A61"/>
    <w:rPr>
      <w:rFonts w:cs="M Hei"/>
      <w:b/>
      <w:bCs/>
      <w:color w:val="000000"/>
      <w:sz w:val="80"/>
      <w:szCs w:val="80"/>
    </w:rPr>
  </w:style>
  <w:style w:type="paragraph" w:styleId="HTML">
    <w:name w:val="HTML Preformatted"/>
    <w:basedOn w:val="a6"/>
    <w:link w:val="HTML0"/>
    <w:uiPriority w:val="99"/>
    <w:unhideWhenUsed/>
    <w:rsid w:val="00D7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7415A"/>
    <w:rPr>
      <w:rFonts w:ascii="細明體" w:eastAsia="細明體" w:hAnsi="細明體" w:cs="細明體"/>
      <w:sz w:val="24"/>
      <w:szCs w:val="24"/>
    </w:rPr>
  </w:style>
  <w:style w:type="character" w:styleId="HTML1">
    <w:name w:val="HTML Cite"/>
    <w:basedOn w:val="a7"/>
    <w:uiPriority w:val="99"/>
    <w:semiHidden/>
    <w:unhideWhenUsed/>
    <w:rsid w:val="00593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90724">
      <w:bodyDiv w:val="1"/>
      <w:marLeft w:val="0"/>
      <w:marRight w:val="0"/>
      <w:marTop w:val="0"/>
      <w:marBottom w:val="0"/>
      <w:divBdr>
        <w:top w:val="none" w:sz="0" w:space="0" w:color="auto"/>
        <w:left w:val="none" w:sz="0" w:space="0" w:color="auto"/>
        <w:bottom w:val="none" w:sz="0" w:space="0" w:color="auto"/>
        <w:right w:val="none" w:sz="0" w:space="0" w:color="auto"/>
      </w:divBdr>
    </w:div>
    <w:div w:id="248538827">
      <w:bodyDiv w:val="1"/>
      <w:marLeft w:val="0"/>
      <w:marRight w:val="0"/>
      <w:marTop w:val="0"/>
      <w:marBottom w:val="0"/>
      <w:divBdr>
        <w:top w:val="none" w:sz="0" w:space="0" w:color="auto"/>
        <w:left w:val="none" w:sz="0" w:space="0" w:color="auto"/>
        <w:bottom w:val="none" w:sz="0" w:space="0" w:color="auto"/>
        <w:right w:val="none" w:sz="0" w:space="0" w:color="auto"/>
      </w:divBdr>
    </w:div>
    <w:div w:id="714739569">
      <w:bodyDiv w:val="1"/>
      <w:marLeft w:val="0"/>
      <w:marRight w:val="0"/>
      <w:marTop w:val="0"/>
      <w:marBottom w:val="0"/>
      <w:divBdr>
        <w:top w:val="none" w:sz="0" w:space="0" w:color="auto"/>
        <w:left w:val="none" w:sz="0" w:space="0" w:color="auto"/>
        <w:bottom w:val="none" w:sz="0" w:space="0" w:color="auto"/>
        <w:right w:val="none" w:sz="0" w:space="0" w:color="auto"/>
      </w:divBdr>
      <w:divsChild>
        <w:div w:id="1188059206">
          <w:marLeft w:val="0"/>
          <w:marRight w:val="0"/>
          <w:marTop w:val="0"/>
          <w:marBottom w:val="0"/>
          <w:divBdr>
            <w:top w:val="none" w:sz="0" w:space="0" w:color="auto"/>
            <w:left w:val="none" w:sz="0" w:space="0" w:color="auto"/>
            <w:bottom w:val="none" w:sz="0" w:space="0" w:color="auto"/>
            <w:right w:val="none" w:sz="0" w:space="0" w:color="auto"/>
          </w:divBdr>
        </w:div>
        <w:div w:id="175121257">
          <w:marLeft w:val="0"/>
          <w:marRight w:val="0"/>
          <w:marTop w:val="0"/>
          <w:marBottom w:val="0"/>
          <w:divBdr>
            <w:top w:val="none" w:sz="0" w:space="0" w:color="auto"/>
            <w:left w:val="none" w:sz="0" w:space="0" w:color="auto"/>
            <w:bottom w:val="none" w:sz="0" w:space="0" w:color="auto"/>
            <w:right w:val="none" w:sz="0" w:space="0" w:color="auto"/>
          </w:divBdr>
        </w:div>
        <w:div w:id="822965424">
          <w:marLeft w:val="0"/>
          <w:marRight w:val="0"/>
          <w:marTop w:val="0"/>
          <w:marBottom w:val="0"/>
          <w:divBdr>
            <w:top w:val="none" w:sz="0" w:space="0" w:color="auto"/>
            <w:left w:val="none" w:sz="0" w:space="0" w:color="auto"/>
            <w:bottom w:val="none" w:sz="0" w:space="0" w:color="auto"/>
            <w:right w:val="none" w:sz="0" w:space="0" w:color="auto"/>
          </w:divBdr>
          <w:divsChild>
            <w:div w:id="1520120697">
              <w:marLeft w:val="0"/>
              <w:marRight w:val="0"/>
              <w:marTop w:val="75"/>
              <w:marBottom w:val="100"/>
              <w:divBdr>
                <w:top w:val="none" w:sz="0" w:space="0" w:color="auto"/>
                <w:left w:val="none" w:sz="0" w:space="0" w:color="auto"/>
                <w:bottom w:val="none" w:sz="0" w:space="0" w:color="auto"/>
                <w:right w:val="none" w:sz="0" w:space="0" w:color="auto"/>
              </w:divBdr>
              <w:divsChild>
                <w:div w:id="1958872459">
                  <w:marLeft w:val="0"/>
                  <w:marRight w:val="0"/>
                  <w:marTop w:val="0"/>
                  <w:marBottom w:val="0"/>
                  <w:divBdr>
                    <w:top w:val="none" w:sz="0" w:space="0" w:color="auto"/>
                    <w:left w:val="none" w:sz="0" w:space="0" w:color="auto"/>
                    <w:bottom w:val="none" w:sz="0" w:space="0" w:color="auto"/>
                    <w:right w:val="none" w:sz="0" w:space="0" w:color="auto"/>
                  </w:divBdr>
                </w:div>
                <w:div w:id="7900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2917">
          <w:marLeft w:val="0"/>
          <w:marRight w:val="0"/>
          <w:marTop w:val="0"/>
          <w:marBottom w:val="0"/>
          <w:divBdr>
            <w:top w:val="none" w:sz="0" w:space="0" w:color="auto"/>
            <w:left w:val="none" w:sz="0" w:space="0" w:color="auto"/>
            <w:bottom w:val="none" w:sz="0" w:space="0" w:color="auto"/>
            <w:right w:val="none" w:sz="0" w:space="0" w:color="auto"/>
          </w:divBdr>
        </w:div>
        <w:div w:id="764572648">
          <w:marLeft w:val="0"/>
          <w:marRight w:val="0"/>
          <w:marTop w:val="0"/>
          <w:marBottom w:val="0"/>
          <w:divBdr>
            <w:top w:val="none" w:sz="0" w:space="0" w:color="auto"/>
            <w:left w:val="none" w:sz="0" w:space="0" w:color="auto"/>
            <w:bottom w:val="none" w:sz="0" w:space="0" w:color="auto"/>
            <w:right w:val="none" w:sz="0" w:space="0" w:color="auto"/>
          </w:divBdr>
          <w:divsChild>
            <w:div w:id="1502888188">
              <w:marLeft w:val="0"/>
              <w:marRight w:val="0"/>
              <w:marTop w:val="100"/>
              <w:marBottom w:val="100"/>
              <w:divBdr>
                <w:top w:val="none" w:sz="0" w:space="0" w:color="auto"/>
                <w:left w:val="none" w:sz="0" w:space="0" w:color="auto"/>
                <w:bottom w:val="none" w:sz="0" w:space="0" w:color="auto"/>
                <w:right w:val="none" w:sz="0" w:space="0" w:color="auto"/>
              </w:divBdr>
              <w:divsChild>
                <w:div w:id="1006905072">
                  <w:marLeft w:val="0"/>
                  <w:marRight w:val="0"/>
                  <w:marTop w:val="0"/>
                  <w:marBottom w:val="0"/>
                  <w:divBdr>
                    <w:top w:val="none" w:sz="0" w:space="0" w:color="auto"/>
                    <w:left w:val="none" w:sz="0" w:space="0" w:color="auto"/>
                    <w:bottom w:val="none" w:sz="0" w:space="0" w:color="auto"/>
                    <w:right w:val="none" w:sz="0" w:space="0" w:color="auto"/>
                  </w:divBdr>
                </w:div>
                <w:div w:id="1823501822">
                  <w:marLeft w:val="0"/>
                  <w:marRight w:val="0"/>
                  <w:marTop w:val="45"/>
                  <w:marBottom w:val="120"/>
                  <w:divBdr>
                    <w:top w:val="none" w:sz="0" w:space="0" w:color="auto"/>
                    <w:left w:val="none" w:sz="0" w:space="0" w:color="auto"/>
                    <w:bottom w:val="none" w:sz="0" w:space="0" w:color="auto"/>
                    <w:right w:val="none" w:sz="0" w:space="0" w:color="auto"/>
                  </w:divBdr>
                  <w:divsChild>
                    <w:div w:id="1663895502">
                      <w:marLeft w:val="0"/>
                      <w:marRight w:val="0"/>
                      <w:marTop w:val="0"/>
                      <w:marBottom w:val="0"/>
                      <w:divBdr>
                        <w:top w:val="none" w:sz="0" w:space="0" w:color="auto"/>
                        <w:left w:val="none" w:sz="0" w:space="0" w:color="auto"/>
                        <w:bottom w:val="none" w:sz="0" w:space="0" w:color="auto"/>
                        <w:right w:val="none" w:sz="0" w:space="0" w:color="auto"/>
                      </w:divBdr>
                      <w:divsChild>
                        <w:div w:id="1319917459">
                          <w:marLeft w:val="0"/>
                          <w:marRight w:val="0"/>
                          <w:marTop w:val="0"/>
                          <w:marBottom w:val="120"/>
                          <w:divBdr>
                            <w:top w:val="none" w:sz="0" w:space="0" w:color="auto"/>
                            <w:left w:val="none" w:sz="0" w:space="0" w:color="auto"/>
                            <w:bottom w:val="none" w:sz="0" w:space="0" w:color="auto"/>
                            <w:right w:val="none" w:sz="0" w:space="0" w:color="auto"/>
                          </w:divBdr>
                        </w:div>
                        <w:div w:id="419255190">
                          <w:marLeft w:val="0"/>
                          <w:marRight w:val="0"/>
                          <w:marTop w:val="100"/>
                          <w:marBottom w:val="100"/>
                          <w:divBdr>
                            <w:top w:val="none" w:sz="0" w:space="0" w:color="auto"/>
                            <w:left w:val="none" w:sz="0" w:space="0" w:color="auto"/>
                            <w:bottom w:val="none" w:sz="0" w:space="0" w:color="auto"/>
                            <w:right w:val="none" w:sz="0" w:space="0" w:color="auto"/>
                          </w:divBdr>
                        </w:div>
                        <w:div w:id="4679412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25311503">
      <w:bodyDiv w:val="1"/>
      <w:marLeft w:val="0"/>
      <w:marRight w:val="0"/>
      <w:marTop w:val="0"/>
      <w:marBottom w:val="0"/>
      <w:divBdr>
        <w:top w:val="none" w:sz="0" w:space="0" w:color="auto"/>
        <w:left w:val="none" w:sz="0" w:space="0" w:color="auto"/>
        <w:bottom w:val="none" w:sz="0" w:space="0" w:color="auto"/>
        <w:right w:val="none" w:sz="0" w:space="0" w:color="auto"/>
      </w:divBdr>
      <w:divsChild>
        <w:div w:id="585304700">
          <w:marLeft w:val="0"/>
          <w:marRight w:val="0"/>
          <w:marTop w:val="0"/>
          <w:marBottom w:val="0"/>
          <w:divBdr>
            <w:top w:val="none" w:sz="0" w:space="0" w:color="auto"/>
            <w:left w:val="none" w:sz="0" w:space="0" w:color="auto"/>
            <w:bottom w:val="none" w:sz="0" w:space="0" w:color="auto"/>
            <w:right w:val="none" w:sz="0" w:space="0" w:color="auto"/>
          </w:divBdr>
          <w:divsChild>
            <w:div w:id="1496458614">
              <w:marLeft w:val="0"/>
              <w:marRight w:val="0"/>
              <w:marTop w:val="0"/>
              <w:marBottom w:val="0"/>
              <w:divBdr>
                <w:top w:val="none" w:sz="0" w:space="0" w:color="auto"/>
                <w:left w:val="none" w:sz="0" w:space="0" w:color="auto"/>
                <w:bottom w:val="none" w:sz="0" w:space="0" w:color="auto"/>
                <w:right w:val="none" w:sz="0" w:space="0" w:color="auto"/>
              </w:divBdr>
              <w:divsChild>
                <w:div w:id="197472762">
                  <w:marLeft w:val="0"/>
                  <w:marRight w:val="0"/>
                  <w:marTop w:val="0"/>
                  <w:marBottom w:val="0"/>
                  <w:divBdr>
                    <w:top w:val="none" w:sz="0" w:space="0" w:color="auto"/>
                    <w:left w:val="none" w:sz="0" w:space="0" w:color="auto"/>
                    <w:bottom w:val="none" w:sz="0" w:space="0" w:color="auto"/>
                    <w:right w:val="none" w:sz="0" w:space="0" w:color="auto"/>
                  </w:divBdr>
                  <w:divsChild>
                    <w:div w:id="1333751326">
                      <w:marLeft w:val="0"/>
                      <w:marRight w:val="0"/>
                      <w:marTop w:val="45"/>
                      <w:marBottom w:val="0"/>
                      <w:divBdr>
                        <w:top w:val="none" w:sz="0" w:space="0" w:color="auto"/>
                        <w:left w:val="none" w:sz="0" w:space="0" w:color="auto"/>
                        <w:bottom w:val="none" w:sz="0" w:space="0" w:color="auto"/>
                        <w:right w:val="none" w:sz="0" w:space="0" w:color="auto"/>
                      </w:divBdr>
                      <w:divsChild>
                        <w:div w:id="1017728338">
                          <w:marLeft w:val="0"/>
                          <w:marRight w:val="0"/>
                          <w:marTop w:val="0"/>
                          <w:marBottom w:val="0"/>
                          <w:divBdr>
                            <w:top w:val="none" w:sz="0" w:space="0" w:color="auto"/>
                            <w:left w:val="none" w:sz="0" w:space="0" w:color="auto"/>
                            <w:bottom w:val="none" w:sz="0" w:space="0" w:color="auto"/>
                            <w:right w:val="none" w:sz="0" w:space="0" w:color="auto"/>
                          </w:divBdr>
                          <w:divsChild>
                            <w:div w:id="597176585">
                              <w:marLeft w:val="2070"/>
                              <w:marRight w:val="3960"/>
                              <w:marTop w:val="0"/>
                              <w:marBottom w:val="0"/>
                              <w:divBdr>
                                <w:top w:val="none" w:sz="0" w:space="0" w:color="auto"/>
                                <w:left w:val="none" w:sz="0" w:space="0" w:color="auto"/>
                                <w:bottom w:val="none" w:sz="0" w:space="0" w:color="auto"/>
                                <w:right w:val="none" w:sz="0" w:space="0" w:color="auto"/>
                              </w:divBdr>
                              <w:divsChild>
                                <w:div w:id="2044552630">
                                  <w:marLeft w:val="0"/>
                                  <w:marRight w:val="0"/>
                                  <w:marTop w:val="0"/>
                                  <w:marBottom w:val="0"/>
                                  <w:divBdr>
                                    <w:top w:val="none" w:sz="0" w:space="0" w:color="auto"/>
                                    <w:left w:val="none" w:sz="0" w:space="0" w:color="auto"/>
                                    <w:bottom w:val="none" w:sz="0" w:space="0" w:color="auto"/>
                                    <w:right w:val="none" w:sz="0" w:space="0" w:color="auto"/>
                                  </w:divBdr>
                                  <w:divsChild>
                                    <w:div w:id="1098326348">
                                      <w:marLeft w:val="0"/>
                                      <w:marRight w:val="0"/>
                                      <w:marTop w:val="0"/>
                                      <w:marBottom w:val="0"/>
                                      <w:divBdr>
                                        <w:top w:val="none" w:sz="0" w:space="0" w:color="auto"/>
                                        <w:left w:val="none" w:sz="0" w:space="0" w:color="auto"/>
                                        <w:bottom w:val="none" w:sz="0" w:space="0" w:color="auto"/>
                                        <w:right w:val="none" w:sz="0" w:space="0" w:color="auto"/>
                                      </w:divBdr>
                                      <w:divsChild>
                                        <w:div w:id="905721204">
                                          <w:marLeft w:val="0"/>
                                          <w:marRight w:val="0"/>
                                          <w:marTop w:val="0"/>
                                          <w:marBottom w:val="0"/>
                                          <w:divBdr>
                                            <w:top w:val="none" w:sz="0" w:space="0" w:color="auto"/>
                                            <w:left w:val="none" w:sz="0" w:space="0" w:color="auto"/>
                                            <w:bottom w:val="none" w:sz="0" w:space="0" w:color="auto"/>
                                            <w:right w:val="none" w:sz="0" w:space="0" w:color="auto"/>
                                          </w:divBdr>
                                          <w:divsChild>
                                            <w:div w:id="552812586">
                                              <w:marLeft w:val="0"/>
                                              <w:marRight w:val="0"/>
                                              <w:marTop w:val="90"/>
                                              <w:marBottom w:val="0"/>
                                              <w:divBdr>
                                                <w:top w:val="none" w:sz="0" w:space="0" w:color="auto"/>
                                                <w:left w:val="none" w:sz="0" w:space="0" w:color="auto"/>
                                                <w:bottom w:val="none" w:sz="0" w:space="0" w:color="auto"/>
                                                <w:right w:val="none" w:sz="0" w:space="0" w:color="auto"/>
                                              </w:divBdr>
                                              <w:divsChild>
                                                <w:div w:id="867983985">
                                                  <w:marLeft w:val="0"/>
                                                  <w:marRight w:val="0"/>
                                                  <w:marTop w:val="0"/>
                                                  <w:marBottom w:val="0"/>
                                                  <w:divBdr>
                                                    <w:top w:val="none" w:sz="0" w:space="0" w:color="auto"/>
                                                    <w:left w:val="none" w:sz="0" w:space="0" w:color="auto"/>
                                                    <w:bottom w:val="none" w:sz="0" w:space="0" w:color="auto"/>
                                                    <w:right w:val="none" w:sz="0" w:space="0" w:color="auto"/>
                                                  </w:divBdr>
                                                  <w:divsChild>
                                                    <w:div w:id="978191021">
                                                      <w:marLeft w:val="0"/>
                                                      <w:marRight w:val="0"/>
                                                      <w:marTop w:val="0"/>
                                                      <w:marBottom w:val="0"/>
                                                      <w:divBdr>
                                                        <w:top w:val="none" w:sz="0" w:space="0" w:color="auto"/>
                                                        <w:left w:val="none" w:sz="0" w:space="0" w:color="auto"/>
                                                        <w:bottom w:val="none" w:sz="0" w:space="0" w:color="auto"/>
                                                        <w:right w:val="none" w:sz="0" w:space="0" w:color="auto"/>
                                                      </w:divBdr>
                                                      <w:divsChild>
                                                        <w:div w:id="429594000">
                                                          <w:marLeft w:val="0"/>
                                                          <w:marRight w:val="0"/>
                                                          <w:marTop w:val="0"/>
                                                          <w:marBottom w:val="0"/>
                                                          <w:divBdr>
                                                            <w:top w:val="none" w:sz="0" w:space="0" w:color="auto"/>
                                                            <w:left w:val="none" w:sz="0" w:space="0" w:color="auto"/>
                                                            <w:bottom w:val="none" w:sz="0" w:space="0" w:color="auto"/>
                                                            <w:right w:val="none" w:sz="0" w:space="0" w:color="auto"/>
                                                          </w:divBdr>
                                                          <w:divsChild>
                                                            <w:div w:id="1953050725">
                                                              <w:marLeft w:val="0"/>
                                                              <w:marRight w:val="0"/>
                                                              <w:marTop w:val="0"/>
                                                              <w:marBottom w:val="390"/>
                                                              <w:divBdr>
                                                                <w:top w:val="none" w:sz="0" w:space="0" w:color="auto"/>
                                                                <w:left w:val="none" w:sz="0" w:space="0" w:color="auto"/>
                                                                <w:bottom w:val="none" w:sz="0" w:space="0" w:color="auto"/>
                                                                <w:right w:val="none" w:sz="0" w:space="0" w:color="auto"/>
                                                              </w:divBdr>
                                                              <w:divsChild>
                                                                <w:div w:id="26685453">
                                                                  <w:marLeft w:val="0"/>
                                                                  <w:marRight w:val="0"/>
                                                                  <w:marTop w:val="0"/>
                                                                  <w:marBottom w:val="0"/>
                                                                  <w:divBdr>
                                                                    <w:top w:val="none" w:sz="0" w:space="0" w:color="auto"/>
                                                                    <w:left w:val="none" w:sz="0" w:space="0" w:color="auto"/>
                                                                    <w:bottom w:val="none" w:sz="0" w:space="0" w:color="auto"/>
                                                                    <w:right w:val="none" w:sz="0" w:space="0" w:color="auto"/>
                                                                  </w:divBdr>
                                                                  <w:divsChild>
                                                                    <w:div w:id="1448039129">
                                                                      <w:marLeft w:val="0"/>
                                                                      <w:marRight w:val="0"/>
                                                                      <w:marTop w:val="0"/>
                                                                      <w:marBottom w:val="0"/>
                                                                      <w:divBdr>
                                                                        <w:top w:val="none" w:sz="0" w:space="0" w:color="auto"/>
                                                                        <w:left w:val="none" w:sz="0" w:space="0" w:color="auto"/>
                                                                        <w:bottom w:val="none" w:sz="0" w:space="0" w:color="auto"/>
                                                                        <w:right w:val="none" w:sz="0" w:space="0" w:color="auto"/>
                                                                      </w:divBdr>
                                                                      <w:divsChild>
                                                                        <w:div w:id="731729931">
                                                                          <w:marLeft w:val="0"/>
                                                                          <w:marRight w:val="0"/>
                                                                          <w:marTop w:val="0"/>
                                                                          <w:marBottom w:val="0"/>
                                                                          <w:divBdr>
                                                                            <w:top w:val="none" w:sz="0" w:space="0" w:color="auto"/>
                                                                            <w:left w:val="none" w:sz="0" w:space="0" w:color="auto"/>
                                                                            <w:bottom w:val="none" w:sz="0" w:space="0" w:color="auto"/>
                                                                            <w:right w:val="none" w:sz="0" w:space="0" w:color="auto"/>
                                                                          </w:divBdr>
                                                                          <w:divsChild>
                                                                            <w:div w:id="465902808">
                                                                              <w:marLeft w:val="0"/>
                                                                              <w:marRight w:val="0"/>
                                                                              <w:marTop w:val="0"/>
                                                                              <w:marBottom w:val="0"/>
                                                                              <w:divBdr>
                                                                                <w:top w:val="none" w:sz="0" w:space="0" w:color="auto"/>
                                                                                <w:left w:val="none" w:sz="0" w:space="0" w:color="auto"/>
                                                                                <w:bottom w:val="none" w:sz="0" w:space="0" w:color="auto"/>
                                                                                <w:right w:val="none" w:sz="0" w:space="0" w:color="auto"/>
                                                                              </w:divBdr>
                                                                              <w:divsChild>
                                                                                <w:div w:id="7616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693263">
      <w:bodyDiv w:val="1"/>
      <w:marLeft w:val="0"/>
      <w:marRight w:val="0"/>
      <w:marTop w:val="0"/>
      <w:marBottom w:val="0"/>
      <w:divBdr>
        <w:top w:val="none" w:sz="0" w:space="0" w:color="auto"/>
        <w:left w:val="none" w:sz="0" w:space="0" w:color="auto"/>
        <w:bottom w:val="none" w:sz="0" w:space="0" w:color="auto"/>
        <w:right w:val="none" w:sz="0" w:space="0" w:color="auto"/>
      </w:divBdr>
    </w:div>
    <w:div w:id="1868787358">
      <w:bodyDiv w:val="1"/>
      <w:marLeft w:val="0"/>
      <w:marRight w:val="0"/>
      <w:marTop w:val="0"/>
      <w:marBottom w:val="0"/>
      <w:divBdr>
        <w:top w:val="none" w:sz="0" w:space="0" w:color="auto"/>
        <w:left w:val="none" w:sz="0" w:space="0" w:color="auto"/>
        <w:bottom w:val="none" w:sz="0" w:space="0" w:color="auto"/>
        <w:right w:val="none" w:sz="0" w:space="0" w:color="auto"/>
      </w:divBdr>
      <w:divsChild>
        <w:div w:id="1908371223">
          <w:marLeft w:val="0"/>
          <w:marRight w:val="0"/>
          <w:marTop w:val="0"/>
          <w:marBottom w:val="0"/>
          <w:divBdr>
            <w:top w:val="none" w:sz="0" w:space="0" w:color="auto"/>
            <w:left w:val="none" w:sz="0" w:space="0" w:color="auto"/>
            <w:bottom w:val="none" w:sz="0" w:space="0" w:color="auto"/>
            <w:right w:val="none" w:sz="0" w:space="0" w:color="auto"/>
          </w:divBdr>
          <w:divsChild>
            <w:div w:id="94251277">
              <w:marLeft w:val="0"/>
              <w:marRight w:val="0"/>
              <w:marTop w:val="0"/>
              <w:marBottom w:val="0"/>
              <w:divBdr>
                <w:top w:val="none" w:sz="0" w:space="0" w:color="auto"/>
                <w:left w:val="none" w:sz="0" w:space="0" w:color="auto"/>
                <w:bottom w:val="none" w:sz="0" w:space="0" w:color="auto"/>
                <w:right w:val="none" w:sz="0" w:space="0" w:color="auto"/>
              </w:divBdr>
              <w:divsChild>
                <w:div w:id="432285922">
                  <w:marLeft w:val="0"/>
                  <w:marRight w:val="0"/>
                  <w:marTop w:val="0"/>
                  <w:marBottom w:val="0"/>
                  <w:divBdr>
                    <w:top w:val="none" w:sz="0" w:space="0" w:color="auto"/>
                    <w:left w:val="none" w:sz="0" w:space="0" w:color="auto"/>
                    <w:bottom w:val="none" w:sz="0" w:space="0" w:color="auto"/>
                    <w:right w:val="none" w:sz="0" w:space="0" w:color="auto"/>
                  </w:divBdr>
                  <w:divsChild>
                    <w:div w:id="334069196">
                      <w:marLeft w:val="0"/>
                      <w:marRight w:val="0"/>
                      <w:marTop w:val="45"/>
                      <w:marBottom w:val="0"/>
                      <w:divBdr>
                        <w:top w:val="none" w:sz="0" w:space="0" w:color="auto"/>
                        <w:left w:val="none" w:sz="0" w:space="0" w:color="auto"/>
                        <w:bottom w:val="none" w:sz="0" w:space="0" w:color="auto"/>
                        <w:right w:val="none" w:sz="0" w:space="0" w:color="auto"/>
                      </w:divBdr>
                      <w:divsChild>
                        <w:div w:id="1555391088">
                          <w:marLeft w:val="0"/>
                          <w:marRight w:val="0"/>
                          <w:marTop w:val="0"/>
                          <w:marBottom w:val="0"/>
                          <w:divBdr>
                            <w:top w:val="none" w:sz="0" w:space="0" w:color="auto"/>
                            <w:left w:val="none" w:sz="0" w:space="0" w:color="auto"/>
                            <w:bottom w:val="none" w:sz="0" w:space="0" w:color="auto"/>
                            <w:right w:val="none" w:sz="0" w:space="0" w:color="auto"/>
                          </w:divBdr>
                          <w:divsChild>
                            <w:div w:id="1302271574">
                              <w:marLeft w:val="2070"/>
                              <w:marRight w:val="3960"/>
                              <w:marTop w:val="0"/>
                              <w:marBottom w:val="0"/>
                              <w:divBdr>
                                <w:top w:val="none" w:sz="0" w:space="0" w:color="auto"/>
                                <w:left w:val="none" w:sz="0" w:space="0" w:color="auto"/>
                                <w:bottom w:val="none" w:sz="0" w:space="0" w:color="auto"/>
                                <w:right w:val="none" w:sz="0" w:space="0" w:color="auto"/>
                              </w:divBdr>
                              <w:divsChild>
                                <w:div w:id="1351108401">
                                  <w:marLeft w:val="0"/>
                                  <w:marRight w:val="0"/>
                                  <w:marTop w:val="0"/>
                                  <w:marBottom w:val="0"/>
                                  <w:divBdr>
                                    <w:top w:val="none" w:sz="0" w:space="0" w:color="auto"/>
                                    <w:left w:val="none" w:sz="0" w:space="0" w:color="auto"/>
                                    <w:bottom w:val="none" w:sz="0" w:space="0" w:color="auto"/>
                                    <w:right w:val="none" w:sz="0" w:space="0" w:color="auto"/>
                                  </w:divBdr>
                                  <w:divsChild>
                                    <w:div w:id="2093045318">
                                      <w:marLeft w:val="0"/>
                                      <w:marRight w:val="0"/>
                                      <w:marTop w:val="0"/>
                                      <w:marBottom w:val="0"/>
                                      <w:divBdr>
                                        <w:top w:val="none" w:sz="0" w:space="0" w:color="auto"/>
                                        <w:left w:val="none" w:sz="0" w:space="0" w:color="auto"/>
                                        <w:bottom w:val="none" w:sz="0" w:space="0" w:color="auto"/>
                                        <w:right w:val="none" w:sz="0" w:space="0" w:color="auto"/>
                                      </w:divBdr>
                                      <w:divsChild>
                                        <w:div w:id="259879403">
                                          <w:marLeft w:val="0"/>
                                          <w:marRight w:val="0"/>
                                          <w:marTop w:val="0"/>
                                          <w:marBottom w:val="0"/>
                                          <w:divBdr>
                                            <w:top w:val="none" w:sz="0" w:space="0" w:color="auto"/>
                                            <w:left w:val="none" w:sz="0" w:space="0" w:color="auto"/>
                                            <w:bottom w:val="none" w:sz="0" w:space="0" w:color="auto"/>
                                            <w:right w:val="none" w:sz="0" w:space="0" w:color="auto"/>
                                          </w:divBdr>
                                          <w:divsChild>
                                            <w:div w:id="1090781678">
                                              <w:marLeft w:val="0"/>
                                              <w:marRight w:val="0"/>
                                              <w:marTop w:val="90"/>
                                              <w:marBottom w:val="0"/>
                                              <w:divBdr>
                                                <w:top w:val="none" w:sz="0" w:space="0" w:color="auto"/>
                                                <w:left w:val="none" w:sz="0" w:space="0" w:color="auto"/>
                                                <w:bottom w:val="none" w:sz="0" w:space="0" w:color="auto"/>
                                                <w:right w:val="none" w:sz="0" w:space="0" w:color="auto"/>
                                              </w:divBdr>
                                              <w:divsChild>
                                                <w:div w:id="2106684279">
                                                  <w:marLeft w:val="0"/>
                                                  <w:marRight w:val="0"/>
                                                  <w:marTop w:val="0"/>
                                                  <w:marBottom w:val="0"/>
                                                  <w:divBdr>
                                                    <w:top w:val="none" w:sz="0" w:space="0" w:color="auto"/>
                                                    <w:left w:val="none" w:sz="0" w:space="0" w:color="auto"/>
                                                    <w:bottom w:val="none" w:sz="0" w:space="0" w:color="auto"/>
                                                    <w:right w:val="none" w:sz="0" w:space="0" w:color="auto"/>
                                                  </w:divBdr>
                                                  <w:divsChild>
                                                    <w:div w:id="2094888858">
                                                      <w:marLeft w:val="0"/>
                                                      <w:marRight w:val="0"/>
                                                      <w:marTop w:val="0"/>
                                                      <w:marBottom w:val="0"/>
                                                      <w:divBdr>
                                                        <w:top w:val="none" w:sz="0" w:space="0" w:color="auto"/>
                                                        <w:left w:val="none" w:sz="0" w:space="0" w:color="auto"/>
                                                        <w:bottom w:val="none" w:sz="0" w:space="0" w:color="auto"/>
                                                        <w:right w:val="none" w:sz="0" w:space="0" w:color="auto"/>
                                                      </w:divBdr>
                                                      <w:divsChild>
                                                        <w:div w:id="1140461552">
                                                          <w:marLeft w:val="0"/>
                                                          <w:marRight w:val="0"/>
                                                          <w:marTop w:val="0"/>
                                                          <w:marBottom w:val="0"/>
                                                          <w:divBdr>
                                                            <w:top w:val="none" w:sz="0" w:space="0" w:color="auto"/>
                                                            <w:left w:val="none" w:sz="0" w:space="0" w:color="auto"/>
                                                            <w:bottom w:val="none" w:sz="0" w:space="0" w:color="auto"/>
                                                            <w:right w:val="none" w:sz="0" w:space="0" w:color="auto"/>
                                                          </w:divBdr>
                                                          <w:divsChild>
                                                            <w:div w:id="787160364">
                                                              <w:marLeft w:val="0"/>
                                                              <w:marRight w:val="0"/>
                                                              <w:marTop w:val="0"/>
                                                              <w:marBottom w:val="390"/>
                                                              <w:divBdr>
                                                                <w:top w:val="none" w:sz="0" w:space="0" w:color="auto"/>
                                                                <w:left w:val="none" w:sz="0" w:space="0" w:color="auto"/>
                                                                <w:bottom w:val="none" w:sz="0" w:space="0" w:color="auto"/>
                                                                <w:right w:val="none" w:sz="0" w:space="0" w:color="auto"/>
                                                              </w:divBdr>
                                                              <w:divsChild>
                                                                <w:div w:id="5911854">
                                                                  <w:marLeft w:val="0"/>
                                                                  <w:marRight w:val="0"/>
                                                                  <w:marTop w:val="0"/>
                                                                  <w:marBottom w:val="0"/>
                                                                  <w:divBdr>
                                                                    <w:top w:val="none" w:sz="0" w:space="0" w:color="auto"/>
                                                                    <w:left w:val="none" w:sz="0" w:space="0" w:color="auto"/>
                                                                    <w:bottom w:val="none" w:sz="0" w:space="0" w:color="auto"/>
                                                                    <w:right w:val="none" w:sz="0" w:space="0" w:color="auto"/>
                                                                  </w:divBdr>
                                                                  <w:divsChild>
                                                                    <w:div w:id="172455434">
                                                                      <w:marLeft w:val="0"/>
                                                                      <w:marRight w:val="0"/>
                                                                      <w:marTop w:val="0"/>
                                                                      <w:marBottom w:val="0"/>
                                                                      <w:divBdr>
                                                                        <w:top w:val="none" w:sz="0" w:space="0" w:color="auto"/>
                                                                        <w:left w:val="none" w:sz="0" w:space="0" w:color="auto"/>
                                                                        <w:bottom w:val="none" w:sz="0" w:space="0" w:color="auto"/>
                                                                        <w:right w:val="none" w:sz="0" w:space="0" w:color="auto"/>
                                                                      </w:divBdr>
                                                                      <w:divsChild>
                                                                        <w:div w:id="147014461">
                                                                          <w:marLeft w:val="0"/>
                                                                          <w:marRight w:val="0"/>
                                                                          <w:marTop w:val="0"/>
                                                                          <w:marBottom w:val="0"/>
                                                                          <w:divBdr>
                                                                            <w:top w:val="none" w:sz="0" w:space="0" w:color="auto"/>
                                                                            <w:left w:val="none" w:sz="0" w:space="0" w:color="auto"/>
                                                                            <w:bottom w:val="none" w:sz="0" w:space="0" w:color="auto"/>
                                                                            <w:right w:val="none" w:sz="0" w:space="0" w:color="auto"/>
                                                                          </w:divBdr>
                                                                          <w:divsChild>
                                                                            <w:div w:id="1802072345">
                                                                              <w:marLeft w:val="0"/>
                                                                              <w:marRight w:val="0"/>
                                                                              <w:marTop w:val="0"/>
                                                                              <w:marBottom w:val="0"/>
                                                                              <w:divBdr>
                                                                                <w:top w:val="none" w:sz="0" w:space="0" w:color="auto"/>
                                                                                <w:left w:val="none" w:sz="0" w:space="0" w:color="auto"/>
                                                                                <w:bottom w:val="none" w:sz="0" w:space="0" w:color="auto"/>
                                                                                <w:right w:val="none" w:sz="0" w:space="0" w:color="auto"/>
                                                                              </w:divBdr>
                                                                              <w:divsChild>
                                                                                <w:div w:id="370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dn.com/search/tagging/2/&#24180;&#25913;" TargetMode="External"/><Relationship Id="rId2" Type="http://schemas.openxmlformats.org/officeDocument/2006/relationships/hyperlink" Target="https://www1.cgmh.org.tw/cgv/About/About?Id=26&amp;m=25" TargetMode="External"/><Relationship Id="rId1" Type="http://schemas.openxmlformats.org/officeDocument/2006/relationships/hyperlink" Target="https://www.stat.gov.tw/public/Attachment/742616228PNHRNIPU.pdf" TargetMode="External"/><Relationship Id="rId5" Type="http://schemas.openxmlformats.org/officeDocument/2006/relationships/hyperlink" Target="https://udn.com/news/story/11321/3240522" TargetMode="External"/><Relationship Id="rId4" Type="http://schemas.openxmlformats.org/officeDocument/2006/relationships/hyperlink" Target="https://udn.com/news/story/11321/322772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1E5E-F959-40E6-B6D5-0F449445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17833</Words>
  <Characters>55639</Characters>
  <Application>Microsoft Office Word</Application>
  <DocSecurity>0</DocSecurity>
  <Lines>13909</Lines>
  <Paragraphs>10495</Paragraphs>
  <ScaleCrop>false</ScaleCrop>
  <LinksUpToDate>false</LinksUpToDate>
  <CharactersWithSpaces>62977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2018-10-09T08:14:00Z</dcterms:created>
  <dcterms:modified xsi:type="dcterms:W3CDTF">2019-01-07T09:49:00Z</dcterms:modified>
</cp:coreProperties>
</file>