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18389A" w:rsidRDefault="00B61A24" w:rsidP="00F37D7B">
      <w:pPr>
        <w:pStyle w:val="af3"/>
        <w:rPr>
          <w:b w:val="0"/>
          <w:spacing w:val="0"/>
          <w:sz w:val="24"/>
          <w:szCs w:val="24"/>
        </w:rPr>
      </w:pPr>
      <w:r w:rsidRPr="00DD223E">
        <w:rPr>
          <w:rFonts w:hint="eastAsia"/>
        </w:rPr>
        <w:t xml:space="preserve"> </w:t>
      </w:r>
      <w:r w:rsidR="005E50A3" w:rsidRPr="00DD223E">
        <w:rPr>
          <w:rFonts w:hint="eastAsia"/>
        </w:rPr>
        <w:t>調查報告</w:t>
      </w:r>
      <w:r w:rsidRPr="0018389A">
        <w:rPr>
          <w:rFonts w:hint="eastAsia"/>
          <w:b w:val="0"/>
          <w:spacing w:val="0"/>
          <w:sz w:val="24"/>
          <w:szCs w:val="24"/>
        </w:rPr>
        <w:t>(公布版)</w:t>
      </w:r>
    </w:p>
    <w:p w:rsidR="00E25849" w:rsidRPr="00DD223E" w:rsidRDefault="00E25849" w:rsidP="00245C1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D223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45C15" w:rsidRPr="00DD223E">
        <w:rPr>
          <w:rFonts w:hint="eastAsia"/>
        </w:rPr>
        <w:t>國防部政治作戰局與</w:t>
      </w:r>
      <w:r w:rsidR="00B52926" w:rsidRPr="00DD223E">
        <w:rPr>
          <w:rFonts w:hint="eastAsia"/>
        </w:rPr>
        <w:t>建築師</w:t>
      </w:r>
      <w:r w:rsidR="00245C15" w:rsidRPr="00DD223E">
        <w:rPr>
          <w:rFonts w:hint="eastAsia"/>
        </w:rPr>
        <w:t>簽訂臺北市忠勇、雨後眷村新建工程設計、監造契約，未依鑽探契約據以衡酌該工程專業技術人員責任，反率以設計工法錯誤為由向</w:t>
      </w:r>
      <w:r w:rsidR="00B52926" w:rsidRPr="00DD223E">
        <w:rPr>
          <w:rFonts w:hint="eastAsia"/>
        </w:rPr>
        <w:t>建築師</w:t>
      </w:r>
      <w:r w:rsidR="00245C15" w:rsidRPr="00DD223E">
        <w:rPr>
          <w:rFonts w:hint="eastAsia"/>
        </w:rPr>
        <w:t>求償，均有深入瞭解之必要案。</w:t>
      </w:r>
    </w:p>
    <w:p w:rsidR="00E25849" w:rsidRPr="00DD223E" w:rsidRDefault="00E25849" w:rsidP="00D87139">
      <w:pPr>
        <w:pStyle w:val="1"/>
        <w:spacing w:line="470" w:lineRule="exact"/>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D223E">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D223E" w:rsidRDefault="008E1196" w:rsidP="00D87139">
      <w:pPr>
        <w:pStyle w:val="10"/>
        <w:spacing w:line="470" w:lineRule="exact"/>
        <w:ind w:left="680" w:firstLine="680"/>
      </w:pPr>
      <w:bookmarkStart w:id="49" w:name="_Toc524902730"/>
      <w:r w:rsidRPr="00DD223E">
        <w:rPr>
          <w:rFonts w:hint="eastAsia"/>
        </w:rPr>
        <w:t>本案</w:t>
      </w:r>
      <w:r w:rsidR="00283F20" w:rsidRPr="00DD223E">
        <w:rPr>
          <w:rFonts w:hint="eastAsia"/>
        </w:rPr>
        <w:t>係</w:t>
      </w:r>
      <w:r w:rsidR="006F150F" w:rsidRPr="00DD223E">
        <w:rPr>
          <w:rFonts w:hint="eastAsia"/>
        </w:rPr>
        <w:t>「國防部政治作戰局與</w:t>
      </w:r>
      <w:r w:rsidR="00AF04D7" w:rsidRPr="00DD223E">
        <w:rPr>
          <w:rFonts w:hint="eastAsia"/>
        </w:rPr>
        <w:t>建築師</w:t>
      </w:r>
      <w:r w:rsidR="006F150F" w:rsidRPr="00DD223E">
        <w:rPr>
          <w:rFonts w:hint="eastAsia"/>
        </w:rPr>
        <w:t>簽訂臺北市忠勇、雨後眷村新建工程設計、監造契約，未依鑽探契約據以衡酌該工程專業技術人員責任，反率以設計工法錯誤為由向建築師求償」，爰</w:t>
      </w:r>
      <w:r w:rsidR="00283F20" w:rsidRPr="00DD223E">
        <w:rPr>
          <w:rFonts w:hint="eastAsia"/>
        </w:rPr>
        <w:t>有關</w:t>
      </w:r>
      <w:r w:rsidR="002C3C55" w:rsidRPr="00DD223E">
        <w:rPr>
          <w:rFonts w:hint="eastAsia"/>
        </w:rPr>
        <w:t>最高法院104年度台上字第1423號、臺灣高等法院100年度重上字第110號</w:t>
      </w:r>
      <w:r w:rsidR="00F57DCF" w:rsidRPr="00DD223E">
        <w:rPr>
          <w:rFonts w:hint="eastAsia"/>
        </w:rPr>
        <w:t>（下稱本案判決）</w:t>
      </w:r>
      <w:r w:rsidR="002C3C55" w:rsidRPr="00DD223E">
        <w:rPr>
          <w:rFonts w:hint="eastAsia"/>
        </w:rPr>
        <w:t>、</w:t>
      </w:r>
      <w:r w:rsidR="001F6BCC" w:rsidRPr="00DD223E">
        <w:rPr>
          <w:rFonts w:hint="eastAsia"/>
        </w:rPr>
        <w:t>臺灣</w:t>
      </w:r>
      <w:r w:rsidR="002C3C55" w:rsidRPr="00DD223E">
        <w:rPr>
          <w:rFonts w:hint="eastAsia"/>
        </w:rPr>
        <w:t>臺北地方法院97年度重訴字第604號民事判決</w:t>
      </w:r>
      <w:r w:rsidR="00914E61" w:rsidRPr="00DD223E">
        <w:rPr>
          <w:rFonts w:hint="eastAsia"/>
        </w:rPr>
        <w:t>、</w:t>
      </w:r>
      <w:r w:rsidR="002C3C55" w:rsidRPr="00DD223E">
        <w:rPr>
          <w:rFonts w:hint="eastAsia"/>
        </w:rPr>
        <w:t>國防部及內政部營建署之違失，以及公共工程委託建築師規劃設計時，未來可能面臨鉅額求償之制度檢討</w:t>
      </w:r>
      <w:r w:rsidR="006F150F" w:rsidRPr="00DD223E">
        <w:rPr>
          <w:rFonts w:hint="eastAsia"/>
        </w:rPr>
        <w:t>。</w:t>
      </w:r>
      <w:r w:rsidR="002C3C55" w:rsidRPr="00DD223E">
        <w:rPr>
          <w:rFonts w:hint="eastAsia"/>
        </w:rPr>
        <w:t>案經調閱國防部、</w:t>
      </w:r>
      <w:r w:rsidR="008463B9" w:rsidRPr="00DD223E">
        <w:rPr>
          <w:rFonts w:hint="eastAsia"/>
        </w:rPr>
        <w:t>內政部</w:t>
      </w:r>
      <w:r w:rsidR="002C3C55" w:rsidRPr="00DD223E">
        <w:rPr>
          <w:rFonts w:hint="eastAsia"/>
        </w:rPr>
        <w:t>營建署</w:t>
      </w:r>
      <w:r w:rsidR="008463B9" w:rsidRPr="00DD223E">
        <w:rPr>
          <w:rFonts w:hint="eastAsia"/>
        </w:rPr>
        <w:t>（下稱營建署）</w:t>
      </w:r>
      <w:r w:rsidR="002C3C55" w:rsidRPr="00DD223E">
        <w:rPr>
          <w:rFonts w:hint="eastAsia"/>
        </w:rPr>
        <w:t>、</w:t>
      </w:r>
      <w:r w:rsidR="008463B9" w:rsidRPr="00DD223E">
        <w:rPr>
          <w:rFonts w:hint="eastAsia"/>
        </w:rPr>
        <w:t>行政院公共工程委員會（下稱工程會）</w:t>
      </w:r>
      <w:r w:rsidR="002C3C55" w:rsidRPr="00DD223E">
        <w:rPr>
          <w:rFonts w:hint="eastAsia"/>
        </w:rPr>
        <w:t>、</w:t>
      </w:r>
      <w:r w:rsidR="001F6BCC" w:rsidRPr="00DD223E">
        <w:rPr>
          <w:rFonts w:hint="eastAsia"/>
        </w:rPr>
        <w:t>臺灣</w:t>
      </w:r>
      <w:r w:rsidR="002C3C55" w:rsidRPr="00DD223E">
        <w:rPr>
          <w:rFonts w:hint="eastAsia"/>
        </w:rPr>
        <w:t>臺北地方法院等機關卷證資料，並於民國(下同)107年7月26日詢問國防部、營建署、工程會等機關人員代表，現</w:t>
      </w:r>
      <w:r w:rsidR="00FB501B" w:rsidRPr="00DD223E">
        <w:rPr>
          <w:rFonts w:hint="eastAsia"/>
        </w:rPr>
        <w:t>已</w:t>
      </w:r>
      <w:r w:rsidR="007C2B62" w:rsidRPr="00DD223E">
        <w:rPr>
          <w:rFonts w:hint="eastAsia"/>
        </w:rPr>
        <w:t>完成</w:t>
      </w:r>
      <w:r w:rsidR="00FB501B" w:rsidRPr="00DD223E">
        <w:rPr>
          <w:rFonts w:hint="eastAsia"/>
        </w:rPr>
        <w:t>調查，綜整有關</w:t>
      </w:r>
      <w:r w:rsidR="002C3C55" w:rsidRPr="00DD223E">
        <w:rPr>
          <w:rFonts w:hint="eastAsia"/>
        </w:rPr>
        <w:t>機關</w:t>
      </w:r>
      <w:r w:rsidR="00FB501B" w:rsidRPr="00DD223E">
        <w:rPr>
          <w:rFonts w:hint="eastAsia"/>
        </w:rPr>
        <w:t>缺失，列述調查意見如下：</w:t>
      </w:r>
    </w:p>
    <w:p w:rsidR="00073CB5" w:rsidRPr="00DD223E" w:rsidRDefault="00EF59FF" w:rsidP="00D87139">
      <w:pPr>
        <w:pStyle w:val="2"/>
        <w:spacing w:line="470" w:lineRule="exact"/>
        <w:rPr>
          <w:b/>
        </w:rPr>
      </w:pPr>
      <w:r w:rsidRPr="00DD223E">
        <w:rPr>
          <w:rFonts w:hint="eastAsia"/>
          <w:b/>
        </w:rPr>
        <w:t>國防部於本案判決上訴遭最高法院於104年7月30日駁回確定後，遲至106年2月23日始向本案判決中法院認定有過失之營建署求償，經臺北高等行政法院106年度訴字第266號判決認定該請求權已罹於時效而敗訴。國防部</w:t>
      </w:r>
      <w:r w:rsidR="00D47BB2" w:rsidRPr="00DD223E">
        <w:rPr>
          <w:rFonts w:hint="eastAsia"/>
          <w:b/>
        </w:rPr>
        <w:t>已</w:t>
      </w:r>
      <w:r w:rsidR="00C43D1A" w:rsidRPr="00DD223E">
        <w:rPr>
          <w:rFonts w:hint="eastAsia"/>
          <w:b/>
        </w:rPr>
        <w:t>於107年1月8日</w:t>
      </w:r>
      <w:r w:rsidR="00442051" w:rsidRPr="00DD223E">
        <w:rPr>
          <w:rFonts w:hint="eastAsia"/>
          <w:b/>
        </w:rPr>
        <w:t>提起上訴</w:t>
      </w:r>
      <w:r w:rsidR="00C43D1A" w:rsidRPr="00DD223E">
        <w:rPr>
          <w:rFonts w:hint="eastAsia"/>
          <w:b/>
        </w:rPr>
        <w:t>，</w:t>
      </w:r>
      <w:r w:rsidR="00534415" w:rsidRPr="00DD223E">
        <w:rPr>
          <w:rFonts w:hint="eastAsia"/>
          <w:b/>
        </w:rPr>
        <w:t>故</w:t>
      </w:r>
      <w:r w:rsidR="00C43D1A" w:rsidRPr="00DD223E">
        <w:rPr>
          <w:rFonts w:hint="eastAsia"/>
          <w:b/>
        </w:rPr>
        <w:t>就其請求權是否已罹於時效之法律爭議，允由最高行政法院判斷。</w:t>
      </w:r>
      <w:r w:rsidR="00442051" w:rsidRPr="00DD223E">
        <w:rPr>
          <w:rFonts w:hint="eastAsia"/>
          <w:b/>
        </w:rPr>
        <w:t>然該部</w:t>
      </w:r>
      <w:r w:rsidRPr="00DD223E">
        <w:rPr>
          <w:rFonts w:hint="eastAsia"/>
          <w:b/>
        </w:rPr>
        <w:t>所以遲延提起訴訟，</w:t>
      </w:r>
      <w:r w:rsidR="00761F23" w:rsidRPr="00DD223E">
        <w:rPr>
          <w:rFonts w:hint="eastAsia"/>
          <w:b/>
        </w:rPr>
        <w:t>係因</w:t>
      </w:r>
      <w:r w:rsidRPr="00DD223E">
        <w:rPr>
          <w:rFonts w:hint="eastAsia"/>
          <w:b/>
        </w:rPr>
        <w:t>該部承辦人交接不確實以致有所遲誤</w:t>
      </w:r>
      <w:r w:rsidR="00761F23" w:rsidRPr="00DD223E">
        <w:rPr>
          <w:rFonts w:hint="eastAsia"/>
          <w:b/>
        </w:rPr>
        <w:t>，</w:t>
      </w:r>
      <w:r w:rsidRPr="00DD223E">
        <w:rPr>
          <w:rFonts w:hint="eastAsia"/>
          <w:b/>
        </w:rPr>
        <w:t>非遲延起訴之合理事由，難辭</w:t>
      </w:r>
      <w:r w:rsidRPr="00DD223E">
        <w:rPr>
          <w:rFonts w:hint="eastAsia"/>
          <w:b/>
        </w:rPr>
        <w:lastRenderedPageBreak/>
        <w:t>違失之咎。本案建築師設計總報酬為</w:t>
      </w:r>
      <w:r w:rsidR="006F150F" w:rsidRPr="00DD223E">
        <w:rPr>
          <w:rFonts w:hint="eastAsia"/>
          <w:b/>
        </w:rPr>
        <w:t>新臺幣（下同）</w:t>
      </w:r>
      <w:r w:rsidRPr="00DD223E">
        <w:rPr>
          <w:rFonts w:hint="eastAsia"/>
          <w:b/>
        </w:rPr>
        <w:t>1,000萬1,621元，後經本案判決應賠償國防部1億1,703萬2,978元整，因營建署與有過失，故經酌減50%，建築師須賠償5,851萬6,489元；然國防部因相關判決認定人民或政府機關有過失，須請求損害賠償時，對人民積極求償，對政府機關卻顯消極，實非事理之平，肇致民怨，損及政府形象。而國防部對營建署之行政訴訟敗訴後，雖國防部已提起上訴，然因該部遲延起訴，可能導致高達5,851萬6,489元賠償金額，有無法獲償之風險，恐將影響眷村改建基金之穩健經營，無法落實眷村改建照顧基層官兵之立法目的，辦理過程顯有違誤，殊值澈底檢討改進</w:t>
      </w:r>
      <w:r w:rsidRPr="00DD223E">
        <w:rPr>
          <w:b/>
        </w:rPr>
        <w:t>。</w:t>
      </w:r>
    </w:p>
    <w:p w:rsidR="00BF75C2" w:rsidRPr="00DD223E" w:rsidRDefault="00D31362" w:rsidP="00D87139">
      <w:pPr>
        <w:pStyle w:val="3"/>
        <w:spacing w:line="470" w:lineRule="exact"/>
      </w:pPr>
      <w:r w:rsidRPr="00DD223E">
        <w:rPr>
          <w:rFonts w:hint="eastAsia"/>
        </w:rPr>
        <w:t>本案背景事實摘要：</w:t>
      </w:r>
    </w:p>
    <w:p w:rsidR="00D31362" w:rsidRPr="00DD223E" w:rsidRDefault="00D31362" w:rsidP="00D87139">
      <w:pPr>
        <w:pStyle w:val="4"/>
        <w:spacing w:line="470" w:lineRule="exact"/>
      </w:pPr>
      <w:r w:rsidRPr="00DD223E">
        <w:rPr>
          <w:rFonts w:hint="eastAsia"/>
        </w:rPr>
        <w:t>本案緣於國防部與</w:t>
      </w:r>
      <w:r w:rsidR="001C4919" w:rsidRPr="00DD223E">
        <w:rPr>
          <w:rFonts w:hint="eastAsia"/>
        </w:rPr>
        <w:t>建築師</w:t>
      </w:r>
      <w:r w:rsidR="00717AAA" w:rsidRPr="00DD223E">
        <w:rPr>
          <w:rFonts w:hint="eastAsia"/>
        </w:rPr>
        <w:t>事務所</w:t>
      </w:r>
      <w:r w:rsidRPr="00DD223E">
        <w:rPr>
          <w:rFonts w:hint="eastAsia"/>
        </w:rPr>
        <w:t>於86年12月22日訂定工程委託設計、監造契約，</w:t>
      </w:r>
      <w:r w:rsidR="00A30B47" w:rsidRPr="00DD223E">
        <w:rPr>
          <w:rFonts w:hint="eastAsia"/>
        </w:rPr>
        <w:t>簽訂設計</w:t>
      </w:r>
      <w:r w:rsidR="00717AAA" w:rsidRPr="00DD223E">
        <w:rPr>
          <w:rFonts w:hint="eastAsia"/>
        </w:rPr>
        <w:t>監造</w:t>
      </w:r>
      <w:r w:rsidR="006D238E" w:rsidRPr="00DD223E">
        <w:rPr>
          <w:rFonts w:hint="eastAsia"/>
        </w:rPr>
        <w:t>契約之</w:t>
      </w:r>
      <w:r w:rsidR="00A30B47" w:rsidRPr="00DD223E">
        <w:rPr>
          <w:rFonts w:hint="eastAsia"/>
        </w:rPr>
        <w:t>總報酬為1,000萬1,621元，</w:t>
      </w:r>
      <w:r w:rsidRPr="00DD223E">
        <w:rPr>
          <w:rFonts w:hint="eastAsia"/>
        </w:rPr>
        <w:t>於88年6月23日與營建署訂定本案「國防部委託臺灣省政府辦理國軍老舊眷村改建工程專案管理總協議書」</w:t>
      </w:r>
      <w:r w:rsidR="00072BE0" w:rsidRPr="00DD223E">
        <w:rPr>
          <w:rFonts w:hint="eastAsia"/>
        </w:rPr>
        <w:t>，嗣於88年8月簽訂「國防部總政治作戰部委託內政部營建署辦理國軍老舊眷村改建臺北市忠勇、雨後眷村新建工程專案管理協議書」，</w:t>
      </w:r>
      <w:r w:rsidRPr="00DD223E">
        <w:rPr>
          <w:rFonts w:hint="eastAsia"/>
        </w:rPr>
        <w:t>而依該協議書將本案工程「施作」部分委由營建署管理；嗣因眷村改建業務由</w:t>
      </w:r>
      <w:r w:rsidR="00C33760" w:rsidRPr="00DD223E">
        <w:rPr>
          <w:rFonts w:hint="eastAsia"/>
        </w:rPr>
        <w:t>國防部政治作戰局（下稱政戰局）</w:t>
      </w:r>
      <w:r w:rsidRPr="00DD223E">
        <w:rPr>
          <w:rFonts w:hint="eastAsia"/>
        </w:rPr>
        <w:t>承辦，由政戰局承受國防部為上開二契約之當事人。</w:t>
      </w:r>
    </w:p>
    <w:p w:rsidR="00D31362" w:rsidRPr="00DD223E" w:rsidRDefault="00D31362" w:rsidP="00D87139">
      <w:pPr>
        <w:pStyle w:val="4"/>
        <w:spacing w:line="470" w:lineRule="exact"/>
      </w:pPr>
      <w:r w:rsidRPr="00DD223E">
        <w:rPr>
          <w:rFonts w:hint="eastAsia"/>
        </w:rPr>
        <w:t>營建署於89年8月23日另委託</w:t>
      </w:r>
      <w:r w:rsidR="00491871" w:rsidRPr="00DD223E">
        <w:rPr>
          <w:rFonts w:hint="eastAsia"/>
        </w:rPr>
        <w:t>慈○</w:t>
      </w:r>
      <w:r w:rsidRPr="00DD223E">
        <w:rPr>
          <w:rFonts w:hint="eastAsia"/>
        </w:rPr>
        <w:t>營造股份公司（下稱</w:t>
      </w:r>
      <w:r w:rsidR="00491871" w:rsidRPr="00DD223E">
        <w:rPr>
          <w:rFonts w:hint="eastAsia"/>
        </w:rPr>
        <w:t>慈○</w:t>
      </w:r>
      <w:r w:rsidRPr="00DD223E">
        <w:rPr>
          <w:rFonts w:hint="eastAsia"/>
        </w:rPr>
        <w:t>公司）依</w:t>
      </w:r>
      <w:r w:rsidR="001C4919" w:rsidRPr="00DD223E">
        <w:rPr>
          <w:rFonts w:hint="eastAsia"/>
        </w:rPr>
        <w:t>建築師</w:t>
      </w:r>
      <w:r w:rsidRPr="00DD223E">
        <w:rPr>
          <w:rFonts w:hint="eastAsia"/>
        </w:rPr>
        <w:t>規劃、設計，施作本案工程。</w:t>
      </w:r>
      <w:r w:rsidR="00491871" w:rsidRPr="00DD223E">
        <w:rPr>
          <w:rFonts w:hint="eastAsia"/>
        </w:rPr>
        <w:t>慈○</w:t>
      </w:r>
      <w:r w:rsidRPr="00DD223E">
        <w:rPr>
          <w:rFonts w:hint="eastAsia"/>
        </w:rPr>
        <w:t>公司依</w:t>
      </w:r>
      <w:r w:rsidR="001C4919" w:rsidRPr="00DD223E">
        <w:rPr>
          <w:rFonts w:hint="eastAsia"/>
        </w:rPr>
        <w:t>建築師</w:t>
      </w:r>
      <w:r w:rsidRPr="00DD223E">
        <w:rPr>
          <w:rFonts w:hint="eastAsia"/>
        </w:rPr>
        <w:t>設計基樁工法（「反循環」工法）施作後，因基樁承載於孤石群，造</w:t>
      </w:r>
      <w:r w:rsidRPr="00DD223E">
        <w:rPr>
          <w:rFonts w:hint="eastAsia"/>
        </w:rPr>
        <w:lastRenderedPageBreak/>
        <w:t>成承載力不足，導致試樁失敗；再經</w:t>
      </w:r>
      <w:r w:rsidR="001C4919" w:rsidRPr="00DD223E">
        <w:rPr>
          <w:rFonts w:hint="eastAsia"/>
        </w:rPr>
        <w:t>建築師</w:t>
      </w:r>
      <w:r w:rsidRPr="00DD223E">
        <w:rPr>
          <w:rFonts w:hint="eastAsia"/>
        </w:rPr>
        <w:t>評估後以「改良式反循環</w:t>
      </w:r>
      <w:r w:rsidR="00C33760" w:rsidRPr="00DD223E">
        <w:rPr>
          <w:rStyle w:val="afd"/>
        </w:rPr>
        <w:footnoteReference w:id="1"/>
      </w:r>
      <w:r w:rsidRPr="00DD223E">
        <w:rPr>
          <w:rFonts w:hint="eastAsia"/>
        </w:rPr>
        <w:t>」工法進行施作，亦無法試樁成功，因而向營建署終止契約，遞經歷審法院</w:t>
      </w:r>
      <w:r w:rsidRPr="00DD223E">
        <w:rPr>
          <w:rStyle w:val="afd"/>
        </w:rPr>
        <w:footnoteReference w:id="2"/>
      </w:r>
      <w:r w:rsidRPr="00DD223E">
        <w:rPr>
          <w:rFonts w:hint="eastAsia"/>
        </w:rPr>
        <w:t>認定不可歸責該公司事由，導致無法繼續施工，依雙方簽訂合約，該公司終止契約為有理由，並判決營建署返還該公司施工費用等支出。</w:t>
      </w:r>
    </w:p>
    <w:p w:rsidR="00D31362" w:rsidRPr="00DD223E" w:rsidRDefault="00D31362" w:rsidP="00D87139">
      <w:pPr>
        <w:pStyle w:val="4"/>
        <w:spacing w:line="470" w:lineRule="exact"/>
      </w:pPr>
      <w:r w:rsidRPr="00DD223E">
        <w:rPr>
          <w:rFonts w:hint="eastAsia"/>
        </w:rPr>
        <w:t>政戰局以上開契約終止後受有損害為由，起訴請求</w:t>
      </w:r>
      <w:r w:rsidR="00717AAA" w:rsidRPr="00DD223E">
        <w:rPr>
          <w:rFonts w:hint="eastAsia"/>
        </w:rPr>
        <w:t>該事務所</w:t>
      </w:r>
      <w:r w:rsidR="00DC2666" w:rsidRPr="00DD223E">
        <w:rPr>
          <w:rFonts w:hint="eastAsia"/>
        </w:rPr>
        <w:t>建築師等</w:t>
      </w:r>
      <w:r w:rsidR="00717AAA" w:rsidRPr="00DD223E">
        <w:rPr>
          <w:rFonts w:hint="eastAsia"/>
        </w:rPr>
        <w:t>相關人員</w:t>
      </w:r>
      <w:r w:rsidRPr="00DD223E">
        <w:rPr>
          <w:rFonts w:hint="eastAsia"/>
        </w:rPr>
        <w:t>賠償，法院以前揭契約等事證，</w:t>
      </w:r>
      <w:r w:rsidR="00813E3B" w:rsidRPr="00DD223E">
        <w:rPr>
          <w:rFonts w:hint="eastAsia"/>
        </w:rPr>
        <w:t>判決應賠償國防部1億1,703萬2,978元整。其中</w:t>
      </w:r>
      <w:r w:rsidR="001C4919" w:rsidRPr="00DD223E">
        <w:rPr>
          <w:rFonts w:hint="eastAsia"/>
        </w:rPr>
        <w:t>建築師</w:t>
      </w:r>
      <w:r w:rsidRPr="00DD223E">
        <w:rPr>
          <w:rFonts w:hint="eastAsia"/>
        </w:rPr>
        <w:t>設計不周</w:t>
      </w:r>
      <w:r w:rsidR="00813E3B" w:rsidRPr="00DD223E">
        <w:rPr>
          <w:rFonts w:hint="eastAsia"/>
        </w:rPr>
        <w:t>，應</w:t>
      </w:r>
      <w:r w:rsidR="00186AA5" w:rsidRPr="00DD223E">
        <w:rPr>
          <w:rFonts w:hint="eastAsia"/>
        </w:rPr>
        <w:t>負</w:t>
      </w:r>
      <w:r w:rsidR="00813E3B" w:rsidRPr="00DD223E">
        <w:rPr>
          <w:rFonts w:hint="eastAsia"/>
        </w:rPr>
        <w:t>50%責任，計賠償5,851萬6,489元，另</w:t>
      </w:r>
      <w:r w:rsidR="009E3D14" w:rsidRPr="00DD223E">
        <w:rPr>
          <w:rFonts w:hint="eastAsia"/>
        </w:rPr>
        <w:t>判決</w:t>
      </w:r>
      <w:r w:rsidR="00813E3B" w:rsidRPr="00DD223E">
        <w:rPr>
          <w:rFonts w:hint="eastAsia"/>
        </w:rPr>
        <w:t>認為</w:t>
      </w:r>
      <w:r w:rsidRPr="00DD223E">
        <w:rPr>
          <w:rFonts w:hint="eastAsia"/>
        </w:rPr>
        <w:t>營建署未盡審查義務</w:t>
      </w:r>
      <w:r w:rsidR="00B93875" w:rsidRPr="00DD223E">
        <w:rPr>
          <w:rFonts w:hint="eastAsia"/>
        </w:rPr>
        <w:t>，</w:t>
      </w:r>
      <w:r w:rsidR="00813E3B" w:rsidRPr="00DD223E">
        <w:rPr>
          <w:rFonts w:hint="eastAsia"/>
        </w:rPr>
        <w:t>為</w:t>
      </w:r>
      <w:r w:rsidR="00A30B47" w:rsidRPr="00DD223E">
        <w:rPr>
          <w:rFonts w:hint="eastAsia"/>
        </w:rPr>
        <w:t>國防部之委任管理單位且收取專案管理費用，針對本案有未善盡善良管理人之責，</w:t>
      </w:r>
      <w:r w:rsidR="00B93875" w:rsidRPr="00DD223E">
        <w:rPr>
          <w:rFonts w:hint="eastAsia"/>
        </w:rPr>
        <w:t>與有過失，</w:t>
      </w:r>
      <w:r w:rsidR="00A30B47" w:rsidRPr="00DD223E">
        <w:rPr>
          <w:rFonts w:hint="eastAsia"/>
        </w:rPr>
        <w:t>應</w:t>
      </w:r>
      <w:r w:rsidR="00186AA5" w:rsidRPr="00DD223E">
        <w:rPr>
          <w:rFonts w:hint="eastAsia"/>
        </w:rPr>
        <w:t>負</w:t>
      </w:r>
      <w:r w:rsidR="000661D0" w:rsidRPr="00DD223E">
        <w:rPr>
          <w:rFonts w:hint="eastAsia"/>
        </w:rPr>
        <w:t>50%</w:t>
      </w:r>
      <w:r w:rsidR="00813E3B" w:rsidRPr="00DD223E">
        <w:rPr>
          <w:rFonts w:hint="eastAsia"/>
        </w:rPr>
        <w:t>責任，</w:t>
      </w:r>
      <w:r w:rsidR="00186AA5" w:rsidRPr="00DD223E">
        <w:rPr>
          <w:rFonts w:hint="eastAsia"/>
        </w:rPr>
        <w:t>計</w:t>
      </w:r>
      <w:r w:rsidR="00813E3B" w:rsidRPr="00DD223E">
        <w:rPr>
          <w:rFonts w:hint="eastAsia"/>
        </w:rPr>
        <w:t>賠償</w:t>
      </w:r>
      <w:r w:rsidR="00A30B47" w:rsidRPr="00DD223E">
        <w:rPr>
          <w:rFonts w:hint="eastAsia"/>
        </w:rPr>
        <w:t>5,851萬6,489元</w:t>
      </w:r>
      <w:r w:rsidR="00B93875" w:rsidRPr="00DD223E">
        <w:rPr>
          <w:rFonts w:hint="eastAsia"/>
        </w:rPr>
        <w:t>，</w:t>
      </w:r>
      <w:r w:rsidRPr="00DD223E">
        <w:rPr>
          <w:rFonts w:hint="eastAsia"/>
        </w:rPr>
        <w:t>並以</w:t>
      </w:r>
      <w:r w:rsidR="00DC2666" w:rsidRPr="00DD223E">
        <w:rPr>
          <w:rFonts w:hint="eastAsia"/>
        </w:rPr>
        <w:t>本案</w:t>
      </w:r>
      <w:r w:rsidRPr="00DD223E">
        <w:rPr>
          <w:rFonts w:hint="eastAsia"/>
        </w:rPr>
        <w:t>判決</w:t>
      </w:r>
      <w:r w:rsidR="00DC2666" w:rsidRPr="00DD223E">
        <w:rPr>
          <w:rFonts w:hint="eastAsia"/>
        </w:rPr>
        <w:t>認定</w:t>
      </w:r>
      <w:r w:rsidR="001C4919" w:rsidRPr="00DD223E">
        <w:rPr>
          <w:rFonts w:hint="eastAsia"/>
        </w:rPr>
        <w:t>建築師</w:t>
      </w:r>
      <w:r w:rsidR="00DC2666" w:rsidRPr="00DD223E">
        <w:rPr>
          <w:rFonts w:hint="eastAsia"/>
        </w:rPr>
        <w:t>等人</w:t>
      </w:r>
      <w:r w:rsidRPr="00DD223E">
        <w:rPr>
          <w:rFonts w:hint="eastAsia"/>
        </w:rPr>
        <w:t>仍應給付政戰局損害賠償，經</w:t>
      </w:r>
      <w:r w:rsidR="00DC2666" w:rsidRPr="00DD223E">
        <w:rPr>
          <w:rFonts w:hint="eastAsia"/>
        </w:rPr>
        <w:t>建築師等人</w:t>
      </w:r>
      <w:r w:rsidRPr="00DD223E">
        <w:rPr>
          <w:rFonts w:hint="eastAsia"/>
        </w:rPr>
        <w:t>提起上訴，最高法院</w:t>
      </w:r>
      <w:r w:rsidR="0027455C" w:rsidRPr="00DD223E">
        <w:rPr>
          <w:rFonts w:hint="eastAsia"/>
        </w:rPr>
        <w:t>以104年度台上字第1423號判決駁回而確定。</w:t>
      </w:r>
    </w:p>
    <w:p w:rsidR="0080672F" w:rsidRPr="00DD223E" w:rsidRDefault="00B93875" w:rsidP="00D87139">
      <w:pPr>
        <w:pStyle w:val="3"/>
        <w:spacing w:line="470" w:lineRule="exact"/>
      </w:pPr>
      <w:r w:rsidRPr="00DD223E">
        <w:rPr>
          <w:rFonts w:hint="eastAsia"/>
        </w:rPr>
        <w:t>國防部於本案判決上訴遭最高法院於104年7月30日以104年度台上字第1423號判決駁回而確定後，於106年2月23日以</w:t>
      </w:r>
      <w:r w:rsidR="00EE1D22" w:rsidRPr="00DD223E">
        <w:rPr>
          <w:rFonts w:hint="eastAsia"/>
        </w:rPr>
        <w:t>營建署未盡審查義務為由，向臺北高等行政法院提起行政訴訟</w:t>
      </w:r>
      <w:r w:rsidR="00E106D4" w:rsidRPr="00DD223E">
        <w:rPr>
          <w:rFonts w:hint="eastAsia"/>
        </w:rPr>
        <w:t>，臺北高等行政法院</w:t>
      </w:r>
      <w:r w:rsidR="00AD531E" w:rsidRPr="00DD223E">
        <w:rPr>
          <w:rFonts w:hint="eastAsia"/>
        </w:rPr>
        <w:t>於106年度訴字第266號判決中，</w:t>
      </w:r>
      <w:r w:rsidR="00E106D4" w:rsidRPr="00DD223E">
        <w:rPr>
          <w:rFonts w:hint="eastAsia"/>
        </w:rPr>
        <w:t>以罹於時效為由，判決國防部敗訴</w:t>
      </w:r>
      <w:r w:rsidR="00354889" w:rsidRPr="00DD223E">
        <w:rPr>
          <w:rFonts w:hint="eastAsia"/>
        </w:rPr>
        <w:t>。</w:t>
      </w:r>
    </w:p>
    <w:p w:rsidR="00354889" w:rsidRPr="00DD223E" w:rsidRDefault="000264E5" w:rsidP="00D87139">
      <w:pPr>
        <w:pStyle w:val="3"/>
        <w:spacing w:line="470" w:lineRule="exact"/>
      </w:pPr>
      <w:r w:rsidRPr="00DD223E">
        <w:rPr>
          <w:rFonts w:hint="eastAsia"/>
        </w:rPr>
        <w:t>有關</w:t>
      </w:r>
      <w:r w:rsidR="00DC2666" w:rsidRPr="00DD223E">
        <w:rPr>
          <w:rFonts w:hint="eastAsia"/>
        </w:rPr>
        <w:t>國防部對於營建署之</w:t>
      </w:r>
      <w:r w:rsidRPr="00DD223E">
        <w:rPr>
          <w:rFonts w:hint="eastAsia"/>
        </w:rPr>
        <w:t>請求權是否已罹於時效，因國防部</w:t>
      </w:r>
      <w:r w:rsidR="00E444A2" w:rsidRPr="00DD223E">
        <w:rPr>
          <w:rFonts w:hint="eastAsia"/>
        </w:rPr>
        <w:t>已於107年1月8日上訴</w:t>
      </w:r>
      <w:r w:rsidRPr="00DD223E">
        <w:rPr>
          <w:rFonts w:hint="eastAsia"/>
        </w:rPr>
        <w:t>，</w:t>
      </w:r>
      <w:r w:rsidR="00AD531E" w:rsidRPr="00DD223E">
        <w:rPr>
          <w:rFonts w:hint="eastAsia"/>
        </w:rPr>
        <w:t>基於權力分立原</w:t>
      </w:r>
      <w:r w:rsidR="00AD531E" w:rsidRPr="00DD223E">
        <w:rPr>
          <w:rFonts w:hint="eastAsia"/>
        </w:rPr>
        <w:lastRenderedPageBreak/>
        <w:t>則，</w:t>
      </w:r>
      <w:r w:rsidRPr="00DD223E">
        <w:rPr>
          <w:rFonts w:hint="eastAsia"/>
        </w:rPr>
        <w:t>允由</w:t>
      </w:r>
      <w:r w:rsidR="00AD531E" w:rsidRPr="00DD223E">
        <w:rPr>
          <w:rFonts w:hint="eastAsia"/>
        </w:rPr>
        <w:t>行政</w:t>
      </w:r>
      <w:r w:rsidRPr="00DD223E">
        <w:rPr>
          <w:rFonts w:hint="eastAsia"/>
        </w:rPr>
        <w:t>法院</w:t>
      </w:r>
      <w:r w:rsidR="00AD531E" w:rsidRPr="00DD223E">
        <w:rPr>
          <w:rFonts w:hint="eastAsia"/>
        </w:rPr>
        <w:t>進行</w:t>
      </w:r>
      <w:r w:rsidRPr="00DD223E">
        <w:rPr>
          <w:rFonts w:hint="eastAsia"/>
        </w:rPr>
        <w:t>判斷：</w:t>
      </w:r>
    </w:p>
    <w:p w:rsidR="00E106D4" w:rsidRPr="00DD223E" w:rsidRDefault="00072BE0" w:rsidP="00D87139">
      <w:pPr>
        <w:pStyle w:val="4"/>
        <w:spacing w:line="470" w:lineRule="exact"/>
      </w:pPr>
      <w:r w:rsidRPr="00DD223E">
        <w:rPr>
          <w:rFonts w:hint="eastAsia"/>
        </w:rPr>
        <w:t>有關</w:t>
      </w:r>
      <w:r w:rsidR="008C1C60" w:rsidRPr="00DD223E">
        <w:rPr>
          <w:rFonts w:hint="eastAsia"/>
        </w:rPr>
        <w:t>88年8月</w:t>
      </w:r>
      <w:r w:rsidR="00DC2666" w:rsidRPr="00DD223E">
        <w:rPr>
          <w:rFonts w:hint="eastAsia"/>
        </w:rPr>
        <w:t>雙方所</w:t>
      </w:r>
      <w:r w:rsidR="008C1C60" w:rsidRPr="00DD223E">
        <w:rPr>
          <w:rFonts w:hint="eastAsia"/>
        </w:rPr>
        <w:t>簽訂「國防部總政治作戰部委託內政部營建署辦理國軍老舊眷村改建臺北市忠勇、雨後眷村新建工程專案管理協議書」，係將</w:t>
      </w:r>
      <w:r w:rsidR="00C1478C" w:rsidRPr="00DD223E">
        <w:rPr>
          <w:rFonts w:hint="eastAsia"/>
        </w:rPr>
        <w:t>本案</w:t>
      </w:r>
      <w:r w:rsidR="008C1C60" w:rsidRPr="00DD223E">
        <w:rPr>
          <w:rFonts w:hint="eastAsia"/>
        </w:rPr>
        <w:t>工程之專案管理部</w:t>
      </w:r>
      <w:r w:rsidR="00C1478C" w:rsidRPr="00DD223E">
        <w:rPr>
          <w:rFonts w:hint="eastAsia"/>
        </w:rPr>
        <w:t>分</w:t>
      </w:r>
      <w:r w:rsidR="008C1C60" w:rsidRPr="00DD223E">
        <w:rPr>
          <w:rFonts w:hint="eastAsia"/>
        </w:rPr>
        <w:t>委由</w:t>
      </w:r>
      <w:r w:rsidR="00C1478C" w:rsidRPr="00DD223E">
        <w:rPr>
          <w:rFonts w:hint="eastAsia"/>
        </w:rPr>
        <w:t>營建署</w:t>
      </w:r>
      <w:r w:rsidR="008C1C60" w:rsidRPr="00DD223E">
        <w:rPr>
          <w:rFonts w:hint="eastAsia"/>
        </w:rPr>
        <w:t>管理，</w:t>
      </w:r>
      <w:r w:rsidR="00C1478C" w:rsidRPr="00DD223E">
        <w:rPr>
          <w:rFonts w:hint="eastAsia"/>
        </w:rPr>
        <w:t>經臺北高等行政法院認定為行政契約。</w:t>
      </w:r>
    </w:p>
    <w:p w:rsidR="00CB476A" w:rsidRPr="00DD223E" w:rsidRDefault="0080672F" w:rsidP="00D87139">
      <w:pPr>
        <w:pStyle w:val="4"/>
        <w:spacing w:line="470" w:lineRule="exact"/>
      </w:pPr>
      <w:r w:rsidRPr="00DD223E">
        <w:rPr>
          <w:rFonts w:hint="eastAsia"/>
        </w:rPr>
        <w:t>國防部基於該</w:t>
      </w:r>
      <w:r w:rsidR="00DC2666" w:rsidRPr="00DD223E">
        <w:rPr>
          <w:rFonts w:hint="eastAsia"/>
        </w:rPr>
        <w:t>協議書</w:t>
      </w:r>
      <w:r w:rsidRPr="00DD223E">
        <w:rPr>
          <w:rFonts w:hint="eastAsia"/>
        </w:rPr>
        <w:t>所生之請求權是否已罹於時效，</w:t>
      </w:r>
      <w:r w:rsidR="00CB476A" w:rsidRPr="00DD223E">
        <w:rPr>
          <w:rFonts w:hint="eastAsia"/>
        </w:rPr>
        <w:t>國防部</w:t>
      </w:r>
      <w:r w:rsidR="00B82F39" w:rsidRPr="00DD223E">
        <w:rPr>
          <w:rFonts w:hint="eastAsia"/>
        </w:rPr>
        <w:t>於</w:t>
      </w:r>
      <w:r w:rsidR="00E24CAD" w:rsidRPr="00DD223E">
        <w:rPr>
          <w:rFonts w:hint="eastAsia"/>
        </w:rPr>
        <w:t>監察</w:t>
      </w:r>
      <w:r w:rsidR="00B82F39" w:rsidRPr="00DD223E">
        <w:rPr>
          <w:rFonts w:hint="eastAsia"/>
        </w:rPr>
        <w:t>院詢問時提出</w:t>
      </w:r>
      <w:r w:rsidR="001F1A10" w:rsidRPr="00DD223E">
        <w:rPr>
          <w:rFonts w:hint="eastAsia"/>
        </w:rPr>
        <w:t>最高行政法院103年度裁字第790號裁定</w:t>
      </w:r>
      <w:r w:rsidR="001F1A10" w:rsidRPr="00DD223E">
        <w:rPr>
          <w:rStyle w:val="afd"/>
        </w:rPr>
        <w:footnoteReference w:id="3"/>
      </w:r>
      <w:r w:rsidR="001F1A10" w:rsidRPr="00DD223E">
        <w:rPr>
          <w:rFonts w:hint="eastAsia"/>
        </w:rPr>
        <w:t>，主張</w:t>
      </w:r>
      <w:r w:rsidR="003C0A1B" w:rsidRPr="00DD223E">
        <w:rPr>
          <w:rFonts w:hint="eastAsia"/>
        </w:rPr>
        <w:t>依行政程序法第131條之規定</w:t>
      </w:r>
      <w:r w:rsidR="00E24CAD" w:rsidRPr="00DD223E">
        <w:rPr>
          <w:rFonts w:hint="eastAsia"/>
        </w:rPr>
        <w:t>之</w:t>
      </w:r>
      <w:r w:rsidR="003C0A1B" w:rsidRPr="00DD223E">
        <w:rPr>
          <w:rFonts w:hint="eastAsia"/>
        </w:rPr>
        <w:t>5年</w:t>
      </w:r>
      <w:r w:rsidR="00E24CAD" w:rsidRPr="00DD223E">
        <w:rPr>
          <w:rFonts w:hint="eastAsia"/>
        </w:rPr>
        <w:t>請求權</w:t>
      </w:r>
      <w:r w:rsidR="003C0A1B" w:rsidRPr="00DD223E">
        <w:rPr>
          <w:rFonts w:hint="eastAsia"/>
        </w:rPr>
        <w:t>時效</w:t>
      </w:r>
      <w:r w:rsidR="00E24CAD" w:rsidRPr="00DD223E">
        <w:rPr>
          <w:rFonts w:hint="eastAsia"/>
        </w:rPr>
        <w:t>，</w:t>
      </w:r>
      <w:r w:rsidR="003C0A1B" w:rsidRPr="00DD223E">
        <w:rPr>
          <w:rFonts w:hint="eastAsia"/>
        </w:rPr>
        <w:t>應自臺灣高等法院103年9月24日宣判內政部營建署應負責求償金額50%之時日起算，</w:t>
      </w:r>
      <w:r w:rsidR="00E24CAD" w:rsidRPr="00DD223E">
        <w:rPr>
          <w:rFonts w:hint="eastAsia"/>
        </w:rPr>
        <w:t>故</w:t>
      </w:r>
      <w:r w:rsidR="003C0A1B" w:rsidRPr="00DD223E">
        <w:rPr>
          <w:rFonts w:hint="eastAsia"/>
        </w:rPr>
        <w:t>該部於106年2月23日向臺北高等行政法院遞狀訴訟未逾時效等語</w:t>
      </w:r>
      <w:r w:rsidR="001F1A10" w:rsidRPr="00DD223E">
        <w:rPr>
          <w:rFonts w:hint="eastAsia"/>
        </w:rPr>
        <w:t>，似有所憑。</w:t>
      </w:r>
    </w:p>
    <w:p w:rsidR="006C205C" w:rsidRPr="00DD223E" w:rsidRDefault="00A12A49" w:rsidP="00E444A2">
      <w:pPr>
        <w:pStyle w:val="4"/>
      </w:pPr>
      <w:r w:rsidRPr="00DD223E">
        <w:rPr>
          <w:rFonts w:hint="eastAsia"/>
        </w:rPr>
        <w:t>惟</w:t>
      </w:r>
      <w:r w:rsidR="00C70DBF" w:rsidRPr="00DD223E">
        <w:rPr>
          <w:rFonts w:hint="eastAsia"/>
        </w:rPr>
        <w:t>依權力分立原則，國防部主張有無理由，</w:t>
      </w:r>
      <w:r w:rsidR="0033411B" w:rsidRPr="00DD223E">
        <w:rPr>
          <w:rFonts w:hint="eastAsia"/>
        </w:rPr>
        <w:t>國防部</w:t>
      </w:r>
      <w:r w:rsidR="00E444A2" w:rsidRPr="00DD223E">
        <w:rPr>
          <w:rFonts w:hint="eastAsia"/>
        </w:rPr>
        <w:t>已於107年1月8日</w:t>
      </w:r>
      <w:r w:rsidR="0033411B" w:rsidRPr="00DD223E">
        <w:rPr>
          <w:rFonts w:hint="eastAsia"/>
        </w:rPr>
        <w:t>上訴至最高行政法院，</w:t>
      </w:r>
      <w:r w:rsidR="00C70DBF" w:rsidRPr="00DD223E">
        <w:rPr>
          <w:rFonts w:hint="eastAsia"/>
        </w:rPr>
        <w:t>於</w:t>
      </w:r>
      <w:r w:rsidR="0033411B" w:rsidRPr="00DD223E">
        <w:rPr>
          <w:rFonts w:hint="eastAsia"/>
        </w:rPr>
        <w:t>法院</w:t>
      </w:r>
      <w:r w:rsidR="00C70DBF" w:rsidRPr="00DD223E">
        <w:rPr>
          <w:rFonts w:hint="eastAsia"/>
        </w:rPr>
        <w:t>尚未</w:t>
      </w:r>
      <w:r w:rsidR="002016E1" w:rsidRPr="00DD223E">
        <w:rPr>
          <w:rFonts w:hint="eastAsia"/>
        </w:rPr>
        <w:t>判決</w:t>
      </w:r>
      <w:r w:rsidR="00C70DBF" w:rsidRPr="00DD223E">
        <w:rPr>
          <w:rFonts w:hint="eastAsia"/>
        </w:rPr>
        <w:t>確定之際，</w:t>
      </w:r>
      <w:r w:rsidR="00325DFD" w:rsidRPr="00DD223E">
        <w:rPr>
          <w:rFonts w:hint="eastAsia"/>
        </w:rPr>
        <w:t>應</w:t>
      </w:r>
      <w:r w:rsidR="00C70DBF" w:rsidRPr="00DD223E">
        <w:rPr>
          <w:rFonts w:hint="eastAsia"/>
        </w:rPr>
        <w:t>尊重司法</w:t>
      </w:r>
      <w:r w:rsidR="0033411B" w:rsidRPr="00DD223E">
        <w:rPr>
          <w:rFonts w:hint="eastAsia"/>
        </w:rPr>
        <w:t>審判</w:t>
      </w:r>
      <w:r w:rsidR="00C70DBF" w:rsidRPr="00DD223E">
        <w:rPr>
          <w:rFonts w:hint="eastAsia"/>
        </w:rPr>
        <w:t>系統</w:t>
      </w:r>
      <w:r w:rsidR="0033411B" w:rsidRPr="00DD223E">
        <w:rPr>
          <w:rFonts w:hint="eastAsia"/>
        </w:rPr>
        <w:t>之決定，允由行政法院進行判斷。</w:t>
      </w:r>
    </w:p>
    <w:p w:rsidR="00C334EC" w:rsidRPr="00DD223E" w:rsidRDefault="0030536C" w:rsidP="00D87139">
      <w:pPr>
        <w:pStyle w:val="3"/>
        <w:spacing w:line="470" w:lineRule="exact"/>
      </w:pPr>
      <w:r w:rsidRPr="00DD223E">
        <w:rPr>
          <w:rFonts w:hint="eastAsia"/>
        </w:rPr>
        <w:t>惟按</w:t>
      </w:r>
      <w:r w:rsidR="00E05272" w:rsidRPr="00DD223E">
        <w:rPr>
          <w:rFonts w:hint="eastAsia"/>
        </w:rPr>
        <w:t>「國軍老舊眷村改建條例」</w:t>
      </w:r>
      <w:r w:rsidR="00C334EC" w:rsidRPr="00DD223E">
        <w:rPr>
          <w:rFonts w:hint="eastAsia"/>
        </w:rPr>
        <w:t>（下稱眷改條例）</w:t>
      </w:r>
      <w:r w:rsidR="00E05272" w:rsidRPr="00DD223E">
        <w:rPr>
          <w:rFonts w:hint="eastAsia"/>
        </w:rPr>
        <w:t>第1條規定：「為加速更新國軍老舊眷村，提高土地使用經濟效益，興建住宅照顧原眷戶、中低收入戶及志願役現役軍（士）官、兵，保存眷村文化，協助地方政府取得公共設施用地，並改善都市景觀，特制定本條例……」，眷村改建</w:t>
      </w:r>
      <w:r w:rsidR="00E24CAD" w:rsidRPr="00DD223E">
        <w:rPr>
          <w:rFonts w:hint="eastAsia"/>
        </w:rPr>
        <w:t>之目的，</w:t>
      </w:r>
      <w:r w:rsidR="00E05272" w:rsidRPr="00DD223E">
        <w:rPr>
          <w:rFonts w:hint="eastAsia"/>
        </w:rPr>
        <w:t>除為提升土地使用效益、保留眷村文化及改善都市景觀外，更有興建住宅照顧軍人眷屬及基層士官兵</w:t>
      </w:r>
      <w:r w:rsidR="00E24CAD" w:rsidRPr="00DD223E">
        <w:rPr>
          <w:rFonts w:hint="eastAsia"/>
        </w:rPr>
        <w:t>，核屬</w:t>
      </w:r>
      <w:r w:rsidR="00E05272" w:rsidRPr="00DD223E">
        <w:rPr>
          <w:rFonts w:hint="eastAsia"/>
        </w:rPr>
        <w:t>重要</w:t>
      </w:r>
      <w:r w:rsidR="00560F9C" w:rsidRPr="00DD223E">
        <w:rPr>
          <w:rFonts w:hint="eastAsia"/>
        </w:rPr>
        <w:t>之公共利益</w:t>
      </w:r>
      <w:r w:rsidR="00E05272" w:rsidRPr="00DD223E">
        <w:rPr>
          <w:rFonts w:hint="eastAsia"/>
        </w:rPr>
        <w:t>。</w:t>
      </w:r>
      <w:r w:rsidR="00C334EC" w:rsidRPr="00DD223E">
        <w:rPr>
          <w:rFonts w:hint="eastAsia"/>
        </w:rPr>
        <w:t>依中華民國憲法增修條文第10條第9</w:t>
      </w:r>
      <w:r w:rsidR="00C334EC" w:rsidRPr="00DD223E">
        <w:rPr>
          <w:rFonts w:hint="eastAsia"/>
        </w:rPr>
        <w:lastRenderedPageBreak/>
        <w:t>款規定：「國家應尊重軍人對社會之貢獻，並對其退役後之就學、就業、就醫、就養予以保障。」故</w:t>
      </w:r>
      <w:r w:rsidR="00E05272" w:rsidRPr="00DD223E">
        <w:rPr>
          <w:rFonts w:hint="eastAsia"/>
        </w:rPr>
        <w:t>照顧軍人為國家職責所在</w:t>
      </w:r>
      <w:r w:rsidR="00C334EC" w:rsidRPr="00DD223E">
        <w:rPr>
          <w:rFonts w:hint="eastAsia"/>
        </w:rPr>
        <w:t>，</w:t>
      </w:r>
      <w:r w:rsidR="00E05272" w:rsidRPr="00DD223E">
        <w:rPr>
          <w:rFonts w:hint="eastAsia"/>
        </w:rPr>
        <w:t>對於軍人而言，眷舍配住</w:t>
      </w:r>
      <w:r w:rsidR="00C334EC" w:rsidRPr="00DD223E">
        <w:rPr>
          <w:rFonts w:hint="eastAsia"/>
        </w:rPr>
        <w:t>乃</w:t>
      </w:r>
      <w:r w:rsidR="00E05272" w:rsidRPr="00DD223E">
        <w:rPr>
          <w:rFonts w:hint="eastAsia"/>
        </w:rPr>
        <w:t>福利之給付措施（司法院釋字第457</w:t>
      </w:r>
      <w:r w:rsidR="00560F9C" w:rsidRPr="00DD223E">
        <w:rPr>
          <w:rFonts w:hint="eastAsia"/>
        </w:rPr>
        <w:t>、727</w:t>
      </w:r>
      <w:r w:rsidR="00E05272" w:rsidRPr="00DD223E">
        <w:rPr>
          <w:rFonts w:hint="eastAsia"/>
        </w:rPr>
        <w:t>號解釋</w:t>
      </w:r>
      <w:r w:rsidR="00C334EC" w:rsidRPr="00DD223E">
        <w:rPr>
          <w:rFonts w:hint="eastAsia"/>
        </w:rPr>
        <w:t>參照</w:t>
      </w:r>
      <w:r w:rsidR="00E05272" w:rsidRPr="00DD223E">
        <w:rPr>
          <w:rFonts w:hint="eastAsia"/>
        </w:rPr>
        <w:t>）</w:t>
      </w:r>
      <w:r w:rsidR="00C334EC" w:rsidRPr="00DD223E">
        <w:rPr>
          <w:rFonts w:hint="eastAsia"/>
        </w:rPr>
        <w:t>。</w:t>
      </w:r>
      <w:r w:rsidR="00560F9C" w:rsidRPr="00DD223E">
        <w:rPr>
          <w:rFonts w:hint="eastAsia"/>
        </w:rPr>
        <w:t>而</w:t>
      </w:r>
      <w:r w:rsidR="00C334EC" w:rsidRPr="00DD223E">
        <w:rPr>
          <w:rFonts w:hint="eastAsia"/>
        </w:rPr>
        <w:t>依眷改條例第8條第1項前段規定：「政府為辦理國軍老舊眷村改建工作，應設置國軍老舊眷村改建基金（下稱改建基金）……」如為落實上述眷村改建之立法目的，則維繫改建基金之穩健經營，自屬政府機關之重要</w:t>
      </w:r>
      <w:r w:rsidR="00560F9C" w:rsidRPr="00DD223E">
        <w:rPr>
          <w:rFonts w:hint="eastAsia"/>
        </w:rPr>
        <w:t>職責</w:t>
      </w:r>
      <w:r w:rsidR="00C334EC" w:rsidRPr="00DD223E">
        <w:rPr>
          <w:rFonts w:hint="eastAsia"/>
        </w:rPr>
        <w:t>。</w:t>
      </w:r>
    </w:p>
    <w:p w:rsidR="00C334EC" w:rsidRPr="00DD223E" w:rsidRDefault="00C334EC" w:rsidP="00D87139">
      <w:pPr>
        <w:pStyle w:val="3"/>
        <w:spacing w:line="470" w:lineRule="exact"/>
      </w:pPr>
      <w:r w:rsidRPr="00DD223E">
        <w:rPr>
          <w:rFonts w:hint="eastAsia"/>
        </w:rPr>
        <w:t>然查，本案於</w:t>
      </w:r>
      <w:r w:rsidR="002A27E7" w:rsidRPr="00DD223E">
        <w:rPr>
          <w:rFonts w:hint="eastAsia"/>
        </w:rPr>
        <w:t>第</w:t>
      </w:r>
      <w:r w:rsidRPr="00DD223E">
        <w:rPr>
          <w:rFonts w:hint="eastAsia"/>
        </w:rPr>
        <w:t>三審於104年7月30日判決終結後，國防部竟遲至106年2月23日始向營建署起訴求償：</w:t>
      </w:r>
    </w:p>
    <w:p w:rsidR="00C334EC" w:rsidRPr="00DD223E" w:rsidRDefault="002A27E7" w:rsidP="00B52926">
      <w:pPr>
        <w:pStyle w:val="32"/>
        <w:ind w:left="1361" w:firstLine="680"/>
      </w:pPr>
      <w:r w:rsidRPr="00DD223E">
        <w:rPr>
          <w:rFonts w:hint="eastAsia"/>
        </w:rPr>
        <w:t>依國防部查復，本案第三審104年7月30日判決終結後，於106年2月23日始向營建署起訴求償，其理由為：「本案原承辦人於104年4月16日因工程業務縮減資遣；惟資遣後業務未能落實交接，致現任承辦人亦未能即時瞭解接續案件之處理……」</w:t>
      </w:r>
      <w:r w:rsidR="007033F6" w:rsidRPr="00DD223E">
        <w:rPr>
          <w:rFonts w:hint="eastAsia"/>
        </w:rPr>
        <w:t>云云，並允諾將檢討現行作法，避免類案發生。惟以第三審判決終結日期為104年7月30日，竟遲至106年2月23日始對營建署起訴，實難以想像相關承辦人熟悉業務須長達</w:t>
      </w:r>
      <w:r w:rsidR="00A077AF" w:rsidRPr="00DD223E">
        <w:rPr>
          <w:rFonts w:hint="eastAsia"/>
        </w:rPr>
        <w:t>574天</w:t>
      </w:r>
      <w:r w:rsidR="007033F6" w:rsidRPr="00DD223E">
        <w:rPr>
          <w:rFonts w:hint="eastAsia"/>
        </w:rPr>
        <w:t>，進而導致國防部恐因法律上時效制度障礙，而產生無法追償之風險，影響改建基金之穩健經營，顯有</w:t>
      </w:r>
      <w:r w:rsidR="00F705A7" w:rsidRPr="00DD223E">
        <w:rPr>
          <w:rFonts w:hint="eastAsia"/>
        </w:rPr>
        <w:t>疏</w:t>
      </w:r>
      <w:r w:rsidR="007033F6" w:rsidRPr="00DD223E">
        <w:rPr>
          <w:rFonts w:hint="eastAsia"/>
        </w:rPr>
        <w:t>失。</w:t>
      </w:r>
      <w:r w:rsidR="00F705A7" w:rsidRPr="00DD223E">
        <w:rPr>
          <w:rFonts w:hint="eastAsia"/>
        </w:rPr>
        <w:t>至於交接不確實之疏失，灼然至明。</w:t>
      </w:r>
    </w:p>
    <w:p w:rsidR="00F705A7" w:rsidRPr="00DD223E" w:rsidRDefault="008A1346" w:rsidP="00D87139">
      <w:pPr>
        <w:pStyle w:val="3"/>
        <w:spacing w:line="470" w:lineRule="exact"/>
      </w:pPr>
      <w:r w:rsidRPr="00DD223E">
        <w:rPr>
          <w:rFonts w:hint="eastAsia"/>
        </w:rPr>
        <w:t>又營建署遭</w:t>
      </w:r>
      <w:r w:rsidR="00491871" w:rsidRPr="00DD223E">
        <w:rPr>
          <w:rFonts w:hint="eastAsia"/>
        </w:rPr>
        <w:t>慈○</w:t>
      </w:r>
      <w:r w:rsidRPr="00DD223E">
        <w:rPr>
          <w:rFonts w:hint="eastAsia"/>
        </w:rPr>
        <w:t>公司</w:t>
      </w:r>
      <w:r w:rsidR="00B034EA" w:rsidRPr="00DD223E">
        <w:rPr>
          <w:rFonts w:hint="eastAsia"/>
        </w:rPr>
        <w:t>終止契約</w:t>
      </w:r>
      <w:r w:rsidR="00D36B21" w:rsidRPr="00DD223E">
        <w:rPr>
          <w:rFonts w:hint="eastAsia"/>
        </w:rPr>
        <w:t>後上訴至</w:t>
      </w:r>
      <w:r w:rsidR="00B034EA" w:rsidRPr="00DD223E">
        <w:rPr>
          <w:rFonts w:hint="eastAsia"/>
        </w:rPr>
        <w:t>第三審</w:t>
      </w:r>
      <w:r w:rsidR="00560F9C" w:rsidRPr="00DD223E">
        <w:rPr>
          <w:rFonts w:hint="eastAsia"/>
        </w:rPr>
        <w:t>（</w:t>
      </w:r>
      <w:r w:rsidR="00D36B21" w:rsidRPr="00DD223E">
        <w:rPr>
          <w:rFonts w:hint="eastAsia"/>
        </w:rPr>
        <w:t>最高法院96年度台上字第703號裁定</w:t>
      </w:r>
      <w:r w:rsidR="00560F9C" w:rsidRPr="00DD223E">
        <w:rPr>
          <w:rFonts w:hint="eastAsia"/>
        </w:rPr>
        <w:t>）</w:t>
      </w:r>
      <w:r w:rsidR="00D36B21" w:rsidRPr="00DD223E">
        <w:rPr>
          <w:rFonts w:hint="eastAsia"/>
        </w:rPr>
        <w:t>，</w:t>
      </w:r>
      <w:r w:rsidR="00B034EA" w:rsidRPr="00DD223E">
        <w:rPr>
          <w:rFonts w:hint="eastAsia"/>
        </w:rPr>
        <w:t>於</w:t>
      </w:r>
      <w:r w:rsidR="00A077AF" w:rsidRPr="00DD223E">
        <w:rPr>
          <w:rFonts w:hint="eastAsia"/>
        </w:rPr>
        <w:t>96</w:t>
      </w:r>
      <w:r w:rsidR="00B034EA" w:rsidRPr="00DD223E">
        <w:rPr>
          <w:rFonts w:hint="eastAsia"/>
        </w:rPr>
        <w:t>年</w:t>
      </w:r>
      <w:r w:rsidR="00A077AF" w:rsidRPr="00DD223E">
        <w:rPr>
          <w:rFonts w:hint="eastAsia"/>
        </w:rPr>
        <w:t>4月4日</w:t>
      </w:r>
      <w:r w:rsidR="00D36B21" w:rsidRPr="00DD223E">
        <w:rPr>
          <w:rFonts w:hint="eastAsia"/>
        </w:rPr>
        <w:t>裁判</w:t>
      </w:r>
      <w:r w:rsidR="00A077AF" w:rsidRPr="00DD223E">
        <w:rPr>
          <w:rFonts w:hint="eastAsia"/>
        </w:rPr>
        <w:t>終結，97年4月18日國防部即對</w:t>
      </w:r>
      <w:r w:rsidR="001C4919" w:rsidRPr="00DD223E">
        <w:rPr>
          <w:rFonts w:hint="eastAsia"/>
        </w:rPr>
        <w:t>建築師</w:t>
      </w:r>
      <w:r w:rsidR="00A077AF" w:rsidRPr="00DD223E">
        <w:rPr>
          <w:rFonts w:hint="eastAsia"/>
        </w:rPr>
        <w:t>等提起損害賠償之訴，相距期間不過380天，與前述國防部於本案判決終結後對營建署起訴相距574天，兩者相差194天，不免令人質疑，對於</w:t>
      </w:r>
      <w:r w:rsidR="00DF3F07" w:rsidRPr="00DD223E">
        <w:rPr>
          <w:rFonts w:hint="eastAsia"/>
        </w:rPr>
        <w:t>法院認定</w:t>
      </w:r>
      <w:r w:rsidR="001C4919" w:rsidRPr="00DD223E">
        <w:rPr>
          <w:rFonts w:hint="eastAsia"/>
        </w:rPr>
        <w:t>建築</w:t>
      </w:r>
      <w:r w:rsidR="001C4919" w:rsidRPr="00DD223E">
        <w:rPr>
          <w:rFonts w:hint="eastAsia"/>
        </w:rPr>
        <w:lastRenderedPageBreak/>
        <w:t>師</w:t>
      </w:r>
      <w:r w:rsidR="00A077AF" w:rsidRPr="00DD223E">
        <w:rPr>
          <w:rFonts w:hint="eastAsia"/>
        </w:rPr>
        <w:t>與營建署同有</w:t>
      </w:r>
      <w:r w:rsidR="00DF3F07" w:rsidRPr="00DD223E">
        <w:rPr>
          <w:rFonts w:hint="eastAsia"/>
        </w:rPr>
        <w:t>過</w:t>
      </w:r>
      <w:r w:rsidR="00A077AF" w:rsidRPr="00DD223E">
        <w:rPr>
          <w:rFonts w:hint="eastAsia"/>
        </w:rPr>
        <w:t>失情形下，對於人民積極起訴，對於國家機關卻顯消極，</w:t>
      </w:r>
      <w:r w:rsidR="00BD7B45" w:rsidRPr="00DD223E">
        <w:rPr>
          <w:rFonts w:hint="eastAsia"/>
        </w:rPr>
        <w:t>肇</w:t>
      </w:r>
      <w:r w:rsidR="00D36B21" w:rsidRPr="00DD223E">
        <w:rPr>
          <w:rFonts w:hint="eastAsia"/>
        </w:rPr>
        <w:t>致</w:t>
      </w:r>
      <w:r w:rsidR="00BD7B45" w:rsidRPr="00DD223E">
        <w:rPr>
          <w:rFonts w:hint="eastAsia"/>
        </w:rPr>
        <w:t>民怨</w:t>
      </w:r>
      <w:r w:rsidR="00A052AF" w:rsidRPr="00DD223E">
        <w:rPr>
          <w:rFonts w:hint="eastAsia"/>
        </w:rPr>
        <w:t>，損及</w:t>
      </w:r>
      <w:r w:rsidR="009E3D14" w:rsidRPr="00DD223E">
        <w:rPr>
          <w:rFonts w:hint="eastAsia"/>
        </w:rPr>
        <w:t>政府形象</w:t>
      </w:r>
      <w:r w:rsidR="00BD7B45" w:rsidRPr="00DD223E">
        <w:rPr>
          <w:rFonts w:hint="eastAsia"/>
        </w:rPr>
        <w:t>，</w:t>
      </w:r>
      <w:r w:rsidR="00A077AF" w:rsidRPr="00DD223E">
        <w:rPr>
          <w:rFonts w:hint="eastAsia"/>
        </w:rPr>
        <w:t>實非事理之平！</w:t>
      </w:r>
    </w:p>
    <w:p w:rsidR="00A3518F" w:rsidRPr="00DD223E" w:rsidRDefault="00DF3F07" w:rsidP="001F7F40">
      <w:pPr>
        <w:pStyle w:val="3"/>
      </w:pPr>
      <w:r w:rsidRPr="00DD223E">
        <w:rPr>
          <w:rFonts w:hint="eastAsia"/>
        </w:rPr>
        <w:t>綜上，</w:t>
      </w:r>
      <w:r w:rsidR="001F7F40" w:rsidRPr="00DD223E">
        <w:rPr>
          <w:rFonts w:hint="eastAsia"/>
        </w:rPr>
        <w:t>國防部於本案判決上訴遭最高法院於104年7月30日駁回確定後，遲至106年2月23日始向本案判決中法院認定有過失之營建署求償，經臺北高等行政法院106年度訴字第266號判決認定該請求權已罹於時效而敗訴。國防部已於107年1月8日提起上訴，</w:t>
      </w:r>
      <w:r w:rsidR="003807A3" w:rsidRPr="00DD223E">
        <w:rPr>
          <w:rFonts w:hint="eastAsia"/>
        </w:rPr>
        <w:t>故</w:t>
      </w:r>
      <w:r w:rsidR="001F7F40" w:rsidRPr="00DD223E">
        <w:rPr>
          <w:rFonts w:hint="eastAsia"/>
        </w:rPr>
        <w:t>就其請求權是否已罹於時效之法律爭議，允由最高行政法院判斷。</w:t>
      </w:r>
      <w:r w:rsidR="00761F23" w:rsidRPr="00DD223E">
        <w:rPr>
          <w:rFonts w:hint="eastAsia"/>
        </w:rPr>
        <w:t>然該部所以遲延提起訴訟，係因該部承辦人交接不確實以致有所遲誤，非遲延起訴之合理事由，難辭違失之咎。</w:t>
      </w:r>
      <w:r w:rsidR="001F7F40" w:rsidRPr="00DD223E">
        <w:rPr>
          <w:rFonts w:hint="eastAsia"/>
        </w:rPr>
        <w:t>本案建築師設計總報酬為1,000萬1,621元，後經本案判決應賠償國防部1億1,703萬2,978元整，因營建署與有過失，故經酌減50%，建築師須賠償5,851萬6,489元；然國防部因相關判決認定人民或政府機關有過失，須請求損害賠償時，對人民積極求償，對政府機關卻顯消極，實非事理之平，肇致民怨，損及政府形象。而國防部對營建署之行政訴訟敗訴後，雖國防部已提起上訴，然因該部遲延起訴，可能導致高達5,851萬6,489元賠償金額，有無法獲償之風險，恐將影響眷村改建基金之穩健經營，無法落實眷村改建照顧基層官兵之立法目的，辦理過程顯有違誤，殊值澈底檢討改進</w:t>
      </w:r>
      <w:r w:rsidR="001F7F40" w:rsidRPr="00DD223E">
        <w:t>。</w:t>
      </w:r>
    </w:p>
    <w:p w:rsidR="000A60D9" w:rsidRPr="00DD223E" w:rsidRDefault="00621868" w:rsidP="00D87139">
      <w:pPr>
        <w:pStyle w:val="2"/>
        <w:spacing w:line="470" w:lineRule="exact"/>
        <w:rPr>
          <w:b/>
        </w:rPr>
      </w:pPr>
      <w:r w:rsidRPr="00DD223E">
        <w:rPr>
          <w:rFonts w:hint="eastAsia"/>
          <w:b/>
        </w:rPr>
        <w:t>有關</w:t>
      </w:r>
      <w:r w:rsidR="005C7776" w:rsidRPr="00DD223E">
        <w:rPr>
          <w:rFonts w:hint="eastAsia"/>
          <w:b/>
        </w:rPr>
        <w:t>本案判決認定營建署</w:t>
      </w:r>
      <w:r w:rsidR="00787204" w:rsidRPr="00DD223E">
        <w:rPr>
          <w:rFonts w:hint="eastAsia"/>
          <w:b/>
        </w:rPr>
        <w:t>與</w:t>
      </w:r>
      <w:r w:rsidR="005C7776" w:rsidRPr="00DD223E">
        <w:rPr>
          <w:rFonts w:hint="eastAsia"/>
          <w:b/>
        </w:rPr>
        <w:t>有過失</w:t>
      </w:r>
      <w:r w:rsidRPr="00DD223E">
        <w:rPr>
          <w:rFonts w:hint="eastAsia"/>
          <w:b/>
        </w:rPr>
        <w:t>部分</w:t>
      </w:r>
      <w:r w:rsidR="005C7776" w:rsidRPr="00DD223E">
        <w:rPr>
          <w:rFonts w:hint="eastAsia"/>
          <w:b/>
        </w:rPr>
        <w:t>，雖營建署</w:t>
      </w:r>
      <w:r w:rsidR="00A6126D" w:rsidRPr="00DD223E">
        <w:rPr>
          <w:rFonts w:hint="eastAsia"/>
          <w:b/>
        </w:rPr>
        <w:t>查復</w:t>
      </w:r>
      <w:r w:rsidR="00B73619" w:rsidRPr="00DD223E">
        <w:rPr>
          <w:rFonts w:hint="eastAsia"/>
          <w:b/>
        </w:rPr>
        <w:t>監察</w:t>
      </w:r>
      <w:r w:rsidR="00A6126D" w:rsidRPr="00DD223E">
        <w:rPr>
          <w:rFonts w:hint="eastAsia"/>
          <w:b/>
        </w:rPr>
        <w:t>院認為</w:t>
      </w:r>
      <w:r w:rsidR="00DB4377" w:rsidRPr="00DD223E">
        <w:rPr>
          <w:rFonts w:hint="eastAsia"/>
          <w:b/>
        </w:rPr>
        <w:t>建築師之設計監造係於營建署與國防部簽訂</w:t>
      </w:r>
      <w:r w:rsidR="00A6126D" w:rsidRPr="00DD223E">
        <w:rPr>
          <w:rFonts w:hint="eastAsia"/>
          <w:b/>
        </w:rPr>
        <w:t>協議書</w:t>
      </w:r>
      <w:r w:rsidR="00DB4377" w:rsidRPr="00DD223E">
        <w:rPr>
          <w:rFonts w:hint="eastAsia"/>
          <w:b/>
        </w:rPr>
        <w:t>之前，惟法院認定營建署與有</w:t>
      </w:r>
      <w:r w:rsidR="005C7776" w:rsidRPr="00DD223E">
        <w:rPr>
          <w:rFonts w:hint="eastAsia"/>
          <w:b/>
        </w:rPr>
        <w:t>過失</w:t>
      </w:r>
      <w:r w:rsidR="00787204" w:rsidRPr="00DD223E">
        <w:rPr>
          <w:rFonts w:hint="eastAsia"/>
          <w:b/>
        </w:rPr>
        <w:t>理由</w:t>
      </w:r>
      <w:r w:rsidR="005C7776" w:rsidRPr="00DD223E">
        <w:rPr>
          <w:rFonts w:hint="eastAsia"/>
          <w:b/>
        </w:rPr>
        <w:t>，係在</w:t>
      </w:r>
      <w:r w:rsidR="00DB4377" w:rsidRPr="00DD223E">
        <w:rPr>
          <w:rFonts w:hint="eastAsia"/>
          <w:b/>
        </w:rPr>
        <w:t>後續</w:t>
      </w:r>
      <w:r w:rsidR="005C7776" w:rsidRPr="00DD223E">
        <w:rPr>
          <w:rFonts w:hint="eastAsia"/>
          <w:b/>
        </w:rPr>
        <w:t>檢討會議之中</w:t>
      </w:r>
      <w:r w:rsidR="00DB4377" w:rsidRPr="00DD223E">
        <w:rPr>
          <w:rFonts w:hint="eastAsia"/>
          <w:b/>
        </w:rPr>
        <w:t>，未能善盡督導責任</w:t>
      </w:r>
      <w:r w:rsidR="005C7776" w:rsidRPr="00DD223E">
        <w:rPr>
          <w:rFonts w:hint="eastAsia"/>
          <w:b/>
        </w:rPr>
        <w:t>，縱使營建署於</w:t>
      </w:r>
      <w:r w:rsidR="00C56879" w:rsidRPr="00DD223E">
        <w:rPr>
          <w:rFonts w:hint="eastAsia"/>
          <w:b/>
        </w:rPr>
        <w:t>監察</w:t>
      </w:r>
      <w:r w:rsidR="005C7776" w:rsidRPr="00DD223E">
        <w:rPr>
          <w:rFonts w:hint="eastAsia"/>
          <w:b/>
        </w:rPr>
        <w:t>院詢問時表示，係因</w:t>
      </w:r>
      <w:r w:rsidR="001C4919" w:rsidRPr="00DD223E">
        <w:rPr>
          <w:rFonts w:hint="eastAsia"/>
          <w:b/>
        </w:rPr>
        <w:t>建築師</w:t>
      </w:r>
      <w:r w:rsidR="005C7776" w:rsidRPr="00DD223E">
        <w:rPr>
          <w:rFonts w:hint="eastAsia"/>
          <w:b/>
        </w:rPr>
        <w:t>等</w:t>
      </w:r>
      <w:r w:rsidR="006C7E5F" w:rsidRPr="00DD223E">
        <w:rPr>
          <w:rFonts w:hint="eastAsia"/>
          <w:b/>
        </w:rPr>
        <w:t>人</w:t>
      </w:r>
      <w:r w:rsidR="005C7776" w:rsidRPr="00DD223E">
        <w:rPr>
          <w:rFonts w:hint="eastAsia"/>
          <w:b/>
        </w:rPr>
        <w:t>之堅</w:t>
      </w:r>
      <w:r w:rsidR="005C7776" w:rsidRPr="00DD223E">
        <w:rPr>
          <w:rFonts w:hint="eastAsia"/>
          <w:b/>
        </w:rPr>
        <w:lastRenderedPageBreak/>
        <w:t>持，始容任</w:t>
      </w:r>
      <w:r w:rsidR="001C4919" w:rsidRPr="00DD223E">
        <w:rPr>
          <w:rFonts w:hint="eastAsia"/>
          <w:b/>
        </w:rPr>
        <w:t>建築師</w:t>
      </w:r>
      <w:r w:rsidR="005C7776" w:rsidRPr="00DD223E">
        <w:rPr>
          <w:rFonts w:hint="eastAsia"/>
          <w:b/>
        </w:rPr>
        <w:t>改</w:t>
      </w:r>
      <w:r w:rsidR="00DB4377" w:rsidRPr="00DD223E">
        <w:rPr>
          <w:rFonts w:hint="eastAsia"/>
          <w:b/>
        </w:rPr>
        <w:t>良</w:t>
      </w:r>
      <w:r w:rsidR="00791E8E" w:rsidRPr="00DD223E">
        <w:rPr>
          <w:rFonts w:hint="eastAsia"/>
          <w:b/>
        </w:rPr>
        <w:t>原</w:t>
      </w:r>
      <w:r w:rsidR="005C7776" w:rsidRPr="00DD223E">
        <w:rPr>
          <w:rFonts w:hint="eastAsia"/>
          <w:b/>
        </w:rPr>
        <w:t>工法</w:t>
      </w:r>
      <w:r w:rsidR="00791E8E" w:rsidRPr="00DD223E">
        <w:rPr>
          <w:rFonts w:hint="eastAsia"/>
          <w:b/>
        </w:rPr>
        <w:t>，</w:t>
      </w:r>
      <w:r w:rsidR="00054CA6" w:rsidRPr="00DD223E">
        <w:rPr>
          <w:rFonts w:hint="eastAsia"/>
          <w:b/>
        </w:rPr>
        <w:t>並將該改良工法</w:t>
      </w:r>
      <w:r w:rsidR="00791E8E" w:rsidRPr="00DD223E">
        <w:rPr>
          <w:rFonts w:hint="eastAsia"/>
          <w:b/>
        </w:rPr>
        <w:t>交</w:t>
      </w:r>
      <w:r w:rsidR="001C4919" w:rsidRPr="00DD223E">
        <w:rPr>
          <w:rFonts w:hint="eastAsia"/>
          <w:b/>
        </w:rPr>
        <w:t>由</w:t>
      </w:r>
      <w:r w:rsidR="00491871" w:rsidRPr="00DD223E">
        <w:rPr>
          <w:rFonts w:hint="eastAsia"/>
          <w:b/>
        </w:rPr>
        <w:t>慈○</w:t>
      </w:r>
      <w:r w:rsidR="001C4919" w:rsidRPr="00DD223E">
        <w:rPr>
          <w:rFonts w:hint="eastAsia"/>
          <w:b/>
        </w:rPr>
        <w:t>公司</w:t>
      </w:r>
      <w:r w:rsidR="005C7776" w:rsidRPr="00DD223E">
        <w:rPr>
          <w:rFonts w:hint="eastAsia"/>
          <w:b/>
        </w:rPr>
        <w:t>繼續施作</w:t>
      </w:r>
      <w:r w:rsidR="001C4919" w:rsidRPr="00DD223E">
        <w:rPr>
          <w:rFonts w:hint="eastAsia"/>
          <w:b/>
        </w:rPr>
        <w:t>，終至</w:t>
      </w:r>
      <w:r w:rsidR="00491871" w:rsidRPr="00DD223E">
        <w:rPr>
          <w:rFonts w:hint="eastAsia"/>
          <w:b/>
        </w:rPr>
        <w:t>慈○</w:t>
      </w:r>
      <w:r w:rsidR="000C7F01" w:rsidRPr="00DD223E">
        <w:rPr>
          <w:rFonts w:hint="eastAsia"/>
          <w:b/>
        </w:rPr>
        <w:t>公司</w:t>
      </w:r>
      <w:r w:rsidR="001C4919" w:rsidRPr="00DD223E">
        <w:rPr>
          <w:rFonts w:hint="eastAsia"/>
          <w:b/>
        </w:rPr>
        <w:t>試樁失敗</w:t>
      </w:r>
      <w:r w:rsidR="00CA432E" w:rsidRPr="00DD223E">
        <w:rPr>
          <w:rFonts w:hint="eastAsia"/>
          <w:b/>
        </w:rPr>
        <w:t>而</w:t>
      </w:r>
      <w:r w:rsidR="001C4919" w:rsidRPr="00DD223E">
        <w:rPr>
          <w:rFonts w:hint="eastAsia"/>
          <w:b/>
        </w:rPr>
        <w:t>終止契約。</w:t>
      </w:r>
      <w:r w:rsidR="005C7776" w:rsidRPr="00DD223E">
        <w:rPr>
          <w:rFonts w:hint="eastAsia"/>
          <w:b/>
        </w:rPr>
        <w:t>營建署作為具有</w:t>
      </w:r>
      <w:r w:rsidR="00A6126D" w:rsidRPr="00DD223E">
        <w:rPr>
          <w:rFonts w:hint="eastAsia"/>
          <w:b/>
        </w:rPr>
        <w:t>建築</w:t>
      </w:r>
      <w:r w:rsidR="00882CFE" w:rsidRPr="00DD223E">
        <w:rPr>
          <w:rFonts w:hint="eastAsia"/>
          <w:b/>
        </w:rPr>
        <w:t>工程</w:t>
      </w:r>
      <w:r w:rsidR="00A6126D" w:rsidRPr="00DD223E">
        <w:rPr>
          <w:rFonts w:hint="eastAsia"/>
          <w:b/>
        </w:rPr>
        <w:t>領域</w:t>
      </w:r>
      <w:r w:rsidR="001774FC" w:rsidRPr="00DD223E">
        <w:rPr>
          <w:rFonts w:hint="eastAsia"/>
          <w:b/>
        </w:rPr>
        <w:t>專業政府部門</w:t>
      </w:r>
      <w:r w:rsidR="005C7776" w:rsidRPr="00DD223E">
        <w:rPr>
          <w:rFonts w:hint="eastAsia"/>
          <w:b/>
        </w:rPr>
        <w:t>，</w:t>
      </w:r>
      <w:r w:rsidR="00C56879" w:rsidRPr="00DD223E">
        <w:rPr>
          <w:rFonts w:hint="eastAsia"/>
          <w:b/>
        </w:rPr>
        <w:t>本應</w:t>
      </w:r>
      <w:r w:rsidR="00B73619" w:rsidRPr="00DD223E">
        <w:rPr>
          <w:rFonts w:hint="eastAsia"/>
          <w:b/>
        </w:rPr>
        <w:t>秉</w:t>
      </w:r>
      <w:r w:rsidR="00997016" w:rsidRPr="00DD223E">
        <w:rPr>
          <w:rFonts w:hint="eastAsia"/>
          <w:b/>
        </w:rPr>
        <w:t>持專業素養</w:t>
      </w:r>
      <w:r w:rsidR="005C7776" w:rsidRPr="00DD223E">
        <w:rPr>
          <w:rFonts w:hint="eastAsia"/>
          <w:b/>
        </w:rPr>
        <w:t>，</w:t>
      </w:r>
      <w:r w:rsidR="00997016" w:rsidRPr="00DD223E">
        <w:rPr>
          <w:rFonts w:hint="eastAsia"/>
          <w:b/>
        </w:rPr>
        <w:t>發揮督導功能，</w:t>
      </w:r>
      <w:r w:rsidR="00C56879" w:rsidRPr="00DD223E">
        <w:rPr>
          <w:rFonts w:hint="eastAsia"/>
          <w:b/>
        </w:rPr>
        <w:t>該署</w:t>
      </w:r>
      <w:r w:rsidR="005C7776" w:rsidRPr="00DD223E">
        <w:rPr>
          <w:rFonts w:hint="eastAsia"/>
          <w:b/>
        </w:rPr>
        <w:t>實應</w:t>
      </w:r>
      <w:r w:rsidR="00A6126D" w:rsidRPr="00DD223E">
        <w:rPr>
          <w:rFonts w:hint="eastAsia"/>
          <w:b/>
        </w:rPr>
        <w:t>檢討</w:t>
      </w:r>
      <w:r w:rsidR="00997016" w:rsidRPr="00DD223E">
        <w:rPr>
          <w:rFonts w:hint="eastAsia"/>
          <w:b/>
        </w:rPr>
        <w:t>改進</w:t>
      </w:r>
      <w:r w:rsidR="00A51B59" w:rsidRPr="00DD223E">
        <w:rPr>
          <w:rFonts w:hint="eastAsia"/>
          <w:b/>
        </w:rPr>
        <w:t>。</w:t>
      </w:r>
    </w:p>
    <w:p w:rsidR="00073CB5" w:rsidRPr="00DD223E" w:rsidRDefault="00821959" w:rsidP="00D87139">
      <w:pPr>
        <w:pStyle w:val="3"/>
        <w:spacing w:line="470" w:lineRule="exact"/>
      </w:pPr>
      <w:r w:rsidRPr="00DD223E">
        <w:rPr>
          <w:rFonts w:hint="eastAsia"/>
        </w:rPr>
        <w:t>本案判決認定營建署與有過失之理由如下：</w:t>
      </w:r>
    </w:p>
    <w:p w:rsidR="00821959" w:rsidRPr="00DD223E" w:rsidRDefault="00821959" w:rsidP="00D87139">
      <w:pPr>
        <w:pStyle w:val="4"/>
        <w:spacing w:line="470" w:lineRule="exact"/>
      </w:pPr>
      <w:r w:rsidRPr="00DD223E">
        <w:rPr>
          <w:rFonts w:hint="eastAsia"/>
        </w:rPr>
        <w:t>國防部與營建署88年8月簽訂之管理協議書第6條「權責劃分」第(一)項第2款約定：「（甲方即國防部政治作戰局）協</w:t>
      </w:r>
      <w:r w:rsidR="00A51B59" w:rsidRPr="00DD223E">
        <w:rPr>
          <w:rFonts w:hint="eastAsia"/>
        </w:rPr>
        <w:t>調本工程已委託設計、監造之建築師，接受乙方（即營建署）督導。」</w:t>
      </w:r>
      <w:r w:rsidRPr="00DD223E">
        <w:rPr>
          <w:rFonts w:hint="eastAsia"/>
        </w:rPr>
        <w:t>第(三)項約定：「甲方應就原則、需求實施核定、備查，乙方則實施專業、實質審查、審定。」（見原審卷(二)第42、44頁），而營建署既受國防部政治作戰局委任辦理系爭工程之管理事務，自應實施專業之實質審查，並督導</w:t>
      </w:r>
      <w:r w:rsidR="00CA432E" w:rsidRPr="00DD223E">
        <w:rPr>
          <w:rFonts w:hint="eastAsia"/>
        </w:rPr>
        <w:t>建築師</w:t>
      </w:r>
      <w:r w:rsidRPr="00DD223E">
        <w:rPr>
          <w:rFonts w:hint="eastAsia"/>
        </w:rPr>
        <w:t>。所謂審查，係指監督辦理者之工作執行情形，檢視送審查資料是否符合合約與規範，並將檢視結果提供核定者（審定者）決策之參考；所謂督導，係指督促與指導（見本院卷(一)第237頁）。國防部政治作戰局既已委任營建署就專業部分有實質審查之權限，營建署自應以善良管理人之注意義務為之。</w:t>
      </w:r>
    </w:p>
    <w:p w:rsidR="00821959" w:rsidRPr="00DD223E" w:rsidRDefault="00882CFE" w:rsidP="004B5DF5">
      <w:pPr>
        <w:pStyle w:val="4"/>
      </w:pPr>
      <w:r w:rsidRPr="00DD223E">
        <w:rPr>
          <w:rFonts w:hint="eastAsia"/>
        </w:rPr>
        <w:t>本案</w:t>
      </w:r>
      <w:r w:rsidR="00821959" w:rsidRPr="00DD223E">
        <w:rPr>
          <w:rFonts w:hint="eastAsia"/>
        </w:rPr>
        <w:t>於</w:t>
      </w:r>
      <w:r w:rsidR="00491871" w:rsidRPr="00DD223E">
        <w:rPr>
          <w:rFonts w:hint="eastAsia"/>
        </w:rPr>
        <w:t>慈○</w:t>
      </w:r>
      <w:r w:rsidR="00821959" w:rsidRPr="00DD223E">
        <w:rPr>
          <w:rFonts w:hint="eastAsia"/>
        </w:rPr>
        <w:t>公司試樁失敗而核定停工後，</w:t>
      </w:r>
      <w:r w:rsidR="00875704" w:rsidRPr="00DD223E">
        <w:rPr>
          <w:rFonts w:hint="eastAsia"/>
        </w:rPr>
        <w:t>營建署</w:t>
      </w:r>
      <w:r w:rsidR="00821959" w:rsidRPr="00DD223E">
        <w:rPr>
          <w:rFonts w:hint="eastAsia"/>
        </w:rPr>
        <w:t>與</w:t>
      </w:r>
      <w:r w:rsidR="00CA432E" w:rsidRPr="00DD223E">
        <w:rPr>
          <w:rFonts w:hint="eastAsia"/>
        </w:rPr>
        <w:t>建築師</w:t>
      </w:r>
      <w:r w:rsidR="00821959" w:rsidRPr="00DD223E">
        <w:rPr>
          <w:rFonts w:hint="eastAsia"/>
        </w:rPr>
        <w:t>、政戰局等單位先後於90年6月27日、90年7月9日召開檢討會，討論「基樁工程之試樁結果容許承載量不足須辦理變更設計」之問題，當</w:t>
      </w:r>
      <w:r w:rsidR="00CA432E" w:rsidRPr="00DD223E">
        <w:rPr>
          <w:rFonts w:hint="eastAsia"/>
        </w:rPr>
        <w:t>建築師</w:t>
      </w:r>
      <w:r w:rsidR="00821959" w:rsidRPr="00DD223E">
        <w:rPr>
          <w:rFonts w:hint="eastAsia"/>
        </w:rPr>
        <w:t>於90年6月27日會議中表示依結構外審（即台灣省土木技師公會）第2次審查意見，為配合增加入岩深度，亦建議考慮其他鑽掘式工法變更為全套管工法施做等語後，營建署所屬</w:t>
      </w:r>
      <w:r w:rsidR="004B5DF5" w:rsidRPr="00DD223E">
        <w:rPr>
          <w:rFonts w:hint="eastAsia"/>
        </w:rPr>
        <w:t>建築</w:t>
      </w:r>
      <w:r w:rsidR="004B5DF5" w:rsidRPr="00DD223E">
        <w:rPr>
          <w:rFonts w:hint="eastAsia"/>
        </w:rPr>
        <w:lastRenderedPageBreak/>
        <w:t>工程組測量規劃設計第二隊</w:t>
      </w:r>
      <w:r w:rsidR="00346057" w:rsidRPr="00DD223E">
        <w:rPr>
          <w:rFonts w:hint="eastAsia"/>
        </w:rPr>
        <w:t>（</w:t>
      </w:r>
      <w:r w:rsidR="004B5DF5" w:rsidRPr="00DD223E">
        <w:rPr>
          <w:rFonts w:hint="eastAsia"/>
        </w:rPr>
        <w:t>下稱建二隊</w:t>
      </w:r>
      <w:r w:rsidR="00346057" w:rsidRPr="00DD223E">
        <w:rPr>
          <w:rFonts w:hint="eastAsia"/>
        </w:rPr>
        <w:t>）</w:t>
      </w:r>
      <w:r w:rsidR="00821959" w:rsidRPr="00DD223E">
        <w:rPr>
          <w:rFonts w:hint="eastAsia"/>
        </w:rPr>
        <w:t>即稱：原設計之反循環基樁實際施作時，既已可施做至入岩2公尺，在非特殊岩盤（本工程為砂石）或其他狀況下，使用原工法即可達到目的，為何需要變更為全套管施做，如變更為全套管施做，其經費將比原設計多花</w:t>
      </w:r>
      <w:r w:rsidR="00875704" w:rsidRPr="00DD223E">
        <w:rPr>
          <w:rFonts w:hint="eastAsia"/>
        </w:rPr>
        <w:t>2</w:t>
      </w:r>
      <w:r w:rsidR="00821959" w:rsidRPr="00DD223E">
        <w:rPr>
          <w:rFonts w:hint="eastAsia"/>
        </w:rPr>
        <w:t>倍以上之工程款，因各岩層之承載力不同，建築師應於設計圖說明清楚基樁入岩之岩層種類應為何；另</w:t>
      </w:r>
      <w:r w:rsidR="004B5DF5" w:rsidRPr="00DD223E">
        <w:rPr>
          <w:rFonts w:hint="eastAsia"/>
        </w:rPr>
        <w:t>林工組林口工務所</w:t>
      </w:r>
      <w:r w:rsidR="00346057" w:rsidRPr="00DD223E">
        <w:rPr>
          <w:rFonts w:hint="eastAsia"/>
        </w:rPr>
        <w:t>（</w:t>
      </w:r>
      <w:r w:rsidR="004B5DF5" w:rsidRPr="00DD223E">
        <w:rPr>
          <w:rFonts w:hint="eastAsia"/>
        </w:rPr>
        <w:t>下稱林工組</w:t>
      </w:r>
      <w:r w:rsidR="00346057" w:rsidRPr="00DD223E">
        <w:rPr>
          <w:rFonts w:hint="eastAsia"/>
        </w:rPr>
        <w:t>）</w:t>
      </w:r>
      <w:r w:rsidR="00821959" w:rsidRPr="00DD223E">
        <w:rPr>
          <w:rFonts w:hint="eastAsia"/>
        </w:rPr>
        <w:t>亦稱：如經建二隊審查不同意建築師以結構外審建議之全套管工法施做時，該變更設計案是否即退回建築師重新檢討，勢必延宕辦理作業時程。故本基樁工程經變更後，既需要重新試樁，又使用原工法即可以入岩，且如直接變更為全套管工法涉及增加龐大經費之問題，故請建築師考量其經濟性選擇適當工法及試樁確實需要之支數，連同基樁工程變更設計須辦理之資料、書圖於7月4日前送達該署，並要求</w:t>
      </w:r>
      <w:r w:rsidR="00CA432E" w:rsidRPr="00DD223E">
        <w:rPr>
          <w:rFonts w:hint="eastAsia"/>
        </w:rPr>
        <w:t>建築師</w:t>
      </w:r>
      <w:r w:rsidR="00821959" w:rsidRPr="00DD223E">
        <w:rPr>
          <w:rFonts w:hint="eastAsia"/>
        </w:rPr>
        <w:t>於90年7月10日提出基樁變更責任歸屬之報告等語</w:t>
      </w:r>
      <w:r w:rsidR="00C56879" w:rsidRPr="00DD223E">
        <w:rPr>
          <w:rFonts w:hint="eastAsia"/>
        </w:rPr>
        <w:t>……</w:t>
      </w:r>
      <w:r w:rsidR="00821959" w:rsidRPr="00DD223E">
        <w:rPr>
          <w:rFonts w:hint="eastAsia"/>
        </w:rPr>
        <w:t>。顯見營建署指派與會之建二隊、林工組均以原設計工法倘變更為全套管工法，將會增加龐大經費及延宕時程為由反對之，甚至以變更工法須檢討責任歸屬而使</w:t>
      </w:r>
      <w:r w:rsidR="00CA432E" w:rsidRPr="00DD223E">
        <w:rPr>
          <w:rFonts w:hint="eastAsia"/>
        </w:rPr>
        <w:t>建築師</w:t>
      </w:r>
      <w:r w:rsidR="00821959" w:rsidRPr="00DD223E">
        <w:rPr>
          <w:rFonts w:hint="eastAsia"/>
        </w:rPr>
        <w:t>心生忌憚，實未盡責審查原設計工法之適當性，自有非是。</w:t>
      </w:r>
    </w:p>
    <w:p w:rsidR="00821959" w:rsidRPr="00DD223E" w:rsidRDefault="00CA432E" w:rsidP="00D87139">
      <w:pPr>
        <w:pStyle w:val="4"/>
        <w:spacing w:line="470" w:lineRule="exact"/>
      </w:pPr>
      <w:r w:rsidRPr="00DD223E">
        <w:rPr>
          <w:rFonts w:hint="eastAsia"/>
        </w:rPr>
        <w:t>建築師</w:t>
      </w:r>
      <w:r w:rsidR="00821959" w:rsidRPr="00DD223E">
        <w:rPr>
          <w:rFonts w:hint="eastAsia"/>
        </w:rPr>
        <w:t>以90年8月27日（90）忠雨字第018號函復營建署北工處，略稱：(1)有關基樁工程採用反循環工法施工</w:t>
      </w:r>
      <w:r w:rsidR="00875704" w:rsidRPr="00DD223E">
        <w:rPr>
          <w:rFonts w:hint="eastAsia"/>
        </w:rPr>
        <w:t>一</w:t>
      </w:r>
      <w:r w:rsidR="00821959" w:rsidRPr="00DD223E">
        <w:rPr>
          <w:rFonts w:hint="eastAsia"/>
        </w:rPr>
        <w:t>案，業經本所送請台灣省土木技師公會進行結構外審時，由外審委員於第2次審查時提出：「請檢討反循環工法遇到塊岩（孤石）之困難性，是否考慮其他鑽掘式工法（全套管）。」</w:t>
      </w:r>
      <w:r w:rsidR="00821959" w:rsidRPr="00DD223E">
        <w:rPr>
          <w:rFonts w:hint="eastAsia"/>
        </w:rPr>
        <w:lastRenderedPageBreak/>
        <w:t>經本所查對後說明：「經實際詢問『國內基樁施工廠商』，本基地狀況以反循環工法施作，並無不當，不</w:t>
      </w:r>
      <w:r w:rsidR="00875704" w:rsidRPr="00DD223E">
        <w:rPr>
          <w:rFonts w:hint="eastAsia"/>
        </w:rPr>
        <w:t>建議改由全套管工法施作，故本案仍維持原設計以反循環工法施作。」</w:t>
      </w:r>
      <w:r w:rsidR="00821959" w:rsidRPr="00DD223E">
        <w:rPr>
          <w:rFonts w:hint="eastAsia"/>
        </w:rPr>
        <w:t>案經與會外審委員同意並列入會議</w:t>
      </w:r>
      <w:r w:rsidR="00846A24" w:rsidRPr="00DD223E">
        <w:rPr>
          <w:rFonts w:hint="eastAsia"/>
        </w:rPr>
        <w:t>紀</w:t>
      </w:r>
      <w:r w:rsidR="00821959" w:rsidRPr="00DD223E">
        <w:rPr>
          <w:rFonts w:hint="eastAsia"/>
        </w:rPr>
        <w:t>錄；(2)本所再次詢問</w:t>
      </w:r>
      <w:r w:rsidR="00875704" w:rsidRPr="00DD223E">
        <w:rPr>
          <w:rFonts w:hint="eastAsia"/>
        </w:rPr>
        <w:t>「</w:t>
      </w:r>
      <w:r w:rsidR="00821959" w:rsidRPr="00DD223E">
        <w:rPr>
          <w:rFonts w:hint="eastAsia"/>
        </w:rPr>
        <w:t>專業基樁施工廠商</w:t>
      </w:r>
      <w:r w:rsidR="00875704" w:rsidRPr="00DD223E">
        <w:rPr>
          <w:rFonts w:hint="eastAsia"/>
        </w:rPr>
        <w:t>」</w:t>
      </w:r>
      <w:r w:rsidR="00821959" w:rsidRPr="00DD223E">
        <w:rPr>
          <w:rFonts w:hint="eastAsia"/>
        </w:rPr>
        <w:t>，結果為本案可以改良式反循環工法施工，故本工程之基樁施工方式經公信單位審竣並經專業廠商確認可以反循環工法施作等語（見原審卷(二)第71、72頁，卷(三)第258、259頁）。惟營建署並未針對</w:t>
      </w:r>
      <w:r w:rsidRPr="00DD223E">
        <w:rPr>
          <w:rFonts w:hint="eastAsia"/>
        </w:rPr>
        <w:t>建築師</w:t>
      </w:r>
      <w:r w:rsidR="00821959" w:rsidRPr="00DD223E">
        <w:rPr>
          <w:rFonts w:hint="eastAsia"/>
        </w:rPr>
        <w:t>上開說明，進一步確認</w:t>
      </w:r>
      <w:r w:rsidRPr="00DD223E">
        <w:rPr>
          <w:rFonts w:hint="eastAsia"/>
        </w:rPr>
        <w:t>建築師</w:t>
      </w:r>
      <w:r w:rsidR="00821959" w:rsidRPr="00DD223E">
        <w:rPr>
          <w:rFonts w:hint="eastAsia"/>
        </w:rPr>
        <w:t>所詢問肯認本件可採取改良式反循環工法施作之廠商同</w:t>
      </w:r>
      <w:r w:rsidR="009971CC" w:rsidRPr="00DD223E">
        <w:rPr>
          <w:rFonts w:hint="eastAsia"/>
        </w:rPr>
        <w:t>○</w:t>
      </w:r>
      <w:r w:rsidR="00821959" w:rsidRPr="00DD223E">
        <w:rPr>
          <w:rFonts w:hint="eastAsia"/>
        </w:rPr>
        <w:t>營造廠是否具備基樁施工之專業能力及施工品質，更未查明外審單位既曾建議變更基樁工法改採全套管工法，何以又同意將本件仍維持原設計反循環工法施作列入會議紀錄之理由，竟僅憑</w:t>
      </w:r>
      <w:r w:rsidRPr="00DD223E">
        <w:rPr>
          <w:rFonts w:hint="eastAsia"/>
        </w:rPr>
        <w:t>建築師</w:t>
      </w:r>
      <w:r w:rsidR="00821959" w:rsidRPr="00DD223E">
        <w:rPr>
          <w:rFonts w:hint="eastAsia"/>
        </w:rPr>
        <w:t>之說法，未探究台灣省土木技師公會審查結論所載「惟設計單位（即</w:t>
      </w:r>
      <w:r w:rsidRPr="00DD223E">
        <w:rPr>
          <w:rFonts w:hint="eastAsia"/>
        </w:rPr>
        <w:t>建築師</w:t>
      </w:r>
      <w:r w:rsidR="00821959" w:rsidRPr="00DD223E">
        <w:rPr>
          <w:rFonts w:hint="eastAsia"/>
        </w:rPr>
        <w:t>）所完成之詳細計算數值及細部設計圖面，仍應由設計單位自行負責」之保留意見（見原審卷(一)第282頁），率爾認定「本案經原設計單位重新檢討，並經台灣省土木技師公會審查通過，應屬可行」等情（見本院卷(一)第275頁），自難認營建署已踐行專業之實質審查程序，亦未能善盡其督導</w:t>
      </w:r>
      <w:r w:rsidRPr="00DD223E">
        <w:rPr>
          <w:rFonts w:hint="eastAsia"/>
        </w:rPr>
        <w:t>建築師</w:t>
      </w:r>
      <w:r w:rsidR="00821959" w:rsidRPr="00DD223E">
        <w:rPr>
          <w:rFonts w:hint="eastAsia"/>
        </w:rPr>
        <w:t>之職責。則營建署徒以其於前開檢討會所言係為節省經費，且其不能逾越</w:t>
      </w:r>
      <w:r w:rsidRPr="00DD223E">
        <w:rPr>
          <w:rFonts w:hint="eastAsia"/>
        </w:rPr>
        <w:t>建築師</w:t>
      </w:r>
      <w:r w:rsidR="00821959" w:rsidRPr="00DD223E">
        <w:rPr>
          <w:rFonts w:hint="eastAsia"/>
        </w:rPr>
        <w:t>依建築法執行專業之權責區分，始同意仍採原設計工法或改良式反循環工法施作試樁云云，顯係推卸其對</w:t>
      </w:r>
      <w:r w:rsidRPr="00DD223E">
        <w:rPr>
          <w:rFonts w:hint="eastAsia"/>
        </w:rPr>
        <w:t>建築師</w:t>
      </w:r>
      <w:r w:rsidR="00821959" w:rsidRPr="00DD223E">
        <w:rPr>
          <w:rFonts w:hint="eastAsia"/>
        </w:rPr>
        <w:t>之督導責任，要無足採。</w:t>
      </w:r>
    </w:p>
    <w:p w:rsidR="002427AE" w:rsidRPr="00DD223E" w:rsidRDefault="00CA432E" w:rsidP="00D87139">
      <w:pPr>
        <w:pStyle w:val="3"/>
        <w:spacing w:line="470" w:lineRule="exact"/>
      </w:pPr>
      <w:r w:rsidRPr="00DD223E">
        <w:rPr>
          <w:rFonts w:hint="eastAsia"/>
        </w:rPr>
        <w:lastRenderedPageBreak/>
        <w:t>由上可知，營建署遭本案判決認定</w:t>
      </w:r>
      <w:r w:rsidR="00875704" w:rsidRPr="00DD223E">
        <w:rPr>
          <w:rFonts w:hint="eastAsia"/>
        </w:rPr>
        <w:t>與有</w:t>
      </w:r>
      <w:r w:rsidRPr="00DD223E">
        <w:rPr>
          <w:rFonts w:hint="eastAsia"/>
        </w:rPr>
        <w:t>過失之重點在於</w:t>
      </w:r>
      <w:r w:rsidR="006C7E5F" w:rsidRPr="00DD223E">
        <w:rPr>
          <w:rFonts w:hint="eastAsia"/>
        </w:rPr>
        <w:t>，</w:t>
      </w:r>
      <w:r w:rsidRPr="00DD223E">
        <w:rPr>
          <w:rFonts w:hint="eastAsia"/>
        </w:rPr>
        <w:t>90年6月27日、90年7月9日召開檢討會上</w:t>
      </w:r>
      <w:r w:rsidR="006C7E5F" w:rsidRPr="00DD223E">
        <w:rPr>
          <w:rFonts w:hint="eastAsia"/>
        </w:rPr>
        <w:t>營建署與會代表之發言不當</w:t>
      </w:r>
      <w:r w:rsidRPr="00DD223E">
        <w:rPr>
          <w:rFonts w:hint="eastAsia"/>
        </w:rPr>
        <w:t>，</w:t>
      </w:r>
      <w:r w:rsidR="006C7E5F" w:rsidRPr="00DD223E">
        <w:rPr>
          <w:rFonts w:hint="eastAsia"/>
        </w:rPr>
        <w:t>以</w:t>
      </w:r>
      <w:r w:rsidRPr="00DD223E">
        <w:rPr>
          <w:rFonts w:hint="eastAsia"/>
        </w:rPr>
        <w:t>及</w:t>
      </w:r>
      <w:r w:rsidR="006C7E5F" w:rsidRPr="00DD223E">
        <w:rPr>
          <w:rFonts w:hint="eastAsia"/>
        </w:rPr>
        <w:t>未能詳加檢視</w:t>
      </w:r>
      <w:r w:rsidRPr="00DD223E">
        <w:rPr>
          <w:rFonts w:hint="eastAsia"/>
        </w:rPr>
        <w:t>90年8月間台灣省土木技師公會進行結構外審之意見</w:t>
      </w:r>
      <w:r w:rsidR="006C7E5F" w:rsidRPr="00DD223E">
        <w:rPr>
          <w:rFonts w:hint="eastAsia"/>
        </w:rPr>
        <w:t>。雖營建署</w:t>
      </w:r>
      <w:r w:rsidR="0085057E" w:rsidRPr="00DD223E">
        <w:rPr>
          <w:rFonts w:hint="eastAsia"/>
        </w:rPr>
        <w:t>代表</w:t>
      </w:r>
      <w:r w:rsidR="006C7E5F" w:rsidRPr="00DD223E">
        <w:rPr>
          <w:rFonts w:hint="eastAsia"/>
        </w:rPr>
        <w:t>於</w:t>
      </w:r>
      <w:r w:rsidR="002427AE" w:rsidRPr="00DD223E">
        <w:rPr>
          <w:rFonts w:hint="eastAsia"/>
        </w:rPr>
        <w:t>監察</w:t>
      </w:r>
      <w:r w:rsidR="006C7E5F" w:rsidRPr="00DD223E">
        <w:rPr>
          <w:rFonts w:hint="eastAsia"/>
        </w:rPr>
        <w:t>院</w:t>
      </w:r>
      <w:r w:rsidR="002427AE" w:rsidRPr="00DD223E">
        <w:rPr>
          <w:rFonts w:hint="eastAsia"/>
        </w:rPr>
        <w:t>詢問時表示，曾建議建築師更換工法，是建築師堅持不願意變更工法等情，然</w:t>
      </w:r>
      <w:r w:rsidR="0085057E" w:rsidRPr="00DD223E">
        <w:rPr>
          <w:rFonts w:hint="eastAsia"/>
        </w:rPr>
        <w:t>營建署</w:t>
      </w:r>
      <w:r w:rsidR="00991B22" w:rsidRPr="00DD223E">
        <w:rPr>
          <w:rFonts w:hint="eastAsia"/>
        </w:rPr>
        <w:t>身為</w:t>
      </w:r>
      <w:r w:rsidR="0085057E" w:rsidRPr="00DD223E">
        <w:rPr>
          <w:rFonts w:hint="eastAsia"/>
        </w:rPr>
        <w:t>國家</w:t>
      </w:r>
      <w:r w:rsidR="00991B22" w:rsidRPr="00DD223E">
        <w:rPr>
          <w:rFonts w:hint="eastAsia"/>
        </w:rPr>
        <w:t>部</w:t>
      </w:r>
      <w:r w:rsidR="00D97ED0" w:rsidRPr="00DD223E">
        <w:rPr>
          <w:rFonts w:hint="eastAsia"/>
        </w:rPr>
        <w:t>門</w:t>
      </w:r>
      <w:r w:rsidR="0085057E" w:rsidRPr="00DD223E">
        <w:rPr>
          <w:rFonts w:hint="eastAsia"/>
        </w:rPr>
        <w:t>，</w:t>
      </w:r>
      <w:r w:rsidR="00991B22" w:rsidRPr="00DD223E">
        <w:rPr>
          <w:rFonts w:hint="eastAsia"/>
        </w:rPr>
        <w:t>擁有強大之政府組織及職能，且</w:t>
      </w:r>
      <w:r w:rsidR="002427AE" w:rsidRPr="00DD223E">
        <w:rPr>
          <w:rFonts w:hint="eastAsia"/>
        </w:rPr>
        <w:t>部屬</w:t>
      </w:r>
      <w:r w:rsidR="00991B22" w:rsidRPr="00DD223E">
        <w:rPr>
          <w:rFonts w:hint="eastAsia"/>
        </w:rPr>
        <w:t>深具建築</w:t>
      </w:r>
      <w:r w:rsidR="002D0BD7" w:rsidRPr="00DD223E">
        <w:rPr>
          <w:rFonts w:hint="eastAsia"/>
        </w:rPr>
        <w:t>工程</w:t>
      </w:r>
      <w:r w:rsidR="00991B22" w:rsidRPr="00DD223E">
        <w:rPr>
          <w:rFonts w:hint="eastAsia"/>
        </w:rPr>
        <w:t>領域</w:t>
      </w:r>
      <w:r w:rsidR="002D0BD7" w:rsidRPr="00DD223E">
        <w:rPr>
          <w:rFonts w:hint="eastAsia"/>
        </w:rPr>
        <w:t>之</w:t>
      </w:r>
      <w:r w:rsidR="00991B22" w:rsidRPr="00DD223E">
        <w:rPr>
          <w:rFonts w:hint="eastAsia"/>
        </w:rPr>
        <w:t>專業</w:t>
      </w:r>
      <w:r w:rsidR="002D0BD7" w:rsidRPr="00DD223E">
        <w:rPr>
          <w:rFonts w:hint="eastAsia"/>
        </w:rPr>
        <w:t>知識</w:t>
      </w:r>
      <w:r w:rsidR="00991B22" w:rsidRPr="00DD223E">
        <w:rPr>
          <w:rFonts w:hint="eastAsia"/>
        </w:rPr>
        <w:t>，本於職權</w:t>
      </w:r>
      <w:r w:rsidR="002427AE" w:rsidRPr="00DD223E">
        <w:rPr>
          <w:rFonts w:hint="eastAsia"/>
        </w:rPr>
        <w:t>即應</w:t>
      </w:r>
      <w:r w:rsidR="00991B22" w:rsidRPr="00DD223E">
        <w:rPr>
          <w:rFonts w:hint="eastAsia"/>
        </w:rPr>
        <w:t>盡力探究</w:t>
      </w:r>
      <w:r w:rsidR="00D97ED0" w:rsidRPr="00DD223E">
        <w:rPr>
          <w:rFonts w:hint="eastAsia"/>
        </w:rPr>
        <w:t>本案</w:t>
      </w:r>
      <w:r w:rsidR="00991B22" w:rsidRPr="00DD223E">
        <w:rPr>
          <w:rFonts w:hint="eastAsia"/>
        </w:rPr>
        <w:t>專業</w:t>
      </w:r>
      <w:r w:rsidR="00D97ED0" w:rsidRPr="00DD223E">
        <w:rPr>
          <w:rFonts w:hint="eastAsia"/>
        </w:rPr>
        <w:t>領域</w:t>
      </w:r>
      <w:r w:rsidR="002427AE" w:rsidRPr="00DD223E">
        <w:rPr>
          <w:rFonts w:hint="eastAsia"/>
        </w:rPr>
        <w:t>之</w:t>
      </w:r>
      <w:r w:rsidR="00991B22" w:rsidRPr="00DD223E">
        <w:rPr>
          <w:rFonts w:hint="eastAsia"/>
        </w:rPr>
        <w:t>爭議，</w:t>
      </w:r>
      <w:r w:rsidR="002427AE" w:rsidRPr="00DD223E">
        <w:rPr>
          <w:rFonts w:hint="eastAsia"/>
        </w:rPr>
        <w:t>更</w:t>
      </w:r>
      <w:r w:rsidR="00991B22" w:rsidRPr="00DD223E">
        <w:rPr>
          <w:rFonts w:hint="eastAsia"/>
        </w:rPr>
        <w:t>應</w:t>
      </w:r>
      <w:r w:rsidR="00D97ED0" w:rsidRPr="00DD223E">
        <w:rPr>
          <w:rFonts w:hint="eastAsia"/>
        </w:rPr>
        <w:t>基於專業理念而</w:t>
      </w:r>
      <w:r w:rsidR="00991B22" w:rsidRPr="00DD223E">
        <w:rPr>
          <w:rFonts w:hint="eastAsia"/>
        </w:rPr>
        <w:t>有所堅持，始符合國防部委託營建署督導本案建築師之契約本旨。</w:t>
      </w:r>
      <w:r w:rsidR="00D97ED0" w:rsidRPr="00DD223E">
        <w:rPr>
          <w:rFonts w:hint="eastAsia"/>
        </w:rPr>
        <w:t>然本案中，</w:t>
      </w:r>
      <w:r w:rsidR="00621868" w:rsidRPr="00DD223E">
        <w:rPr>
          <w:rFonts w:hint="eastAsia"/>
        </w:rPr>
        <w:t>營建署</w:t>
      </w:r>
      <w:r w:rsidR="00241653" w:rsidRPr="00DD223E">
        <w:rPr>
          <w:rFonts w:hint="eastAsia"/>
        </w:rPr>
        <w:t>一再主張</w:t>
      </w:r>
      <w:r w:rsidR="00C56879" w:rsidRPr="00DD223E">
        <w:rPr>
          <w:rFonts w:hint="eastAsia"/>
        </w:rPr>
        <w:t>，建築師之設計、監造契約，係於營建署與國防部簽訂該協議書之前簽訂，故建築師有關地質鑽探之疏失，營建署無法督導云云，</w:t>
      </w:r>
      <w:r w:rsidR="002427AE" w:rsidRPr="00DD223E">
        <w:rPr>
          <w:rFonts w:hint="eastAsia"/>
        </w:rPr>
        <w:t>顯然</w:t>
      </w:r>
      <w:r w:rsidR="00621868" w:rsidRPr="00DD223E">
        <w:rPr>
          <w:rFonts w:hint="eastAsia"/>
        </w:rPr>
        <w:t>未能堅持</w:t>
      </w:r>
      <w:r w:rsidR="005B012E" w:rsidRPr="00DD223E">
        <w:rPr>
          <w:rFonts w:hint="eastAsia"/>
        </w:rPr>
        <w:t>專業</w:t>
      </w:r>
      <w:r w:rsidR="00621868" w:rsidRPr="00DD223E">
        <w:rPr>
          <w:rFonts w:hint="eastAsia"/>
        </w:rPr>
        <w:t>理念，</w:t>
      </w:r>
      <w:r w:rsidR="002427AE" w:rsidRPr="00DD223E">
        <w:rPr>
          <w:rFonts w:hint="eastAsia"/>
        </w:rPr>
        <w:t>難卸疏失之</w:t>
      </w:r>
      <w:r w:rsidR="00C56879" w:rsidRPr="00DD223E">
        <w:rPr>
          <w:rFonts w:hint="eastAsia"/>
        </w:rPr>
        <w:t>責</w:t>
      </w:r>
      <w:r w:rsidR="002427AE" w:rsidRPr="00DD223E">
        <w:rPr>
          <w:rFonts w:hint="eastAsia"/>
        </w:rPr>
        <w:t>。</w:t>
      </w:r>
    </w:p>
    <w:p w:rsidR="00621868" w:rsidRPr="00DD223E" w:rsidRDefault="001774FC" w:rsidP="00D87139">
      <w:pPr>
        <w:pStyle w:val="3"/>
        <w:spacing w:line="470" w:lineRule="exact"/>
      </w:pPr>
      <w:r w:rsidRPr="00DD223E">
        <w:rPr>
          <w:rFonts w:hint="eastAsia"/>
        </w:rPr>
        <w:t>綜上，</w:t>
      </w:r>
      <w:r w:rsidR="00787204" w:rsidRPr="00DD223E">
        <w:rPr>
          <w:rFonts w:hint="eastAsia"/>
        </w:rPr>
        <w:t>有關本案判決認定營建署與有過失部分，雖營建署查復監察院認為建築師之設計監造係於營建署與國防部簽訂協議書之前，惟法院認定營建署與有過失理由，係在後續檢討會議之中，未能善盡督導責任，縱使營建署於監察院詢問時表示，係因建築師等人之堅持，始容任建築師改良原工法</w:t>
      </w:r>
      <w:r w:rsidR="00054CA6" w:rsidRPr="00DD223E">
        <w:rPr>
          <w:rFonts w:hint="eastAsia"/>
        </w:rPr>
        <w:t>，並將該改良工法交</w:t>
      </w:r>
      <w:r w:rsidR="00787204" w:rsidRPr="00DD223E">
        <w:rPr>
          <w:rFonts w:hint="eastAsia"/>
        </w:rPr>
        <w:t>由</w:t>
      </w:r>
      <w:r w:rsidR="00491871" w:rsidRPr="00DD223E">
        <w:rPr>
          <w:rFonts w:hint="eastAsia"/>
        </w:rPr>
        <w:t>慈○</w:t>
      </w:r>
      <w:r w:rsidR="00787204" w:rsidRPr="00DD223E">
        <w:rPr>
          <w:rFonts w:hint="eastAsia"/>
        </w:rPr>
        <w:t>公司繼續施作，終至</w:t>
      </w:r>
      <w:r w:rsidR="00491871" w:rsidRPr="00DD223E">
        <w:rPr>
          <w:rFonts w:hint="eastAsia"/>
        </w:rPr>
        <w:t>慈○</w:t>
      </w:r>
      <w:r w:rsidR="000C7F01" w:rsidRPr="00DD223E">
        <w:rPr>
          <w:rFonts w:hint="eastAsia"/>
        </w:rPr>
        <w:t>公司</w:t>
      </w:r>
      <w:r w:rsidR="00787204" w:rsidRPr="00DD223E">
        <w:rPr>
          <w:rFonts w:hint="eastAsia"/>
        </w:rPr>
        <w:t>試樁失敗而終止契約。營建署作為具有建築工程領域專業政府部門，本應秉持專業素養，發揮督導功能，該署實應檢討改進</w:t>
      </w:r>
      <w:r w:rsidR="00946BBE" w:rsidRPr="00DD223E">
        <w:rPr>
          <w:rFonts w:hint="eastAsia"/>
        </w:rPr>
        <w:t>。</w:t>
      </w:r>
    </w:p>
    <w:p w:rsidR="00C25620" w:rsidRPr="00DD223E" w:rsidRDefault="00C25620" w:rsidP="00D87139">
      <w:pPr>
        <w:pStyle w:val="2"/>
        <w:spacing w:line="470" w:lineRule="exact"/>
        <w:rPr>
          <w:b/>
        </w:rPr>
      </w:pPr>
      <w:r w:rsidRPr="00DD223E">
        <w:rPr>
          <w:rFonts w:hint="eastAsia"/>
          <w:b/>
        </w:rPr>
        <w:t>工程會訂定</w:t>
      </w:r>
      <w:r w:rsidR="00A57882" w:rsidRPr="00DD223E">
        <w:rPr>
          <w:rFonts w:hint="eastAsia"/>
          <w:b/>
        </w:rPr>
        <w:t>契約</w:t>
      </w:r>
      <w:r w:rsidRPr="00DD223E">
        <w:rPr>
          <w:rFonts w:hint="eastAsia"/>
          <w:b/>
        </w:rPr>
        <w:t>範本</w:t>
      </w:r>
      <w:r w:rsidR="00CB7BE6" w:rsidRPr="00DD223E">
        <w:rPr>
          <w:rFonts w:hint="eastAsia"/>
          <w:b/>
        </w:rPr>
        <w:t>，具有引領各政府部門訂定</w:t>
      </w:r>
      <w:r w:rsidR="002D0BD7" w:rsidRPr="00DD223E">
        <w:rPr>
          <w:rFonts w:hint="eastAsia"/>
          <w:b/>
        </w:rPr>
        <w:t>公共工程契約之作用。</w:t>
      </w:r>
      <w:r w:rsidR="00DC1AE1" w:rsidRPr="00DD223E">
        <w:rPr>
          <w:rFonts w:hint="eastAsia"/>
          <w:b/>
        </w:rPr>
        <w:t>建築師參與公共工程之設計、監造</w:t>
      </w:r>
      <w:r w:rsidR="000167A1" w:rsidRPr="00DD223E">
        <w:rPr>
          <w:rFonts w:hint="eastAsia"/>
          <w:b/>
        </w:rPr>
        <w:t>之「公共工程技術服務契約範本」（下稱技服範本）</w:t>
      </w:r>
      <w:r w:rsidRPr="00DD223E">
        <w:rPr>
          <w:rFonts w:hint="eastAsia"/>
          <w:b/>
        </w:rPr>
        <w:t>，</w:t>
      </w:r>
      <w:r w:rsidR="00DC1AE1" w:rsidRPr="00DD223E">
        <w:rPr>
          <w:rFonts w:hint="eastAsia"/>
          <w:b/>
        </w:rPr>
        <w:t>訂</w:t>
      </w:r>
      <w:r w:rsidRPr="00DD223E">
        <w:rPr>
          <w:rFonts w:hint="eastAsia"/>
          <w:b/>
        </w:rPr>
        <w:t>有損害賠償範圍上限，並搭配保險</w:t>
      </w:r>
      <w:r w:rsidR="00DC1AE1" w:rsidRPr="00DD223E">
        <w:rPr>
          <w:rFonts w:hint="eastAsia"/>
          <w:b/>
        </w:rPr>
        <w:t>制度</w:t>
      </w:r>
      <w:r w:rsidRPr="00DD223E">
        <w:rPr>
          <w:rFonts w:hint="eastAsia"/>
          <w:b/>
        </w:rPr>
        <w:t>，對於建築</w:t>
      </w:r>
      <w:r w:rsidRPr="00DD223E">
        <w:rPr>
          <w:rFonts w:hint="eastAsia"/>
          <w:b/>
        </w:rPr>
        <w:lastRenderedPageBreak/>
        <w:t>師損害賠償</w:t>
      </w:r>
      <w:r w:rsidR="00DC1AE1" w:rsidRPr="00DD223E">
        <w:rPr>
          <w:rFonts w:hint="eastAsia"/>
          <w:b/>
        </w:rPr>
        <w:t>範圍</w:t>
      </w:r>
      <w:r w:rsidRPr="00DD223E">
        <w:rPr>
          <w:rFonts w:hint="eastAsia"/>
          <w:b/>
        </w:rPr>
        <w:t>合理化已有所規範；然對於損害賠償範圍上限之例外</w:t>
      </w:r>
      <w:r w:rsidR="000167A1" w:rsidRPr="00DD223E">
        <w:rPr>
          <w:rFonts w:hint="eastAsia"/>
          <w:b/>
        </w:rPr>
        <w:t>情形</w:t>
      </w:r>
      <w:r w:rsidRPr="00DD223E">
        <w:rPr>
          <w:rFonts w:hint="eastAsia"/>
          <w:b/>
        </w:rPr>
        <w:t>，未能於技服範本中妥為說明</w:t>
      </w:r>
      <w:r w:rsidR="0075737A" w:rsidRPr="00DD223E">
        <w:rPr>
          <w:rFonts w:hint="eastAsia"/>
          <w:b/>
        </w:rPr>
        <w:t>，</w:t>
      </w:r>
      <w:r w:rsidR="000167A1" w:rsidRPr="00DD223E">
        <w:rPr>
          <w:rFonts w:hint="eastAsia"/>
          <w:b/>
        </w:rPr>
        <w:t>諸</w:t>
      </w:r>
      <w:r w:rsidR="00DC1AE1" w:rsidRPr="00DD223E">
        <w:rPr>
          <w:rFonts w:hint="eastAsia"/>
          <w:b/>
        </w:rPr>
        <w:t>如</w:t>
      </w:r>
      <w:r w:rsidR="000167A1" w:rsidRPr="00DD223E">
        <w:rPr>
          <w:rFonts w:hint="eastAsia"/>
          <w:b/>
        </w:rPr>
        <w:t>為</w:t>
      </w:r>
      <w:r w:rsidRPr="00DD223E">
        <w:rPr>
          <w:rFonts w:hint="eastAsia"/>
          <w:b/>
        </w:rPr>
        <w:t>避免人身損害之加害給付，故</w:t>
      </w:r>
      <w:r w:rsidR="00B27234" w:rsidRPr="00DD223E">
        <w:rPr>
          <w:rFonts w:hint="eastAsia"/>
          <w:b/>
        </w:rPr>
        <w:t>設</w:t>
      </w:r>
      <w:r w:rsidRPr="00DD223E">
        <w:rPr>
          <w:rFonts w:hint="eastAsia"/>
          <w:b/>
        </w:rPr>
        <w:t>有例外規定。揆諸近年臺南、花蓮大地震，導致人民重大傷亡之慘劇，</w:t>
      </w:r>
      <w:r w:rsidR="0039773F" w:rsidRPr="00DD223E">
        <w:rPr>
          <w:rFonts w:hint="eastAsia"/>
          <w:b/>
        </w:rPr>
        <w:t>攸關</w:t>
      </w:r>
      <w:r w:rsidR="002D0BD7" w:rsidRPr="00DD223E">
        <w:rPr>
          <w:rFonts w:hint="eastAsia"/>
          <w:b/>
        </w:rPr>
        <w:t>公</w:t>
      </w:r>
      <w:r w:rsidR="0039773F" w:rsidRPr="00DD223E">
        <w:rPr>
          <w:rFonts w:hint="eastAsia"/>
          <w:b/>
        </w:rPr>
        <w:t>眾使用</w:t>
      </w:r>
      <w:r w:rsidR="005460D0" w:rsidRPr="00DD223E">
        <w:rPr>
          <w:rFonts w:hint="eastAsia"/>
          <w:b/>
        </w:rPr>
        <w:t>安全及</w:t>
      </w:r>
      <w:r w:rsidR="00DC1AE1" w:rsidRPr="00DD223E">
        <w:rPr>
          <w:rFonts w:hint="eastAsia"/>
          <w:b/>
        </w:rPr>
        <w:t>增進</w:t>
      </w:r>
      <w:r w:rsidR="005460D0" w:rsidRPr="00DD223E">
        <w:rPr>
          <w:rFonts w:hint="eastAsia"/>
          <w:b/>
        </w:rPr>
        <w:t>公共利益</w:t>
      </w:r>
      <w:r w:rsidR="0039773F" w:rsidRPr="00DD223E">
        <w:rPr>
          <w:rFonts w:hint="eastAsia"/>
          <w:b/>
        </w:rPr>
        <w:t>之</w:t>
      </w:r>
      <w:r w:rsidR="00453431" w:rsidRPr="00DD223E">
        <w:rPr>
          <w:rFonts w:hint="eastAsia"/>
          <w:b/>
        </w:rPr>
        <w:t>公共工程</w:t>
      </w:r>
      <w:r w:rsidR="00DC1AE1" w:rsidRPr="00DD223E">
        <w:rPr>
          <w:rFonts w:hint="eastAsia"/>
          <w:b/>
        </w:rPr>
        <w:t>建設</w:t>
      </w:r>
      <w:r w:rsidR="002D0BD7" w:rsidRPr="00DD223E">
        <w:rPr>
          <w:rFonts w:hint="eastAsia"/>
          <w:b/>
        </w:rPr>
        <w:t>，</w:t>
      </w:r>
      <w:r w:rsidR="00453431" w:rsidRPr="00DD223E">
        <w:rPr>
          <w:rFonts w:hint="eastAsia"/>
          <w:b/>
        </w:rPr>
        <w:t>相關免責規範，允應有所節制，故</w:t>
      </w:r>
      <w:r w:rsidR="0039773F" w:rsidRPr="00DD223E">
        <w:rPr>
          <w:rFonts w:hint="eastAsia"/>
          <w:b/>
        </w:rPr>
        <w:t>訂定</w:t>
      </w:r>
      <w:r w:rsidR="00453431" w:rsidRPr="00DD223E">
        <w:rPr>
          <w:rFonts w:hint="eastAsia"/>
          <w:b/>
        </w:rPr>
        <w:t>損害賠償</w:t>
      </w:r>
      <w:r w:rsidRPr="00DD223E">
        <w:rPr>
          <w:rFonts w:hint="eastAsia"/>
          <w:b/>
        </w:rPr>
        <w:t>上限</w:t>
      </w:r>
      <w:r w:rsidR="00453431" w:rsidRPr="00DD223E">
        <w:rPr>
          <w:rFonts w:hint="eastAsia"/>
          <w:b/>
        </w:rPr>
        <w:t>之</w:t>
      </w:r>
      <w:r w:rsidRPr="00DD223E">
        <w:rPr>
          <w:rFonts w:hint="eastAsia"/>
          <w:b/>
        </w:rPr>
        <w:t>例外</w:t>
      </w:r>
      <w:r w:rsidR="002C3923" w:rsidRPr="00DD223E">
        <w:rPr>
          <w:rFonts w:hint="eastAsia"/>
          <w:b/>
        </w:rPr>
        <w:t>情形</w:t>
      </w:r>
      <w:r w:rsidRPr="00DD223E">
        <w:rPr>
          <w:rFonts w:hint="eastAsia"/>
          <w:b/>
        </w:rPr>
        <w:t>應屬</w:t>
      </w:r>
      <w:r w:rsidR="00453431" w:rsidRPr="00DD223E">
        <w:rPr>
          <w:rFonts w:hint="eastAsia"/>
          <w:b/>
        </w:rPr>
        <w:t>必要</w:t>
      </w:r>
      <w:r w:rsidRPr="00DD223E">
        <w:rPr>
          <w:rFonts w:hint="eastAsia"/>
          <w:b/>
        </w:rPr>
        <w:t>，惟為免外界誤解，工程會對於相關條款之設計目的</w:t>
      </w:r>
      <w:r w:rsidR="00BC7083" w:rsidRPr="00DD223E">
        <w:rPr>
          <w:rFonts w:hint="eastAsia"/>
          <w:b/>
        </w:rPr>
        <w:t>，</w:t>
      </w:r>
      <w:r w:rsidR="007A036B" w:rsidRPr="00DD223E">
        <w:rPr>
          <w:rFonts w:hint="eastAsia"/>
          <w:b/>
        </w:rPr>
        <w:t>應加以釐清，並廣為宣導</w:t>
      </w:r>
      <w:r w:rsidR="00BC7083" w:rsidRPr="00DD223E">
        <w:rPr>
          <w:rFonts w:hint="eastAsia"/>
          <w:b/>
        </w:rPr>
        <w:t>。</w:t>
      </w:r>
    </w:p>
    <w:p w:rsidR="005418A0" w:rsidRPr="00DD223E" w:rsidRDefault="00A57882" w:rsidP="00D87139">
      <w:pPr>
        <w:pStyle w:val="3"/>
        <w:spacing w:line="470" w:lineRule="exact"/>
      </w:pPr>
      <w:r w:rsidRPr="00DD223E">
        <w:rPr>
          <w:rFonts w:hint="eastAsia"/>
        </w:rPr>
        <w:t>工程會訂定契約範本，具有引領各政府部門訂定採購契約之作用，行政機關委託建築師設計、監造公共工程，契約範本主要係參考技服範本，且經統計，高達91.45%採用技服範本：</w:t>
      </w:r>
    </w:p>
    <w:p w:rsidR="00A57882" w:rsidRPr="00DD223E" w:rsidRDefault="00A57882" w:rsidP="00D87139">
      <w:pPr>
        <w:pStyle w:val="4"/>
        <w:spacing w:line="470" w:lineRule="exact"/>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DD223E">
        <w:rPr>
          <w:rFonts w:hint="eastAsia"/>
        </w:rPr>
        <w:t>100年1月26日總統華總一義字第10000015641號令修正公布政府採購法(下稱採購法)第11條、第52條、第63條條文。修正前採購法第63條第1項規定：「各類採購契約之要項，由主管機關參考國際及國內慣例定之。」修正後第63條第1項規定：「各類採購契約以採用主管機關訂定之範本為原則，其要項及內容由主管機關參考國際及國內慣例定之。」前開法條之修正對照表之說明欄並載明：「ㄧ、第1項增訂各類採購契約以採用主管機關訂定之範本為原則，以降低個案採購契約不完整或未符公平合理原則之情形。……」</w:t>
      </w:r>
    </w:p>
    <w:p w:rsidR="00A57882" w:rsidRPr="00DD223E" w:rsidRDefault="00A57882" w:rsidP="00D87139">
      <w:pPr>
        <w:pStyle w:val="4"/>
        <w:spacing w:line="470" w:lineRule="exact"/>
      </w:pPr>
      <w:r w:rsidRPr="00DD223E">
        <w:rPr>
          <w:rFonts w:hint="eastAsia"/>
        </w:rPr>
        <w:t>自100年3月18日起，機關於該會政府電子採購網刊登招標公告時，須註明採購契約是否採用主管機關(即該會)訂定之範本，如未採用，併予敘明其理由。</w:t>
      </w:r>
    </w:p>
    <w:p w:rsidR="00A57882" w:rsidRPr="00DD223E" w:rsidRDefault="00A57882" w:rsidP="00D87139">
      <w:pPr>
        <w:pStyle w:val="4"/>
        <w:spacing w:line="470" w:lineRule="exact"/>
      </w:pPr>
      <w:r w:rsidRPr="00DD223E">
        <w:rPr>
          <w:rFonts w:hint="eastAsia"/>
        </w:rPr>
        <w:t>經統計政府電子採購網，機關辦理建築物工程技術服務採購，其契約採用該會訂定之技服範本</w:t>
      </w:r>
      <w:r w:rsidRPr="00DD223E">
        <w:rPr>
          <w:rFonts w:hint="eastAsia"/>
        </w:rPr>
        <w:lastRenderedPageBreak/>
        <w:t>者，約占91.45%，未採用者占8.55%。</w:t>
      </w:r>
    </w:p>
    <w:p w:rsidR="00A57882" w:rsidRPr="00DD223E" w:rsidRDefault="00A57882" w:rsidP="00D87139">
      <w:pPr>
        <w:pStyle w:val="4"/>
        <w:spacing w:line="470" w:lineRule="exact"/>
      </w:pPr>
      <w:r w:rsidRPr="00DD223E">
        <w:rPr>
          <w:rFonts w:hint="eastAsia"/>
        </w:rPr>
        <w:t>而有關建築師參與公共建設，主要為行政機關委託建築師設計、監造公共工程，該契約範本主要參考技服範本，具有引領各政府部門訂定契約之作用。</w:t>
      </w:r>
    </w:p>
    <w:p w:rsidR="00400C20" w:rsidRPr="00DD223E" w:rsidRDefault="00400C20" w:rsidP="00D87139">
      <w:pPr>
        <w:pStyle w:val="3"/>
        <w:spacing w:line="470" w:lineRule="exact"/>
      </w:pPr>
      <w:r w:rsidRPr="00DD223E">
        <w:rPr>
          <w:rFonts w:hint="eastAsia"/>
        </w:rPr>
        <w:t>現行技服範本透過訂定損害賠償範圍之上限及保險機制，分散建築規劃、設計上不可預見之風險，可促進建築師參與公共建設：</w:t>
      </w:r>
    </w:p>
    <w:p w:rsidR="00A57882" w:rsidRPr="00DD223E" w:rsidRDefault="00A57882" w:rsidP="00D87139">
      <w:pPr>
        <w:pStyle w:val="4"/>
        <w:spacing w:line="470" w:lineRule="exact"/>
      </w:pPr>
      <w:r w:rsidRPr="00DD223E">
        <w:rPr>
          <w:rFonts w:hint="eastAsia"/>
        </w:rPr>
        <w:t>依該技服範本，建築師損害賠償責任之主要規範依據為該範本第14條：</w:t>
      </w:r>
    </w:p>
    <w:tbl>
      <w:tblPr>
        <w:tblStyle w:val="af7"/>
        <w:tblW w:w="0" w:type="auto"/>
        <w:tblLook w:val="04A0" w:firstRow="1" w:lastRow="0" w:firstColumn="1" w:lastColumn="0" w:noHBand="0" w:noVBand="1"/>
      </w:tblPr>
      <w:tblGrid>
        <w:gridCol w:w="8900"/>
      </w:tblGrid>
      <w:tr w:rsidR="00DD223E" w:rsidRPr="00DD223E" w:rsidTr="0075737A">
        <w:tc>
          <w:tcPr>
            <w:tcW w:w="8900" w:type="dxa"/>
          </w:tcPr>
          <w:p w:rsidR="00A57882" w:rsidRPr="00DD223E" w:rsidRDefault="00A57882" w:rsidP="00D87139">
            <w:pPr>
              <w:spacing w:line="470" w:lineRule="exact"/>
              <w:rPr>
                <w:rFonts w:hAnsi="標楷體"/>
                <w:b/>
                <w:bCs/>
                <w:sz w:val="28"/>
                <w:szCs w:val="28"/>
              </w:rPr>
            </w:pPr>
            <w:r w:rsidRPr="00DD223E">
              <w:rPr>
                <w:rFonts w:hAnsi="標楷體" w:hint="eastAsia"/>
                <w:b/>
                <w:bCs/>
                <w:sz w:val="28"/>
                <w:szCs w:val="28"/>
              </w:rPr>
              <w:t>技服範本第14條  權利及責任</w:t>
            </w:r>
          </w:p>
          <w:p w:rsidR="00A57882" w:rsidRPr="00DD223E" w:rsidRDefault="00A57882" w:rsidP="00D87139">
            <w:pPr>
              <w:numPr>
                <w:ilvl w:val="0"/>
                <w:numId w:val="27"/>
              </w:numPr>
              <w:tabs>
                <w:tab w:val="left" w:pos="851"/>
              </w:tabs>
              <w:overflowPunct/>
              <w:autoSpaceDE/>
              <w:autoSpaceDN/>
              <w:spacing w:line="470" w:lineRule="exact"/>
              <w:ind w:right="57"/>
              <w:rPr>
                <w:sz w:val="28"/>
                <w:szCs w:val="28"/>
              </w:rPr>
            </w:pPr>
            <w:r w:rsidRPr="00DD223E">
              <w:rPr>
                <w:rFonts w:hint="eastAsia"/>
                <w:sz w:val="28"/>
                <w:szCs w:val="28"/>
              </w:rPr>
              <w:t>乙方應擔保第三人就履約標的，對於甲方不得主張任何權利。</w:t>
            </w:r>
          </w:p>
          <w:p w:rsidR="00A57882" w:rsidRPr="00DD223E" w:rsidRDefault="00A57882" w:rsidP="00D87139">
            <w:pPr>
              <w:numPr>
                <w:ilvl w:val="0"/>
                <w:numId w:val="27"/>
              </w:numPr>
              <w:tabs>
                <w:tab w:val="left" w:pos="851"/>
              </w:tabs>
              <w:overflowPunct/>
              <w:autoSpaceDE/>
              <w:autoSpaceDN/>
              <w:spacing w:line="470" w:lineRule="exact"/>
              <w:ind w:left="1276" w:right="57" w:hanging="646"/>
              <w:rPr>
                <w:sz w:val="28"/>
                <w:szCs w:val="28"/>
              </w:rPr>
            </w:pPr>
            <w:r w:rsidRPr="00DD223E">
              <w:rPr>
                <w:rFonts w:hint="eastAsia"/>
                <w:sz w:val="28"/>
                <w:szCs w:val="28"/>
              </w:rPr>
              <w:t>乙方履約，其有侵害第三人合法權益時，應由乙方負責處理並承擔一切法律責任及費用，包括甲方所發生之費用。甲方並得請求損害賠償。</w:t>
            </w:r>
          </w:p>
          <w:p w:rsidR="00A57882" w:rsidRPr="00DD223E" w:rsidRDefault="00A57882" w:rsidP="00D87139">
            <w:pPr>
              <w:numPr>
                <w:ilvl w:val="0"/>
                <w:numId w:val="27"/>
              </w:numPr>
              <w:tabs>
                <w:tab w:val="left" w:pos="851"/>
              </w:tabs>
              <w:overflowPunct/>
              <w:autoSpaceDE/>
              <w:autoSpaceDN/>
              <w:spacing w:line="470" w:lineRule="exact"/>
              <w:ind w:left="1276" w:right="57" w:hanging="646"/>
              <w:rPr>
                <w:sz w:val="28"/>
                <w:szCs w:val="28"/>
              </w:rPr>
            </w:pPr>
            <w:r w:rsidRPr="00DD223E">
              <w:rPr>
                <w:rFonts w:hint="eastAsia"/>
                <w:sz w:val="28"/>
              </w:rPr>
              <w:t>乙方履約結果涉及智慧財產權者</w:t>
            </w:r>
            <w:r w:rsidRPr="00DD223E">
              <w:rPr>
                <w:rFonts w:hint="eastAsia"/>
              </w:rPr>
              <w:t>：</w:t>
            </w:r>
            <w:r w:rsidRPr="00DD223E">
              <w:rPr>
                <w:rFonts w:hint="eastAsia"/>
                <w:sz w:val="28"/>
              </w:rPr>
              <w:t>(由</w:t>
            </w:r>
            <w:r w:rsidRPr="00DD223E">
              <w:rPr>
                <w:rFonts w:hint="eastAsia"/>
                <w:spacing w:val="-4"/>
                <w:sz w:val="28"/>
              </w:rPr>
              <w:t>甲方於招標時載明)</w:t>
            </w:r>
          </w:p>
          <w:p w:rsidR="00A57882" w:rsidRPr="00DD223E" w:rsidRDefault="00A57882" w:rsidP="00D87139">
            <w:pPr>
              <w:spacing w:line="470" w:lineRule="exact"/>
              <w:ind w:left="1135" w:hanging="284"/>
              <w:textDirection w:val="lrTbV"/>
              <w:rPr>
                <w:sz w:val="28"/>
              </w:rPr>
            </w:pPr>
            <w:r w:rsidRPr="00DD223E">
              <w:rPr>
                <w:rFonts w:hint="eastAsia"/>
                <w:sz w:val="28"/>
              </w:rPr>
              <w:t>□甲方取得全部權利。</w:t>
            </w:r>
          </w:p>
          <w:p w:rsidR="00A57882" w:rsidRPr="00DD223E" w:rsidRDefault="00A57882" w:rsidP="00D87139">
            <w:pPr>
              <w:spacing w:line="470" w:lineRule="exact"/>
              <w:ind w:left="1135" w:hanging="284"/>
              <w:textDirection w:val="lrTbV"/>
              <w:rPr>
                <w:sz w:val="28"/>
              </w:rPr>
            </w:pPr>
            <w:r w:rsidRPr="00DD223E">
              <w:rPr>
                <w:rFonts w:hint="eastAsia"/>
                <w:sz w:val="28"/>
              </w:rPr>
              <w:t>□甲方取得部分權利(內容由甲方</w:t>
            </w:r>
            <w:r w:rsidRPr="00DD223E">
              <w:rPr>
                <w:rFonts w:hint="eastAsia"/>
                <w:spacing w:val="-4"/>
                <w:sz w:val="28"/>
              </w:rPr>
              <w:t>於招標時載明)</w:t>
            </w:r>
            <w:r w:rsidRPr="00DD223E">
              <w:rPr>
                <w:rFonts w:hint="eastAsia"/>
                <w:sz w:val="28"/>
              </w:rPr>
              <w:t>。</w:t>
            </w:r>
          </w:p>
          <w:p w:rsidR="00A57882" w:rsidRPr="00DD223E" w:rsidRDefault="00A57882" w:rsidP="00D87139">
            <w:pPr>
              <w:spacing w:line="470" w:lineRule="exact"/>
              <w:ind w:left="1135" w:hanging="284"/>
              <w:textDirection w:val="lrTbV"/>
              <w:rPr>
                <w:sz w:val="28"/>
              </w:rPr>
            </w:pPr>
            <w:r w:rsidRPr="00DD223E">
              <w:rPr>
                <w:rFonts w:hint="eastAsia"/>
                <w:sz w:val="28"/>
              </w:rPr>
              <w:t>□甲方取得授權（</w:t>
            </w:r>
            <w:r w:rsidRPr="00DD223E">
              <w:rPr>
                <w:rFonts w:hAnsi="標楷體" w:hint="eastAsia"/>
                <w:sz w:val="28"/>
              </w:rPr>
              <w:t>由甲方擇一於招標時載明）</w:t>
            </w:r>
            <w:r w:rsidRPr="00DD223E">
              <w:rPr>
                <w:rFonts w:hint="eastAsia"/>
                <w:sz w:val="28"/>
              </w:rPr>
              <w:t>：</w:t>
            </w:r>
          </w:p>
          <w:p w:rsidR="00A57882" w:rsidRPr="00DD223E" w:rsidRDefault="00A57882" w:rsidP="00D87139">
            <w:pPr>
              <w:numPr>
                <w:ilvl w:val="1"/>
                <w:numId w:val="10"/>
              </w:numPr>
              <w:tabs>
                <w:tab w:val="clear" w:pos="2280"/>
                <w:tab w:val="num" w:pos="1980"/>
              </w:tabs>
              <w:overflowPunct/>
              <w:autoSpaceDE/>
              <w:autoSpaceDN/>
              <w:spacing w:line="470" w:lineRule="exact"/>
              <w:ind w:hanging="840"/>
              <w:textDirection w:val="lrTbV"/>
              <w:rPr>
                <w:sz w:val="28"/>
              </w:rPr>
            </w:pPr>
            <w:r w:rsidRPr="00DD223E">
              <w:rPr>
                <w:rFonts w:hint="eastAsia"/>
                <w:sz w:val="28"/>
              </w:rPr>
              <w:t>全部授權。</w:t>
            </w:r>
          </w:p>
          <w:p w:rsidR="00A57882" w:rsidRPr="00DD223E" w:rsidRDefault="00A57882" w:rsidP="00D87139">
            <w:pPr>
              <w:numPr>
                <w:ilvl w:val="1"/>
                <w:numId w:val="10"/>
              </w:numPr>
              <w:tabs>
                <w:tab w:val="clear" w:pos="2280"/>
                <w:tab w:val="num" w:pos="1980"/>
              </w:tabs>
              <w:overflowPunct/>
              <w:autoSpaceDE/>
              <w:autoSpaceDN/>
              <w:spacing w:line="470" w:lineRule="exact"/>
              <w:ind w:hanging="840"/>
              <w:textDirection w:val="lrTbV"/>
              <w:rPr>
                <w:sz w:val="28"/>
              </w:rPr>
            </w:pPr>
            <w:r w:rsidRPr="00DD223E">
              <w:rPr>
                <w:rFonts w:hint="eastAsia"/>
                <w:sz w:val="28"/>
              </w:rPr>
              <w:t>部分授權(內容由甲方</w:t>
            </w:r>
            <w:r w:rsidRPr="00DD223E">
              <w:rPr>
                <w:rFonts w:hint="eastAsia"/>
                <w:spacing w:val="-4"/>
                <w:sz w:val="28"/>
              </w:rPr>
              <w:t>於招標時載明)。</w:t>
            </w:r>
          </w:p>
          <w:p w:rsidR="00A57882" w:rsidRPr="00DD223E" w:rsidRDefault="00A57882" w:rsidP="00D87139">
            <w:pPr>
              <w:tabs>
                <w:tab w:val="left" w:pos="851"/>
              </w:tabs>
              <w:spacing w:line="470" w:lineRule="exact"/>
              <w:ind w:leftChars="263" w:left="895" w:right="57" w:firstLineChars="184" w:firstLine="552"/>
              <w:rPr>
                <w:sz w:val="28"/>
                <w:szCs w:val="28"/>
              </w:rPr>
            </w:pPr>
            <w:r w:rsidRPr="00DD223E">
              <w:rPr>
                <w:rFonts w:hint="eastAsia"/>
                <w:sz w:val="28"/>
              </w:rPr>
              <w:t>□其他：</w:t>
            </w:r>
            <w:r w:rsidRPr="00DD223E">
              <w:rPr>
                <w:rFonts w:hint="eastAsia"/>
                <w:sz w:val="28"/>
                <w:u w:val="single"/>
              </w:rPr>
              <w:t xml:space="preserve">　　　　　　　</w:t>
            </w:r>
            <w:r w:rsidRPr="00DD223E">
              <w:rPr>
                <w:rFonts w:hint="eastAsia"/>
                <w:sz w:val="28"/>
              </w:rPr>
              <w:t>(內容由甲方</w:t>
            </w:r>
            <w:r w:rsidRPr="00DD223E">
              <w:rPr>
                <w:rFonts w:hint="eastAsia"/>
                <w:spacing w:val="-4"/>
                <w:sz w:val="28"/>
              </w:rPr>
              <w:t>於招標時載明)</w:t>
            </w:r>
            <w:r w:rsidRPr="00DD223E">
              <w:rPr>
                <w:rFonts w:hint="eastAsia"/>
                <w:sz w:val="28"/>
              </w:rPr>
              <w:t>。</w:t>
            </w:r>
          </w:p>
          <w:p w:rsidR="00A57882" w:rsidRPr="00DD223E" w:rsidRDefault="00A57882" w:rsidP="00D87139">
            <w:pPr>
              <w:numPr>
                <w:ilvl w:val="0"/>
                <w:numId w:val="27"/>
              </w:numPr>
              <w:tabs>
                <w:tab w:val="left" w:pos="851"/>
              </w:tabs>
              <w:overflowPunct/>
              <w:autoSpaceDE/>
              <w:autoSpaceDN/>
              <w:spacing w:line="470" w:lineRule="exact"/>
              <w:ind w:left="1276" w:right="57" w:hanging="646"/>
              <w:rPr>
                <w:sz w:val="28"/>
                <w:szCs w:val="28"/>
              </w:rPr>
            </w:pPr>
            <w:r w:rsidRPr="00DD223E">
              <w:rPr>
                <w:rFonts w:hAnsi="標楷體" w:hint="eastAsia"/>
                <w:sz w:val="28"/>
                <w:szCs w:val="28"/>
              </w:rPr>
              <w:t>有關著作權法第24條與第28條之權利，他方得行使該權利，惟涉有政府機密者，不在此限。</w:t>
            </w:r>
          </w:p>
          <w:p w:rsidR="00A57882" w:rsidRPr="00DD223E" w:rsidRDefault="00A57882" w:rsidP="00D87139">
            <w:pPr>
              <w:numPr>
                <w:ilvl w:val="0"/>
                <w:numId w:val="27"/>
              </w:numPr>
              <w:tabs>
                <w:tab w:val="left" w:pos="851"/>
              </w:tabs>
              <w:overflowPunct/>
              <w:autoSpaceDE/>
              <w:autoSpaceDN/>
              <w:spacing w:line="470" w:lineRule="exact"/>
              <w:ind w:left="1276" w:right="57" w:hanging="646"/>
              <w:rPr>
                <w:sz w:val="28"/>
                <w:szCs w:val="28"/>
              </w:rPr>
            </w:pPr>
            <w:r w:rsidRPr="00DD223E">
              <w:rPr>
                <w:rFonts w:hint="eastAsia"/>
                <w:sz w:val="28"/>
                <w:szCs w:val="28"/>
              </w:rPr>
              <w:t>除另有規定外，乙方如在履約使用專利品、專利性履約方法，或涉及著作權時，有關專利及著作權，概由乙方依照有關法令規定處理，其費用亦由乙方負擔。</w:t>
            </w:r>
          </w:p>
          <w:p w:rsidR="00A57882" w:rsidRPr="00DD223E" w:rsidRDefault="00A57882" w:rsidP="00D87139">
            <w:pPr>
              <w:numPr>
                <w:ilvl w:val="0"/>
                <w:numId w:val="27"/>
              </w:numPr>
              <w:tabs>
                <w:tab w:val="left" w:pos="851"/>
              </w:tabs>
              <w:overflowPunct/>
              <w:autoSpaceDE/>
              <w:autoSpaceDN/>
              <w:spacing w:line="470" w:lineRule="exact"/>
              <w:ind w:left="1276" w:right="57" w:hanging="646"/>
              <w:rPr>
                <w:sz w:val="28"/>
                <w:szCs w:val="28"/>
              </w:rPr>
            </w:pPr>
            <w:r w:rsidRPr="00DD223E">
              <w:rPr>
                <w:rFonts w:hint="eastAsia"/>
                <w:sz w:val="28"/>
                <w:szCs w:val="28"/>
              </w:rPr>
              <w:t>甲方及乙方應採取必要之措施，以保障他方免於因契約</w:t>
            </w:r>
            <w:r w:rsidRPr="00DD223E">
              <w:rPr>
                <w:rFonts w:hint="eastAsia"/>
                <w:sz w:val="28"/>
                <w:szCs w:val="28"/>
              </w:rPr>
              <w:lastRenderedPageBreak/>
              <w:t>之履行而遭第三人請求損害賠償。其有致第三人損害者，應由造成損害原因之一方負責賠償。</w:t>
            </w:r>
          </w:p>
          <w:p w:rsidR="00A57882" w:rsidRPr="00DD223E" w:rsidRDefault="00A57882" w:rsidP="00D87139">
            <w:pPr>
              <w:numPr>
                <w:ilvl w:val="0"/>
                <w:numId w:val="27"/>
              </w:numPr>
              <w:tabs>
                <w:tab w:val="left" w:pos="851"/>
              </w:tabs>
              <w:overflowPunct/>
              <w:autoSpaceDE/>
              <w:autoSpaceDN/>
              <w:spacing w:line="470" w:lineRule="exact"/>
              <w:ind w:left="1276" w:right="57" w:hanging="646"/>
              <w:rPr>
                <w:sz w:val="28"/>
                <w:szCs w:val="28"/>
              </w:rPr>
            </w:pPr>
            <w:r w:rsidRPr="00DD223E">
              <w:rPr>
                <w:rFonts w:hAnsi="標楷體" w:hint="eastAsia"/>
                <w:sz w:val="28"/>
                <w:szCs w:val="28"/>
              </w:rPr>
              <w:t>甲方對於乙方、分包廠商及其人員因履約所致之人體傷亡或財物損失，不負賠償責任。</w:t>
            </w:r>
          </w:p>
          <w:p w:rsidR="00A57882" w:rsidRPr="00DD223E" w:rsidRDefault="00A57882" w:rsidP="00D87139">
            <w:pPr>
              <w:numPr>
                <w:ilvl w:val="0"/>
                <w:numId w:val="27"/>
              </w:numPr>
              <w:tabs>
                <w:tab w:val="left" w:pos="851"/>
              </w:tabs>
              <w:overflowPunct/>
              <w:autoSpaceDE/>
              <w:autoSpaceDN/>
              <w:spacing w:line="470" w:lineRule="exact"/>
              <w:ind w:left="1276" w:right="57" w:hanging="646"/>
              <w:rPr>
                <w:b/>
                <w:sz w:val="28"/>
                <w:szCs w:val="28"/>
              </w:rPr>
            </w:pPr>
            <w:r w:rsidRPr="00DD223E">
              <w:rPr>
                <w:rFonts w:hint="eastAsia"/>
                <w:b/>
                <w:sz w:val="28"/>
                <w:szCs w:val="28"/>
              </w:rPr>
              <w:t>委託規劃、設計、監造或管理之契約，乙方因規劃設計錯誤、監造不實或管理不善，致甲方遭受損害，乙方應負賠償責任</w:t>
            </w:r>
            <w:r w:rsidRPr="00DD223E">
              <w:rPr>
                <w:rFonts w:hAnsi="標楷體" w:hint="eastAsia"/>
                <w:b/>
                <w:sz w:val="28"/>
                <w:szCs w:val="28"/>
              </w:rPr>
              <w:t>其認定有爭議者，依照爭議處理條款辦理</w:t>
            </w:r>
            <w:r w:rsidRPr="00DD223E">
              <w:rPr>
                <w:rFonts w:hint="eastAsia"/>
                <w:b/>
                <w:sz w:val="28"/>
                <w:szCs w:val="28"/>
              </w:rPr>
              <w:t>。</w:t>
            </w:r>
          </w:p>
          <w:p w:rsidR="00A57882" w:rsidRPr="00DD223E" w:rsidRDefault="00A57882" w:rsidP="00D87139">
            <w:pPr>
              <w:numPr>
                <w:ilvl w:val="0"/>
                <w:numId w:val="28"/>
              </w:numPr>
              <w:overflowPunct/>
              <w:autoSpaceDE/>
              <w:autoSpaceDN/>
              <w:spacing w:line="470" w:lineRule="exact"/>
              <w:jc w:val="left"/>
              <w:rPr>
                <w:rFonts w:hAnsi="標楷體"/>
                <w:b/>
                <w:sz w:val="28"/>
                <w:szCs w:val="28"/>
              </w:rPr>
            </w:pPr>
            <w:r w:rsidRPr="00DD223E">
              <w:rPr>
                <w:rFonts w:hAnsi="標楷體" w:hint="eastAsia"/>
                <w:b/>
                <w:sz w:val="28"/>
                <w:szCs w:val="28"/>
              </w:rPr>
              <w:t>損害賠償之範圍，依民法第216條第1項規定，以填補債權人所受損害及所失利益為限。□但非因故意或重大過失所致之損害，契約雙方所負賠償責任不包括「所失利益」（得由甲方於招標時勾選）。</w:t>
            </w:r>
          </w:p>
          <w:p w:rsidR="00A57882" w:rsidRPr="00DD223E" w:rsidRDefault="00A57882" w:rsidP="00D87139">
            <w:pPr>
              <w:numPr>
                <w:ilvl w:val="0"/>
                <w:numId w:val="28"/>
              </w:numPr>
              <w:tabs>
                <w:tab w:val="clear" w:pos="1980"/>
              </w:tabs>
              <w:overflowPunct/>
              <w:autoSpaceDE/>
              <w:autoSpaceDN/>
              <w:spacing w:line="470" w:lineRule="exact"/>
              <w:jc w:val="left"/>
              <w:rPr>
                <w:rFonts w:hAnsi="標楷體"/>
                <w:b/>
                <w:sz w:val="28"/>
                <w:szCs w:val="28"/>
              </w:rPr>
            </w:pPr>
            <w:r w:rsidRPr="00DD223E">
              <w:rPr>
                <w:rFonts w:hAnsi="標楷體" w:hint="eastAsia"/>
                <w:b/>
                <w:sz w:val="28"/>
                <w:szCs w:val="28"/>
              </w:rPr>
              <w:t>除懲罰性違約金及逾期違約金外，損害賠償金額上限為：（甲方欲訂上限者，請於招標時載明）</w:t>
            </w:r>
          </w:p>
          <w:p w:rsidR="00A57882" w:rsidRPr="00DD223E" w:rsidRDefault="00A57882" w:rsidP="00D87139">
            <w:pPr>
              <w:spacing w:line="470" w:lineRule="exact"/>
              <w:ind w:firstLineChars="640" w:firstLine="1923"/>
              <w:rPr>
                <w:rFonts w:hAnsi="標楷體"/>
                <w:b/>
                <w:sz w:val="28"/>
                <w:szCs w:val="28"/>
              </w:rPr>
            </w:pPr>
            <w:r w:rsidRPr="00DD223E">
              <w:rPr>
                <w:rFonts w:hAnsi="標楷體" w:hint="eastAsia"/>
                <w:b/>
                <w:sz w:val="28"/>
                <w:szCs w:val="28"/>
              </w:rPr>
              <w:t>□契約價金總額。</w:t>
            </w:r>
          </w:p>
          <w:p w:rsidR="00A57882" w:rsidRPr="00DD223E" w:rsidRDefault="00A57882" w:rsidP="00D87139">
            <w:pPr>
              <w:spacing w:line="470" w:lineRule="exact"/>
              <w:ind w:firstLineChars="640" w:firstLine="1923"/>
              <w:rPr>
                <w:rFonts w:hAnsi="標楷體"/>
                <w:b/>
                <w:sz w:val="28"/>
                <w:szCs w:val="28"/>
              </w:rPr>
            </w:pPr>
            <w:r w:rsidRPr="00DD223E">
              <w:rPr>
                <w:rFonts w:hAnsi="標楷體" w:hint="eastAsia"/>
                <w:b/>
                <w:sz w:val="28"/>
                <w:szCs w:val="28"/>
              </w:rPr>
              <w:t>□契約價金總額之＿＿倍。</w:t>
            </w:r>
          </w:p>
          <w:p w:rsidR="00A57882" w:rsidRPr="00DD223E" w:rsidRDefault="00A57882" w:rsidP="00D87139">
            <w:pPr>
              <w:spacing w:line="470" w:lineRule="exact"/>
              <w:ind w:firstLineChars="640" w:firstLine="1923"/>
              <w:rPr>
                <w:rFonts w:hAnsi="標楷體"/>
                <w:b/>
                <w:sz w:val="28"/>
                <w:szCs w:val="28"/>
              </w:rPr>
            </w:pPr>
            <w:r w:rsidRPr="00DD223E">
              <w:rPr>
                <w:rFonts w:hAnsi="標楷體" w:hint="eastAsia"/>
                <w:b/>
                <w:sz w:val="28"/>
                <w:szCs w:val="28"/>
              </w:rPr>
              <w:t>□契約價金總額之＿＿％。</w:t>
            </w:r>
          </w:p>
          <w:p w:rsidR="00A57882" w:rsidRPr="00DD223E" w:rsidRDefault="00A57882" w:rsidP="00D87139">
            <w:pPr>
              <w:spacing w:line="470" w:lineRule="exact"/>
              <w:ind w:firstLineChars="640" w:firstLine="1923"/>
              <w:rPr>
                <w:rFonts w:hAnsi="標楷體"/>
                <w:b/>
                <w:sz w:val="28"/>
                <w:szCs w:val="28"/>
              </w:rPr>
            </w:pPr>
            <w:r w:rsidRPr="00DD223E">
              <w:rPr>
                <w:rFonts w:hAnsi="標楷體" w:hint="eastAsia"/>
                <w:b/>
                <w:sz w:val="28"/>
                <w:szCs w:val="28"/>
              </w:rPr>
              <w:t>□固定金額＿＿＿元。</w:t>
            </w:r>
          </w:p>
          <w:p w:rsidR="00A57882" w:rsidRPr="00DD223E" w:rsidRDefault="00A57882" w:rsidP="00D87139">
            <w:pPr>
              <w:numPr>
                <w:ilvl w:val="0"/>
                <w:numId w:val="28"/>
              </w:numPr>
              <w:tabs>
                <w:tab w:val="clear" w:pos="1980"/>
              </w:tabs>
              <w:overflowPunct/>
              <w:autoSpaceDE/>
              <w:autoSpaceDN/>
              <w:spacing w:line="470" w:lineRule="exact"/>
              <w:jc w:val="left"/>
              <w:rPr>
                <w:rFonts w:hAnsi="標楷體"/>
                <w:b/>
                <w:sz w:val="28"/>
                <w:szCs w:val="28"/>
              </w:rPr>
            </w:pPr>
            <w:r w:rsidRPr="00DD223E">
              <w:rPr>
                <w:rFonts w:hAnsi="標楷體" w:hint="eastAsia"/>
                <w:b/>
                <w:sz w:val="28"/>
                <w:szCs w:val="28"/>
              </w:rPr>
              <w:t>前目訂有損害賠償金額上限者，於法令另有規定，或乙方隱瞞工作之瑕疵、故意或重大過失行為、對智慧財產權或對第三人發生侵權行為，對甲方所造成之損害賠償，不受賠償金額上限之限制。</w:t>
            </w:r>
          </w:p>
          <w:p w:rsidR="00A57882" w:rsidRPr="00DD223E" w:rsidRDefault="00A57882" w:rsidP="00D87139">
            <w:pPr>
              <w:numPr>
                <w:ilvl w:val="0"/>
                <w:numId w:val="27"/>
              </w:numPr>
              <w:tabs>
                <w:tab w:val="left" w:pos="851"/>
              </w:tabs>
              <w:overflowPunct/>
              <w:autoSpaceDE/>
              <w:autoSpaceDN/>
              <w:spacing w:line="470" w:lineRule="exact"/>
              <w:ind w:left="1276" w:right="57" w:hanging="646"/>
              <w:rPr>
                <w:sz w:val="28"/>
                <w:szCs w:val="28"/>
              </w:rPr>
            </w:pPr>
            <w:r w:rsidRPr="00DD223E">
              <w:rPr>
                <w:rFonts w:hAnsi="標楷體"/>
                <w:sz w:val="28"/>
                <w:szCs w:val="28"/>
              </w:rPr>
              <w:t>甲方依乙方履約結果辦理採購，因乙方計算數量錯誤或項目漏列，致該採購結算</w:t>
            </w:r>
            <w:r w:rsidRPr="00DD223E">
              <w:rPr>
                <w:rFonts w:hAnsi="標楷體" w:hint="eastAsia"/>
                <w:sz w:val="28"/>
                <w:szCs w:val="28"/>
              </w:rPr>
              <w:t>增加金額與減少金額絕對值合計，</w:t>
            </w:r>
            <w:r w:rsidRPr="00DD223E">
              <w:rPr>
                <w:rFonts w:hAnsi="標楷體"/>
                <w:sz w:val="28"/>
                <w:szCs w:val="28"/>
              </w:rPr>
              <w:t>逾</w:t>
            </w:r>
            <w:r w:rsidRPr="00DD223E">
              <w:rPr>
                <w:rFonts w:hAnsi="標楷體" w:hint="eastAsia"/>
                <w:sz w:val="28"/>
                <w:szCs w:val="28"/>
              </w:rPr>
              <w:t>採購契約價金總額</w:t>
            </w:r>
            <w:r w:rsidRPr="00DD223E">
              <w:rPr>
                <w:rFonts w:hAnsi="標楷體"/>
                <w:sz w:val="28"/>
                <w:szCs w:val="28"/>
              </w:rPr>
              <w:t>百分之</w:t>
            </w:r>
            <w:r w:rsidRPr="00DD223E">
              <w:rPr>
                <w:rFonts w:hAnsi="標楷體" w:hint="eastAsia"/>
                <w:sz w:val="28"/>
                <w:szCs w:val="28"/>
              </w:rPr>
              <w:t>五</w:t>
            </w:r>
            <w:r w:rsidRPr="00DD223E">
              <w:rPr>
                <w:rFonts w:hAnsi="標楷體"/>
                <w:sz w:val="28"/>
                <w:szCs w:val="28"/>
              </w:rPr>
              <w:t>者，應就超過百分之</w:t>
            </w:r>
            <w:r w:rsidRPr="00DD223E">
              <w:rPr>
                <w:rFonts w:hAnsi="標楷體" w:hint="eastAsia"/>
                <w:sz w:val="28"/>
                <w:szCs w:val="28"/>
              </w:rPr>
              <w:t>五</w:t>
            </w:r>
            <w:r w:rsidRPr="00DD223E">
              <w:rPr>
                <w:rFonts w:hAnsi="標楷體"/>
                <w:sz w:val="28"/>
                <w:szCs w:val="28"/>
              </w:rPr>
              <w:t>部分占該採購契約價金總額之比率</w:t>
            </w:r>
            <w:r w:rsidRPr="00DD223E">
              <w:rPr>
                <w:rFonts w:hAnsi="標楷體" w:hint="eastAsia"/>
                <w:sz w:val="28"/>
                <w:szCs w:val="28"/>
              </w:rPr>
              <w:t>，</w:t>
            </w:r>
            <w:r w:rsidRPr="00DD223E">
              <w:rPr>
                <w:rFonts w:hAnsi="標楷體"/>
                <w:sz w:val="28"/>
                <w:szCs w:val="28"/>
              </w:rPr>
              <w:t>乘以契約價金規劃設計部分總額計算違約金。但本</w:t>
            </w:r>
            <w:r w:rsidRPr="00DD223E">
              <w:rPr>
                <w:rFonts w:hAnsi="標楷體" w:hint="eastAsia"/>
                <w:sz w:val="28"/>
                <w:szCs w:val="28"/>
              </w:rPr>
              <w:t>款</w:t>
            </w:r>
            <w:r w:rsidRPr="00DD223E">
              <w:rPr>
                <w:rFonts w:hAnsi="標楷體"/>
                <w:sz w:val="28"/>
                <w:szCs w:val="28"/>
              </w:rPr>
              <w:t>累計違約金以契約價金總額之百分之十為上限。</w:t>
            </w:r>
            <w:r w:rsidRPr="00DD223E">
              <w:rPr>
                <w:rFonts w:hAnsi="標楷體" w:hint="eastAsia"/>
                <w:sz w:val="28"/>
                <w:szCs w:val="28"/>
              </w:rPr>
              <w:t>本款之「</w:t>
            </w:r>
            <w:r w:rsidRPr="00DD223E">
              <w:rPr>
                <w:rFonts w:hAnsi="標楷體"/>
                <w:sz w:val="28"/>
                <w:szCs w:val="28"/>
              </w:rPr>
              <w:t>採購契約價金總額</w:t>
            </w:r>
            <w:r w:rsidRPr="00DD223E">
              <w:rPr>
                <w:rFonts w:hAnsi="標楷體" w:hint="eastAsia"/>
                <w:sz w:val="28"/>
                <w:szCs w:val="28"/>
              </w:rPr>
              <w:t>」</w:t>
            </w:r>
            <w:r w:rsidRPr="00DD223E">
              <w:rPr>
                <w:rFonts w:hAnsi="標楷體"/>
                <w:sz w:val="28"/>
                <w:szCs w:val="28"/>
              </w:rPr>
              <w:t>，係指依</w:t>
            </w:r>
            <w:r w:rsidRPr="00DD223E">
              <w:rPr>
                <w:rFonts w:hAnsi="標楷體" w:hint="eastAsia"/>
                <w:sz w:val="28"/>
                <w:szCs w:val="28"/>
              </w:rPr>
              <w:t>乙方</w:t>
            </w:r>
            <w:r w:rsidRPr="00DD223E">
              <w:rPr>
                <w:rFonts w:hAnsi="標楷體"/>
                <w:sz w:val="28"/>
                <w:szCs w:val="28"/>
              </w:rPr>
              <w:t>履約結果辦理</w:t>
            </w:r>
            <w:r w:rsidRPr="00DD223E">
              <w:rPr>
                <w:rFonts w:hAnsi="標楷體" w:hint="eastAsia"/>
                <w:sz w:val="28"/>
                <w:szCs w:val="28"/>
              </w:rPr>
              <w:t>工程採購</w:t>
            </w:r>
            <w:r w:rsidRPr="00DD223E">
              <w:rPr>
                <w:rFonts w:hAnsi="標楷體"/>
                <w:sz w:val="28"/>
                <w:szCs w:val="28"/>
              </w:rPr>
              <w:t>決標</w:t>
            </w:r>
            <w:r w:rsidRPr="00DD223E">
              <w:rPr>
                <w:rFonts w:hAnsi="標楷體" w:hint="eastAsia"/>
                <w:sz w:val="28"/>
                <w:szCs w:val="28"/>
              </w:rPr>
              <w:t>時之</w:t>
            </w:r>
            <w:r w:rsidRPr="00DD223E">
              <w:rPr>
                <w:rFonts w:hAnsi="標楷體"/>
                <w:sz w:val="28"/>
                <w:szCs w:val="28"/>
              </w:rPr>
              <w:t>契約價金總額</w:t>
            </w:r>
            <w:r w:rsidRPr="00DD223E">
              <w:rPr>
                <w:rFonts w:hAnsi="標楷體" w:hint="eastAsia"/>
                <w:sz w:val="28"/>
                <w:szCs w:val="28"/>
              </w:rPr>
              <w:t>。</w:t>
            </w:r>
          </w:p>
          <w:p w:rsidR="00A57882" w:rsidRPr="00DD223E" w:rsidRDefault="00A57882" w:rsidP="00D87139">
            <w:pPr>
              <w:numPr>
                <w:ilvl w:val="0"/>
                <w:numId w:val="27"/>
              </w:numPr>
              <w:tabs>
                <w:tab w:val="left" w:pos="851"/>
              </w:tabs>
              <w:overflowPunct/>
              <w:autoSpaceDE/>
              <w:autoSpaceDN/>
              <w:spacing w:line="470" w:lineRule="exact"/>
              <w:ind w:left="1276" w:right="57" w:hanging="646"/>
              <w:rPr>
                <w:sz w:val="28"/>
                <w:szCs w:val="28"/>
              </w:rPr>
            </w:pPr>
            <w:r w:rsidRPr="00DD223E">
              <w:rPr>
                <w:rFonts w:hint="eastAsia"/>
                <w:sz w:val="28"/>
                <w:szCs w:val="28"/>
              </w:rPr>
              <w:lastRenderedPageBreak/>
              <w:t>甲方不得於本契約納列提供甲方使用之公務車輛、提供甲方人員使用之影印機、電腦設備、行動電話(含門號)、傳真機及其他應由甲方人員自備之辦公設施及其耗材。</w:t>
            </w:r>
          </w:p>
          <w:p w:rsidR="00A57882" w:rsidRPr="00DD223E" w:rsidRDefault="00A57882" w:rsidP="007B4F2C">
            <w:pPr>
              <w:numPr>
                <w:ilvl w:val="0"/>
                <w:numId w:val="27"/>
              </w:numPr>
              <w:tabs>
                <w:tab w:val="left" w:pos="851"/>
              </w:tabs>
              <w:overflowPunct/>
              <w:autoSpaceDE/>
              <w:autoSpaceDN/>
              <w:spacing w:line="470" w:lineRule="exact"/>
              <w:ind w:left="1276" w:right="57" w:hanging="646"/>
            </w:pPr>
            <w:r w:rsidRPr="00DD223E">
              <w:rPr>
                <w:rFonts w:hint="eastAsia"/>
                <w:sz w:val="28"/>
                <w:szCs w:val="28"/>
              </w:rPr>
              <w:t>甲方不得指揮乙方人員從事與本契約無關之工作。</w:t>
            </w:r>
          </w:p>
        </w:tc>
      </w:tr>
    </w:tbl>
    <w:p w:rsidR="00400C20" w:rsidRPr="00DD223E" w:rsidRDefault="00A57882" w:rsidP="00D87139">
      <w:pPr>
        <w:pStyle w:val="4"/>
        <w:spacing w:line="470" w:lineRule="exact"/>
      </w:pPr>
      <w:r w:rsidRPr="00DD223E">
        <w:rPr>
          <w:rFonts w:hint="eastAsia"/>
        </w:rPr>
        <w:lastRenderedPageBreak/>
        <w:t>上開技服範本第14條第8款針對建築師損害賠償範圍得訂定上限，</w:t>
      </w:r>
      <w:r w:rsidR="00400C20" w:rsidRPr="00DD223E">
        <w:rPr>
          <w:rFonts w:hint="eastAsia"/>
        </w:rPr>
        <w:t>另據工程會查復，技服範本第10條第1款：「乙方應於履約期間辦理下列保險(由甲方擇定後於招標時載明，無者免填)，其屬自然人者，應自行另投保人身意外險。（一）建築師事務所、技師事務所及工程技術顧問公司應投保專業責任險。包括因業務疏漏、錯誤或過失，違反業務上之義務，致甲方或其他第三人受有之損失。（二）□雇主意外責任險。（三）□其他：____。」機關於個案契約要求乙方履約內容包含投保相關責任保險，係透過保險以協助乙方分擔損害賠償之風險，乙方如認有投保更高額保險之必要，亦得主動投保。</w:t>
      </w:r>
    </w:p>
    <w:p w:rsidR="00400C20" w:rsidRPr="00DD223E" w:rsidRDefault="00400C20" w:rsidP="00D87139">
      <w:pPr>
        <w:pStyle w:val="4"/>
        <w:spacing w:line="470" w:lineRule="exact"/>
      </w:pPr>
      <w:r w:rsidRPr="00DD223E">
        <w:rPr>
          <w:rFonts w:hint="eastAsia"/>
        </w:rPr>
        <w:t>因此依現行技服範本第14條、第10條規定，建築師透過損害賠償範圍上限及保險機制之契約條款，分散建築規劃、設計上不可預見之風險，對於促進建築師參與公共建設，應有所助益。</w:t>
      </w:r>
    </w:p>
    <w:p w:rsidR="00A57882" w:rsidRPr="00DD223E" w:rsidRDefault="005B25E2" w:rsidP="00D87139">
      <w:pPr>
        <w:pStyle w:val="3"/>
        <w:spacing w:line="470" w:lineRule="exact"/>
      </w:pPr>
      <w:r w:rsidRPr="00DD223E">
        <w:rPr>
          <w:rFonts w:hint="eastAsia"/>
        </w:rPr>
        <w:t>技服範本第14條第8款第3目訂有損害賠償金額上限之例外情形</w:t>
      </w:r>
      <w:r w:rsidR="004D7EA3" w:rsidRPr="00DD223E">
        <w:rPr>
          <w:rFonts w:hint="eastAsia"/>
        </w:rPr>
        <w:t>，包含</w:t>
      </w:r>
      <w:r w:rsidRPr="00DD223E">
        <w:rPr>
          <w:rFonts w:hint="eastAsia"/>
        </w:rPr>
        <w:t>：A.法令另有規定、B.乙方隱瞞工作之瑕疵、C.故意或重大過失行為、D.對智慧財產權或對第三人發生侵權行為等。</w:t>
      </w:r>
      <w:r w:rsidR="00B70873" w:rsidRPr="00DD223E">
        <w:rPr>
          <w:rFonts w:hint="eastAsia"/>
        </w:rPr>
        <w:t>其中B</w:t>
      </w:r>
      <w:r w:rsidR="00B335AE" w:rsidRPr="00DD223E">
        <w:rPr>
          <w:rFonts w:hint="eastAsia"/>
        </w:rPr>
        <w:t>.</w:t>
      </w:r>
      <w:r w:rsidR="00B70873" w:rsidRPr="00DD223E">
        <w:rPr>
          <w:rFonts w:hint="eastAsia"/>
        </w:rPr>
        <w:t>、C</w:t>
      </w:r>
      <w:r w:rsidR="00B335AE" w:rsidRPr="00DD223E">
        <w:rPr>
          <w:rFonts w:hint="eastAsia"/>
        </w:rPr>
        <w:t>.情形，</w:t>
      </w:r>
      <w:r w:rsidR="00B70873" w:rsidRPr="00DD223E">
        <w:rPr>
          <w:rFonts w:hint="eastAsia"/>
        </w:rPr>
        <w:t>均涉及乙方之故意或重大過失行為，依民法第222條規定，本無由以契約免除乙方之賠償責任。</w:t>
      </w:r>
      <w:r w:rsidR="00B335AE" w:rsidRPr="00DD223E">
        <w:rPr>
          <w:rFonts w:hint="eastAsia"/>
        </w:rPr>
        <w:t>而在A.、D.情形，工程會查復表示，在涉及民法第227條第2項加害給付、或對於第三人發生侵權行為</w:t>
      </w:r>
      <w:r w:rsidR="00B335AE" w:rsidRPr="00DD223E">
        <w:rPr>
          <w:rFonts w:hint="eastAsia"/>
        </w:rPr>
        <w:lastRenderedPageBreak/>
        <w:t>情形時，前者屬於A.情形；後者屬於D.情形，因涉及人民生命、身體、財產</w:t>
      </w:r>
      <w:r w:rsidR="002B3E47" w:rsidRPr="00DD223E">
        <w:rPr>
          <w:rFonts w:hint="eastAsia"/>
        </w:rPr>
        <w:t>之保</w:t>
      </w:r>
      <w:r w:rsidR="0047128E" w:rsidRPr="00DD223E">
        <w:rPr>
          <w:rFonts w:hint="eastAsia"/>
        </w:rPr>
        <w:t>障</w:t>
      </w:r>
      <w:r w:rsidR="00B335AE" w:rsidRPr="00DD223E">
        <w:rPr>
          <w:rFonts w:hint="eastAsia"/>
        </w:rPr>
        <w:t>，自應屬損害賠償上限之例外情形。</w:t>
      </w:r>
    </w:p>
    <w:p w:rsidR="00B335AE" w:rsidRPr="00DD223E" w:rsidRDefault="00105A8A" w:rsidP="00D87139">
      <w:pPr>
        <w:pStyle w:val="3"/>
        <w:spacing w:line="470" w:lineRule="exact"/>
      </w:pPr>
      <w:r w:rsidRPr="00DD223E">
        <w:rPr>
          <w:rFonts w:hint="eastAsia"/>
        </w:rPr>
        <w:t>惟查，基於契約相對性，</w:t>
      </w:r>
      <w:r w:rsidR="002B3E47" w:rsidRPr="00DD223E">
        <w:rPr>
          <w:rFonts w:hint="eastAsia"/>
        </w:rPr>
        <w:t>無須在政府機關與建築師間設計、監造契約中</w:t>
      </w:r>
      <w:r w:rsidR="008E02BD" w:rsidRPr="00DD223E">
        <w:rPr>
          <w:rFonts w:hint="eastAsia"/>
        </w:rPr>
        <w:t>，</w:t>
      </w:r>
      <w:r w:rsidR="002B3E47" w:rsidRPr="00DD223E">
        <w:rPr>
          <w:rFonts w:hint="eastAsia"/>
        </w:rPr>
        <w:t>訂定對於第三人發生</w:t>
      </w:r>
      <w:r w:rsidR="00994CFA" w:rsidRPr="00DD223E">
        <w:rPr>
          <w:rFonts w:hint="eastAsia"/>
        </w:rPr>
        <w:t>侵權行為</w:t>
      </w:r>
      <w:r w:rsidR="002B3E47" w:rsidRPr="00DD223E">
        <w:rPr>
          <w:rFonts w:hint="eastAsia"/>
        </w:rPr>
        <w:t>損害賠償時，損害賠償有無上限之問題，如有相關約款，第三人於受有損害時，因非契約當事人，</w:t>
      </w:r>
      <w:r w:rsidR="008E02BD" w:rsidRPr="00DD223E">
        <w:rPr>
          <w:rFonts w:hint="eastAsia"/>
        </w:rPr>
        <w:t>本</w:t>
      </w:r>
      <w:r w:rsidR="002B3E47" w:rsidRPr="00DD223E">
        <w:rPr>
          <w:rFonts w:hint="eastAsia"/>
        </w:rPr>
        <w:t>不受該契約條款之限制。然</w:t>
      </w:r>
      <w:r w:rsidR="008E02BD" w:rsidRPr="00DD223E">
        <w:rPr>
          <w:rFonts w:hint="eastAsia"/>
        </w:rPr>
        <w:t>而</w:t>
      </w:r>
      <w:r w:rsidR="0047128E" w:rsidRPr="00DD223E">
        <w:rPr>
          <w:rFonts w:hint="eastAsia"/>
        </w:rPr>
        <w:t>，</w:t>
      </w:r>
      <w:r w:rsidR="002B3E47" w:rsidRPr="00DD223E">
        <w:rPr>
          <w:rFonts w:hint="eastAsia"/>
        </w:rPr>
        <w:t>在民法第227條第2項加害給付情形，縱使對於契約當事人</w:t>
      </w:r>
      <w:r w:rsidR="0047128E" w:rsidRPr="00DD223E">
        <w:rPr>
          <w:rFonts w:hint="eastAsia"/>
        </w:rPr>
        <w:t>之</w:t>
      </w:r>
      <w:r w:rsidR="002B3E47" w:rsidRPr="00DD223E">
        <w:rPr>
          <w:rFonts w:hint="eastAsia"/>
        </w:rPr>
        <w:t>生命、身體、財產等固有利益產生侵害，基於契約相對性，是否完全不得適用損害賠償有上限之</w:t>
      </w:r>
      <w:r w:rsidR="00994CFA" w:rsidRPr="00DD223E">
        <w:rPr>
          <w:rFonts w:hint="eastAsia"/>
        </w:rPr>
        <w:t>契約</w:t>
      </w:r>
      <w:r w:rsidR="002B3E47" w:rsidRPr="00DD223E">
        <w:rPr>
          <w:rFonts w:hint="eastAsia"/>
        </w:rPr>
        <w:t>條款，恐滋疑義。況且，</w:t>
      </w:r>
      <w:r w:rsidR="0047128E" w:rsidRPr="00DD223E">
        <w:rPr>
          <w:rFonts w:hint="eastAsia"/>
        </w:rPr>
        <w:t>如</w:t>
      </w:r>
      <w:r w:rsidR="00994CFA" w:rsidRPr="00DD223E">
        <w:rPr>
          <w:rFonts w:hint="eastAsia"/>
        </w:rPr>
        <w:t>在民法</w:t>
      </w:r>
      <w:r w:rsidR="002B3E47" w:rsidRPr="00DD223E">
        <w:rPr>
          <w:rFonts w:hint="eastAsia"/>
        </w:rPr>
        <w:t>第227條第1項可以適用</w:t>
      </w:r>
      <w:r w:rsidR="00994CFA" w:rsidRPr="00DD223E">
        <w:rPr>
          <w:rFonts w:hint="eastAsia"/>
        </w:rPr>
        <w:t>損害賠償有上限之契約條款</w:t>
      </w:r>
      <w:r w:rsidR="002B3E47" w:rsidRPr="00DD223E">
        <w:rPr>
          <w:rFonts w:hint="eastAsia"/>
        </w:rPr>
        <w:t>；</w:t>
      </w:r>
      <w:r w:rsidR="00994CFA" w:rsidRPr="00DD223E">
        <w:rPr>
          <w:rFonts w:hint="eastAsia"/>
        </w:rPr>
        <w:t>同法</w:t>
      </w:r>
      <w:r w:rsidR="002B3E47" w:rsidRPr="00DD223E">
        <w:rPr>
          <w:rFonts w:hint="eastAsia"/>
        </w:rPr>
        <w:t>第227條第2項</w:t>
      </w:r>
      <w:r w:rsidR="00994CFA" w:rsidRPr="00DD223E">
        <w:rPr>
          <w:rFonts w:hint="eastAsia"/>
        </w:rPr>
        <w:t>卻</w:t>
      </w:r>
      <w:r w:rsidR="002B3E47" w:rsidRPr="00DD223E">
        <w:rPr>
          <w:rFonts w:hint="eastAsia"/>
        </w:rPr>
        <w:t>不得適用，</w:t>
      </w:r>
      <w:r w:rsidR="0047128E" w:rsidRPr="00DD223E">
        <w:rPr>
          <w:rFonts w:hint="eastAsia"/>
        </w:rPr>
        <w:t>其</w:t>
      </w:r>
      <w:r w:rsidR="002B3E47" w:rsidRPr="00DD223E">
        <w:rPr>
          <w:rFonts w:hint="eastAsia"/>
        </w:rPr>
        <w:t>理由</w:t>
      </w:r>
      <w:r w:rsidR="00994CFA" w:rsidRPr="00DD223E">
        <w:rPr>
          <w:rFonts w:hint="eastAsia"/>
        </w:rPr>
        <w:t>竟</w:t>
      </w:r>
      <w:r w:rsidR="002B3E47" w:rsidRPr="00DD223E">
        <w:rPr>
          <w:rFonts w:hint="eastAsia"/>
        </w:rPr>
        <w:t>在於</w:t>
      </w:r>
      <w:r w:rsidR="00994CFA" w:rsidRPr="00DD223E">
        <w:rPr>
          <w:rFonts w:hint="eastAsia"/>
        </w:rPr>
        <w:t>「法令另有規定」，</w:t>
      </w:r>
      <w:r w:rsidR="0047128E" w:rsidRPr="00DD223E">
        <w:rPr>
          <w:rFonts w:hint="eastAsia"/>
        </w:rPr>
        <w:t>實</w:t>
      </w:r>
      <w:r w:rsidR="00994CFA" w:rsidRPr="00DD223E">
        <w:rPr>
          <w:rFonts w:hint="eastAsia"/>
        </w:rPr>
        <w:t>殊難想像何以同一條文之不同項次，竟</w:t>
      </w:r>
      <w:r w:rsidR="004F4D10" w:rsidRPr="00DD223E">
        <w:rPr>
          <w:rFonts w:hint="eastAsia"/>
        </w:rPr>
        <w:t>屬</w:t>
      </w:r>
      <w:r w:rsidR="00994CFA" w:rsidRPr="00DD223E">
        <w:rPr>
          <w:rFonts w:hint="eastAsia"/>
        </w:rPr>
        <w:t>「法令另有規定」</w:t>
      </w:r>
      <w:r w:rsidR="0047128E" w:rsidRPr="00DD223E">
        <w:rPr>
          <w:rFonts w:hint="eastAsia"/>
        </w:rPr>
        <w:t>！</w:t>
      </w:r>
    </w:p>
    <w:p w:rsidR="009F74E5" w:rsidRPr="00DD223E" w:rsidRDefault="0047128E" w:rsidP="00D87139">
      <w:pPr>
        <w:pStyle w:val="3"/>
        <w:spacing w:line="470" w:lineRule="exact"/>
      </w:pPr>
      <w:r w:rsidRPr="00DD223E">
        <w:rPr>
          <w:rFonts w:hint="eastAsia"/>
        </w:rPr>
        <w:t>揆諸近年臺南、花蓮大地震，導致人民重大傷亡之慘劇，攸關民眾使用或增進人民福祉之</w:t>
      </w:r>
      <w:r w:rsidR="002842FE" w:rsidRPr="00DD223E">
        <w:rPr>
          <w:rFonts w:hint="eastAsia"/>
        </w:rPr>
        <w:t>建築</w:t>
      </w:r>
      <w:r w:rsidRPr="00DD223E">
        <w:rPr>
          <w:rFonts w:hint="eastAsia"/>
        </w:rPr>
        <w:t>公共工程</w:t>
      </w:r>
      <w:r w:rsidR="001B69EF" w:rsidRPr="00DD223E">
        <w:rPr>
          <w:rFonts w:hint="eastAsia"/>
        </w:rPr>
        <w:t>規劃、設計</w:t>
      </w:r>
      <w:r w:rsidRPr="00DD223E">
        <w:rPr>
          <w:rFonts w:hint="eastAsia"/>
        </w:rPr>
        <w:t>，相關契約範本倘訂有損害賠償額之上限，理應有所限制，故設有例外情形，實屬必要。惟就上開技服範本訂定之例外情形，工程會實未能妥為合理說明。</w:t>
      </w:r>
    </w:p>
    <w:p w:rsidR="0047128E" w:rsidRPr="00DD223E" w:rsidRDefault="0047128E" w:rsidP="00D87139">
      <w:pPr>
        <w:pStyle w:val="3"/>
        <w:spacing w:line="470" w:lineRule="exact"/>
      </w:pPr>
      <w:r w:rsidRPr="00DD223E">
        <w:rPr>
          <w:rFonts w:hint="eastAsia"/>
        </w:rPr>
        <w:t>再者，民法對於</w:t>
      </w:r>
      <w:r w:rsidR="00A22E56" w:rsidRPr="00DD223E">
        <w:rPr>
          <w:rFonts w:hint="eastAsia"/>
        </w:rPr>
        <w:t>違反義務之主觀要件區分為故意及過失，過失程度也有</w:t>
      </w:r>
      <w:r w:rsidRPr="00DD223E">
        <w:rPr>
          <w:rFonts w:hint="eastAsia"/>
        </w:rPr>
        <w:t>區分</w:t>
      </w:r>
      <w:r w:rsidR="00A22E56" w:rsidRPr="00DD223E">
        <w:rPr>
          <w:rFonts w:hint="eastAsia"/>
        </w:rPr>
        <w:t>，包含重大過失、具體輕過失、抽象輕過失等</w:t>
      </w:r>
      <w:r w:rsidR="008E02BD" w:rsidRPr="00DD223E">
        <w:rPr>
          <w:rFonts w:hint="eastAsia"/>
        </w:rPr>
        <w:t>。</w:t>
      </w:r>
      <w:r w:rsidR="002842FE" w:rsidRPr="00DD223E">
        <w:rPr>
          <w:rFonts w:hint="eastAsia"/>
        </w:rPr>
        <w:t>上開技服範本中B.、C.之例外情形，僅就契約當事人之故意及重大過失不得預先免除，</w:t>
      </w:r>
      <w:r w:rsidR="008E02BD" w:rsidRPr="00DD223E">
        <w:rPr>
          <w:rFonts w:hint="eastAsia"/>
        </w:rPr>
        <w:t>故</w:t>
      </w:r>
      <w:r w:rsidR="002842FE" w:rsidRPr="00DD223E">
        <w:rPr>
          <w:rFonts w:hint="eastAsia"/>
        </w:rPr>
        <w:t>如屬違反善良管理人注意義務之抽象輕過失（如同本案判決認定建築師有抽象輕過失），倘依技服範本訂有損害賠償上限之契約條款時，則</w:t>
      </w:r>
      <w:r w:rsidR="002842FE" w:rsidRPr="00DD223E">
        <w:rPr>
          <w:rFonts w:hint="eastAsia"/>
        </w:rPr>
        <w:lastRenderedPageBreak/>
        <w:t>可適用</w:t>
      </w:r>
      <w:r w:rsidR="001B69EF" w:rsidRPr="00DD223E">
        <w:rPr>
          <w:rFonts w:hint="eastAsia"/>
        </w:rPr>
        <w:t>，允應加以釐清</w:t>
      </w:r>
      <w:r w:rsidR="004205D1" w:rsidRPr="00DD223E">
        <w:rPr>
          <w:rFonts w:hint="eastAsia"/>
        </w:rPr>
        <w:t>，此</w:t>
      </w:r>
      <w:r w:rsidR="002842FE" w:rsidRPr="00DD223E">
        <w:rPr>
          <w:rFonts w:hint="eastAsia"/>
        </w:rPr>
        <w:t>有賴工程會詳細分析、檢視，並廣為宣導，以免外界錯誤解讀，始屬正辦。</w:t>
      </w:r>
    </w:p>
    <w:p w:rsidR="007A036B" w:rsidRPr="00DD223E" w:rsidRDefault="000167A1" w:rsidP="00D87139">
      <w:pPr>
        <w:pStyle w:val="3"/>
        <w:spacing w:line="470" w:lineRule="exact"/>
      </w:pPr>
      <w:r w:rsidRPr="00DD223E">
        <w:rPr>
          <w:rFonts w:hint="eastAsia"/>
        </w:rPr>
        <w:t>綜上，</w:t>
      </w:r>
      <w:r w:rsidR="007A036B" w:rsidRPr="00DD223E">
        <w:rPr>
          <w:rFonts w:hint="eastAsia"/>
        </w:rPr>
        <w:t>工程會訂定契約範本，具有引領各政府部門訂定公共工程契約之作用。建築師參與公共工程之設計、監造之技服範本，訂有損害賠償範圍上限，並搭配保險制度，對於建築師損害賠償範圍合理化已有所規範；然對於損害賠償範圍上限之例外情形，未能於技服範本中妥為說明，諸如為避免人身損害之加害給付，故設有例外規定。揆諸近年臺南、花蓮大地震，導致人民重大傷亡之慘劇，</w:t>
      </w:r>
      <w:r w:rsidR="005460D0" w:rsidRPr="00DD223E">
        <w:rPr>
          <w:rFonts w:hint="eastAsia"/>
        </w:rPr>
        <w:t>攸關公眾使用安全及增進公共利益之公共工程建設</w:t>
      </w:r>
      <w:r w:rsidR="007A036B" w:rsidRPr="00DD223E">
        <w:rPr>
          <w:rFonts w:hint="eastAsia"/>
        </w:rPr>
        <w:t>，相關免責規範，允應有所節制，故訂定損害賠償上限之例外情形應屬必要，惟為免外界誤解，工程會對於相關條款之設計目的，應加以釐清，並廣為宣導。</w:t>
      </w:r>
    </w:p>
    <w:p w:rsidR="004802AB" w:rsidRPr="00DD223E" w:rsidRDefault="00787204" w:rsidP="00D87139">
      <w:pPr>
        <w:pStyle w:val="2"/>
        <w:spacing w:line="470" w:lineRule="exact"/>
        <w:rPr>
          <w:b/>
        </w:rPr>
      </w:pPr>
      <w:r w:rsidRPr="00DD223E">
        <w:rPr>
          <w:rFonts w:hint="eastAsia"/>
          <w:b/>
        </w:rPr>
        <w:t>公共工程建設攸關民眾生命安全與公共利益</w:t>
      </w:r>
      <w:r w:rsidR="00AE428E" w:rsidRPr="00DD223E">
        <w:rPr>
          <w:rFonts w:hint="eastAsia"/>
          <w:b/>
        </w:rPr>
        <w:t>，相關基礎與結構設計及施工</w:t>
      </w:r>
      <w:r w:rsidR="00F0313D" w:rsidRPr="00DD223E">
        <w:rPr>
          <w:rFonts w:hint="eastAsia"/>
          <w:b/>
        </w:rPr>
        <w:t>均</w:t>
      </w:r>
      <w:r w:rsidR="00AE428E" w:rsidRPr="00DD223E">
        <w:rPr>
          <w:rFonts w:hint="eastAsia"/>
          <w:b/>
        </w:rPr>
        <w:t>屬高度專業分工，依建築法第13條</w:t>
      </w:r>
      <w:r w:rsidR="00F0313D" w:rsidRPr="00DD223E">
        <w:rPr>
          <w:rFonts w:hint="eastAsia"/>
          <w:b/>
        </w:rPr>
        <w:t>第1項但書</w:t>
      </w:r>
      <w:r w:rsidR="00AE428E" w:rsidRPr="00DD223E">
        <w:rPr>
          <w:rFonts w:hint="eastAsia"/>
          <w:b/>
        </w:rPr>
        <w:t>，即使由相關專業工業技師簽證負責，</w:t>
      </w:r>
      <w:r w:rsidR="004802AB" w:rsidRPr="00DD223E">
        <w:rPr>
          <w:rFonts w:hint="eastAsia"/>
          <w:b/>
        </w:rPr>
        <w:t>仍</w:t>
      </w:r>
      <w:r w:rsidR="00AE428E" w:rsidRPr="00DD223E">
        <w:rPr>
          <w:rFonts w:hint="eastAsia"/>
          <w:b/>
        </w:rPr>
        <w:t>由建築師負連帶責任。</w:t>
      </w:r>
      <w:r w:rsidR="00BB5DD9" w:rsidRPr="00DD223E">
        <w:rPr>
          <w:rFonts w:hint="eastAsia"/>
          <w:b/>
        </w:rPr>
        <w:t>惟</w:t>
      </w:r>
      <w:r w:rsidR="00AE428E" w:rsidRPr="00DD223E">
        <w:rPr>
          <w:rFonts w:hint="eastAsia"/>
          <w:b/>
        </w:rPr>
        <w:t>為因應建築產業之專業分工細緻化，各種專業人士之權利與義務內涵應經嚴密剪裁而相互對應。</w:t>
      </w:r>
      <w:r w:rsidR="00F0313D" w:rsidRPr="00DD223E">
        <w:rPr>
          <w:rFonts w:hint="eastAsia"/>
          <w:b/>
        </w:rPr>
        <w:t>故</w:t>
      </w:r>
      <w:r w:rsidR="004D7C23" w:rsidRPr="00DD223E">
        <w:rPr>
          <w:rFonts w:hint="eastAsia"/>
          <w:b/>
        </w:rPr>
        <w:t>建築師進行專業分工</w:t>
      </w:r>
      <w:r w:rsidR="00AE428E" w:rsidRPr="00DD223E">
        <w:rPr>
          <w:rFonts w:hint="eastAsia"/>
          <w:b/>
        </w:rPr>
        <w:t>，</w:t>
      </w:r>
      <w:r w:rsidR="00F0313D" w:rsidRPr="00DD223E">
        <w:rPr>
          <w:rFonts w:hint="eastAsia"/>
          <w:b/>
        </w:rPr>
        <w:t>將</w:t>
      </w:r>
      <w:r w:rsidR="00AE428E" w:rsidRPr="00DD223E">
        <w:rPr>
          <w:rFonts w:hint="eastAsia"/>
          <w:b/>
        </w:rPr>
        <w:t>有關</w:t>
      </w:r>
      <w:r w:rsidR="004D7C23" w:rsidRPr="00DD223E">
        <w:rPr>
          <w:rFonts w:hint="eastAsia"/>
          <w:b/>
        </w:rPr>
        <w:t>建築物結構及設備</w:t>
      </w:r>
      <w:r w:rsidR="00AE428E" w:rsidRPr="00DD223E">
        <w:rPr>
          <w:rFonts w:hint="eastAsia"/>
          <w:b/>
        </w:rPr>
        <w:t>，</w:t>
      </w:r>
      <w:r w:rsidR="004D7C23" w:rsidRPr="00DD223E">
        <w:rPr>
          <w:rFonts w:hint="eastAsia"/>
          <w:b/>
        </w:rPr>
        <w:t>複委託給依法登記開業之結構、大地等專業工業技師，進行簽證之際，</w:t>
      </w:r>
      <w:r w:rsidR="00AE428E" w:rsidRPr="00DD223E">
        <w:rPr>
          <w:rFonts w:hint="eastAsia"/>
          <w:b/>
        </w:rPr>
        <w:t>其基礎與結構之設計及施工是否安全，</w:t>
      </w:r>
      <w:r w:rsidR="004802AB" w:rsidRPr="00DD223E">
        <w:rPr>
          <w:rFonts w:hint="eastAsia"/>
          <w:b/>
        </w:rPr>
        <w:t>如何使權利、義務對應相符，並落實各專業技師簽證</w:t>
      </w:r>
      <w:r w:rsidR="00694E1E" w:rsidRPr="00DD223E">
        <w:rPr>
          <w:rFonts w:hint="eastAsia"/>
          <w:b/>
        </w:rPr>
        <w:t>之</w:t>
      </w:r>
      <w:r w:rsidR="004802AB" w:rsidRPr="00DD223E">
        <w:rPr>
          <w:rFonts w:hint="eastAsia"/>
          <w:b/>
        </w:rPr>
        <w:t>損害賠償責任，</w:t>
      </w:r>
      <w:r w:rsidR="00694E1E" w:rsidRPr="00DD223E">
        <w:rPr>
          <w:rFonts w:hint="eastAsia"/>
          <w:b/>
        </w:rPr>
        <w:t>或規範複委託契約範本</w:t>
      </w:r>
      <w:r w:rsidR="004802AB" w:rsidRPr="00DD223E">
        <w:rPr>
          <w:rFonts w:hint="eastAsia"/>
          <w:b/>
        </w:rPr>
        <w:t>，</w:t>
      </w:r>
      <w:r w:rsidR="00F0313D" w:rsidRPr="00DD223E">
        <w:rPr>
          <w:rFonts w:hint="eastAsia"/>
          <w:b/>
        </w:rPr>
        <w:t>以</w:t>
      </w:r>
      <w:r w:rsidR="004802AB" w:rsidRPr="00DD223E">
        <w:rPr>
          <w:rFonts w:hint="eastAsia"/>
          <w:b/>
        </w:rPr>
        <w:t>指引建築師與專業工業技師簽訂契約，相關機制之建立，仍有待</w:t>
      </w:r>
      <w:r w:rsidR="00694E1E" w:rsidRPr="00DD223E">
        <w:rPr>
          <w:rFonts w:hint="eastAsia"/>
          <w:b/>
        </w:rPr>
        <w:t>營建署及工程會</w:t>
      </w:r>
      <w:r w:rsidR="00F0313D" w:rsidRPr="00DD223E">
        <w:rPr>
          <w:rFonts w:hint="eastAsia"/>
          <w:b/>
        </w:rPr>
        <w:t>積極</w:t>
      </w:r>
      <w:r w:rsidR="004802AB" w:rsidRPr="00DD223E">
        <w:rPr>
          <w:rFonts w:hint="eastAsia"/>
          <w:b/>
        </w:rPr>
        <w:t>研析、檢討。</w:t>
      </w:r>
    </w:p>
    <w:p w:rsidR="00AE428E" w:rsidRPr="00DD223E" w:rsidRDefault="00AE428E" w:rsidP="00D87139">
      <w:pPr>
        <w:pStyle w:val="3"/>
        <w:spacing w:line="470" w:lineRule="exact"/>
      </w:pPr>
      <w:r w:rsidRPr="00DD223E">
        <w:rPr>
          <w:rFonts w:hint="eastAsia"/>
        </w:rPr>
        <w:t>按建築法第13條第1項規定：「本法所稱建築物設計人及監造人為建築師，以依法登記開業之建築師為</w:t>
      </w:r>
      <w:r w:rsidRPr="00DD223E">
        <w:rPr>
          <w:rFonts w:hint="eastAsia"/>
        </w:rPr>
        <w:lastRenderedPageBreak/>
        <w:t>限。但有關建築物結構及設備等專業工程部分，除五層以下非供公眾使用之建築物外，應由承辦建築師交由依法登記開業之專業工業技師負責辦理，建築師並負連帶責任。」65年1月8日修法理由略以：「高樓建築物結構之計算與建築物各種機電設備之設計與監造，須由專業之工業技師辦理，故將各種專業工業技師之業務及責任，增訂於本條文內。又為求各種設計及施工密切配合起見，故規定由承辦之建築師負責交辦，並連帶負責。」是以條文</w:t>
      </w:r>
      <w:r w:rsidR="00DE7EEC" w:rsidRPr="00DD223E">
        <w:rPr>
          <w:rFonts w:hint="eastAsia"/>
        </w:rPr>
        <w:t>之立法</w:t>
      </w:r>
      <w:r w:rsidR="007A036B" w:rsidRPr="00DD223E">
        <w:rPr>
          <w:rFonts w:hint="eastAsia"/>
        </w:rPr>
        <w:t>原意</w:t>
      </w:r>
      <w:r w:rsidRPr="00DD223E">
        <w:rPr>
          <w:rFonts w:hint="eastAsia"/>
        </w:rPr>
        <w:t>，係由建築師統籌</w:t>
      </w:r>
      <w:r w:rsidR="007A036B" w:rsidRPr="00DD223E">
        <w:rPr>
          <w:rFonts w:hint="eastAsia"/>
        </w:rPr>
        <w:t>公眾使用</w:t>
      </w:r>
      <w:r w:rsidRPr="00DD223E">
        <w:rPr>
          <w:rFonts w:hint="eastAsia"/>
        </w:rPr>
        <w:t>建築物之</w:t>
      </w:r>
      <w:r w:rsidR="007A036B" w:rsidRPr="00DD223E">
        <w:rPr>
          <w:rFonts w:hint="eastAsia"/>
        </w:rPr>
        <w:t>「</w:t>
      </w:r>
      <w:r w:rsidRPr="00DD223E">
        <w:rPr>
          <w:rFonts w:hint="eastAsia"/>
        </w:rPr>
        <w:t>成敗</w:t>
      </w:r>
      <w:r w:rsidR="007A036B" w:rsidRPr="00DD223E">
        <w:rPr>
          <w:rFonts w:hint="eastAsia"/>
        </w:rPr>
        <w:t>」</w:t>
      </w:r>
      <w:r w:rsidRPr="00DD223E">
        <w:rPr>
          <w:rFonts w:hint="eastAsia"/>
        </w:rPr>
        <w:t>，</w:t>
      </w:r>
      <w:r w:rsidR="00DE7EEC" w:rsidRPr="00DD223E">
        <w:rPr>
          <w:rFonts w:hint="eastAsia"/>
        </w:rPr>
        <w:t>並</w:t>
      </w:r>
      <w:r w:rsidRPr="00DD223E">
        <w:rPr>
          <w:rFonts w:hint="eastAsia"/>
        </w:rPr>
        <w:t>對於其複委託之專業技師之疏失，負連帶賠償責任。</w:t>
      </w:r>
    </w:p>
    <w:p w:rsidR="004802AB" w:rsidRPr="00DD223E" w:rsidRDefault="00AE428E" w:rsidP="00D87139">
      <w:pPr>
        <w:pStyle w:val="3"/>
        <w:spacing w:line="470" w:lineRule="exact"/>
      </w:pPr>
      <w:r w:rsidRPr="00DD223E">
        <w:rPr>
          <w:rFonts w:hint="eastAsia"/>
        </w:rPr>
        <w:t>關於公共工程建築物設計與施工，涉及建築師、各專業技師間之分工，並由建築師依法複委託相關專業技師簽證，並由建築師負連帶責任。關於如屬複委託技師之設計錯誤，機關可否直接向相關技師求償</w:t>
      </w:r>
      <w:r w:rsidR="009722B1" w:rsidRPr="00DD223E">
        <w:rPr>
          <w:rFonts w:hint="eastAsia"/>
        </w:rPr>
        <w:t>一</w:t>
      </w:r>
      <w:r w:rsidRPr="00DD223E">
        <w:rPr>
          <w:rFonts w:hint="eastAsia"/>
        </w:rPr>
        <w:t>節，據工程會</w:t>
      </w:r>
      <w:r w:rsidR="000C6E21" w:rsidRPr="00DD223E">
        <w:rPr>
          <w:rFonts w:hint="eastAsia"/>
        </w:rPr>
        <w:t>查復，基於債</w:t>
      </w:r>
      <w:r w:rsidRPr="00DD223E">
        <w:rPr>
          <w:rFonts w:hint="eastAsia"/>
        </w:rPr>
        <w:t>之相對性，機關無法逕向分包技師求償。以及受託設計之建築師可再向複委託之設計者求償，由實際執行之技師負責等語。</w:t>
      </w:r>
    </w:p>
    <w:p w:rsidR="00D22295" w:rsidRPr="00DD223E" w:rsidRDefault="00AE428E" w:rsidP="00D87139">
      <w:pPr>
        <w:pStyle w:val="3"/>
        <w:spacing w:line="470" w:lineRule="exact"/>
      </w:pPr>
      <w:r w:rsidRPr="00DD223E">
        <w:rPr>
          <w:rFonts w:hint="eastAsia"/>
        </w:rPr>
        <w:t>惟</w:t>
      </w:r>
      <w:r w:rsidR="000C6E21" w:rsidRPr="00DD223E">
        <w:rPr>
          <w:rFonts w:hint="eastAsia"/>
        </w:rPr>
        <w:t>查，</w:t>
      </w:r>
      <w:r w:rsidR="004802AB" w:rsidRPr="00DD223E">
        <w:rPr>
          <w:rFonts w:hint="eastAsia"/>
        </w:rPr>
        <w:t>建築產業之專業分工</w:t>
      </w:r>
      <w:r w:rsidR="00C3146C" w:rsidRPr="00DD223E">
        <w:rPr>
          <w:rFonts w:hint="eastAsia"/>
        </w:rPr>
        <w:t>已趨</w:t>
      </w:r>
      <w:r w:rsidR="004802AB" w:rsidRPr="00DD223E">
        <w:rPr>
          <w:rFonts w:hint="eastAsia"/>
        </w:rPr>
        <w:t>細緻，各專業人士之權利與義務內涵應經嚴密剪裁而相互對應。</w:t>
      </w:r>
      <w:r w:rsidRPr="00DD223E">
        <w:rPr>
          <w:rFonts w:hint="eastAsia"/>
        </w:rPr>
        <w:t>現今建築設計已高度專業分工並簽證負責，樓層高達二、三十樓屢見不鮮，對於基礎設計、結構設計等建築物結構安全，</w:t>
      </w:r>
      <w:r w:rsidR="004802AB" w:rsidRPr="00DD223E">
        <w:rPr>
          <w:rFonts w:hint="eastAsia"/>
        </w:rPr>
        <w:t>依</w:t>
      </w:r>
      <w:r w:rsidRPr="00DD223E">
        <w:rPr>
          <w:rFonts w:hint="eastAsia"/>
        </w:rPr>
        <w:t>建築法第13條規定係由建築師複委任大地技師、結構技師等簽證負責，並由建築師負連帶責任，</w:t>
      </w:r>
      <w:r w:rsidR="004802AB" w:rsidRPr="00DD223E">
        <w:rPr>
          <w:rFonts w:hint="eastAsia"/>
        </w:rPr>
        <w:t>倘</w:t>
      </w:r>
      <w:r w:rsidRPr="00DD223E">
        <w:rPr>
          <w:rFonts w:hint="eastAsia"/>
        </w:rPr>
        <w:t>基於債之相對性</w:t>
      </w:r>
      <w:r w:rsidR="004802AB" w:rsidRPr="00DD223E">
        <w:rPr>
          <w:rFonts w:hint="eastAsia"/>
        </w:rPr>
        <w:t>，</w:t>
      </w:r>
      <w:r w:rsidRPr="00DD223E">
        <w:rPr>
          <w:rFonts w:hint="eastAsia"/>
        </w:rPr>
        <w:t>僅對簽約建築師求償，</w:t>
      </w:r>
      <w:r w:rsidR="004802AB" w:rsidRPr="00DD223E">
        <w:rPr>
          <w:rFonts w:hint="eastAsia"/>
        </w:rPr>
        <w:t>涉及</w:t>
      </w:r>
      <w:r w:rsidRPr="00DD223E">
        <w:rPr>
          <w:rFonts w:hint="eastAsia"/>
        </w:rPr>
        <w:t>基礎結構等攸關建物結構安全設計</w:t>
      </w:r>
      <w:r w:rsidR="004802AB" w:rsidRPr="00DD223E">
        <w:rPr>
          <w:rFonts w:hint="eastAsia"/>
        </w:rPr>
        <w:t>之受</w:t>
      </w:r>
      <w:r w:rsidRPr="00DD223E">
        <w:rPr>
          <w:rFonts w:hint="eastAsia"/>
        </w:rPr>
        <w:t>複委託</w:t>
      </w:r>
      <w:r w:rsidR="004802AB" w:rsidRPr="00DD223E">
        <w:rPr>
          <w:rFonts w:hint="eastAsia"/>
        </w:rPr>
        <w:t>之專業</w:t>
      </w:r>
      <w:r w:rsidRPr="00DD223E">
        <w:rPr>
          <w:rFonts w:hint="eastAsia"/>
        </w:rPr>
        <w:t>技師</w:t>
      </w:r>
      <w:r w:rsidR="004802AB" w:rsidRPr="00DD223E">
        <w:rPr>
          <w:rFonts w:hint="eastAsia"/>
        </w:rPr>
        <w:t>，則</w:t>
      </w:r>
      <w:r w:rsidRPr="00DD223E">
        <w:rPr>
          <w:rFonts w:hint="eastAsia"/>
        </w:rPr>
        <w:t>非機關之求償對象，往往</w:t>
      </w:r>
      <w:r w:rsidRPr="00DD223E">
        <w:rPr>
          <w:rFonts w:hint="eastAsia"/>
        </w:rPr>
        <w:lastRenderedPageBreak/>
        <w:t>導致因監造建築師</w:t>
      </w:r>
      <w:r w:rsidR="000C6E21" w:rsidRPr="00DD223E">
        <w:rPr>
          <w:rFonts w:hint="eastAsia"/>
        </w:rPr>
        <w:t>先遭求償後，才衍生建築師向專業技師求償之問題</w:t>
      </w:r>
      <w:r w:rsidRPr="00DD223E">
        <w:rPr>
          <w:rFonts w:hint="eastAsia"/>
        </w:rPr>
        <w:t>，而</w:t>
      </w:r>
      <w:r w:rsidR="000C6E21" w:rsidRPr="00DD223E">
        <w:rPr>
          <w:rFonts w:hint="eastAsia"/>
        </w:rPr>
        <w:t>使專業技師</w:t>
      </w:r>
      <w:r w:rsidRPr="00DD223E">
        <w:rPr>
          <w:rFonts w:hint="eastAsia"/>
        </w:rPr>
        <w:t>輕忽其所簽證責任之嚴重性，易滋流弊。如再希盼經由法院訴訟三審定讞後，始釐清複委託之求償責任</w:t>
      </w:r>
      <w:r w:rsidR="000C6E21" w:rsidRPr="00DD223E">
        <w:rPr>
          <w:rFonts w:hint="eastAsia"/>
        </w:rPr>
        <w:t>，</w:t>
      </w:r>
      <w:r w:rsidRPr="00DD223E">
        <w:rPr>
          <w:rFonts w:hint="eastAsia"/>
        </w:rPr>
        <w:t>再由監造建築師向複委託技師請求分攤損害賠償，往往曠日費時，或技師早已脫產</w:t>
      </w:r>
      <w:r w:rsidR="000C6E21" w:rsidRPr="00DD223E">
        <w:rPr>
          <w:rFonts w:hint="eastAsia"/>
        </w:rPr>
        <w:t>；抑或苛求建築師於遭求償之際，要求建築師儘早向專業技師求償，面對雙重訴訟之壓力，</w:t>
      </w:r>
      <w:r w:rsidR="00C3146C" w:rsidRPr="00DD223E">
        <w:rPr>
          <w:rFonts w:hint="eastAsia"/>
        </w:rPr>
        <w:t>亦</w:t>
      </w:r>
      <w:r w:rsidR="000C6E21" w:rsidRPr="00DD223E">
        <w:rPr>
          <w:rFonts w:hint="eastAsia"/>
        </w:rPr>
        <w:t>非妥適。</w:t>
      </w:r>
    </w:p>
    <w:p w:rsidR="00AE428E" w:rsidRPr="00DD223E" w:rsidRDefault="008B3407" w:rsidP="00D87139">
      <w:pPr>
        <w:pStyle w:val="3"/>
        <w:spacing w:line="470" w:lineRule="exact"/>
      </w:pPr>
      <w:r w:rsidRPr="00DD223E">
        <w:rPr>
          <w:rFonts w:hint="eastAsia"/>
        </w:rPr>
        <w:t>況</w:t>
      </w:r>
      <w:r w:rsidR="00A601C4" w:rsidRPr="00DD223E">
        <w:rPr>
          <w:rFonts w:hint="eastAsia"/>
        </w:rPr>
        <w:t>且，</w:t>
      </w:r>
      <w:r w:rsidR="00E45367" w:rsidRPr="00DD223E">
        <w:rPr>
          <w:rFonts w:hint="eastAsia"/>
        </w:rPr>
        <w:t>現今</w:t>
      </w:r>
      <w:r w:rsidRPr="00DD223E">
        <w:rPr>
          <w:rFonts w:hint="eastAsia"/>
        </w:rPr>
        <w:t>大</w:t>
      </w:r>
      <w:r w:rsidR="000C6E21" w:rsidRPr="00DD223E">
        <w:rPr>
          <w:rFonts w:hint="eastAsia"/>
        </w:rPr>
        <w:t>多數大型公共建設，委</w:t>
      </w:r>
      <w:r w:rsidR="00E45367" w:rsidRPr="00DD223E">
        <w:rPr>
          <w:rFonts w:hint="eastAsia"/>
        </w:rPr>
        <w:t>由</w:t>
      </w:r>
      <w:r w:rsidR="000C6E21" w:rsidRPr="00DD223E">
        <w:rPr>
          <w:rFonts w:hint="eastAsia"/>
        </w:rPr>
        <w:t>營建署進行專案管理或督導工程</w:t>
      </w:r>
      <w:r w:rsidRPr="00DD223E">
        <w:rPr>
          <w:rFonts w:hint="eastAsia"/>
        </w:rPr>
        <w:t>，亦非少數，故由建築師負連帶責任，促使建築師以其專業能力</w:t>
      </w:r>
      <w:r w:rsidR="00E45367" w:rsidRPr="00DD223E">
        <w:rPr>
          <w:rFonts w:hint="eastAsia"/>
        </w:rPr>
        <w:t>，</w:t>
      </w:r>
      <w:r w:rsidRPr="00DD223E">
        <w:rPr>
          <w:rFonts w:hint="eastAsia"/>
        </w:rPr>
        <w:t>協調統合</w:t>
      </w:r>
      <w:r w:rsidR="00E45367" w:rsidRPr="00DD223E">
        <w:rPr>
          <w:rFonts w:hint="eastAsia"/>
        </w:rPr>
        <w:t>各</w:t>
      </w:r>
      <w:r w:rsidRPr="00DD223E">
        <w:rPr>
          <w:rFonts w:hint="eastAsia"/>
        </w:rPr>
        <w:t>設計及施工專業人員間密切配合之立法目的，恐已逐漸由更具專業能力之營建署所取代，是否應</w:t>
      </w:r>
      <w:r w:rsidR="00E45367" w:rsidRPr="00DD223E">
        <w:rPr>
          <w:rFonts w:hint="eastAsia"/>
        </w:rPr>
        <w:t>考量</w:t>
      </w:r>
      <w:r w:rsidRPr="00DD223E">
        <w:rPr>
          <w:rFonts w:hint="eastAsia"/>
        </w:rPr>
        <w:t>更健全之建築</w:t>
      </w:r>
      <w:r w:rsidR="00123C07" w:rsidRPr="00DD223E">
        <w:rPr>
          <w:rFonts w:hint="eastAsia"/>
        </w:rPr>
        <w:t>政策，尤應</w:t>
      </w:r>
      <w:r w:rsidR="003A136C" w:rsidRPr="00DD223E">
        <w:rPr>
          <w:rFonts w:hint="eastAsia"/>
        </w:rPr>
        <w:t>進一步</w:t>
      </w:r>
      <w:r w:rsidR="00123C07" w:rsidRPr="00DD223E">
        <w:rPr>
          <w:rFonts w:hint="eastAsia"/>
        </w:rPr>
        <w:t>研議</w:t>
      </w:r>
      <w:r w:rsidR="000C6E21" w:rsidRPr="00DD223E">
        <w:rPr>
          <w:rFonts w:hint="eastAsia"/>
        </w:rPr>
        <w:t>。</w:t>
      </w:r>
      <w:r w:rsidR="00123C07" w:rsidRPr="00DD223E">
        <w:rPr>
          <w:rFonts w:hint="eastAsia"/>
        </w:rPr>
        <w:t>是</w:t>
      </w:r>
      <w:r w:rsidR="00E45367" w:rsidRPr="00DD223E">
        <w:rPr>
          <w:rFonts w:hint="eastAsia"/>
        </w:rPr>
        <w:t>以，</w:t>
      </w:r>
      <w:r w:rsidR="00AE428E" w:rsidRPr="00DD223E">
        <w:rPr>
          <w:rFonts w:hint="eastAsia"/>
        </w:rPr>
        <w:t>有</w:t>
      </w:r>
      <w:r w:rsidR="000C6E21" w:rsidRPr="00DD223E">
        <w:rPr>
          <w:rFonts w:hint="eastAsia"/>
        </w:rPr>
        <w:t>關</w:t>
      </w:r>
      <w:r w:rsidR="00AE428E" w:rsidRPr="00DD223E">
        <w:rPr>
          <w:rFonts w:hint="eastAsia"/>
        </w:rPr>
        <w:t>本案公共工程委託建築師規劃設計時，未來可能面臨鉅額求償等情事發生</w:t>
      </w:r>
      <w:r w:rsidR="00123C07" w:rsidRPr="00DD223E">
        <w:rPr>
          <w:rFonts w:hint="eastAsia"/>
        </w:rPr>
        <w:t>，有關機關</w:t>
      </w:r>
      <w:r w:rsidR="003A136C" w:rsidRPr="00DD223E">
        <w:rPr>
          <w:rFonts w:hint="eastAsia"/>
        </w:rPr>
        <w:t>即</w:t>
      </w:r>
      <w:r w:rsidR="00123C07" w:rsidRPr="00DD223E">
        <w:rPr>
          <w:rFonts w:hint="eastAsia"/>
        </w:rPr>
        <w:t>應有所重視</w:t>
      </w:r>
      <w:r w:rsidRPr="00DD223E">
        <w:rPr>
          <w:rFonts w:hint="eastAsia"/>
        </w:rPr>
        <w:t>。</w:t>
      </w:r>
    </w:p>
    <w:p w:rsidR="00E45367" w:rsidRPr="00DD223E" w:rsidRDefault="00E45367" w:rsidP="00D87139">
      <w:pPr>
        <w:pStyle w:val="3"/>
        <w:spacing w:line="470" w:lineRule="exact"/>
      </w:pPr>
      <w:r w:rsidRPr="00DD223E">
        <w:rPr>
          <w:rFonts w:hint="eastAsia"/>
        </w:rPr>
        <w:t>綜上，</w:t>
      </w:r>
      <w:r w:rsidR="00787204" w:rsidRPr="00DD223E">
        <w:rPr>
          <w:rFonts w:hint="eastAsia"/>
        </w:rPr>
        <w:t>公共工程建設攸關民眾生命安全與公共利益，相關基礎與結構設計及施工均屬高度專業分工，依建築法第13條第1項但書，即使由相關專業工業技師簽證負責，仍由建築師負連帶責任。惟為因應建築產業之專業分工細緻化，各種專業人士之權利與義務內涵應經嚴密剪裁而相互對應。故建築師進行專業分工，將有關建築物結構及設備，複委託給依法登記開業之結構、大地等專業工業技師，進行簽證之際，其基礎與結構之設計及施工是否安全，如何使權利、義務對應相符，並落實各專業技師簽證之損害賠償責任，或規範複委託契約範本，以指引建築師與專業工業技師簽訂契約，相關機制之建立，仍有待營建署及工程會積極研析、檢討</w:t>
      </w:r>
      <w:r w:rsidRPr="00DD223E">
        <w:rPr>
          <w:rFonts w:hint="eastAsia"/>
        </w:rPr>
        <w:t>。</w:t>
      </w:r>
    </w:p>
    <w:p w:rsidR="0018389A" w:rsidRPr="0018389A" w:rsidRDefault="0018389A" w:rsidP="0018389A">
      <w:pPr>
        <w:pStyle w:val="2"/>
        <w:numPr>
          <w:ilvl w:val="0"/>
          <w:numId w:val="0"/>
        </w:numPr>
        <w:ind w:left="1021" w:firstLineChars="200" w:firstLine="841"/>
        <w:rPr>
          <w:b/>
          <w:sz w:val="40"/>
          <w:szCs w:val="40"/>
        </w:rPr>
      </w:pPr>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Start w:id="79" w:name="_GoBack"/>
      <w:bookmarkEnd w:id="50"/>
      <w:bookmarkEnd w:id="51"/>
      <w:bookmarkEnd w:id="52"/>
      <w:bookmarkEnd w:id="53"/>
      <w:bookmarkEnd w:id="54"/>
      <w:bookmarkEnd w:id="55"/>
      <w:bookmarkEnd w:id="56"/>
      <w:bookmarkEnd w:id="57"/>
      <w:bookmarkEnd w:id="58"/>
      <w:bookmarkEnd w:id="59"/>
      <w:bookmarkEnd w:id="79"/>
      <w:r w:rsidRPr="0018389A">
        <w:rPr>
          <w:rFonts w:hint="eastAsia"/>
          <w:b/>
          <w:sz w:val="40"/>
          <w:szCs w:val="40"/>
          <w:lang w:eastAsia="zh-HK"/>
        </w:rPr>
        <w:lastRenderedPageBreak/>
        <w:t>調查委員:</w:t>
      </w:r>
      <w:r w:rsidRPr="0018389A">
        <w:rPr>
          <w:rFonts w:hint="eastAsia"/>
          <w:b/>
          <w:sz w:val="40"/>
          <w:szCs w:val="40"/>
        </w:rPr>
        <w:t>王美玉</w:t>
      </w:r>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rsidR="0057794B" w:rsidRPr="00DD223E" w:rsidRDefault="0057794B" w:rsidP="00AE067D">
      <w:pPr>
        <w:pStyle w:val="ab"/>
        <w:spacing w:beforeLines="50" w:before="228" w:after="0"/>
        <w:ind w:leftChars="1100" w:left="3742"/>
        <w:rPr>
          <w:b w:val="0"/>
          <w:bCs/>
          <w:snapToGrid/>
          <w:spacing w:val="12"/>
          <w:kern w:val="0"/>
          <w:sz w:val="40"/>
        </w:rPr>
      </w:pPr>
    </w:p>
    <w:p w:rsidR="00E25849" w:rsidRPr="00DD223E" w:rsidRDefault="00E25849" w:rsidP="00AE067D">
      <w:pPr>
        <w:pStyle w:val="ab"/>
        <w:spacing w:beforeLines="50" w:before="228" w:after="0"/>
        <w:ind w:leftChars="1100" w:left="3742"/>
        <w:rPr>
          <w:rFonts w:ascii="Times New Roman"/>
          <w:b w:val="0"/>
          <w:bCs/>
          <w:snapToGrid/>
          <w:spacing w:val="0"/>
          <w:kern w:val="0"/>
          <w:sz w:val="40"/>
        </w:rPr>
      </w:pPr>
    </w:p>
    <w:p w:rsidR="00E25849" w:rsidRPr="00DD223E" w:rsidRDefault="00E25849">
      <w:pPr>
        <w:pStyle w:val="ab"/>
        <w:spacing w:before="0" w:after="0"/>
        <w:ind w:leftChars="1100" w:left="3742" w:firstLineChars="500" w:firstLine="2021"/>
        <w:rPr>
          <w:b w:val="0"/>
          <w:bCs/>
          <w:snapToGrid/>
          <w:spacing w:val="12"/>
          <w:kern w:val="0"/>
        </w:rPr>
      </w:pPr>
    </w:p>
    <w:p w:rsidR="00E25849" w:rsidRPr="00DD223E" w:rsidRDefault="00E25849">
      <w:pPr>
        <w:pStyle w:val="ab"/>
        <w:spacing w:before="0" w:after="0"/>
        <w:ind w:leftChars="1100" w:left="3742" w:firstLineChars="500" w:firstLine="2021"/>
        <w:rPr>
          <w:b w:val="0"/>
          <w:bCs/>
          <w:snapToGrid/>
          <w:spacing w:val="12"/>
          <w:kern w:val="0"/>
        </w:rPr>
      </w:pPr>
    </w:p>
    <w:p w:rsidR="00E25849" w:rsidRPr="00DD223E" w:rsidRDefault="00E25849">
      <w:pPr>
        <w:pStyle w:val="ab"/>
        <w:spacing w:before="0" w:after="0"/>
        <w:ind w:leftChars="1100" w:left="3742" w:firstLineChars="500" w:firstLine="2021"/>
        <w:rPr>
          <w:b w:val="0"/>
          <w:bCs/>
          <w:snapToGrid/>
          <w:spacing w:val="12"/>
          <w:kern w:val="0"/>
        </w:rPr>
      </w:pPr>
    </w:p>
    <w:p w:rsidR="00E25849" w:rsidRPr="00DD223E" w:rsidRDefault="00E25849">
      <w:pPr>
        <w:pStyle w:val="af0"/>
        <w:rPr>
          <w:rFonts w:hAnsi="標楷體"/>
          <w:bCs/>
        </w:rPr>
      </w:pPr>
    </w:p>
    <w:p w:rsidR="00037B04" w:rsidRPr="00DD223E" w:rsidRDefault="00037B04" w:rsidP="00037B04"/>
    <w:sectPr w:rsidR="00037B04" w:rsidRPr="00DD223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755" w:rsidRDefault="00A52755">
      <w:r>
        <w:separator/>
      </w:r>
    </w:p>
  </w:endnote>
  <w:endnote w:type="continuationSeparator" w:id="0">
    <w:p w:rsidR="00A52755" w:rsidRDefault="00A5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DD9" w:rsidRDefault="00BB5DD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8389A">
      <w:rPr>
        <w:rStyle w:val="ad"/>
        <w:noProof/>
        <w:sz w:val="24"/>
      </w:rPr>
      <w:t>19</w:t>
    </w:r>
    <w:r>
      <w:rPr>
        <w:rStyle w:val="ad"/>
        <w:sz w:val="24"/>
      </w:rPr>
      <w:fldChar w:fldCharType="end"/>
    </w:r>
  </w:p>
  <w:p w:rsidR="00BB5DD9" w:rsidRDefault="00BB5DD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755" w:rsidRDefault="00A52755">
      <w:r>
        <w:separator/>
      </w:r>
    </w:p>
  </w:footnote>
  <w:footnote w:type="continuationSeparator" w:id="0">
    <w:p w:rsidR="00A52755" w:rsidRDefault="00A52755">
      <w:r>
        <w:continuationSeparator/>
      </w:r>
    </w:p>
  </w:footnote>
  <w:footnote w:id="1">
    <w:p w:rsidR="00BB5DD9" w:rsidRPr="00990C1A" w:rsidRDefault="00BB5DD9" w:rsidP="006344E4">
      <w:pPr>
        <w:pStyle w:val="afb"/>
      </w:pPr>
      <w:r>
        <w:rPr>
          <w:rStyle w:val="afd"/>
        </w:rPr>
        <w:footnoteRef/>
      </w:r>
      <w:r>
        <w:t xml:space="preserve"> </w:t>
      </w:r>
      <w:r>
        <w:rPr>
          <w:rFonts w:hint="eastAsia"/>
        </w:rPr>
        <w:t>即一般層以反循環式基樁施作，如遇巨石或堅硬岩層無法以反循環鑽掘切削時改以重錘敲碎再以抓斗夾出方式施作。</w:t>
      </w:r>
    </w:p>
  </w:footnote>
  <w:footnote w:id="2">
    <w:p w:rsidR="00BB5DD9" w:rsidRPr="00C62F6B" w:rsidRDefault="00BB5DD9" w:rsidP="006344E4">
      <w:pPr>
        <w:pStyle w:val="afb"/>
      </w:pPr>
      <w:r>
        <w:rPr>
          <w:rStyle w:val="afd"/>
        </w:rPr>
        <w:footnoteRef/>
      </w:r>
      <w:r>
        <w:t xml:space="preserve"> </w:t>
      </w:r>
      <w:r w:rsidRPr="00034205">
        <w:rPr>
          <w:rFonts w:hint="eastAsia"/>
        </w:rPr>
        <w:t>臺灣臺北地方法院91年度重訴字第1124號判決、臺灣高等法院93年度重上字第560號判決及最高法院96年度台上字第703號裁定</w:t>
      </w:r>
      <w:r>
        <w:rPr>
          <w:rFonts w:hint="eastAsia"/>
        </w:rPr>
        <w:t>。</w:t>
      </w:r>
    </w:p>
  </w:footnote>
  <w:footnote w:id="3">
    <w:p w:rsidR="00BB5DD9" w:rsidRDefault="00BB5DD9" w:rsidP="006344E4">
      <w:pPr>
        <w:pStyle w:val="afb"/>
      </w:pPr>
      <w:r>
        <w:rPr>
          <w:rStyle w:val="afd"/>
        </w:rPr>
        <w:footnoteRef/>
      </w:r>
      <w:r>
        <w:rPr>
          <w:rFonts w:hint="eastAsia"/>
        </w:rPr>
        <w:t xml:space="preserve"> </w:t>
      </w:r>
      <w:r w:rsidRPr="001F1A10">
        <w:rPr>
          <w:rFonts w:hint="eastAsia"/>
        </w:rPr>
        <w:t>裁判要旨：國防部政治作戰局與內政部營建署就工程採購案件簽訂代辦協議書，相關約定有行政契約之性質。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D4531CC"/>
    <w:multiLevelType w:val="hybridMultilevel"/>
    <w:tmpl w:val="6CF8FE02"/>
    <w:lvl w:ilvl="0" w:tplc="A04E36AA">
      <w:start w:val="1"/>
      <w:numFmt w:val="upperLetter"/>
      <w:lvlText w:val="（%1）"/>
      <w:lvlJc w:val="left"/>
      <w:pPr>
        <w:ind w:left="2050" w:hanging="1080"/>
      </w:pPr>
      <w:rPr>
        <w:rFonts w:hint="default"/>
      </w:rPr>
    </w:lvl>
    <w:lvl w:ilvl="1" w:tplc="04090019" w:tentative="1">
      <w:start w:val="1"/>
      <w:numFmt w:val="ideographTraditional"/>
      <w:lvlText w:val="%2、"/>
      <w:lvlJc w:val="left"/>
      <w:pPr>
        <w:ind w:left="1930" w:hanging="480"/>
      </w:pPr>
    </w:lvl>
    <w:lvl w:ilvl="2" w:tplc="0409001B" w:tentative="1">
      <w:start w:val="1"/>
      <w:numFmt w:val="lowerRoman"/>
      <w:lvlText w:val="%3."/>
      <w:lvlJc w:val="right"/>
      <w:pPr>
        <w:ind w:left="2410" w:hanging="480"/>
      </w:pPr>
    </w:lvl>
    <w:lvl w:ilvl="3" w:tplc="0409000F" w:tentative="1">
      <w:start w:val="1"/>
      <w:numFmt w:val="decimal"/>
      <w:lvlText w:val="%4."/>
      <w:lvlJc w:val="left"/>
      <w:pPr>
        <w:ind w:left="2890" w:hanging="480"/>
      </w:pPr>
    </w:lvl>
    <w:lvl w:ilvl="4" w:tplc="04090019" w:tentative="1">
      <w:start w:val="1"/>
      <w:numFmt w:val="ideographTraditional"/>
      <w:lvlText w:val="%5、"/>
      <w:lvlJc w:val="left"/>
      <w:pPr>
        <w:ind w:left="3370" w:hanging="480"/>
      </w:pPr>
    </w:lvl>
    <w:lvl w:ilvl="5" w:tplc="0409001B" w:tentative="1">
      <w:start w:val="1"/>
      <w:numFmt w:val="lowerRoman"/>
      <w:lvlText w:val="%6."/>
      <w:lvlJc w:val="right"/>
      <w:pPr>
        <w:ind w:left="3850" w:hanging="480"/>
      </w:pPr>
    </w:lvl>
    <w:lvl w:ilvl="6" w:tplc="0409000F" w:tentative="1">
      <w:start w:val="1"/>
      <w:numFmt w:val="decimal"/>
      <w:lvlText w:val="%7."/>
      <w:lvlJc w:val="left"/>
      <w:pPr>
        <w:ind w:left="4330" w:hanging="480"/>
      </w:pPr>
    </w:lvl>
    <w:lvl w:ilvl="7" w:tplc="04090019" w:tentative="1">
      <w:start w:val="1"/>
      <w:numFmt w:val="ideographTraditional"/>
      <w:lvlText w:val="%8、"/>
      <w:lvlJc w:val="left"/>
      <w:pPr>
        <w:ind w:left="4810" w:hanging="480"/>
      </w:pPr>
    </w:lvl>
    <w:lvl w:ilvl="8" w:tplc="0409001B" w:tentative="1">
      <w:start w:val="1"/>
      <w:numFmt w:val="lowerRoman"/>
      <w:lvlText w:val="%9."/>
      <w:lvlJc w:val="right"/>
      <w:pPr>
        <w:ind w:left="5290" w:hanging="480"/>
      </w:pPr>
    </w:lvl>
  </w:abstractNum>
  <w:abstractNum w:abstractNumId="2">
    <w:nsid w:val="102172E4"/>
    <w:multiLevelType w:val="hybridMultilevel"/>
    <w:tmpl w:val="6CF8FE02"/>
    <w:lvl w:ilvl="0" w:tplc="A04E36AA">
      <w:start w:val="1"/>
      <w:numFmt w:val="upperLetter"/>
      <w:lvlText w:val="（%1）"/>
      <w:lvlJc w:val="left"/>
      <w:pPr>
        <w:ind w:left="3491" w:hanging="1080"/>
      </w:pPr>
      <w:rPr>
        <w:rFonts w:hint="default"/>
      </w:rPr>
    </w:lvl>
    <w:lvl w:ilvl="1" w:tplc="04090019" w:tentative="1">
      <w:start w:val="1"/>
      <w:numFmt w:val="ideographTraditional"/>
      <w:lvlText w:val="%2、"/>
      <w:lvlJc w:val="left"/>
      <w:pPr>
        <w:ind w:left="1930" w:hanging="480"/>
      </w:pPr>
    </w:lvl>
    <w:lvl w:ilvl="2" w:tplc="0409001B" w:tentative="1">
      <w:start w:val="1"/>
      <w:numFmt w:val="lowerRoman"/>
      <w:lvlText w:val="%3."/>
      <w:lvlJc w:val="right"/>
      <w:pPr>
        <w:ind w:left="2410" w:hanging="480"/>
      </w:pPr>
    </w:lvl>
    <w:lvl w:ilvl="3" w:tplc="0409000F" w:tentative="1">
      <w:start w:val="1"/>
      <w:numFmt w:val="decimal"/>
      <w:lvlText w:val="%4."/>
      <w:lvlJc w:val="left"/>
      <w:pPr>
        <w:ind w:left="2890" w:hanging="480"/>
      </w:pPr>
    </w:lvl>
    <w:lvl w:ilvl="4" w:tplc="04090019" w:tentative="1">
      <w:start w:val="1"/>
      <w:numFmt w:val="ideographTraditional"/>
      <w:lvlText w:val="%5、"/>
      <w:lvlJc w:val="left"/>
      <w:pPr>
        <w:ind w:left="3370" w:hanging="480"/>
      </w:pPr>
    </w:lvl>
    <w:lvl w:ilvl="5" w:tplc="0409001B" w:tentative="1">
      <w:start w:val="1"/>
      <w:numFmt w:val="lowerRoman"/>
      <w:lvlText w:val="%6."/>
      <w:lvlJc w:val="right"/>
      <w:pPr>
        <w:ind w:left="3850" w:hanging="480"/>
      </w:pPr>
    </w:lvl>
    <w:lvl w:ilvl="6" w:tplc="0409000F" w:tentative="1">
      <w:start w:val="1"/>
      <w:numFmt w:val="decimal"/>
      <w:lvlText w:val="%7."/>
      <w:lvlJc w:val="left"/>
      <w:pPr>
        <w:ind w:left="4330" w:hanging="480"/>
      </w:pPr>
    </w:lvl>
    <w:lvl w:ilvl="7" w:tplc="04090019" w:tentative="1">
      <w:start w:val="1"/>
      <w:numFmt w:val="ideographTraditional"/>
      <w:lvlText w:val="%8、"/>
      <w:lvlJc w:val="left"/>
      <w:pPr>
        <w:ind w:left="4810" w:hanging="480"/>
      </w:pPr>
    </w:lvl>
    <w:lvl w:ilvl="8" w:tplc="0409001B" w:tentative="1">
      <w:start w:val="1"/>
      <w:numFmt w:val="lowerRoman"/>
      <w:lvlText w:val="%9."/>
      <w:lvlJc w:val="right"/>
      <w:pPr>
        <w:ind w:left="5290" w:hanging="480"/>
      </w:pPr>
    </w:lvl>
  </w:abstractNum>
  <w:abstractNum w:abstractNumId="3">
    <w:nsid w:val="123F2DFF"/>
    <w:multiLevelType w:val="multilevel"/>
    <w:tmpl w:val="7E08692E"/>
    <w:lvl w:ilvl="0">
      <w:start w:val="1"/>
      <w:numFmt w:val="taiwaneseCountingThousand"/>
      <w:pStyle w:val="a0"/>
      <w:suff w:val="nothing"/>
      <w:lvlText w:val="%1、"/>
      <w:lvlJc w:val="left"/>
      <w:pPr>
        <w:ind w:left="947" w:hanging="635"/>
      </w:pPr>
      <w:rPr>
        <w:rFonts w:ascii="標楷體" w:eastAsia="標楷體" w:hint="eastAsia"/>
        <w:b w:val="0"/>
        <w:i w:val="0"/>
        <w:sz w:val="32"/>
        <w:lang w:val="en-US"/>
      </w:rPr>
    </w:lvl>
    <w:lvl w:ilvl="1">
      <w:start w:val="1"/>
      <w:numFmt w:val="taiwaneseCountingThousand"/>
      <w:suff w:val="nothing"/>
      <w:lvlText w:val="(%2)"/>
      <w:lvlJc w:val="left"/>
      <w:pPr>
        <w:ind w:left="1378" w:hanging="527"/>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4">
    <w:nsid w:val="132C2463"/>
    <w:multiLevelType w:val="hybridMultilevel"/>
    <w:tmpl w:val="2230F504"/>
    <w:lvl w:ilvl="0" w:tplc="56068EDC">
      <w:start w:val="1"/>
      <w:numFmt w:val="upperLetter"/>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nsid w:val="140E010C"/>
    <w:multiLevelType w:val="multilevel"/>
    <w:tmpl w:val="5C4A03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58D6E11"/>
    <w:multiLevelType w:val="hybridMultilevel"/>
    <w:tmpl w:val="95345C16"/>
    <w:lvl w:ilvl="0" w:tplc="2D36B704">
      <w:start w:val="1"/>
      <w:numFmt w:val="taiwaneseCountingThousand"/>
      <w:lvlText w:val="%1、"/>
      <w:lvlJc w:val="left"/>
      <w:pPr>
        <w:ind w:left="126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17C81B6F"/>
    <w:multiLevelType w:val="hybridMultilevel"/>
    <w:tmpl w:val="D72E8C64"/>
    <w:lvl w:ilvl="0" w:tplc="701C43F8">
      <w:start w:val="1"/>
      <w:numFmt w:val="decimal"/>
      <w:lvlText w:val="%1."/>
      <w:lvlJc w:val="left"/>
      <w:pPr>
        <w:tabs>
          <w:tab w:val="num" w:pos="1860"/>
        </w:tabs>
        <w:ind w:left="1860" w:hanging="420"/>
      </w:pPr>
      <w:rPr>
        <w:rFonts w:ascii="標楷體" w:hint="eastAsia"/>
        <w:color w:val="000000"/>
      </w:rPr>
    </w:lvl>
    <w:lvl w:ilvl="1" w:tplc="3EB4DF38">
      <w:start w:val="2"/>
      <w:numFmt w:val="bullet"/>
      <w:lvlText w:val="□"/>
      <w:lvlJc w:val="left"/>
      <w:pPr>
        <w:tabs>
          <w:tab w:val="num" w:pos="2280"/>
        </w:tabs>
        <w:ind w:left="2280" w:hanging="360"/>
      </w:pPr>
      <w:rPr>
        <w:rFonts w:ascii="標楷體" w:eastAsia="標楷體" w:hAnsi="標楷體" w:cs="Times New Roman" w:hint="eastAsia"/>
        <w:color w:val="auto"/>
      </w:rPr>
    </w:lvl>
    <w:lvl w:ilvl="2" w:tplc="DFB0FC98">
      <w:start w:val="1"/>
      <w:numFmt w:val="taiwaneseCountingThousand"/>
      <w:lvlText w:val="(%3)"/>
      <w:lvlJc w:val="left"/>
      <w:pPr>
        <w:tabs>
          <w:tab w:val="num" w:pos="3120"/>
        </w:tabs>
        <w:ind w:left="3120" w:hanging="720"/>
      </w:pPr>
      <w:rPr>
        <w:rFonts w:hAnsi="標楷體" w:hint="eastAsia"/>
        <w:color w:val="000000"/>
      </w:rPr>
    </w:lvl>
    <w:lvl w:ilvl="3" w:tplc="532E6ECC">
      <w:start w:val="1"/>
      <w:numFmt w:val="taiwaneseCountingThousand"/>
      <w:lvlText w:val="%4、"/>
      <w:lvlJc w:val="left"/>
      <w:pPr>
        <w:tabs>
          <w:tab w:val="num" w:pos="3600"/>
        </w:tabs>
        <w:ind w:left="3600" w:hanging="720"/>
      </w:pPr>
      <w:rPr>
        <w:rFonts w:hint="eastAsia"/>
      </w:r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8">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F60635F"/>
    <w:multiLevelType w:val="hybridMultilevel"/>
    <w:tmpl w:val="6CF8FE02"/>
    <w:lvl w:ilvl="0" w:tplc="A04E36AA">
      <w:start w:val="1"/>
      <w:numFmt w:val="upperLetter"/>
      <w:lvlText w:val="（%1）"/>
      <w:lvlJc w:val="left"/>
      <w:pPr>
        <w:ind w:left="2499" w:hanging="1080"/>
      </w:pPr>
      <w:rPr>
        <w:rFonts w:hint="default"/>
      </w:rPr>
    </w:lvl>
    <w:lvl w:ilvl="1" w:tplc="04090019" w:tentative="1">
      <w:start w:val="1"/>
      <w:numFmt w:val="ideographTraditional"/>
      <w:lvlText w:val="%2、"/>
      <w:lvlJc w:val="left"/>
      <w:pPr>
        <w:ind w:left="1930" w:hanging="480"/>
      </w:pPr>
    </w:lvl>
    <w:lvl w:ilvl="2" w:tplc="0409001B" w:tentative="1">
      <w:start w:val="1"/>
      <w:numFmt w:val="lowerRoman"/>
      <w:lvlText w:val="%3."/>
      <w:lvlJc w:val="right"/>
      <w:pPr>
        <w:ind w:left="2410" w:hanging="480"/>
      </w:pPr>
    </w:lvl>
    <w:lvl w:ilvl="3" w:tplc="0409000F" w:tentative="1">
      <w:start w:val="1"/>
      <w:numFmt w:val="decimal"/>
      <w:lvlText w:val="%4."/>
      <w:lvlJc w:val="left"/>
      <w:pPr>
        <w:ind w:left="2890" w:hanging="480"/>
      </w:pPr>
    </w:lvl>
    <w:lvl w:ilvl="4" w:tplc="04090019" w:tentative="1">
      <w:start w:val="1"/>
      <w:numFmt w:val="ideographTraditional"/>
      <w:lvlText w:val="%5、"/>
      <w:lvlJc w:val="left"/>
      <w:pPr>
        <w:ind w:left="3370" w:hanging="480"/>
      </w:pPr>
    </w:lvl>
    <w:lvl w:ilvl="5" w:tplc="0409001B" w:tentative="1">
      <w:start w:val="1"/>
      <w:numFmt w:val="lowerRoman"/>
      <w:lvlText w:val="%6."/>
      <w:lvlJc w:val="right"/>
      <w:pPr>
        <w:ind w:left="3850" w:hanging="480"/>
      </w:pPr>
    </w:lvl>
    <w:lvl w:ilvl="6" w:tplc="0409000F" w:tentative="1">
      <w:start w:val="1"/>
      <w:numFmt w:val="decimal"/>
      <w:lvlText w:val="%7."/>
      <w:lvlJc w:val="left"/>
      <w:pPr>
        <w:ind w:left="4330" w:hanging="480"/>
      </w:pPr>
    </w:lvl>
    <w:lvl w:ilvl="7" w:tplc="04090019" w:tentative="1">
      <w:start w:val="1"/>
      <w:numFmt w:val="ideographTraditional"/>
      <w:lvlText w:val="%8、"/>
      <w:lvlJc w:val="left"/>
      <w:pPr>
        <w:ind w:left="4810" w:hanging="480"/>
      </w:pPr>
    </w:lvl>
    <w:lvl w:ilvl="8" w:tplc="0409001B" w:tentative="1">
      <w:start w:val="1"/>
      <w:numFmt w:val="lowerRoman"/>
      <w:lvlText w:val="%9."/>
      <w:lvlJc w:val="right"/>
      <w:pPr>
        <w:ind w:left="5290" w:hanging="480"/>
      </w:pPr>
    </w:lvl>
  </w:abstractNum>
  <w:abstractNum w:abstractNumId="10">
    <w:nsid w:val="3AF46310"/>
    <w:multiLevelType w:val="hybridMultilevel"/>
    <w:tmpl w:val="FB3CCC58"/>
    <w:lvl w:ilvl="0" w:tplc="009CA0FA">
      <w:start w:val="1"/>
      <w:numFmt w:val="taiwaneseCountingThousand"/>
      <w:lvlText w:val="%1、"/>
      <w:lvlJc w:val="left"/>
      <w:pPr>
        <w:ind w:left="630" w:hanging="420"/>
      </w:pPr>
      <w:rPr>
        <w:rFonts w:hint="default"/>
        <w:lang w:val="en-US"/>
      </w:rPr>
    </w:lvl>
    <w:lvl w:ilvl="1" w:tplc="E41493EA">
      <w:start w:val="1"/>
      <w:numFmt w:val="taiwaneseCountingThousand"/>
      <w:lvlText w:val="（%2）"/>
      <w:lvlJc w:val="left"/>
      <w:pPr>
        <w:tabs>
          <w:tab w:val="num" w:pos="1980"/>
        </w:tabs>
        <w:ind w:left="1980" w:hanging="720"/>
      </w:pPr>
      <w:rPr>
        <w:rFonts w:hint="eastAsia"/>
        <w:color w:val="auto"/>
        <w:u w:val="none"/>
      </w:rPr>
    </w:lvl>
    <w:lvl w:ilvl="2" w:tplc="55F658EE">
      <w:start w:val="1"/>
      <w:numFmt w:val="taiwaneseCountingThousand"/>
      <w:lvlText w:val="（%3）"/>
      <w:lvlJc w:val="left"/>
      <w:pPr>
        <w:ind w:left="2055" w:hanging="885"/>
      </w:pPr>
      <w:rPr>
        <w:rFonts w:hint="default"/>
      </w:r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1">
    <w:nsid w:val="3B3E0569"/>
    <w:multiLevelType w:val="hybridMultilevel"/>
    <w:tmpl w:val="6CF8FE02"/>
    <w:lvl w:ilvl="0" w:tplc="A04E36AA">
      <w:start w:val="1"/>
      <w:numFmt w:val="upperLetter"/>
      <w:lvlText w:val="（%1）"/>
      <w:lvlJc w:val="left"/>
      <w:pPr>
        <w:ind w:left="2499" w:hanging="1080"/>
      </w:pPr>
      <w:rPr>
        <w:rFonts w:hint="default"/>
      </w:rPr>
    </w:lvl>
    <w:lvl w:ilvl="1" w:tplc="04090019" w:tentative="1">
      <w:start w:val="1"/>
      <w:numFmt w:val="ideographTraditional"/>
      <w:lvlText w:val="%2、"/>
      <w:lvlJc w:val="left"/>
      <w:pPr>
        <w:ind w:left="1930" w:hanging="480"/>
      </w:pPr>
    </w:lvl>
    <w:lvl w:ilvl="2" w:tplc="0409001B" w:tentative="1">
      <w:start w:val="1"/>
      <w:numFmt w:val="lowerRoman"/>
      <w:lvlText w:val="%3."/>
      <w:lvlJc w:val="right"/>
      <w:pPr>
        <w:ind w:left="2410" w:hanging="480"/>
      </w:pPr>
    </w:lvl>
    <w:lvl w:ilvl="3" w:tplc="0409000F" w:tentative="1">
      <w:start w:val="1"/>
      <w:numFmt w:val="decimal"/>
      <w:lvlText w:val="%4."/>
      <w:lvlJc w:val="left"/>
      <w:pPr>
        <w:ind w:left="2890" w:hanging="480"/>
      </w:pPr>
    </w:lvl>
    <w:lvl w:ilvl="4" w:tplc="04090019" w:tentative="1">
      <w:start w:val="1"/>
      <w:numFmt w:val="ideographTraditional"/>
      <w:lvlText w:val="%5、"/>
      <w:lvlJc w:val="left"/>
      <w:pPr>
        <w:ind w:left="3370" w:hanging="480"/>
      </w:pPr>
    </w:lvl>
    <w:lvl w:ilvl="5" w:tplc="0409001B" w:tentative="1">
      <w:start w:val="1"/>
      <w:numFmt w:val="lowerRoman"/>
      <w:lvlText w:val="%6."/>
      <w:lvlJc w:val="right"/>
      <w:pPr>
        <w:ind w:left="3850" w:hanging="480"/>
      </w:pPr>
    </w:lvl>
    <w:lvl w:ilvl="6" w:tplc="0409000F" w:tentative="1">
      <w:start w:val="1"/>
      <w:numFmt w:val="decimal"/>
      <w:lvlText w:val="%7."/>
      <w:lvlJc w:val="left"/>
      <w:pPr>
        <w:ind w:left="4330" w:hanging="480"/>
      </w:pPr>
    </w:lvl>
    <w:lvl w:ilvl="7" w:tplc="04090019" w:tentative="1">
      <w:start w:val="1"/>
      <w:numFmt w:val="ideographTraditional"/>
      <w:lvlText w:val="%8、"/>
      <w:lvlJc w:val="left"/>
      <w:pPr>
        <w:ind w:left="4810" w:hanging="480"/>
      </w:pPr>
    </w:lvl>
    <w:lvl w:ilvl="8" w:tplc="0409001B" w:tentative="1">
      <w:start w:val="1"/>
      <w:numFmt w:val="lowerRoman"/>
      <w:lvlText w:val="%9."/>
      <w:lvlJc w:val="right"/>
      <w:pPr>
        <w:ind w:left="5290" w:hanging="480"/>
      </w:pPr>
    </w:lvl>
  </w:abstractNum>
  <w:abstractNum w:abstractNumId="12">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F8E7C9C"/>
    <w:multiLevelType w:val="hybridMultilevel"/>
    <w:tmpl w:val="5A528C28"/>
    <w:lvl w:ilvl="0" w:tplc="D94A7E22">
      <w:start w:val="1"/>
      <w:numFmt w:val="taiwaneseCountingThousand"/>
      <w:lvlText w:val="（%1）"/>
      <w:lvlJc w:val="left"/>
      <w:pPr>
        <w:ind w:left="1215" w:hanging="121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97425BB"/>
    <w:multiLevelType w:val="hybridMultilevel"/>
    <w:tmpl w:val="6F58F758"/>
    <w:lvl w:ilvl="0" w:tplc="E41493EA">
      <w:start w:val="1"/>
      <w:numFmt w:val="taiwaneseCountingThousand"/>
      <w:lvlText w:val="（%1）"/>
      <w:lvlJc w:val="left"/>
      <w:pPr>
        <w:tabs>
          <w:tab w:val="num" w:pos="1980"/>
        </w:tabs>
        <w:ind w:left="1980" w:hanging="72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B41501B"/>
    <w:multiLevelType w:val="hybridMultilevel"/>
    <w:tmpl w:val="D44863C6"/>
    <w:lvl w:ilvl="0" w:tplc="1076DDF6">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7A34BC1"/>
    <w:multiLevelType w:val="hybridMultilevel"/>
    <w:tmpl w:val="2230F504"/>
    <w:lvl w:ilvl="0" w:tplc="56068EDC">
      <w:start w:val="1"/>
      <w:numFmt w:val="upperLetter"/>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
    <w:nsid w:val="64CD56C2"/>
    <w:multiLevelType w:val="hybridMultilevel"/>
    <w:tmpl w:val="3F7E3AD4"/>
    <w:lvl w:ilvl="0" w:tplc="83DCFAE8">
      <w:start w:val="1"/>
      <w:numFmt w:val="taiwaneseCountingThousand"/>
      <w:lvlText w:val="（%1）"/>
      <w:lvlJc w:val="left"/>
      <w:pPr>
        <w:ind w:left="1395" w:hanging="1080"/>
      </w:pPr>
      <w:rPr>
        <w:rFonts w:ascii="標楷體" w:hAnsi="標楷體" w:hint="default"/>
        <w:sz w:val="32"/>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22">
    <w:nsid w:val="6B683E97"/>
    <w:multiLevelType w:val="hybridMultilevel"/>
    <w:tmpl w:val="95345C16"/>
    <w:lvl w:ilvl="0" w:tplc="2D36B704">
      <w:start w:val="1"/>
      <w:numFmt w:val="taiwaneseCountingThousand"/>
      <w:lvlText w:val="%1、"/>
      <w:lvlJc w:val="left"/>
      <w:pPr>
        <w:ind w:left="126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nsid w:val="72C24EA1"/>
    <w:multiLevelType w:val="hybridMultilevel"/>
    <w:tmpl w:val="6CF8FE02"/>
    <w:lvl w:ilvl="0" w:tplc="A04E36AA">
      <w:start w:val="1"/>
      <w:numFmt w:val="upperLetter"/>
      <w:lvlText w:val="（%1）"/>
      <w:lvlJc w:val="left"/>
      <w:pPr>
        <w:ind w:left="2050" w:hanging="1080"/>
      </w:pPr>
      <w:rPr>
        <w:rFonts w:hint="default"/>
      </w:rPr>
    </w:lvl>
    <w:lvl w:ilvl="1" w:tplc="04090019" w:tentative="1">
      <w:start w:val="1"/>
      <w:numFmt w:val="ideographTraditional"/>
      <w:lvlText w:val="%2、"/>
      <w:lvlJc w:val="left"/>
      <w:pPr>
        <w:ind w:left="1930" w:hanging="480"/>
      </w:pPr>
    </w:lvl>
    <w:lvl w:ilvl="2" w:tplc="0409001B" w:tentative="1">
      <w:start w:val="1"/>
      <w:numFmt w:val="lowerRoman"/>
      <w:lvlText w:val="%3."/>
      <w:lvlJc w:val="right"/>
      <w:pPr>
        <w:ind w:left="2410" w:hanging="480"/>
      </w:pPr>
    </w:lvl>
    <w:lvl w:ilvl="3" w:tplc="0409000F" w:tentative="1">
      <w:start w:val="1"/>
      <w:numFmt w:val="decimal"/>
      <w:lvlText w:val="%4."/>
      <w:lvlJc w:val="left"/>
      <w:pPr>
        <w:ind w:left="2890" w:hanging="480"/>
      </w:pPr>
    </w:lvl>
    <w:lvl w:ilvl="4" w:tplc="04090019" w:tentative="1">
      <w:start w:val="1"/>
      <w:numFmt w:val="ideographTraditional"/>
      <w:lvlText w:val="%5、"/>
      <w:lvlJc w:val="left"/>
      <w:pPr>
        <w:ind w:left="3370" w:hanging="480"/>
      </w:pPr>
    </w:lvl>
    <w:lvl w:ilvl="5" w:tplc="0409001B" w:tentative="1">
      <w:start w:val="1"/>
      <w:numFmt w:val="lowerRoman"/>
      <w:lvlText w:val="%6."/>
      <w:lvlJc w:val="right"/>
      <w:pPr>
        <w:ind w:left="3850" w:hanging="480"/>
      </w:pPr>
    </w:lvl>
    <w:lvl w:ilvl="6" w:tplc="0409000F" w:tentative="1">
      <w:start w:val="1"/>
      <w:numFmt w:val="decimal"/>
      <w:lvlText w:val="%7."/>
      <w:lvlJc w:val="left"/>
      <w:pPr>
        <w:ind w:left="4330" w:hanging="480"/>
      </w:pPr>
    </w:lvl>
    <w:lvl w:ilvl="7" w:tplc="04090019" w:tentative="1">
      <w:start w:val="1"/>
      <w:numFmt w:val="ideographTraditional"/>
      <w:lvlText w:val="%8、"/>
      <w:lvlJc w:val="left"/>
      <w:pPr>
        <w:ind w:left="4810" w:hanging="480"/>
      </w:pPr>
    </w:lvl>
    <w:lvl w:ilvl="8" w:tplc="0409001B" w:tentative="1">
      <w:start w:val="1"/>
      <w:numFmt w:val="lowerRoman"/>
      <w:lvlText w:val="%9."/>
      <w:lvlJc w:val="right"/>
      <w:pPr>
        <w:ind w:left="5290" w:hanging="480"/>
      </w:pPr>
    </w:lvl>
  </w:abstractNum>
  <w:abstractNum w:abstractNumId="24">
    <w:nsid w:val="7E265A2D"/>
    <w:multiLevelType w:val="hybridMultilevel"/>
    <w:tmpl w:val="3650FE7A"/>
    <w:lvl w:ilvl="0" w:tplc="41AA8E78">
      <w:start w:val="1"/>
      <w:numFmt w:val="upperLetter"/>
      <w:lvlText w:val="（%1）"/>
      <w:lvlJc w:val="left"/>
      <w:pPr>
        <w:ind w:left="3774" w:hanging="1080"/>
      </w:pPr>
      <w:rPr>
        <w:rFonts w:ascii="標楷體" w:eastAsia="標楷體" w:hAnsi="標楷體" w:hint="default"/>
      </w:rPr>
    </w:lvl>
    <w:lvl w:ilvl="1" w:tplc="04090019" w:tentative="1">
      <w:start w:val="1"/>
      <w:numFmt w:val="ideographTraditional"/>
      <w:lvlText w:val="%2、"/>
      <w:lvlJc w:val="left"/>
      <w:pPr>
        <w:ind w:left="820" w:hanging="480"/>
      </w:pPr>
    </w:lvl>
    <w:lvl w:ilvl="2" w:tplc="0409001B" w:tentative="1">
      <w:start w:val="1"/>
      <w:numFmt w:val="lowerRoman"/>
      <w:lvlText w:val="%3."/>
      <w:lvlJc w:val="right"/>
      <w:pPr>
        <w:ind w:left="1300" w:hanging="480"/>
      </w:pPr>
    </w:lvl>
    <w:lvl w:ilvl="3" w:tplc="0409000F" w:tentative="1">
      <w:start w:val="1"/>
      <w:numFmt w:val="decimal"/>
      <w:lvlText w:val="%4."/>
      <w:lvlJc w:val="left"/>
      <w:pPr>
        <w:ind w:left="1780" w:hanging="480"/>
      </w:pPr>
    </w:lvl>
    <w:lvl w:ilvl="4" w:tplc="04090019" w:tentative="1">
      <w:start w:val="1"/>
      <w:numFmt w:val="ideographTraditional"/>
      <w:lvlText w:val="%5、"/>
      <w:lvlJc w:val="left"/>
      <w:pPr>
        <w:ind w:left="2260" w:hanging="480"/>
      </w:pPr>
    </w:lvl>
    <w:lvl w:ilvl="5" w:tplc="0409001B" w:tentative="1">
      <w:start w:val="1"/>
      <w:numFmt w:val="lowerRoman"/>
      <w:lvlText w:val="%6."/>
      <w:lvlJc w:val="right"/>
      <w:pPr>
        <w:ind w:left="2740" w:hanging="480"/>
      </w:pPr>
    </w:lvl>
    <w:lvl w:ilvl="6" w:tplc="0409000F" w:tentative="1">
      <w:start w:val="1"/>
      <w:numFmt w:val="decimal"/>
      <w:lvlText w:val="%7."/>
      <w:lvlJc w:val="left"/>
      <w:pPr>
        <w:ind w:left="3220" w:hanging="480"/>
      </w:pPr>
    </w:lvl>
    <w:lvl w:ilvl="7" w:tplc="04090019" w:tentative="1">
      <w:start w:val="1"/>
      <w:numFmt w:val="ideographTraditional"/>
      <w:lvlText w:val="%8、"/>
      <w:lvlJc w:val="left"/>
      <w:pPr>
        <w:ind w:left="3700" w:hanging="480"/>
      </w:pPr>
    </w:lvl>
    <w:lvl w:ilvl="8" w:tplc="0409001B" w:tentative="1">
      <w:start w:val="1"/>
      <w:numFmt w:val="lowerRoman"/>
      <w:lvlText w:val="%9."/>
      <w:lvlJc w:val="right"/>
      <w:pPr>
        <w:ind w:left="4180" w:hanging="480"/>
      </w:pPr>
    </w:lvl>
  </w:abstractNum>
  <w:abstractNum w:abstractNumId="25">
    <w:nsid w:val="7F3B601F"/>
    <w:multiLevelType w:val="hybridMultilevel"/>
    <w:tmpl w:val="3CAAACA8"/>
    <w:lvl w:ilvl="0" w:tplc="58785474">
      <w:start w:val="1"/>
      <w:numFmt w:val="lowerLetter"/>
      <w:lvlText w:val="%1."/>
      <w:lvlJc w:val="left"/>
      <w:pPr>
        <w:ind w:left="2124" w:hanging="360"/>
      </w:pPr>
      <w:rPr>
        <w:rFonts w:hint="default"/>
      </w:rPr>
    </w:lvl>
    <w:lvl w:ilvl="1" w:tplc="04090019" w:tentative="1">
      <w:start w:val="1"/>
      <w:numFmt w:val="ideographTraditional"/>
      <w:lvlText w:val="%2、"/>
      <w:lvlJc w:val="left"/>
      <w:pPr>
        <w:ind w:left="2724" w:hanging="480"/>
      </w:pPr>
    </w:lvl>
    <w:lvl w:ilvl="2" w:tplc="0409001B" w:tentative="1">
      <w:start w:val="1"/>
      <w:numFmt w:val="lowerRoman"/>
      <w:lvlText w:val="%3."/>
      <w:lvlJc w:val="right"/>
      <w:pPr>
        <w:ind w:left="3204" w:hanging="480"/>
      </w:pPr>
    </w:lvl>
    <w:lvl w:ilvl="3" w:tplc="0409000F" w:tentative="1">
      <w:start w:val="1"/>
      <w:numFmt w:val="decimal"/>
      <w:lvlText w:val="%4."/>
      <w:lvlJc w:val="left"/>
      <w:pPr>
        <w:ind w:left="3684" w:hanging="480"/>
      </w:pPr>
    </w:lvl>
    <w:lvl w:ilvl="4" w:tplc="04090019" w:tentative="1">
      <w:start w:val="1"/>
      <w:numFmt w:val="ideographTraditional"/>
      <w:lvlText w:val="%5、"/>
      <w:lvlJc w:val="left"/>
      <w:pPr>
        <w:ind w:left="4164" w:hanging="480"/>
      </w:pPr>
    </w:lvl>
    <w:lvl w:ilvl="5" w:tplc="0409001B" w:tentative="1">
      <w:start w:val="1"/>
      <w:numFmt w:val="lowerRoman"/>
      <w:lvlText w:val="%6."/>
      <w:lvlJc w:val="right"/>
      <w:pPr>
        <w:ind w:left="4644" w:hanging="480"/>
      </w:pPr>
    </w:lvl>
    <w:lvl w:ilvl="6" w:tplc="0409000F" w:tentative="1">
      <w:start w:val="1"/>
      <w:numFmt w:val="decimal"/>
      <w:lvlText w:val="%7."/>
      <w:lvlJc w:val="left"/>
      <w:pPr>
        <w:ind w:left="5124" w:hanging="480"/>
      </w:pPr>
    </w:lvl>
    <w:lvl w:ilvl="7" w:tplc="04090019" w:tentative="1">
      <w:start w:val="1"/>
      <w:numFmt w:val="ideographTraditional"/>
      <w:lvlText w:val="%8、"/>
      <w:lvlJc w:val="left"/>
      <w:pPr>
        <w:ind w:left="5604" w:hanging="480"/>
      </w:pPr>
    </w:lvl>
    <w:lvl w:ilvl="8" w:tplc="0409001B" w:tentative="1">
      <w:start w:val="1"/>
      <w:numFmt w:val="lowerRoman"/>
      <w:lvlText w:val="%9."/>
      <w:lvlJc w:val="right"/>
      <w:pPr>
        <w:ind w:left="6084" w:hanging="480"/>
      </w:pPr>
    </w:lvl>
  </w:abstractNum>
  <w:num w:numId="1">
    <w:abstractNumId w:val="8"/>
  </w:num>
  <w:num w:numId="2">
    <w:abstractNumId w:val="0"/>
  </w:num>
  <w:num w:numId="3">
    <w:abstractNumId w:val="8"/>
    <w:lvlOverride w:ilvl="0">
      <w:startOverride w:val="1"/>
    </w:lvlOverride>
  </w:num>
  <w:num w:numId="4">
    <w:abstractNumId w:val="16"/>
  </w:num>
  <w:num w:numId="5">
    <w:abstractNumId w:val="12"/>
  </w:num>
  <w:num w:numId="6">
    <w:abstractNumId w:val="18"/>
  </w:num>
  <w:num w:numId="7">
    <w:abstractNumId w:val="5"/>
  </w:num>
  <w:num w:numId="8">
    <w:abstractNumId w:val="19"/>
  </w:num>
  <w:num w:numId="9">
    <w:abstractNumId w:val="14"/>
  </w:num>
  <w:num w:numId="10">
    <w:abstractNumId w:val="7"/>
  </w:num>
  <w:num w:numId="11">
    <w:abstractNumId w:val="6"/>
  </w:num>
  <w:num w:numId="12">
    <w:abstractNumId w:val="10"/>
  </w:num>
  <w:num w:numId="13">
    <w:abstractNumId w:val="20"/>
  </w:num>
  <w:num w:numId="14">
    <w:abstractNumId w:val="24"/>
  </w:num>
  <w:num w:numId="15">
    <w:abstractNumId w:val="23"/>
  </w:num>
  <w:num w:numId="16">
    <w:abstractNumId w:val="4"/>
  </w:num>
  <w:num w:numId="17">
    <w:abstractNumId w:val="1"/>
  </w:num>
  <w:num w:numId="18">
    <w:abstractNumId w:val="2"/>
  </w:num>
  <w:num w:numId="19">
    <w:abstractNumId w:val="25"/>
  </w:num>
  <w:num w:numId="20">
    <w:abstractNumId w:val="11"/>
  </w:num>
  <w:num w:numId="21">
    <w:abstractNumId w:val="9"/>
  </w:num>
  <w:num w:numId="22">
    <w:abstractNumId w:val="3"/>
  </w:num>
  <w:num w:numId="23">
    <w:abstractNumId w:val="13"/>
  </w:num>
  <w:num w:numId="24">
    <w:abstractNumId w:val="17"/>
  </w:num>
  <w:num w:numId="25">
    <w:abstractNumId w:val="21"/>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58C"/>
    <w:rsid w:val="0000277A"/>
    <w:rsid w:val="00006961"/>
    <w:rsid w:val="00007D39"/>
    <w:rsid w:val="000112BF"/>
    <w:rsid w:val="0001181F"/>
    <w:rsid w:val="00012233"/>
    <w:rsid w:val="000167A1"/>
    <w:rsid w:val="00017318"/>
    <w:rsid w:val="0001774E"/>
    <w:rsid w:val="0001799F"/>
    <w:rsid w:val="00022038"/>
    <w:rsid w:val="000246F7"/>
    <w:rsid w:val="000264E5"/>
    <w:rsid w:val="000277D0"/>
    <w:rsid w:val="0003114D"/>
    <w:rsid w:val="00034205"/>
    <w:rsid w:val="000350E1"/>
    <w:rsid w:val="00036D76"/>
    <w:rsid w:val="00037B04"/>
    <w:rsid w:val="000520AF"/>
    <w:rsid w:val="0005281D"/>
    <w:rsid w:val="00054CA6"/>
    <w:rsid w:val="00056562"/>
    <w:rsid w:val="00057F32"/>
    <w:rsid w:val="00062A25"/>
    <w:rsid w:val="0006501F"/>
    <w:rsid w:val="000661D0"/>
    <w:rsid w:val="00071814"/>
    <w:rsid w:val="00071C83"/>
    <w:rsid w:val="00071EC7"/>
    <w:rsid w:val="00072BE0"/>
    <w:rsid w:val="00073CB5"/>
    <w:rsid w:val="0007425C"/>
    <w:rsid w:val="00075A55"/>
    <w:rsid w:val="00077553"/>
    <w:rsid w:val="000851A2"/>
    <w:rsid w:val="0009352E"/>
    <w:rsid w:val="00096B96"/>
    <w:rsid w:val="000A2F3F"/>
    <w:rsid w:val="000A60D9"/>
    <w:rsid w:val="000B0B4A"/>
    <w:rsid w:val="000B2310"/>
    <w:rsid w:val="000B279A"/>
    <w:rsid w:val="000B5715"/>
    <w:rsid w:val="000B61D2"/>
    <w:rsid w:val="000B70A7"/>
    <w:rsid w:val="000C1AA7"/>
    <w:rsid w:val="000C3DFB"/>
    <w:rsid w:val="000C495F"/>
    <w:rsid w:val="000C6E21"/>
    <w:rsid w:val="000C7F01"/>
    <w:rsid w:val="000D548F"/>
    <w:rsid w:val="000E6431"/>
    <w:rsid w:val="000E6A5F"/>
    <w:rsid w:val="000F21A5"/>
    <w:rsid w:val="000F4187"/>
    <w:rsid w:val="000F7CA0"/>
    <w:rsid w:val="00102B9F"/>
    <w:rsid w:val="00105A8A"/>
    <w:rsid w:val="00106DFD"/>
    <w:rsid w:val="0011095A"/>
    <w:rsid w:val="00110C01"/>
    <w:rsid w:val="00112637"/>
    <w:rsid w:val="00112ABC"/>
    <w:rsid w:val="00114F34"/>
    <w:rsid w:val="00117A01"/>
    <w:rsid w:val="0012001E"/>
    <w:rsid w:val="00120D06"/>
    <w:rsid w:val="00123C07"/>
    <w:rsid w:val="00125ACF"/>
    <w:rsid w:val="00126A55"/>
    <w:rsid w:val="00133F08"/>
    <w:rsid w:val="001345E6"/>
    <w:rsid w:val="00135D49"/>
    <w:rsid w:val="001378B0"/>
    <w:rsid w:val="0014022D"/>
    <w:rsid w:val="00141AAC"/>
    <w:rsid w:val="00142E00"/>
    <w:rsid w:val="00145BA9"/>
    <w:rsid w:val="00150B7D"/>
    <w:rsid w:val="00152793"/>
    <w:rsid w:val="00153B7E"/>
    <w:rsid w:val="001545A9"/>
    <w:rsid w:val="00154DA9"/>
    <w:rsid w:val="001637C7"/>
    <w:rsid w:val="0016480E"/>
    <w:rsid w:val="00170B0E"/>
    <w:rsid w:val="00174297"/>
    <w:rsid w:val="00174D07"/>
    <w:rsid w:val="001774FC"/>
    <w:rsid w:val="00180E06"/>
    <w:rsid w:val="001817B3"/>
    <w:rsid w:val="00183014"/>
    <w:rsid w:val="0018389A"/>
    <w:rsid w:val="001843A3"/>
    <w:rsid w:val="00186AA5"/>
    <w:rsid w:val="00190E9F"/>
    <w:rsid w:val="001959C2"/>
    <w:rsid w:val="00196E3E"/>
    <w:rsid w:val="001A17D8"/>
    <w:rsid w:val="001A436F"/>
    <w:rsid w:val="001A51E3"/>
    <w:rsid w:val="001A7968"/>
    <w:rsid w:val="001B13FD"/>
    <w:rsid w:val="001B2E98"/>
    <w:rsid w:val="001B3483"/>
    <w:rsid w:val="001B3C1E"/>
    <w:rsid w:val="001B4494"/>
    <w:rsid w:val="001B69EF"/>
    <w:rsid w:val="001B6E4A"/>
    <w:rsid w:val="001C0B09"/>
    <w:rsid w:val="001C0D8B"/>
    <w:rsid w:val="001C0DA8"/>
    <w:rsid w:val="001C4919"/>
    <w:rsid w:val="001C5278"/>
    <w:rsid w:val="001C5357"/>
    <w:rsid w:val="001D4AD7"/>
    <w:rsid w:val="001D5EB0"/>
    <w:rsid w:val="001E0D8A"/>
    <w:rsid w:val="001E67BA"/>
    <w:rsid w:val="001E74C2"/>
    <w:rsid w:val="001F1A10"/>
    <w:rsid w:val="001F5A48"/>
    <w:rsid w:val="001F6260"/>
    <w:rsid w:val="001F6BCC"/>
    <w:rsid w:val="001F7F40"/>
    <w:rsid w:val="00200007"/>
    <w:rsid w:val="002016E1"/>
    <w:rsid w:val="00202CD3"/>
    <w:rsid w:val="002030A5"/>
    <w:rsid w:val="00203131"/>
    <w:rsid w:val="002117E7"/>
    <w:rsid w:val="00212E88"/>
    <w:rsid w:val="00213C9C"/>
    <w:rsid w:val="00215187"/>
    <w:rsid w:val="0021728E"/>
    <w:rsid w:val="0022009E"/>
    <w:rsid w:val="00223241"/>
    <w:rsid w:val="0022425C"/>
    <w:rsid w:val="002246DE"/>
    <w:rsid w:val="00237A0E"/>
    <w:rsid w:val="0024082E"/>
    <w:rsid w:val="00241653"/>
    <w:rsid w:val="0024168F"/>
    <w:rsid w:val="002427AE"/>
    <w:rsid w:val="00243163"/>
    <w:rsid w:val="00245C15"/>
    <w:rsid w:val="00246538"/>
    <w:rsid w:val="00252BC4"/>
    <w:rsid w:val="00254014"/>
    <w:rsid w:val="002569FF"/>
    <w:rsid w:val="00257479"/>
    <w:rsid w:val="00264D21"/>
    <w:rsid w:val="0026504D"/>
    <w:rsid w:val="00273A2F"/>
    <w:rsid w:val="0027455C"/>
    <w:rsid w:val="00276181"/>
    <w:rsid w:val="00280986"/>
    <w:rsid w:val="00281ECE"/>
    <w:rsid w:val="002831C7"/>
    <w:rsid w:val="00283F20"/>
    <w:rsid w:val="002840C6"/>
    <w:rsid w:val="002842FE"/>
    <w:rsid w:val="00295174"/>
    <w:rsid w:val="00296172"/>
    <w:rsid w:val="00296B92"/>
    <w:rsid w:val="002A27E7"/>
    <w:rsid w:val="002A2C22"/>
    <w:rsid w:val="002A57F5"/>
    <w:rsid w:val="002A6580"/>
    <w:rsid w:val="002B02EB"/>
    <w:rsid w:val="002B20E1"/>
    <w:rsid w:val="002B3E47"/>
    <w:rsid w:val="002B5E82"/>
    <w:rsid w:val="002C0602"/>
    <w:rsid w:val="002C252C"/>
    <w:rsid w:val="002C3923"/>
    <w:rsid w:val="002C3C55"/>
    <w:rsid w:val="002C3F0B"/>
    <w:rsid w:val="002C6DB1"/>
    <w:rsid w:val="002D0BD7"/>
    <w:rsid w:val="002D5C16"/>
    <w:rsid w:val="002D71DC"/>
    <w:rsid w:val="002F18B2"/>
    <w:rsid w:val="002F286B"/>
    <w:rsid w:val="002F3DFF"/>
    <w:rsid w:val="002F5E05"/>
    <w:rsid w:val="00304D58"/>
    <w:rsid w:val="0030536C"/>
    <w:rsid w:val="00315A16"/>
    <w:rsid w:val="00317053"/>
    <w:rsid w:val="0032109C"/>
    <w:rsid w:val="00322B45"/>
    <w:rsid w:val="00323809"/>
    <w:rsid w:val="00323D41"/>
    <w:rsid w:val="00325414"/>
    <w:rsid w:val="00325DFD"/>
    <w:rsid w:val="003302F1"/>
    <w:rsid w:val="0033411B"/>
    <w:rsid w:val="00343256"/>
    <w:rsid w:val="00344419"/>
    <w:rsid w:val="0034470E"/>
    <w:rsid w:val="00346057"/>
    <w:rsid w:val="00350A16"/>
    <w:rsid w:val="00352DB0"/>
    <w:rsid w:val="00354889"/>
    <w:rsid w:val="00355097"/>
    <w:rsid w:val="00361063"/>
    <w:rsid w:val="003648EF"/>
    <w:rsid w:val="0037094A"/>
    <w:rsid w:val="00371ED3"/>
    <w:rsid w:val="00372FFC"/>
    <w:rsid w:val="003737ED"/>
    <w:rsid w:val="00375E11"/>
    <w:rsid w:val="00376FEE"/>
    <w:rsid w:val="0037728A"/>
    <w:rsid w:val="003807A3"/>
    <w:rsid w:val="00380B7D"/>
    <w:rsid w:val="00381A99"/>
    <w:rsid w:val="003829C2"/>
    <w:rsid w:val="003830B2"/>
    <w:rsid w:val="00384724"/>
    <w:rsid w:val="00386EE4"/>
    <w:rsid w:val="003919B7"/>
    <w:rsid w:val="00391D57"/>
    <w:rsid w:val="00392292"/>
    <w:rsid w:val="0039773F"/>
    <w:rsid w:val="003A09C3"/>
    <w:rsid w:val="003A136C"/>
    <w:rsid w:val="003A5D9B"/>
    <w:rsid w:val="003A60D6"/>
    <w:rsid w:val="003B1017"/>
    <w:rsid w:val="003B286A"/>
    <w:rsid w:val="003B2FD2"/>
    <w:rsid w:val="003B3C07"/>
    <w:rsid w:val="003B6775"/>
    <w:rsid w:val="003B6D22"/>
    <w:rsid w:val="003C0A1B"/>
    <w:rsid w:val="003C59EE"/>
    <w:rsid w:val="003C5FE2"/>
    <w:rsid w:val="003C7BC6"/>
    <w:rsid w:val="003D05FB"/>
    <w:rsid w:val="003D1B16"/>
    <w:rsid w:val="003D3984"/>
    <w:rsid w:val="003D45BF"/>
    <w:rsid w:val="003D508A"/>
    <w:rsid w:val="003D537F"/>
    <w:rsid w:val="003D7B75"/>
    <w:rsid w:val="003E0208"/>
    <w:rsid w:val="003E0FCF"/>
    <w:rsid w:val="003E4B57"/>
    <w:rsid w:val="003E6BBB"/>
    <w:rsid w:val="003E7C57"/>
    <w:rsid w:val="003F27E1"/>
    <w:rsid w:val="003F3E2D"/>
    <w:rsid w:val="003F437A"/>
    <w:rsid w:val="003F5C2B"/>
    <w:rsid w:val="00400C20"/>
    <w:rsid w:val="00401E27"/>
    <w:rsid w:val="004023E9"/>
    <w:rsid w:val="0040454A"/>
    <w:rsid w:val="00410646"/>
    <w:rsid w:val="00410A73"/>
    <w:rsid w:val="00413F83"/>
    <w:rsid w:val="0041490C"/>
    <w:rsid w:val="004154F6"/>
    <w:rsid w:val="00416191"/>
    <w:rsid w:val="00416721"/>
    <w:rsid w:val="004205D1"/>
    <w:rsid w:val="00420768"/>
    <w:rsid w:val="00421EF0"/>
    <w:rsid w:val="004224FA"/>
    <w:rsid w:val="00423D07"/>
    <w:rsid w:val="004247AC"/>
    <w:rsid w:val="00430101"/>
    <w:rsid w:val="00442051"/>
    <w:rsid w:val="0044346F"/>
    <w:rsid w:val="00443E1C"/>
    <w:rsid w:val="00453431"/>
    <w:rsid w:val="004545A7"/>
    <w:rsid w:val="0046520A"/>
    <w:rsid w:val="004657A7"/>
    <w:rsid w:val="00466C35"/>
    <w:rsid w:val="004672AB"/>
    <w:rsid w:val="0047128E"/>
    <w:rsid w:val="004712AA"/>
    <w:rsid w:val="004714FE"/>
    <w:rsid w:val="0047530B"/>
    <w:rsid w:val="00476BE9"/>
    <w:rsid w:val="00477BAA"/>
    <w:rsid w:val="004802AB"/>
    <w:rsid w:val="00481663"/>
    <w:rsid w:val="004838F3"/>
    <w:rsid w:val="00483F1A"/>
    <w:rsid w:val="00491871"/>
    <w:rsid w:val="00495053"/>
    <w:rsid w:val="004A1F59"/>
    <w:rsid w:val="004A29BE"/>
    <w:rsid w:val="004A3225"/>
    <w:rsid w:val="004A33EE"/>
    <w:rsid w:val="004A3AA8"/>
    <w:rsid w:val="004B13C7"/>
    <w:rsid w:val="004B275E"/>
    <w:rsid w:val="004B396C"/>
    <w:rsid w:val="004B5DF5"/>
    <w:rsid w:val="004B6136"/>
    <w:rsid w:val="004B778F"/>
    <w:rsid w:val="004B7BB4"/>
    <w:rsid w:val="004C035F"/>
    <w:rsid w:val="004D141F"/>
    <w:rsid w:val="004D2742"/>
    <w:rsid w:val="004D40F1"/>
    <w:rsid w:val="004D5E90"/>
    <w:rsid w:val="004D6310"/>
    <w:rsid w:val="004D7C23"/>
    <w:rsid w:val="004D7EA3"/>
    <w:rsid w:val="004E0062"/>
    <w:rsid w:val="004E05A1"/>
    <w:rsid w:val="004E0C03"/>
    <w:rsid w:val="004E5203"/>
    <w:rsid w:val="004E5C89"/>
    <w:rsid w:val="004F1CC7"/>
    <w:rsid w:val="004F2424"/>
    <w:rsid w:val="004F4D10"/>
    <w:rsid w:val="004F5470"/>
    <w:rsid w:val="004F5E57"/>
    <w:rsid w:val="004F6710"/>
    <w:rsid w:val="004F7496"/>
    <w:rsid w:val="00500C3E"/>
    <w:rsid w:val="00502849"/>
    <w:rsid w:val="00504334"/>
    <w:rsid w:val="0050498D"/>
    <w:rsid w:val="00504D53"/>
    <w:rsid w:val="005104D7"/>
    <w:rsid w:val="00510B9E"/>
    <w:rsid w:val="005139B4"/>
    <w:rsid w:val="0051787B"/>
    <w:rsid w:val="00530133"/>
    <w:rsid w:val="00534415"/>
    <w:rsid w:val="00534C57"/>
    <w:rsid w:val="00535CA7"/>
    <w:rsid w:val="00536BC2"/>
    <w:rsid w:val="005418A0"/>
    <w:rsid w:val="005421A6"/>
    <w:rsid w:val="005425E1"/>
    <w:rsid w:val="005427C5"/>
    <w:rsid w:val="00542CF6"/>
    <w:rsid w:val="005432C2"/>
    <w:rsid w:val="005446A5"/>
    <w:rsid w:val="00544D17"/>
    <w:rsid w:val="005460D0"/>
    <w:rsid w:val="0055119F"/>
    <w:rsid w:val="00553C03"/>
    <w:rsid w:val="005569D9"/>
    <w:rsid w:val="00560037"/>
    <w:rsid w:val="00560CA7"/>
    <w:rsid w:val="00560F9C"/>
    <w:rsid w:val="00561574"/>
    <w:rsid w:val="005625D6"/>
    <w:rsid w:val="00563692"/>
    <w:rsid w:val="005661A0"/>
    <w:rsid w:val="00571679"/>
    <w:rsid w:val="0057720E"/>
    <w:rsid w:val="0057794B"/>
    <w:rsid w:val="005804BC"/>
    <w:rsid w:val="0058196D"/>
    <w:rsid w:val="005844E7"/>
    <w:rsid w:val="005908B8"/>
    <w:rsid w:val="0059512E"/>
    <w:rsid w:val="00597557"/>
    <w:rsid w:val="005A6DD2"/>
    <w:rsid w:val="005A7FC3"/>
    <w:rsid w:val="005B012E"/>
    <w:rsid w:val="005B25E2"/>
    <w:rsid w:val="005B294F"/>
    <w:rsid w:val="005C141D"/>
    <w:rsid w:val="005C17B7"/>
    <w:rsid w:val="005C1A6D"/>
    <w:rsid w:val="005C385D"/>
    <w:rsid w:val="005C7776"/>
    <w:rsid w:val="005D3B20"/>
    <w:rsid w:val="005D67B0"/>
    <w:rsid w:val="005D6D13"/>
    <w:rsid w:val="005E31D2"/>
    <w:rsid w:val="005E4759"/>
    <w:rsid w:val="005E50A3"/>
    <w:rsid w:val="005E5C68"/>
    <w:rsid w:val="005E65C0"/>
    <w:rsid w:val="005F0390"/>
    <w:rsid w:val="005F1812"/>
    <w:rsid w:val="005F7A93"/>
    <w:rsid w:val="006072CD"/>
    <w:rsid w:val="00612023"/>
    <w:rsid w:val="00614190"/>
    <w:rsid w:val="00621868"/>
    <w:rsid w:val="00621A38"/>
    <w:rsid w:val="006227E9"/>
    <w:rsid w:val="00622A99"/>
    <w:rsid w:val="00622E67"/>
    <w:rsid w:val="00623414"/>
    <w:rsid w:val="00626EDC"/>
    <w:rsid w:val="006344E4"/>
    <w:rsid w:val="00640951"/>
    <w:rsid w:val="00641315"/>
    <w:rsid w:val="00645F14"/>
    <w:rsid w:val="006470EC"/>
    <w:rsid w:val="00650D34"/>
    <w:rsid w:val="0065215B"/>
    <w:rsid w:val="00652717"/>
    <w:rsid w:val="006542D6"/>
    <w:rsid w:val="0065439B"/>
    <w:rsid w:val="006552F9"/>
    <w:rsid w:val="0065598E"/>
    <w:rsid w:val="00655AF2"/>
    <w:rsid w:val="00655BC5"/>
    <w:rsid w:val="00655F90"/>
    <w:rsid w:val="006568BE"/>
    <w:rsid w:val="00657741"/>
    <w:rsid w:val="0066025D"/>
    <w:rsid w:val="0066091A"/>
    <w:rsid w:val="00672955"/>
    <w:rsid w:val="006773EC"/>
    <w:rsid w:val="00677B34"/>
    <w:rsid w:val="00680504"/>
    <w:rsid w:val="00681CD9"/>
    <w:rsid w:val="00682D24"/>
    <w:rsid w:val="00683E30"/>
    <w:rsid w:val="00687024"/>
    <w:rsid w:val="00694E1E"/>
    <w:rsid w:val="00695E22"/>
    <w:rsid w:val="00697F11"/>
    <w:rsid w:val="006A7BA8"/>
    <w:rsid w:val="006B24DB"/>
    <w:rsid w:val="006B7093"/>
    <w:rsid w:val="006B7417"/>
    <w:rsid w:val="006C205C"/>
    <w:rsid w:val="006C4D85"/>
    <w:rsid w:val="006C7E5F"/>
    <w:rsid w:val="006C7ECE"/>
    <w:rsid w:val="006D03EB"/>
    <w:rsid w:val="006D238E"/>
    <w:rsid w:val="006D3691"/>
    <w:rsid w:val="006E2CF2"/>
    <w:rsid w:val="006E3ED0"/>
    <w:rsid w:val="006E5EF0"/>
    <w:rsid w:val="006F150F"/>
    <w:rsid w:val="006F3563"/>
    <w:rsid w:val="006F42B9"/>
    <w:rsid w:val="006F6103"/>
    <w:rsid w:val="006F797D"/>
    <w:rsid w:val="007033F6"/>
    <w:rsid w:val="0070447F"/>
    <w:rsid w:val="00704E00"/>
    <w:rsid w:val="00717AAA"/>
    <w:rsid w:val="007209E7"/>
    <w:rsid w:val="00721520"/>
    <w:rsid w:val="00726182"/>
    <w:rsid w:val="00727185"/>
    <w:rsid w:val="00727635"/>
    <w:rsid w:val="00732329"/>
    <w:rsid w:val="007337CA"/>
    <w:rsid w:val="00734087"/>
    <w:rsid w:val="0073498C"/>
    <w:rsid w:val="00734CE4"/>
    <w:rsid w:val="00735123"/>
    <w:rsid w:val="00735CF3"/>
    <w:rsid w:val="00741837"/>
    <w:rsid w:val="007453E6"/>
    <w:rsid w:val="0075298A"/>
    <w:rsid w:val="00753AC8"/>
    <w:rsid w:val="00754169"/>
    <w:rsid w:val="00756C26"/>
    <w:rsid w:val="0075737A"/>
    <w:rsid w:val="0076037B"/>
    <w:rsid w:val="00761F23"/>
    <w:rsid w:val="00764270"/>
    <w:rsid w:val="007718A4"/>
    <w:rsid w:val="0077309D"/>
    <w:rsid w:val="00773665"/>
    <w:rsid w:val="007774EE"/>
    <w:rsid w:val="0078079C"/>
    <w:rsid w:val="00781485"/>
    <w:rsid w:val="00781822"/>
    <w:rsid w:val="00781B48"/>
    <w:rsid w:val="00782928"/>
    <w:rsid w:val="00783F21"/>
    <w:rsid w:val="00787159"/>
    <w:rsid w:val="00787204"/>
    <w:rsid w:val="0079043A"/>
    <w:rsid w:val="00791668"/>
    <w:rsid w:val="00791AA1"/>
    <w:rsid w:val="00791E8E"/>
    <w:rsid w:val="007934B0"/>
    <w:rsid w:val="007941D8"/>
    <w:rsid w:val="007A036B"/>
    <w:rsid w:val="007A0E28"/>
    <w:rsid w:val="007A1C80"/>
    <w:rsid w:val="007A25A4"/>
    <w:rsid w:val="007A3793"/>
    <w:rsid w:val="007A3D17"/>
    <w:rsid w:val="007A4D58"/>
    <w:rsid w:val="007A4F1F"/>
    <w:rsid w:val="007B1FA6"/>
    <w:rsid w:val="007B4F2C"/>
    <w:rsid w:val="007C1369"/>
    <w:rsid w:val="007C1BA2"/>
    <w:rsid w:val="007C2B48"/>
    <w:rsid w:val="007C2B62"/>
    <w:rsid w:val="007C34A7"/>
    <w:rsid w:val="007C37D3"/>
    <w:rsid w:val="007C7141"/>
    <w:rsid w:val="007D19B7"/>
    <w:rsid w:val="007D20E9"/>
    <w:rsid w:val="007D7881"/>
    <w:rsid w:val="007D7E3A"/>
    <w:rsid w:val="007E0E10"/>
    <w:rsid w:val="007E0E89"/>
    <w:rsid w:val="007E4691"/>
    <w:rsid w:val="007E4768"/>
    <w:rsid w:val="007E777B"/>
    <w:rsid w:val="007F2070"/>
    <w:rsid w:val="008053F5"/>
    <w:rsid w:val="00805EBF"/>
    <w:rsid w:val="0080672F"/>
    <w:rsid w:val="00807AF7"/>
    <w:rsid w:val="00810198"/>
    <w:rsid w:val="00812448"/>
    <w:rsid w:val="00813E3B"/>
    <w:rsid w:val="00815DA8"/>
    <w:rsid w:val="008176CF"/>
    <w:rsid w:val="0082194D"/>
    <w:rsid w:val="00821959"/>
    <w:rsid w:val="0082494B"/>
    <w:rsid w:val="00826EF5"/>
    <w:rsid w:val="008312D4"/>
    <w:rsid w:val="00831693"/>
    <w:rsid w:val="00836F9C"/>
    <w:rsid w:val="00837A15"/>
    <w:rsid w:val="00837EB6"/>
    <w:rsid w:val="00840089"/>
    <w:rsid w:val="00840104"/>
    <w:rsid w:val="00840BBE"/>
    <w:rsid w:val="00840C1F"/>
    <w:rsid w:val="00840D95"/>
    <w:rsid w:val="00841FC5"/>
    <w:rsid w:val="00843C30"/>
    <w:rsid w:val="00845709"/>
    <w:rsid w:val="008463B9"/>
    <w:rsid w:val="00846A24"/>
    <w:rsid w:val="0085057E"/>
    <w:rsid w:val="00856222"/>
    <w:rsid w:val="00856FBB"/>
    <w:rsid w:val="008576BD"/>
    <w:rsid w:val="00860463"/>
    <w:rsid w:val="00860893"/>
    <w:rsid w:val="008633B9"/>
    <w:rsid w:val="00865F46"/>
    <w:rsid w:val="008733DA"/>
    <w:rsid w:val="00875704"/>
    <w:rsid w:val="00880AEB"/>
    <w:rsid w:val="0088109C"/>
    <w:rsid w:val="00882CFE"/>
    <w:rsid w:val="008850E4"/>
    <w:rsid w:val="0089312F"/>
    <w:rsid w:val="008939AB"/>
    <w:rsid w:val="00893F17"/>
    <w:rsid w:val="00894F7D"/>
    <w:rsid w:val="008A12F5"/>
    <w:rsid w:val="008A1346"/>
    <w:rsid w:val="008A67C8"/>
    <w:rsid w:val="008B1587"/>
    <w:rsid w:val="008B1B01"/>
    <w:rsid w:val="008B3407"/>
    <w:rsid w:val="008B3BCD"/>
    <w:rsid w:val="008B6DF8"/>
    <w:rsid w:val="008C106C"/>
    <w:rsid w:val="008C10F1"/>
    <w:rsid w:val="008C1926"/>
    <w:rsid w:val="008C1C60"/>
    <w:rsid w:val="008C1E99"/>
    <w:rsid w:val="008C248F"/>
    <w:rsid w:val="008C2EB7"/>
    <w:rsid w:val="008D0317"/>
    <w:rsid w:val="008D1101"/>
    <w:rsid w:val="008D58A5"/>
    <w:rsid w:val="008E0085"/>
    <w:rsid w:val="008E02BD"/>
    <w:rsid w:val="008E1196"/>
    <w:rsid w:val="008E2AA6"/>
    <w:rsid w:val="008E311B"/>
    <w:rsid w:val="008E5A4F"/>
    <w:rsid w:val="008F4452"/>
    <w:rsid w:val="008F46E7"/>
    <w:rsid w:val="008F6F0B"/>
    <w:rsid w:val="008F7139"/>
    <w:rsid w:val="009018B0"/>
    <w:rsid w:val="00907BA7"/>
    <w:rsid w:val="0091064E"/>
    <w:rsid w:val="009106EE"/>
    <w:rsid w:val="00911FC5"/>
    <w:rsid w:val="0091235F"/>
    <w:rsid w:val="00912670"/>
    <w:rsid w:val="00913635"/>
    <w:rsid w:val="00913C0C"/>
    <w:rsid w:val="00914E61"/>
    <w:rsid w:val="00917A40"/>
    <w:rsid w:val="00917F60"/>
    <w:rsid w:val="00923DC6"/>
    <w:rsid w:val="0092659B"/>
    <w:rsid w:val="00931A10"/>
    <w:rsid w:val="00932AC7"/>
    <w:rsid w:val="00945736"/>
    <w:rsid w:val="00946BBE"/>
    <w:rsid w:val="00947967"/>
    <w:rsid w:val="00954239"/>
    <w:rsid w:val="00955201"/>
    <w:rsid w:val="0095769E"/>
    <w:rsid w:val="00965200"/>
    <w:rsid w:val="009668B3"/>
    <w:rsid w:val="00966C52"/>
    <w:rsid w:val="00971471"/>
    <w:rsid w:val="009719C6"/>
    <w:rsid w:val="009722B1"/>
    <w:rsid w:val="00976774"/>
    <w:rsid w:val="0098359A"/>
    <w:rsid w:val="009849C2"/>
    <w:rsid w:val="00984D24"/>
    <w:rsid w:val="009858EB"/>
    <w:rsid w:val="00990071"/>
    <w:rsid w:val="00990C1A"/>
    <w:rsid w:val="00990CDF"/>
    <w:rsid w:val="00991B22"/>
    <w:rsid w:val="00991FDA"/>
    <w:rsid w:val="009922E5"/>
    <w:rsid w:val="00994CFA"/>
    <w:rsid w:val="00997016"/>
    <w:rsid w:val="009971CC"/>
    <w:rsid w:val="009A1900"/>
    <w:rsid w:val="009B0046"/>
    <w:rsid w:val="009B3382"/>
    <w:rsid w:val="009B4F97"/>
    <w:rsid w:val="009C0262"/>
    <w:rsid w:val="009C1440"/>
    <w:rsid w:val="009C2107"/>
    <w:rsid w:val="009C5D9E"/>
    <w:rsid w:val="009D1B9C"/>
    <w:rsid w:val="009D2C3E"/>
    <w:rsid w:val="009D6E89"/>
    <w:rsid w:val="009E0625"/>
    <w:rsid w:val="009E3034"/>
    <w:rsid w:val="009E3D14"/>
    <w:rsid w:val="009E4769"/>
    <w:rsid w:val="009E549F"/>
    <w:rsid w:val="009E703B"/>
    <w:rsid w:val="009F22E7"/>
    <w:rsid w:val="009F28A8"/>
    <w:rsid w:val="009F473E"/>
    <w:rsid w:val="009F682A"/>
    <w:rsid w:val="009F74E5"/>
    <w:rsid w:val="00A022BE"/>
    <w:rsid w:val="00A02976"/>
    <w:rsid w:val="00A052AF"/>
    <w:rsid w:val="00A077AF"/>
    <w:rsid w:val="00A12A49"/>
    <w:rsid w:val="00A13C6F"/>
    <w:rsid w:val="00A20F63"/>
    <w:rsid w:val="00A22E56"/>
    <w:rsid w:val="00A24C95"/>
    <w:rsid w:val="00A2599A"/>
    <w:rsid w:val="00A26094"/>
    <w:rsid w:val="00A26336"/>
    <w:rsid w:val="00A301BF"/>
    <w:rsid w:val="00A302B2"/>
    <w:rsid w:val="00A304B2"/>
    <w:rsid w:val="00A30B47"/>
    <w:rsid w:val="00A331B4"/>
    <w:rsid w:val="00A3484E"/>
    <w:rsid w:val="00A3518F"/>
    <w:rsid w:val="00A356D3"/>
    <w:rsid w:val="00A36ADA"/>
    <w:rsid w:val="00A4113A"/>
    <w:rsid w:val="00A438D8"/>
    <w:rsid w:val="00A473F5"/>
    <w:rsid w:val="00A47FCD"/>
    <w:rsid w:val="00A51B59"/>
    <w:rsid w:val="00A51F9D"/>
    <w:rsid w:val="00A52755"/>
    <w:rsid w:val="00A532AA"/>
    <w:rsid w:val="00A5416A"/>
    <w:rsid w:val="00A57882"/>
    <w:rsid w:val="00A601C4"/>
    <w:rsid w:val="00A60FB4"/>
    <w:rsid w:val="00A6126D"/>
    <w:rsid w:val="00A63875"/>
    <w:rsid w:val="00A639F4"/>
    <w:rsid w:val="00A72880"/>
    <w:rsid w:val="00A813EA"/>
    <w:rsid w:val="00A81A32"/>
    <w:rsid w:val="00A835BD"/>
    <w:rsid w:val="00A91233"/>
    <w:rsid w:val="00A9416D"/>
    <w:rsid w:val="00A97B15"/>
    <w:rsid w:val="00AA334B"/>
    <w:rsid w:val="00AA42D5"/>
    <w:rsid w:val="00AB14D0"/>
    <w:rsid w:val="00AB2FAB"/>
    <w:rsid w:val="00AB31FB"/>
    <w:rsid w:val="00AB5C14"/>
    <w:rsid w:val="00AB6A1D"/>
    <w:rsid w:val="00AC0C33"/>
    <w:rsid w:val="00AC1E08"/>
    <w:rsid w:val="00AC1EE7"/>
    <w:rsid w:val="00AC333F"/>
    <w:rsid w:val="00AC583D"/>
    <w:rsid w:val="00AC585C"/>
    <w:rsid w:val="00AC6441"/>
    <w:rsid w:val="00AC6C30"/>
    <w:rsid w:val="00AD11D2"/>
    <w:rsid w:val="00AD1925"/>
    <w:rsid w:val="00AD531E"/>
    <w:rsid w:val="00AE067D"/>
    <w:rsid w:val="00AE428E"/>
    <w:rsid w:val="00AE4811"/>
    <w:rsid w:val="00AF04D7"/>
    <w:rsid w:val="00AF1181"/>
    <w:rsid w:val="00AF1B3C"/>
    <w:rsid w:val="00AF2F79"/>
    <w:rsid w:val="00AF4653"/>
    <w:rsid w:val="00AF4FB2"/>
    <w:rsid w:val="00AF7DB7"/>
    <w:rsid w:val="00B00D7E"/>
    <w:rsid w:val="00B034EA"/>
    <w:rsid w:val="00B03DCB"/>
    <w:rsid w:val="00B041F3"/>
    <w:rsid w:val="00B201E2"/>
    <w:rsid w:val="00B20C1F"/>
    <w:rsid w:val="00B27234"/>
    <w:rsid w:val="00B3042F"/>
    <w:rsid w:val="00B307BB"/>
    <w:rsid w:val="00B335AE"/>
    <w:rsid w:val="00B37461"/>
    <w:rsid w:val="00B4125A"/>
    <w:rsid w:val="00B443E4"/>
    <w:rsid w:val="00B451F8"/>
    <w:rsid w:val="00B46C22"/>
    <w:rsid w:val="00B52926"/>
    <w:rsid w:val="00B563EA"/>
    <w:rsid w:val="00B60040"/>
    <w:rsid w:val="00B60E51"/>
    <w:rsid w:val="00B61A07"/>
    <w:rsid w:val="00B61A24"/>
    <w:rsid w:val="00B63A54"/>
    <w:rsid w:val="00B70873"/>
    <w:rsid w:val="00B73619"/>
    <w:rsid w:val="00B7404C"/>
    <w:rsid w:val="00B77D18"/>
    <w:rsid w:val="00B80AEA"/>
    <w:rsid w:val="00B82F39"/>
    <w:rsid w:val="00B8313A"/>
    <w:rsid w:val="00B93503"/>
    <w:rsid w:val="00B93875"/>
    <w:rsid w:val="00BA1575"/>
    <w:rsid w:val="00BA1D77"/>
    <w:rsid w:val="00BA2A72"/>
    <w:rsid w:val="00BA31E8"/>
    <w:rsid w:val="00BA55E0"/>
    <w:rsid w:val="00BA6BD4"/>
    <w:rsid w:val="00BA6C7A"/>
    <w:rsid w:val="00BA77EC"/>
    <w:rsid w:val="00BB3752"/>
    <w:rsid w:val="00BB5DD9"/>
    <w:rsid w:val="00BB6688"/>
    <w:rsid w:val="00BC1DBB"/>
    <w:rsid w:val="00BC26D4"/>
    <w:rsid w:val="00BC47B5"/>
    <w:rsid w:val="00BC7083"/>
    <w:rsid w:val="00BC7B1B"/>
    <w:rsid w:val="00BD1338"/>
    <w:rsid w:val="00BD5C28"/>
    <w:rsid w:val="00BD7B45"/>
    <w:rsid w:val="00BE0C80"/>
    <w:rsid w:val="00BE3FE0"/>
    <w:rsid w:val="00BE6822"/>
    <w:rsid w:val="00BE689D"/>
    <w:rsid w:val="00BF1066"/>
    <w:rsid w:val="00BF2A42"/>
    <w:rsid w:val="00BF75C2"/>
    <w:rsid w:val="00C03D8C"/>
    <w:rsid w:val="00C04B42"/>
    <w:rsid w:val="00C055EC"/>
    <w:rsid w:val="00C05C2D"/>
    <w:rsid w:val="00C10DC9"/>
    <w:rsid w:val="00C12FB3"/>
    <w:rsid w:val="00C130BD"/>
    <w:rsid w:val="00C1478C"/>
    <w:rsid w:val="00C17341"/>
    <w:rsid w:val="00C24EEF"/>
    <w:rsid w:val="00C25620"/>
    <w:rsid w:val="00C25CF6"/>
    <w:rsid w:val="00C26C36"/>
    <w:rsid w:val="00C3146C"/>
    <w:rsid w:val="00C32768"/>
    <w:rsid w:val="00C334EC"/>
    <w:rsid w:val="00C33760"/>
    <w:rsid w:val="00C35EBA"/>
    <w:rsid w:val="00C423D2"/>
    <w:rsid w:val="00C431DF"/>
    <w:rsid w:val="00C43A23"/>
    <w:rsid w:val="00C43B85"/>
    <w:rsid w:val="00C43D1A"/>
    <w:rsid w:val="00C456BD"/>
    <w:rsid w:val="00C4679C"/>
    <w:rsid w:val="00C46B07"/>
    <w:rsid w:val="00C530DC"/>
    <w:rsid w:val="00C5350D"/>
    <w:rsid w:val="00C56879"/>
    <w:rsid w:val="00C6123C"/>
    <w:rsid w:val="00C61D5E"/>
    <w:rsid w:val="00C62F6B"/>
    <w:rsid w:val="00C6311A"/>
    <w:rsid w:val="00C663C5"/>
    <w:rsid w:val="00C7084D"/>
    <w:rsid w:val="00C70DBF"/>
    <w:rsid w:val="00C7315E"/>
    <w:rsid w:val="00C73F27"/>
    <w:rsid w:val="00C75895"/>
    <w:rsid w:val="00C83C9F"/>
    <w:rsid w:val="00C90436"/>
    <w:rsid w:val="00C9269E"/>
    <w:rsid w:val="00C94840"/>
    <w:rsid w:val="00C95437"/>
    <w:rsid w:val="00CA2E3D"/>
    <w:rsid w:val="00CA3023"/>
    <w:rsid w:val="00CA432E"/>
    <w:rsid w:val="00CA4EE3"/>
    <w:rsid w:val="00CB027F"/>
    <w:rsid w:val="00CB133E"/>
    <w:rsid w:val="00CB1C1C"/>
    <w:rsid w:val="00CB476A"/>
    <w:rsid w:val="00CB6435"/>
    <w:rsid w:val="00CB7BE6"/>
    <w:rsid w:val="00CC0EBB"/>
    <w:rsid w:val="00CC13A5"/>
    <w:rsid w:val="00CC3693"/>
    <w:rsid w:val="00CC4F91"/>
    <w:rsid w:val="00CC6297"/>
    <w:rsid w:val="00CC7690"/>
    <w:rsid w:val="00CD1986"/>
    <w:rsid w:val="00CD2C89"/>
    <w:rsid w:val="00CD2F82"/>
    <w:rsid w:val="00CD54BF"/>
    <w:rsid w:val="00CE021E"/>
    <w:rsid w:val="00CE29C1"/>
    <w:rsid w:val="00CE4D5C"/>
    <w:rsid w:val="00CE5809"/>
    <w:rsid w:val="00CF05DA"/>
    <w:rsid w:val="00CF5486"/>
    <w:rsid w:val="00CF58EB"/>
    <w:rsid w:val="00CF5D52"/>
    <w:rsid w:val="00CF6FEC"/>
    <w:rsid w:val="00D0106E"/>
    <w:rsid w:val="00D03C74"/>
    <w:rsid w:val="00D043E1"/>
    <w:rsid w:val="00D06383"/>
    <w:rsid w:val="00D069F8"/>
    <w:rsid w:val="00D07A14"/>
    <w:rsid w:val="00D11DE4"/>
    <w:rsid w:val="00D1365A"/>
    <w:rsid w:val="00D13C38"/>
    <w:rsid w:val="00D1408F"/>
    <w:rsid w:val="00D20E85"/>
    <w:rsid w:val="00D22295"/>
    <w:rsid w:val="00D24615"/>
    <w:rsid w:val="00D25A08"/>
    <w:rsid w:val="00D27902"/>
    <w:rsid w:val="00D31362"/>
    <w:rsid w:val="00D36B21"/>
    <w:rsid w:val="00D37842"/>
    <w:rsid w:val="00D40614"/>
    <w:rsid w:val="00D42DC2"/>
    <w:rsid w:val="00D43139"/>
    <w:rsid w:val="00D47BB2"/>
    <w:rsid w:val="00D537E1"/>
    <w:rsid w:val="00D55BB2"/>
    <w:rsid w:val="00D6091A"/>
    <w:rsid w:val="00D62340"/>
    <w:rsid w:val="00D63726"/>
    <w:rsid w:val="00D6525B"/>
    <w:rsid w:val="00D6605A"/>
    <w:rsid w:val="00D6695F"/>
    <w:rsid w:val="00D75644"/>
    <w:rsid w:val="00D80765"/>
    <w:rsid w:val="00D81656"/>
    <w:rsid w:val="00D816E3"/>
    <w:rsid w:val="00D83D87"/>
    <w:rsid w:val="00D84A6D"/>
    <w:rsid w:val="00D85682"/>
    <w:rsid w:val="00D86A30"/>
    <w:rsid w:val="00D87139"/>
    <w:rsid w:val="00D92020"/>
    <w:rsid w:val="00D93F3A"/>
    <w:rsid w:val="00D97CB4"/>
    <w:rsid w:val="00D97DD4"/>
    <w:rsid w:val="00D97ED0"/>
    <w:rsid w:val="00DA0CA9"/>
    <w:rsid w:val="00DA216B"/>
    <w:rsid w:val="00DA5A8A"/>
    <w:rsid w:val="00DB2419"/>
    <w:rsid w:val="00DB26CD"/>
    <w:rsid w:val="00DB4377"/>
    <w:rsid w:val="00DB441C"/>
    <w:rsid w:val="00DB44AF"/>
    <w:rsid w:val="00DB45FD"/>
    <w:rsid w:val="00DC06A1"/>
    <w:rsid w:val="00DC1AE1"/>
    <w:rsid w:val="00DC1F58"/>
    <w:rsid w:val="00DC2666"/>
    <w:rsid w:val="00DC339B"/>
    <w:rsid w:val="00DC5D40"/>
    <w:rsid w:val="00DC69A7"/>
    <w:rsid w:val="00DC79B9"/>
    <w:rsid w:val="00DD223E"/>
    <w:rsid w:val="00DD30E9"/>
    <w:rsid w:val="00DD4F47"/>
    <w:rsid w:val="00DD7FBB"/>
    <w:rsid w:val="00DE0B9F"/>
    <w:rsid w:val="00DE33C6"/>
    <w:rsid w:val="00DE4238"/>
    <w:rsid w:val="00DE4CCB"/>
    <w:rsid w:val="00DE657F"/>
    <w:rsid w:val="00DE7EEC"/>
    <w:rsid w:val="00DF1218"/>
    <w:rsid w:val="00DF3F07"/>
    <w:rsid w:val="00DF6462"/>
    <w:rsid w:val="00E02FA0"/>
    <w:rsid w:val="00E036DA"/>
    <w:rsid w:val="00E036DC"/>
    <w:rsid w:val="00E05272"/>
    <w:rsid w:val="00E10454"/>
    <w:rsid w:val="00E106D4"/>
    <w:rsid w:val="00E112E5"/>
    <w:rsid w:val="00E12CC8"/>
    <w:rsid w:val="00E15352"/>
    <w:rsid w:val="00E16614"/>
    <w:rsid w:val="00E17401"/>
    <w:rsid w:val="00E21CC7"/>
    <w:rsid w:val="00E24CAD"/>
    <w:rsid w:val="00E24D9E"/>
    <w:rsid w:val="00E25849"/>
    <w:rsid w:val="00E258D2"/>
    <w:rsid w:val="00E25E9A"/>
    <w:rsid w:val="00E3197E"/>
    <w:rsid w:val="00E342F8"/>
    <w:rsid w:val="00E351ED"/>
    <w:rsid w:val="00E3689E"/>
    <w:rsid w:val="00E36BF3"/>
    <w:rsid w:val="00E41E8D"/>
    <w:rsid w:val="00E444A2"/>
    <w:rsid w:val="00E44D05"/>
    <w:rsid w:val="00E45367"/>
    <w:rsid w:val="00E45590"/>
    <w:rsid w:val="00E54993"/>
    <w:rsid w:val="00E57EA2"/>
    <w:rsid w:val="00E6034B"/>
    <w:rsid w:val="00E608F3"/>
    <w:rsid w:val="00E6549E"/>
    <w:rsid w:val="00E65EDE"/>
    <w:rsid w:val="00E70F81"/>
    <w:rsid w:val="00E77055"/>
    <w:rsid w:val="00E77460"/>
    <w:rsid w:val="00E83ABC"/>
    <w:rsid w:val="00E844F2"/>
    <w:rsid w:val="00E905D5"/>
    <w:rsid w:val="00E90AD0"/>
    <w:rsid w:val="00E912C7"/>
    <w:rsid w:val="00E92FCB"/>
    <w:rsid w:val="00E930F5"/>
    <w:rsid w:val="00E9478B"/>
    <w:rsid w:val="00E95524"/>
    <w:rsid w:val="00E95FE3"/>
    <w:rsid w:val="00E97B19"/>
    <w:rsid w:val="00EA147F"/>
    <w:rsid w:val="00EA4A27"/>
    <w:rsid w:val="00EA4FA6"/>
    <w:rsid w:val="00EA642A"/>
    <w:rsid w:val="00EB1A25"/>
    <w:rsid w:val="00EB415C"/>
    <w:rsid w:val="00EB5187"/>
    <w:rsid w:val="00EB56EC"/>
    <w:rsid w:val="00EC0403"/>
    <w:rsid w:val="00EC0E70"/>
    <w:rsid w:val="00ED03AB"/>
    <w:rsid w:val="00ED1CD4"/>
    <w:rsid w:val="00ED1D2B"/>
    <w:rsid w:val="00ED23C5"/>
    <w:rsid w:val="00ED525F"/>
    <w:rsid w:val="00ED64B5"/>
    <w:rsid w:val="00EE1D22"/>
    <w:rsid w:val="00EE7CCA"/>
    <w:rsid w:val="00EF01D8"/>
    <w:rsid w:val="00EF59FF"/>
    <w:rsid w:val="00F01A36"/>
    <w:rsid w:val="00F0313D"/>
    <w:rsid w:val="00F07C54"/>
    <w:rsid w:val="00F11246"/>
    <w:rsid w:val="00F122B9"/>
    <w:rsid w:val="00F168F4"/>
    <w:rsid w:val="00F16958"/>
    <w:rsid w:val="00F16A14"/>
    <w:rsid w:val="00F1746D"/>
    <w:rsid w:val="00F2736B"/>
    <w:rsid w:val="00F31AB3"/>
    <w:rsid w:val="00F362D7"/>
    <w:rsid w:val="00F37D7B"/>
    <w:rsid w:val="00F40CEF"/>
    <w:rsid w:val="00F41A36"/>
    <w:rsid w:val="00F43361"/>
    <w:rsid w:val="00F47D79"/>
    <w:rsid w:val="00F5314C"/>
    <w:rsid w:val="00F55AC9"/>
    <w:rsid w:val="00F5688C"/>
    <w:rsid w:val="00F57DCF"/>
    <w:rsid w:val="00F6007E"/>
    <w:rsid w:val="00F635DD"/>
    <w:rsid w:val="00F64ADE"/>
    <w:rsid w:val="00F6627B"/>
    <w:rsid w:val="00F705A7"/>
    <w:rsid w:val="00F7336E"/>
    <w:rsid w:val="00F734F2"/>
    <w:rsid w:val="00F73B32"/>
    <w:rsid w:val="00F75052"/>
    <w:rsid w:val="00F7792E"/>
    <w:rsid w:val="00F804D3"/>
    <w:rsid w:val="00F81264"/>
    <w:rsid w:val="00F81CD2"/>
    <w:rsid w:val="00F82641"/>
    <w:rsid w:val="00F83F4B"/>
    <w:rsid w:val="00F90424"/>
    <w:rsid w:val="00F90F18"/>
    <w:rsid w:val="00F91354"/>
    <w:rsid w:val="00F92DE8"/>
    <w:rsid w:val="00F937E4"/>
    <w:rsid w:val="00F95EE7"/>
    <w:rsid w:val="00FA39E6"/>
    <w:rsid w:val="00FA7BC9"/>
    <w:rsid w:val="00FA7DDB"/>
    <w:rsid w:val="00FB378E"/>
    <w:rsid w:val="00FB37F1"/>
    <w:rsid w:val="00FB3BB7"/>
    <w:rsid w:val="00FB47C0"/>
    <w:rsid w:val="00FB501B"/>
    <w:rsid w:val="00FB7770"/>
    <w:rsid w:val="00FC31EA"/>
    <w:rsid w:val="00FC6CB7"/>
    <w:rsid w:val="00FD3B91"/>
    <w:rsid w:val="00FD576B"/>
    <w:rsid w:val="00FD579E"/>
    <w:rsid w:val="00FD6845"/>
    <w:rsid w:val="00FD7B29"/>
    <w:rsid w:val="00FE195C"/>
    <w:rsid w:val="00FE1BBB"/>
    <w:rsid w:val="00FE3DD5"/>
    <w:rsid w:val="00FE4516"/>
    <w:rsid w:val="00FE64C8"/>
    <w:rsid w:val="00FF56F7"/>
    <w:rsid w:val="00FF6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semiHidden/>
    <w:unhideWhenUsed/>
    <w:rsid w:val="00754169"/>
    <w:pPr>
      <w:snapToGrid w:val="0"/>
      <w:jc w:val="left"/>
    </w:pPr>
    <w:rPr>
      <w:sz w:val="20"/>
    </w:rPr>
  </w:style>
  <w:style w:type="character" w:customStyle="1" w:styleId="afc">
    <w:name w:val="註腳文字 字元"/>
    <w:basedOn w:val="a8"/>
    <w:link w:val="afb"/>
    <w:uiPriority w:val="99"/>
    <w:semiHidden/>
    <w:rsid w:val="00754169"/>
    <w:rPr>
      <w:rFonts w:ascii="標楷體" w:eastAsia="標楷體"/>
      <w:kern w:val="2"/>
    </w:rPr>
  </w:style>
  <w:style w:type="character" w:styleId="afd">
    <w:name w:val="footnote reference"/>
    <w:basedOn w:val="a8"/>
    <w:uiPriority w:val="99"/>
    <w:semiHidden/>
    <w:unhideWhenUsed/>
    <w:rsid w:val="00754169"/>
    <w:rPr>
      <w:vertAlign w:val="superscript"/>
    </w:rPr>
  </w:style>
  <w:style w:type="paragraph" w:customStyle="1" w:styleId="13">
    <w:name w:val="字元 字元1 字元 字元 字元 字元"/>
    <w:basedOn w:val="a7"/>
    <w:rsid w:val="007941D8"/>
    <w:pPr>
      <w:widowControl/>
      <w:overflowPunct/>
      <w:autoSpaceDE/>
      <w:autoSpaceDN/>
      <w:spacing w:after="160" w:line="240" w:lineRule="exact"/>
      <w:jc w:val="left"/>
    </w:pPr>
    <w:rPr>
      <w:rFonts w:ascii="Tahoma" w:eastAsia="新細明體" w:hAnsi="Tahoma"/>
      <w:kern w:val="0"/>
      <w:sz w:val="20"/>
      <w:lang w:eastAsia="en-US"/>
    </w:rPr>
  </w:style>
  <w:style w:type="character" w:styleId="afe">
    <w:name w:val="Strong"/>
    <w:basedOn w:val="a8"/>
    <w:qFormat/>
    <w:rsid w:val="005E31D2"/>
    <w:rPr>
      <w:b/>
      <w:bCs/>
    </w:rPr>
  </w:style>
  <w:style w:type="paragraph" w:customStyle="1" w:styleId="a0">
    <w:name w:val="分項段落"/>
    <w:basedOn w:val="a7"/>
    <w:rsid w:val="00243163"/>
    <w:pPr>
      <w:widowControl/>
      <w:numPr>
        <w:numId w:val="22"/>
      </w:numPr>
      <w:wordWrap w:val="0"/>
      <w:overflowPunct/>
      <w:autoSpaceDE/>
      <w:autoSpaceDN/>
      <w:snapToGrid w:val="0"/>
      <w:spacing w:line="500" w:lineRule="exact"/>
      <w:textAlignment w:val="baseline"/>
    </w:pPr>
    <w:rPr>
      <w:rFonts w:ascii="Times New Roman"/>
      <w:noProof/>
      <w:kern w:val="0"/>
    </w:rPr>
  </w:style>
  <w:style w:type="character" w:customStyle="1" w:styleId="30">
    <w:name w:val="標題 3 字元"/>
    <w:basedOn w:val="a8"/>
    <w:link w:val="3"/>
    <w:rsid w:val="00D31362"/>
    <w:rPr>
      <w:rFonts w:ascii="標楷體" w:eastAsia="標楷體" w:hAnsi="Arial"/>
      <w:bCs/>
      <w:kern w:val="32"/>
      <w:sz w:val="32"/>
      <w:szCs w:val="36"/>
    </w:rPr>
  </w:style>
  <w:style w:type="character" w:customStyle="1" w:styleId="50">
    <w:name w:val="標題 5 字元"/>
    <w:basedOn w:val="a8"/>
    <w:link w:val="5"/>
    <w:rsid w:val="00821959"/>
    <w:rPr>
      <w:rFonts w:ascii="標楷體" w:eastAsia="標楷體" w:hAnsi="Arial"/>
      <w:bCs/>
      <w:kern w:val="32"/>
      <w:sz w:val="32"/>
      <w:szCs w:val="36"/>
    </w:rPr>
  </w:style>
  <w:style w:type="character" w:customStyle="1" w:styleId="20">
    <w:name w:val="標題 2 字元"/>
    <w:basedOn w:val="a8"/>
    <w:link w:val="2"/>
    <w:rsid w:val="003C7BC6"/>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semiHidden/>
    <w:unhideWhenUsed/>
    <w:rsid w:val="00754169"/>
    <w:pPr>
      <w:snapToGrid w:val="0"/>
      <w:jc w:val="left"/>
    </w:pPr>
    <w:rPr>
      <w:sz w:val="20"/>
    </w:rPr>
  </w:style>
  <w:style w:type="character" w:customStyle="1" w:styleId="afc">
    <w:name w:val="註腳文字 字元"/>
    <w:basedOn w:val="a8"/>
    <w:link w:val="afb"/>
    <w:uiPriority w:val="99"/>
    <w:semiHidden/>
    <w:rsid w:val="00754169"/>
    <w:rPr>
      <w:rFonts w:ascii="標楷體" w:eastAsia="標楷體"/>
      <w:kern w:val="2"/>
    </w:rPr>
  </w:style>
  <w:style w:type="character" w:styleId="afd">
    <w:name w:val="footnote reference"/>
    <w:basedOn w:val="a8"/>
    <w:uiPriority w:val="99"/>
    <w:semiHidden/>
    <w:unhideWhenUsed/>
    <w:rsid w:val="00754169"/>
    <w:rPr>
      <w:vertAlign w:val="superscript"/>
    </w:rPr>
  </w:style>
  <w:style w:type="paragraph" w:customStyle="1" w:styleId="13">
    <w:name w:val="字元 字元1 字元 字元 字元 字元"/>
    <w:basedOn w:val="a7"/>
    <w:rsid w:val="007941D8"/>
    <w:pPr>
      <w:widowControl/>
      <w:overflowPunct/>
      <w:autoSpaceDE/>
      <w:autoSpaceDN/>
      <w:spacing w:after="160" w:line="240" w:lineRule="exact"/>
      <w:jc w:val="left"/>
    </w:pPr>
    <w:rPr>
      <w:rFonts w:ascii="Tahoma" w:eastAsia="新細明體" w:hAnsi="Tahoma"/>
      <w:kern w:val="0"/>
      <w:sz w:val="20"/>
      <w:lang w:eastAsia="en-US"/>
    </w:rPr>
  </w:style>
  <w:style w:type="character" w:styleId="afe">
    <w:name w:val="Strong"/>
    <w:basedOn w:val="a8"/>
    <w:qFormat/>
    <w:rsid w:val="005E31D2"/>
    <w:rPr>
      <w:b/>
      <w:bCs/>
    </w:rPr>
  </w:style>
  <w:style w:type="paragraph" w:customStyle="1" w:styleId="a0">
    <w:name w:val="分項段落"/>
    <w:basedOn w:val="a7"/>
    <w:rsid w:val="00243163"/>
    <w:pPr>
      <w:widowControl/>
      <w:numPr>
        <w:numId w:val="22"/>
      </w:numPr>
      <w:wordWrap w:val="0"/>
      <w:overflowPunct/>
      <w:autoSpaceDE/>
      <w:autoSpaceDN/>
      <w:snapToGrid w:val="0"/>
      <w:spacing w:line="500" w:lineRule="exact"/>
      <w:textAlignment w:val="baseline"/>
    </w:pPr>
    <w:rPr>
      <w:rFonts w:ascii="Times New Roman"/>
      <w:noProof/>
      <w:kern w:val="0"/>
    </w:rPr>
  </w:style>
  <w:style w:type="character" w:customStyle="1" w:styleId="30">
    <w:name w:val="標題 3 字元"/>
    <w:basedOn w:val="a8"/>
    <w:link w:val="3"/>
    <w:rsid w:val="00D31362"/>
    <w:rPr>
      <w:rFonts w:ascii="標楷體" w:eastAsia="標楷體" w:hAnsi="Arial"/>
      <w:bCs/>
      <w:kern w:val="32"/>
      <w:sz w:val="32"/>
      <w:szCs w:val="36"/>
    </w:rPr>
  </w:style>
  <w:style w:type="character" w:customStyle="1" w:styleId="50">
    <w:name w:val="標題 5 字元"/>
    <w:basedOn w:val="a8"/>
    <w:link w:val="5"/>
    <w:rsid w:val="00821959"/>
    <w:rPr>
      <w:rFonts w:ascii="標楷體" w:eastAsia="標楷體" w:hAnsi="Arial"/>
      <w:bCs/>
      <w:kern w:val="32"/>
      <w:sz w:val="32"/>
      <w:szCs w:val="36"/>
    </w:rPr>
  </w:style>
  <w:style w:type="character" w:customStyle="1" w:styleId="20">
    <w:name w:val="標題 2 字元"/>
    <w:basedOn w:val="a8"/>
    <w:link w:val="2"/>
    <w:rsid w:val="003C7BC6"/>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875215">
      <w:bodyDiv w:val="1"/>
      <w:marLeft w:val="0"/>
      <w:marRight w:val="0"/>
      <w:marTop w:val="0"/>
      <w:marBottom w:val="0"/>
      <w:divBdr>
        <w:top w:val="none" w:sz="0" w:space="0" w:color="auto"/>
        <w:left w:val="none" w:sz="0" w:space="0" w:color="auto"/>
        <w:bottom w:val="none" w:sz="0" w:space="0" w:color="auto"/>
        <w:right w:val="none" w:sz="0" w:space="0" w:color="auto"/>
      </w:divBdr>
    </w:div>
    <w:div w:id="487091935">
      <w:bodyDiv w:val="1"/>
      <w:marLeft w:val="0"/>
      <w:marRight w:val="0"/>
      <w:marTop w:val="0"/>
      <w:marBottom w:val="0"/>
      <w:divBdr>
        <w:top w:val="none" w:sz="0" w:space="0" w:color="auto"/>
        <w:left w:val="none" w:sz="0" w:space="0" w:color="auto"/>
        <w:bottom w:val="none" w:sz="0" w:space="0" w:color="auto"/>
        <w:right w:val="none" w:sz="0" w:space="0" w:color="auto"/>
      </w:divBdr>
    </w:div>
    <w:div w:id="1378121222">
      <w:bodyDiv w:val="1"/>
      <w:marLeft w:val="0"/>
      <w:marRight w:val="0"/>
      <w:marTop w:val="0"/>
      <w:marBottom w:val="0"/>
      <w:divBdr>
        <w:top w:val="none" w:sz="0" w:space="0" w:color="auto"/>
        <w:left w:val="none" w:sz="0" w:space="0" w:color="auto"/>
        <w:bottom w:val="none" w:sz="0" w:space="0" w:color="auto"/>
        <w:right w:val="none" w:sz="0" w:space="0" w:color="auto"/>
      </w:divBdr>
    </w:div>
    <w:div w:id="1831553531">
      <w:bodyDiv w:val="1"/>
      <w:marLeft w:val="0"/>
      <w:marRight w:val="0"/>
      <w:marTop w:val="0"/>
      <w:marBottom w:val="0"/>
      <w:divBdr>
        <w:top w:val="none" w:sz="0" w:space="0" w:color="auto"/>
        <w:left w:val="none" w:sz="0" w:space="0" w:color="auto"/>
        <w:bottom w:val="none" w:sz="0" w:space="0" w:color="auto"/>
        <w:right w:val="none" w:sz="0" w:space="0" w:color="auto"/>
      </w:divBdr>
    </w:div>
    <w:div w:id="1843663825">
      <w:bodyDiv w:val="1"/>
      <w:marLeft w:val="0"/>
      <w:marRight w:val="0"/>
      <w:marTop w:val="0"/>
      <w:marBottom w:val="0"/>
      <w:divBdr>
        <w:top w:val="none" w:sz="0" w:space="0" w:color="auto"/>
        <w:left w:val="none" w:sz="0" w:space="0" w:color="auto"/>
        <w:bottom w:val="none" w:sz="0" w:space="0" w:color="auto"/>
        <w:right w:val="none" w:sz="0" w:space="0" w:color="auto"/>
      </w:divBdr>
    </w:div>
    <w:div w:id="1875531787">
      <w:bodyDiv w:val="1"/>
      <w:marLeft w:val="0"/>
      <w:marRight w:val="0"/>
      <w:marTop w:val="0"/>
      <w:marBottom w:val="0"/>
      <w:divBdr>
        <w:top w:val="none" w:sz="0" w:space="0" w:color="auto"/>
        <w:left w:val="none" w:sz="0" w:space="0" w:color="auto"/>
        <w:bottom w:val="none" w:sz="0" w:space="0" w:color="auto"/>
        <w:right w:val="none" w:sz="0" w:space="0" w:color="auto"/>
      </w:divBdr>
    </w:div>
    <w:div w:id="1880127574">
      <w:bodyDiv w:val="1"/>
      <w:marLeft w:val="0"/>
      <w:marRight w:val="0"/>
      <w:marTop w:val="0"/>
      <w:marBottom w:val="0"/>
      <w:divBdr>
        <w:top w:val="none" w:sz="0" w:space="0" w:color="auto"/>
        <w:left w:val="none" w:sz="0" w:space="0" w:color="auto"/>
        <w:bottom w:val="none" w:sz="0" w:space="0" w:color="auto"/>
        <w:right w:val="none" w:sz="0" w:space="0" w:color="auto"/>
      </w:divBdr>
    </w:div>
    <w:div w:id="21259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ECDD-0386-4C18-9045-8A695D36D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5412</Words>
  <Characters>5630</Characters>
  <Application>Microsoft Office Word</Application>
  <DocSecurity>0</DocSecurity>
  <Lines>268</Lines>
  <Paragraphs>133</Paragraphs>
  <ScaleCrop>false</ScaleCrop>
  <Company>cy</Company>
  <LinksUpToDate>false</LinksUpToDate>
  <CharactersWithSpaces>10909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邱俊能</cp:lastModifiedBy>
  <cp:revision>2</cp:revision>
  <cp:lastPrinted>2018-09-06T06:33:00Z</cp:lastPrinted>
  <dcterms:created xsi:type="dcterms:W3CDTF">2019-04-09T03:38:00Z</dcterms:created>
  <dcterms:modified xsi:type="dcterms:W3CDTF">2019-04-09T03:38:00Z</dcterms:modified>
</cp:coreProperties>
</file>