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66D38" w:rsidRDefault="005809C0" w:rsidP="00F37D7B">
      <w:pPr>
        <w:pStyle w:val="af3"/>
      </w:pPr>
      <w:r w:rsidRPr="00866D38">
        <w:rPr>
          <w:rFonts w:hint="eastAsia"/>
        </w:rPr>
        <w:t>調查報告</w:t>
      </w:r>
    </w:p>
    <w:p w:rsidR="00F822C6" w:rsidRPr="00866D38" w:rsidRDefault="00F822C6" w:rsidP="00F822C6">
      <w:pPr>
        <w:pStyle w:val="1"/>
        <w:numPr>
          <w:ilvl w:val="0"/>
          <w:numId w:val="1"/>
        </w:numPr>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23220085"/>
      <w:r w:rsidRPr="00866D3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866D38">
        <w:rPr>
          <w:rFonts w:hint="eastAsia"/>
        </w:rPr>
        <w:t>教育部推動「發展典範科技大學計畫」協助學校提升我國技職教育品質及強化產學連結，惟執行間有未周等情案。</w:t>
      </w:r>
      <w:bookmarkEnd w:id="24"/>
    </w:p>
    <w:p w:rsidR="002728AD" w:rsidRPr="00866D38" w:rsidRDefault="007A1506" w:rsidP="007A1506">
      <w:pPr>
        <w:pStyle w:val="1"/>
      </w:pPr>
      <w:bookmarkStart w:id="25" w:name="_Toc523220133"/>
      <w:bookmarkStart w:id="26" w:name="_Toc525070834"/>
      <w:bookmarkStart w:id="27" w:name="_Toc525938374"/>
      <w:bookmarkStart w:id="28" w:name="_Toc525939222"/>
      <w:bookmarkStart w:id="29" w:name="_Toc525939727"/>
      <w:bookmarkStart w:id="30" w:name="_Toc525066144"/>
      <w:bookmarkStart w:id="31" w:name="_Toc524892372"/>
      <w:r w:rsidRPr="00866D38">
        <w:rPr>
          <w:rFonts w:hint="eastAsia"/>
        </w:rPr>
        <w:t>調查意見</w:t>
      </w:r>
      <w:bookmarkEnd w:id="25"/>
    </w:p>
    <w:p w:rsidR="007A1506" w:rsidRPr="00866D38" w:rsidRDefault="00D157E3" w:rsidP="002A655F">
      <w:pPr>
        <w:pStyle w:val="2"/>
        <w:ind w:left="1020" w:hanging="680"/>
        <w:rPr>
          <w:b/>
        </w:rPr>
      </w:pPr>
      <w:bookmarkStart w:id="32" w:name="_Toc523220134"/>
      <w:r w:rsidRPr="00866D38">
        <w:rPr>
          <w:rFonts w:hint="eastAsia"/>
          <w:b/>
        </w:rPr>
        <w:t>相對於</w:t>
      </w:r>
      <w:r w:rsidRPr="00866D38">
        <w:rPr>
          <w:rFonts w:hAnsi="標楷體" w:hint="eastAsia"/>
          <w:b/>
        </w:rPr>
        <w:t>「</w:t>
      </w:r>
      <w:r w:rsidRPr="00866D38">
        <w:rPr>
          <w:rFonts w:hint="eastAsia"/>
          <w:b/>
        </w:rPr>
        <w:t>邁向頂尖大學計畫</w:t>
      </w:r>
      <w:r w:rsidRPr="00866D38">
        <w:rPr>
          <w:rFonts w:hAnsi="標楷體" w:hint="eastAsia"/>
          <w:b/>
        </w:rPr>
        <w:t>」</w:t>
      </w:r>
      <w:r w:rsidRPr="00866D38">
        <w:rPr>
          <w:rFonts w:hint="eastAsia"/>
          <w:b/>
        </w:rPr>
        <w:t>，</w:t>
      </w:r>
      <w:r w:rsidR="00D46418" w:rsidRPr="00866D38">
        <w:rPr>
          <w:rFonts w:hint="eastAsia"/>
          <w:b/>
        </w:rPr>
        <w:t>教育部</w:t>
      </w:r>
      <w:r w:rsidR="00564B02" w:rsidRPr="00866D38">
        <w:rPr>
          <w:rFonts w:hint="eastAsia"/>
          <w:b/>
        </w:rPr>
        <w:t>自</w:t>
      </w:r>
      <w:r w:rsidR="0084730D" w:rsidRPr="00866D38">
        <w:rPr>
          <w:rFonts w:hint="eastAsia"/>
          <w:b/>
        </w:rPr>
        <w:t>102年至105年</w:t>
      </w:r>
      <w:r w:rsidR="00D311EC" w:rsidRPr="00866D38">
        <w:rPr>
          <w:rFonts w:hint="eastAsia"/>
          <w:b/>
        </w:rPr>
        <w:t>推動</w:t>
      </w:r>
      <w:r w:rsidR="00100AEF">
        <w:rPr>
          <w:rFonts w:hint="eastAsia"/>
          <w:b/>
        </w:rPr>
        <w:t>典範科大</w:t>
      </w:r>
      <w:r w:rsidR="00920F10" w:rsidRPr="00866D38">
        <w:rPr>
          <w:rFonts w:hint="eastAsia"/>
          <w:b/>
        </w:rPr>
        <w:t>計畫，一次核定4年為期，</w:t>
      </w:r>
      <w:r w:rsidR="00795D01" w:rsidRPr="00866D38">
        <w:rPr>
          <w:rFonts w:hint="eastAsia"/>
          <w:b/>
        </w:rPr>
        <w:t>共</w:t>
      </w:r>
      <w:r w:rsidR="00C249F8" w:rsidRPr="00866D38">
        <w:rPr>
          <w:rFonts w:hint="eastAsia"/>
          <w:b/>
        </w:rPr>
        <w:t>補</w:t>
      </w:r>
      <w:r w:rsidR="00D46418" w:rsidRPr="00866D38">
        <w:rPr>
          <w:rFonts w:hint="eastAsia"/>
          <w:b/>
        </w:rPr>
        <w:t>助</w:t>
      </w:r>
      <w:r w:rsidR="00B12530" w:rsidRPr="00866D38">
        <w:rPr>
          <w:rFonts w:hint="eastAsia"/>
          <w:b/>
        </w:rPr>
        <w:t>12所科技大學，</w:t>
      </w:r>
      <w:r w:rsidR="0097468C" w:rsidRPr="00866D38">
        <w:rPr>
          <w:rFonts w:hint="eastAsia"/>
          <w:b/>
        </w:rPr>
        <w:t>祈</w:t>
      </w:r>
      <w:r w:rsidR="00474657" w:rsidRPr="00866D38">
        <w:rPr>
          <w:b/>
        </w:rPr>
        <w:t>引導</w:t>
      </w:r>
      <w:r w:rsidR="00790F2D" w:rsidRPr="00866D38">
        <w:rPr>
          <w:b/>
        </w:rPr>
        <w:t>技專校院</w:t>
      </w:r>
      <w:r w:rsidR="00AF330B" w:rsidRPr="00866D38">
        <w:rPr>
          <w:b/>
        </w:rPr>
        <w:t>發展</w:t>
      </w:r>
      <w:r w:rsidR="00474657" w:rsidRPr="00866D38">
        <w:rPr>
          <w:b/>
        </w:rPr>
        <w:t>產學人才培育、務實教學為主之方向</w:t>
      </w:r>
      <w:r w:rsidR="00990447" w:rsidRPr="00866D38">
        <w:rPr>
          <w:rFonts w:hint="eastAsia"/>
          <w:b/>
        </w:rPr>
        <w:t>，</w:t>
      </w:r>
      <w:r w:rsidR="00A06CEC" w:rsidRPr="00866D38">
        <w:rPr>
          <w:b/>
        </w:rPr>
        <w:t>將技職教育</w:t>
      </w:r>
      <w:r w:rsidR="00544643" w:rsidRPr="00866D38">
        <w:rPr>
          <w:b/>
        </w:rPr>
        <w:t>核心價值納為最重要之發展根基，</w:t>
      </w:r>
      <w:r w:rsidR="001A12CC" w:rsidRPr="00866D38">
        <w:rPr>
          <w:b/>
        </w:rPr>
        <w:t>發揮引領技職體系改革之作用</w:t>
      </w:r>
      <w:r w:rsidR="001A12CC" w:rsidRPr="00866D38">
        <w:rPr>
          <w:rFonts w:hint="eastAsia"/>
          <w:b/>
        </w:rPr>
        <w:t>，</w:t>
      </w:r>
      <w:r w:rsidR="003C4E2C" w:rsidRPr="00866D38">
        <w:rPr>
          <w:rFonts w:hAnsi="標楷體" w:hint="eastAsia"/>
          <w:b/>
        </w:rPr>
        <w:t>期</w:t>
      </w:r>
      <w:r w:rsidR="000921CD" w:rsidRPr="00866D38">
        <w:rPr>
          <w:rFonts w:hAnsi="標楷體" w:hint="eastAsia"/>
          <w:b/>
        </w:rPr>
        <w:t>具備</w:t>
      </w:r>
      <w:r w:rsidR="001A12CC" w:rsidRPr="00866D38">
        <w:rPr>
          <w:rFonts w:hint="eastAsia"/>
          <w:b/>
        </w:rPr>
        <w:t>與一般大學明顯不同之實務特色</w:t>
      </w:r>
      <w:r w:rsidR="00D959EA" w:rsidRPr="00866D38">
        <w:rPr>
          <w:rFonts w:hint="eastAsia"/>
          <w:b/>
        </w:rPr>
        <w:t>，</w:t>
      </w:r>
      <w:r w:rsidR="00B36ECB" w:rsidRPr="00866D38">
        <w:rPr>
          <w:rFonts w:hint="eastAsia"/>
          <w:b/>
        </w:rPr>
        <w:t>執行率</w:t>
      </w:r>
      <w:r w:rsidR="001B44C0" w:rsidRPr="00866D38">
        <w:rPr>
          <w:rFonts w:hint="eastAsia"/>
          <w:b/>
        </w:rPr>
        <w:t>約</w:t>
      </w:r>
      <w:r w:rsidR="00B36ECB" w:rsidRPr="00866D38">
        <w:rPr>
          <w:rFonts w:hint="eastAsia"/>
          <w:b/>
        </w:rPr>
        <w:t>達</w:t>
      </w:r>
      <w:r w:rsidR="001B44C0" w:rsidRPr="00866D38">
        <w:rPr>
          <w:rFonts w:hint="eastAsia"/>
          <w:b/>
        </w:rPr>
        <w:t>99.85</w:t>
      </w:r>
      <w:r w:rsidR="00B36ECB" w:rsidRPr="00866D38">
        <w:rPr>
          <w:rFonts w:hint="eastAsia"/>
          <w:b/>
        </w:rPr>
        <w:t>%，</w:t>
      </w:r>
      <w:r w:rsidR="00270204" w:rsidRPr="00866D38">
        <w:rPr>
          <w:rFonts w:hint="eastAsia"/>
          <w:b/>
        </w:rPr>
        <w:t>整體</w:t>
      </w:r>
      <w:r w:rsidR="00D46123" w:rsidRPr="00866D38">
        <w:rPr>
          <w:rFonts w:hint="eastAsia"/>
          <w:b/>
        </w:rPr>
        <w:t>方向</w:t>
      </w:r>
      <w:r w:rsidR="00270204" w:rsidRPr="00866D38">
        <w:rPr>
          <w:rFonts w:hint="eastAsia"/>
          <w:b/>
        </w:rPr>
        <w:t>立意</w:t>
      </w:r>
      <w:r w:rsidR="00052549" w:rsidRPr="00866D38">
        <w:rPr>
          <w:rFonts w:hint="eastAsia"/>
          <w:b/>
        </w:rPr>
        <w:t>及初步成效</w:t>
      </w:r>
      <w:r w:rsidR="008C3868" w:rsidRPr="00866D38">
        <w:rPr>
          <w:rFonts w:hint="eastAsia"/>
          <w:b/>
        </w:rPr>
        <w:t>均</w:t>
      </w:r>
      <w:r w:rsidR="00D959EA" w:rsidRPr="00866D38">
        <w:rPr>
          <w:rFonts w:hint="eastAsia"/>
          <w:b/>
        </w:rPr>
        <w:t>值肯定</w:t>
      </w:r>
      <w:bookmarkEnd w:id="32"/>
      <w:r w:rsidR="00665909" w:rsidRPr="00866D38">
        <w:rPr>
          <w:rFonts w:hint="eastAsia"/>
          <w:b/>
        </w:rPr>
        <w:t>。</w:t>
      </w:r>
    </w:p>
    <w:p w:rsidR="00487F8E" w:rsidRPr="00866D38" w:rsidRDefault="00487F8E" w:rsidP="0049400F">
      <w:pPr>
        <w:pStyle w:val="3"/>
      </w:pPr>
      <w:bookmarkStart w:id="33" w:name="_Toc448303828"/>
      <w:bookmarkStart w:id="34" w:name="_Toc448304008"/>
      <w:bookmarkStart w:id="35" w:name="_Toc448765578"/>
      <w:bookmarkStart w:id="36" w:name="_Toc448852019"/>
      <w:bookmarkStart w:id="37" w:name="_Toc449184787"/>
      <w:bookmarkStart w:id="38" w:name="_Toc449357728"/>
      <w:bookmarkStart w:id="39" w:name="_Toc449360922"/>
      <w:bookmarkStart w:id="40" w:name="_Toc452729630"/>
      <w:bookmarkStart w:id="41" w:name="_Toc452740248"/>
      <w:bookmarkStart w:id="42" w:name="_Toc518915389"/>
      <w:bookmarkStart w:id="43" w:name="_Toc519839598"/>
      <w:bookmarkStart w:id="44" w:name="_Toc519844488"/>
      <w:bookmarkStart w:id="45" w:name="_Toc519864630"/>
      <w:bookmarkStart w:id="46" w:name="_Toc519864735"/>
      <w:bookmarkStart w:id="47" w:name="_Toc523220135"/>
      <w:r w:rsidRPr="00866D38">
        <w:rPr>
          <w:rFonts w:hint="eastAsia"/>
        </w:rPr>
        <w:t>人力乃國力之本，人才素質更是國家競爭力關鍵，</w:t>
      </w:r>
      <w:r w:rsidR="00410652" w:rsidRPr="00866D38">
        <w:rPr>
          <w:rFonts w:hint="eastAsia"/>
        </w:rPr>
        <w:t>而</w:t>
      </w:r>
      <w:r w:rsidR="003D58A2" w:rsidRPr="00866D38">
        <w:rPr>
          <w:rFonts w:hint="eastAsia"/>
        </w:rPr>
        <w:t>高等</w:t>
      </w:r>
      <w:r w:rsidR="002652A8" w:rsidRPr="00866D38">
        <w:rPr>
          <w:rFonts w:hint="eastAsia"/>
        </w:rPr>
        <w:t>技職教育係</w:t>
      </w:r>
      <w:r w:rsidR="004D0E9E" w:rsidRPr="00866D38">
        <w:rPr>
          <w:rFonts w:hint="eastAsia"/>
        </w:rPr>
        <w:t>培育</w:t>
      </w:r>
      <w:r w:rsidR="0073282F" w:rsidRPr="00866D38">
        <w:rPr>
          <w:rFonts w:hint="eastAsia"/>
        </w:rPr>
        <w:t>中高階</w:t>
      </w:r>
      <w:r w:rsidR="00F6211E" w:rsidRPr="00866D38">
        <w:rPr>
          <w:rFonts w:hint="eastAsia"/>
        </w:rPr>
        <w:t>科技</w:t>
      </w:r>
      <w:r w:rsidRPr="00866D38">
        <w:rPr>
          <w:rFonts w:hint="eastAsia"/>
        </w:rPr>
        <w:t>人才重要</w:t>
      </w:r>
      <w:r w:rsidR="00D165E4" w:rsidRPr="00866D38">
        <w:rPr>
          <w:rFonts w:hint="eastAsia"/>
        </w:rPr>
        <w:t>之</w:t>
      </w:r>
      <w:r w:rsidRPr="00866D38">
        <w:rPr>
          <w:rFonts w:hint="eastAsia"/>
        </w:rPr>
        <w:t>搖籃，其良窳直接影響國家產業人力品質，攸關國家經濟發展。</w:t>
      </w:r>
      <w:r w:rsidR="00D122B2" w:rsidRPr="00866D38">
        <w:rPr>
          <w:rFonts w:hint="eastAsia"/>
        </w:rPr>
        <w:t>按</w:t>
      </w:r>
      <w:r w:rsidRPr="00866D38">
        <w:rPr>
          <w:rFonts w:hint="eastAsia"/>
        </w:rPr>
        <w:t>104年1月14日公布施行之技術及職業教育法第1條明示</w:t>
      </w:r>
      <w:r w:rsidR="001A0079" w:rsidRPr="00866D38">
        <w:rPr>
          <w:rFonts w:hint="eastAsia"/>
        </w:rPr>
        <w:t>略以</w:t>
      </w:r>
      <w:r w:rsidR="00A87B8A" w:rsidRPr="00866D38">
        <w:rPr>
          <w:rFonts w:hint="eastAsia"/>
        </w:rPr>
        <w:t>，</w:t>
      </w:r>
      <w:r w:rsidRPr="00866D38">
        <w:rPr>
          <w:rFonts w:hint="eastAsia"/>
        </w:rPr>
        <w:t>技職教育目的為「建立技術及職業教育人才培育制度，培養國人正確職業觀念，落實技職教育務實致用特色，培育各行業人才」。</w:t>
      </w:r>
      <w:r w:rsidR="0049400F" w:rsidRPr="00866D38">
        <w:rPr>
          <w:rFonts w:hint="eastAsia"/>
        </w:rPr>
        <w:t>同法第2條規定：</w:t>
      </w:r>
      <w:r w:rsidR="0049400F" w:rsidRPr="00866D38">
        <w:rPr>
          <w:rFonts w:hAnsi="標楷體" w:hint="eastAsia"/>
        </w:rPr>
        <w:t>「本法之主管機關：在中央為教育部；在直轄市為直轄市政府；在縣（市）為縣（市）政府。」</w:t>
      </w:r>
      <w:r w:rsidRPr="00866D38">
        <w:rPr>
          <w:rFonts w:hint="eastAsia"/>
        </w:rPr>
        <w:t>89年教育部「技職教育白皮書」</w:t>
      </w:r>
      <w:r w:rsidR="008D6EDC" w:rsidRPr="00866D38">
        <w:rPr>
          <w:rFonts w:hint="eastAsia"/>
        </w:rPr>
        <w:t>更</w:t>
      </w:r>
      <w:r w:rsidRPr="00866D38">
        <w:rPr>
          <w:rFonts w:hint="eastAsia"/>
        </w:rPr>
        <w:t>載明：「技職教育主要目標在培育社會所需人力，訂定技職教育政策的重要基礎在於瞭解國家經濟建設發展及政策取向，提出技職教育所培育之人才應為產業界歡迎而任用、以技職教育促進國家發展等願景，以使技職教育所訓練之人力獲得正確之職場價值觀念與專業技術，使其適性適所，並善盡國民應盡之責任」。</w:t>
      </w:r>
      <w:r w:rsidR="003F2EFF" w:rsidRPr="00866D38">
        <w:rPr>
          <w:rFonts w:hint="eastAsia"/>
        </w:rPr>
        <w:t>復按</w:t>
      </w:r>
      <w:r w:rsidR="00CC1B05" w:rsidRPr="00866D38">
        <w:rPr>
          <w:rFonts w:hint="eastAsia"/>
        </w:rPr>
        <w:t>教育部組織法</w:t>
      </w:r>
      <w:r w:rsidR="00474A09" w:rsidRPr="00866D38">
        <w:rPr>
          <w:rFonts w:hint="eastAsia"/>
        </w:rPr>
        <w:t>第2條規定</w:t>
      </w:r>
      <w:r w:rsidR="006A42DD" w:rsidRPr="00866D38">
        <w:rPr>
          <w:rFonts w:hint="eastAsia"/>
        </w:rPr>
        <w:t>該</w:t>
      </w:r>
      <w:r w:rsidR="006A42DD" w:rsidRPr="00866D38">
        <w:rPr>
          <w:rFonts w:hint="eastAsia"/>
        </w:rPr>
        <w:lastRenderedPageBreak/>
        <w:t>部掌理事項</w:t>
      </w:r>
      <w:r w:rsidR="006314B0" w:rsidRPr="00866D38">
        <w:rPr>
          <w:rFonts w:hint="eastAsia"/>
        </w:rPr>
        <w:t>，</w:t>
      </w:r>
      <w:r w:rsidR="000627F0" w:rsidRPr="00866D38">
        <w:rPr>
          <w:rFonts w:hint="eastAsia"/>
        </w:rPr>
        <w:t>包括</w:t>
      </w:r>
      <w:r w:rsidR="006314B0" w:rsidRPr="00866D38">
        <w:rPr>
          <w:rFonts w:hAnsi="標楷體" w:hint="eastAsia"/>
        </w:rPr>
        <w:t>：</w:t>
      </w:r>
      <w:r w:rsidR="001B47A7" w:rsidRPr="00866D38">
        <w:rPr>
          <w:rFonts w:hint="eastAsia"/>
        </w:rPr>
        <w:t>一、高等教育、技術職業教育政策之規劃，大專校院發展、師資、招生、資源分配、品質提升、產學合作之輔導及行政監督</w:t>
      </w:r>
      <w:r w:rsidR="00665909" w:rsidRPr="00866D38">
        <w:rPr>
          <w:rFonts w:hint="eastAsia"/>
        </w:rPr>
        <w:t>……</w:t>
      </w:r>
      <w:r w:rsidR="00A92751" w:rsidRPr="00866D38">
        <w:rPr>
          <w:rFonts w:hint="eastAsia"/>
        </w:rPr>
        <w:t>等</w:t>
      </w:r>
      <w:r w:rsidR="001B47A7" w:rsidRPr="00866D38">
        <w:rPr>
          <w:rFonts w:hint="eastAsia"/>
        </w:rPr>
        <w:t>。</w:t>
      </w:r>
      <w:r w:rsidRPr="00866D38">
        <w:rPr>
          <w:rFonts w:hint="eastAsia"/>
        </w:rPr>
        <w:t>爰此，強化技職教育定位與發展，提升國家競爭力，係政府必需重視之課題</w:t>
      </w:r>
      <w:r w:rsidR="00CC1B05" w:rsidRPr="00866D38">
        <w:rPr>
          <w:rFonts w:hint="eastAsia"/>
        </w:rPr>
        <w:t>，而主管機關教育部對</w:t>
      </w:r>
      <w:r w:rsidR="00D515C4" w:rsidRPr="00866D38">
        <w:rPr>
          <w:rFonts w:hint="eastAsia"/>
        </w:rPr>
        <w:t>其</w:t>
      </w:r>
      <w:r w:rsidR="00CC1B05" w:rsidRPr="00866D38">
        <w:rPr>
          <w:rFonts w:hint="eastAsia"/>
        </w:rPr>
        <w:t>整體</w:t>
      </w:r>
      <w:r w:rsidR="008B48C0" w:rsidRPr="00866D38">
        <w:rPr>
          <w:rFonts w:hint="eastAsia"/>
        </w:rPr>
        <w:t>綢繆</w:t>
      </w:r>
      <w:r w:rsidR="00CC1B05" w:rsidRPr="00866D38">
        <w:rPr>
          <w:rFonts w:hint="eastAsia"/>
        </w:rPr>
        <w:t>擘劃及</w:t>
      </w:r>
      <w:r w:rsidR="002E48A1" w:rsidRPr="00866D38">
        <w:rPr>
          <w:rFonts w:hint="eastAsia"/>
        </w:rPr>
        <w:t>推動</w:t>
      </w:r>
      <w:r w:rsidR="00CC1B05" w:rsidRPr="00866D38">
        <w:rPr>
          <w:rFonts w:hint="eastAsia"/>
        </w:rPr>
        <w:t>發展</w:t>
      </w:r>
      <w:r w:rsidR="002552BA" w:rsidRPr="00866D38">
        <w:rPr>
          <w:rFonts w:hint="eastAsia"/>
        </w:rPr>
        <w:t>歷程，應屬</w:t>
      </w:r>
      <w:r w:rsidR="00CC1B05" w:rsidRPr="00866D38">
        <w:rPr>
          <w:rFonts w:hint="eastAsia"/>
        </w:rPr>
        <w:t>責無旁貸</w:t>
      </w:r>
      <w:r w:rsidRPr="00866D38">
        <w:rPr>
          <w:rFonts w:hint="eastAsia"/>
        </w:rPr>
        <w:t>。</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B56427" w:rsidRPr="00866D38" w:rsidRDefault="00B56427" w:rsidP="00B07E7C">
      <w:pPr>
        <w:pStyle w:val="3"/>
      </w:pPr>
      <w:bookmarkStart w:id="48" w:name="_Toc449184829"/>
      <w:bookmarkStart w:id="49" w:name="_Toc449357770"/>
      <w:bookmarkStart w:id="50" w:name="_Toc449360952"/>
      <w:bookmarkStart w:id="51" w:name="_Toc519839599"/>
      <w:bookmarkStart w:id="52" w:name="_Toc519844489"/>
      <w:bookmarkStart w:id="53" w:name="_Toc519864631"/>
      <w:bookmarkStart w:id="54" w:name="_Toc519864736"/>
      <w:bookmarkStart w:id="55" w:name="_Toc523220136"/>
      <w:r w:rsidRPr="00866D38">
        <w:rPr>
          <w:rFonts w:hAnsi="標楷體" w:hint="eastAsia"/>
        </w:rPr>
        <w:t>另依教育部89年之「技職教育白皮書」所明示：「技職教育主要目標在培育社會所需人力，訂定技職教育政策的重要基礎在於瞭解國家經濟建設發展及政策取向，提出技職教育所培育之人才應為產業界歡迎而任用、以技職教育促進國家發展等願景」及該部102年「人才培育白皮書」載明：「近年來我國產業的轉型與外移，使產業人力需求起了相當的變化，領域別與階層別的人力，都必須作適度的調整，然而人力資源規劃卻未隨社會與產業的變化而適時修正，特別是高等教育蓬勃的發展，培育出較過去多約</w:t>
      </w:r>
      <w:r w:rsidR="004730BD" w:rsidRPr="00866D38">
        <w:rPr>
          <w:rFonts w:hAnsi="標楷體"/>
        </w:rPr>
        <w:t>3</w:t>
      </w:r>
      <w:r w:rsidRPr="00866D38">
        <w:rPr>
          <w:rFonts w:hAnsi="標楷體" w:hint="eastAsia"/>
        </w:rPr>
        <w:t>倍的大學人力，卻未能有效反映社會與產業的需求。」顯見，政府應積極引導技職教育培育出符合國家發展及產業所需之人才</w:t>
      </w:r>
      <w:bookmarkEnd w:id="48"/>
      <w:bookmarkEnd w:id="49"/>
      <w:bookmarkEnd w:id="50"/>
      <w:r w:rsidRPr="00866D38">
        <w:rPr>
          <w:rFonts w:hAnsi="標楷體" w:hint="eastAsia"/>
        </w:rPr>
        <w:t>。</w:t>
      </w:r>
      <w:bookmarkEnd w:id="51"/>
      <w:bookmarkEnd w:id="52"/>
      <w:bookmarkEnd w:id="53"/>
      <w:bookmarkEnd w:id="54"/>
      <w:bookmarkEnd w:id="55"/>
    </w:p>
    <w:p w:rsidR="00CA23FC" w:rsidRPr="00866D38" w:rsidRDefault="00864B7E" w:rsidP="00CA23FC">
      <w:pPr>
        <w:pStyle w:val="3"/>
      </w:pPr>
      <w:bookmarkStart w:id="56" w:name="_Toc518915390"/>
      <w:bookmarkStart w:id="57" w:name="_Toc519839600"/>
      <w:bookmarkStart w:id="58" w:name="_Toc519844490"/>
      <w:bookmarkStart w:id="59" w:name="_Toc519864632"/>
      <w:bookmarkStart w:id="60" w:name="_Toc519864737"/>
      <w:bookmarkStart w:id="61" w:name="_Toc523220137"/>
      <w:r w:rsidRPr="00866D38">
        <w:rPr>
          <w:rFonts w:hint="eastAsia"/>
        </w:rPr>
        <w:t>經</w:t>
      </w:r>
      <w:r w:rsidR="00831A6B" w:rsidRPr="00866D38">
        <w:rPr>
          <w:rFonts w:hint="eastAsia"/>
        </w:rPr>
        <w:t>查，</w:t>
      </w:r>
      <w:r w:rsidR="00257887" w:rsidRPr="00866D38">
        <w:rPr>
          <w:rFonts w:hint="eastAsia"/>
        </w:rPr>
        <w:t>相較於</w:t>
      </w:r>
      <w:r w:rsidR="00DD28D0" w:rsidRPr="00866D38">
        <w:rPr>
          <w:rFonts w:hint="eastAsia"/>
        </w:rPr>
        <w:t>教育部推動</w:t>
      </w:r>
      <w:r w:rsidR="00257887" w:rsidRPr="00866D38">
        <w:rPr>
          <w:rFonts w:hint="eastAsia"/>
        </w:rPr>
        <w:t>「發展國際一流大學及頂尖研究中心計畫」第二期</w:t>
      </w:r>
      <w:r w:rsidR="00B92382" w:rsidRPr="00866D38">
        <w:rPr>
          <w:rFonts w:hint="eastAsia"/>
        </w:rPr>
        <w:t>之</w:t>
      </w:r>
      <w:r w:rsidR="00257887" w:rsidRPr="00866D38">
        <w:rPr>
          <w:rFonts w:hint="eastAsia"/>
        </w:rPr>
        <w:t>目標，</w:t>
      </w:r>
      <w:r w:rsidR="00F62A70" w:rsidRPr="00866D38">
        <w:rPr>
          <w:rFonts w:hint="eastAsia"/>
        </w:rPr>
        <w:t>強調</w:t>
      </w:r>
      <w:r w:rsidR="00257887" w:rsidRPr="00866D38">
        <w:rPr>
          <w:rFonts w:hint="eastAsia"/>
        </w:rPr>
        <w:t>以協助大學進入世界百名大學排行榜為目標，因而申請學校</w:t>
      </w:r>
      <w:r w:rsidR="00257887" w:rsidRPr="00866D38">
        <w:t>除應符合審議</w:t>
      </w:r>
      <w:r w:rsidR="00257887" w:rsidRPr="00866D38">
        <w:rPr>
          <w:rFonts w:hint="eastAsia"/>
        </w:rPr>
        <w:t>委員會</w:t>
      </w:r>
      <w:r w:rsidR="00257887" w:rsidRPr="00866D38">
        <w:t>規劃的相關指標外，並</w:t>
      </w:r>
      <w:r w:rsidR="00257887" w:rsidRPr="00866D38">
        <w:rPr>
          <w:rFonts w:hint="eastAsia"/>
        </w:rPr>
        <w:t>以達成</w:t>
      </w:r>
      <w:r w:rsidR="00257887" w:rsidRPr="00866D38">
        <w:t>國際評比標準</w:t>
      </w:r>
      <w:r w:rsidR="00257887" w:rsidRPr="00866D38">
        <w:rPr>
          <w:rFonts w:hint="eastAsia"/>
        </w:rPr>
        <w:t>為</w:t>
      </w:r>
      <w:r w:rsidR="00257887" w:rsidRPr="00866D38">
        <w:t>參照指標</w:t>
      </w:r>
      <w:r w:rsidR="00B17E46" w:rsidRPr="00866D38">
        <w:rPr>
          <w:rFonts w:hint="eastAsia"/>
        </w:rPr>
        <w:t>，相關指標偏重於學校教研績效等</w:t>
      </w:r>
      <w:r w:rsidR="00257887" w:rsidRPr="00866D38">
        <w:t>。</w:t>
      </w:r>
      <w:r w:rsidR="0058017A" w:rsidRPr="00866D38">
        <w:rPr>
          <w:rFonts w:hint="eastAsia"/>
        </w:rPr>
        <w:t>該</w:t>
      </w:r>
      <w:r w:rsidR="00A9667B" w:rsidRPr="00866D38">
        <w:rPr>
          <w:rFonts w:hint="eastAsia"/>
        </w:rPr>
        <w:t>部推動</w:t>
      </w:r>
      <w:r w:rsidR="00B90E24">
        <w:rPr>
          <w:rFonts w:hint="eastAsia"/>
        </w:rPr>
        <w:t>典範科大</w:t>
      </w:r>
      <w:r w:rsidRPr="00866D38">
        <w:rPr>
          <w:rFonts w:hint="eastAsia"/>
        </w:rPr>
        <w:t>計畫</w:t>
      </w:r>
      <w:r w:rsidR="00A9667B" w:rsidRPr="00866D38">
        <w:rPr>
          <w:rFonts w:hint="eastAsia"/>
        </w:rPr>
        <w:t>，</w:t>
      </w:r>
      <w:r w:rsidR="004D0E9E" w:rsidRPr="00866D38">
        <w:rPr>
          <w:rFonts w:hint="eastAsia"/>
        </w:rPr>
        <w:t>透過</w:t>
      </w:r>
      <w:r w:rsidR="00A936D5" w:rsidRPr="00866D38">
        <w:rPr>
          <w:rFonts w:hint="eastAsia"/>
        </w:rPr>
        <w:t>競爭性補助機制，</w:t>
      </w:r>
      <w:r w:rsidR="00F729F2" w:rsidRPr="00866D38">
        <w:rPr>
          <w:rFonts w:hint="eastAsia"/>
        </w:rPr>
        <w:t>以額外經費引導其規劃並建置自身成為產業創新發展中心。</w:t>
      </w:r>
      <w:r w:rsidR="00103B73" w:rsidRPr="00866D38">
        <w:rPr>
          <w:rFonts w:hAnsi="標楷體" w:hint="eastAsia"/>
          <w:noProof/>
        </w:rPr>
        <w:t>至</w:t>
      </w:r>
      <w:r w:rsidR="00A9667B" w:rsidRPr="00866D38">
        <w:rPr>
          <w:rFonts w:hAnsi="標楷體" w:hint="eastAsia"/>
          <w:noProof/>
        </w:rPr>
        <w:t>計畫</w:t>
      </w:r>
      <w:r w:rsidRPr="00866D38">
        <w:rPr>
          <w:rFonts w:hAnsi="標楷體" w:hint="eastAsia"/>
          <w:noProof/>
        </w:rPr>
        <w:t>結束為止，</w:t>
      </w:r>
      <w:r w:rsidR="008E0594" w:rsidRPr="00866D38">
        <w:rPr>
          <w:rFonts w:hAnsi="標楷體" w:hint="eastAsia"/>
          <w:noProof/>
        </w:rPr>
        <w:t>該部</w:t>
      </w:r>
      <w:r w:rsidR="002E7F4C" w:rsidRPr="00866D38">
        <w:rPr>
          <w:rFonts w:hAnsi="標楷體" w:hint="eastAsia"/>
          <w:noProof/>
        </w:rPr>
        <w:t>計核定</w:t>
      </w:r>
      <w:r w:rsidR="006229D2" w:rsidRPr="00866D38">
        <w:rPr>
          <w:rFonts w:hint="eastAsia"/>
        </w:rPr>
        <w:t>補助</w:t>
      </w:r>
      <w:r w:rsidR="000C34B8" w:rsidRPr="00866D38">
        <w:rPr>
          <w:rFonts w:hint="eastAsia"/>
        </w:rPr>
        <w:t>12校</w:t>
      </w:r>
      <w:r w:rsidR="006229D2" w:rsidRPr="00866D38">
        <w:rPr>
          <w:rFonts w:hint="eastAsia"/>
        </w:rPr>
        <w:t>發展典範科技大學</w:t>
      </w:r>
      <w:r w:rsidR="006229D2" w:rsidRPr="00866D38">
        <w:rPr>
          <w:rFonts w:ascii="新細明體" w:eastAsia="新細明體" w:hAnsi="新細明體" w:hint="eastAsia"/>
        </w:rPr>
        <w:t>、</w:t>
      </w:r>
      <w:r w:rsidR="006229D2" w:rsidRPr="00866D38">
        <w:rPr>
          <w:rFonts w:hint="eastAsia"/>
        </w:rPr>
        <w:t>4校成立產學研發中心</w:t>
      </w:r>
      <w:r w:rsidR="00CA01EA" w:rsidRPr="00866D38">
        <w:rPr>
          <w:rFonts w:ascii="新細明體" w:eastAsia="新細明體" w:hAnsi="新細明體" w:hint="eastAsia"/>
        </w:rPr>
        <w:t>、</w:t>
      </w:r>
      <w:r w:rsidR="00CA01EA" w:rsidRPr="00866D38">
        <w:rPr>
          <w:rFonts w:hint="eastAsia"/>
        </w:rPr>
        <w:t>另補助4校成立區域策略聯盟</w:t>
      </w:r>
      <w:r w:rsidR="00787450" w:rsidRPr="00866D38">
        <w:rPr>
          <w:rFonts w:hint="eastAsia"/>
        </w:rPr>
        <w:t>，及補助1校成立</w:t>
      </w:r>
      <w:r w:rsidR="00103B73" w:rsidRPr="00866D38">
        <w:rPr>
          <w:rFonts w:hint="eastAsia"/>
        </w:rPr>
        <w:t>商業</w:t>
      </w:r>
      <w:r w:rsidR="00103B73" w:rsidRPr="00866D38">
        <w:rPr>
          <w:rFonts w:hint="eastAsia"/>
        </w:rPr>
        <w:lastRenderedPageBreak/>
        <w:t>專業領域人才培育策略聯盟</w:t>
      </w:r>
      <w:r w:rsidR="004D0E9E" w:rsidRPr="00866D38">
        <w:rPr>
          <w:rFonts w:hint="eastAsia"/>
        </w:rPr>
        <w:t>。自</w:t>
      </w:r>
      <w:r w:rsidR="006460DC" w:rsidRPr="00866D38">
        <w:rPr>
          <w:rFonts w:hint="eastAsia"/>
        </w:rPr>
        <w:t>102</w:t>
      </w:r>
      <w:r w:rsidR="0094216B">
        <w:rPr>
          <w:rFonts w:hint="eastAsia"/>
        </w:rPr>
        <w:t>年</w:t>
      </w:r>
      <w:r w:rsidR="006460DC" w:rsidRPr="00866D38">
        <w:rPr>
          <w:rFonts w:hint="eastAsia"/>
        </w:rPr>
        <w:t>至105年度累計編列預算數</w:t>
      </w:r>
      <w:r w:rsidR="0094216B">
        <w:rPr>
          <w:rFonts w:hint="eastAsia"/>
        </w:rPr>
        <w:t>新臺幣（下同）</w:t>
      </w:r>
      <w:r w:rsidR="006460DC" w:rsidRPr="00866D38">
        <w:rPr>
          <w:rFonts w:hint="eastAsia"/>
        </w:rPr>
        <w:t>51億6,102萬餘元，截至105年8月底止，累計執行數51億5,328萬餘元，執行率99.85％</w:t>
      </w:r>
      <w:r w:rsidR="002E7F4C" w:rsidRPr="00866D38">
        <w:rPr>
          <w:rFonts w:hAnsi="標楷體" w:hint="eastAsia"/>
          <w:noProof/>
        </w:rPr>
        <w:t>。</w:t>
      </w:r>
      <w:r w:rsidR="00CD7371" w:rsidRPr="00866D38">
        <w:rPr>
          <w:rFonts w:hAnsi="標楷體" w:hint="eastAsia"/>
          <w:noProof/>
        </w:rPr>
        <w:t>該計畫</w:t>
      </w:r>
      <w:r w:rsidR="00745B5E" w:rsidRPr="00866D38">
        <w:rPr>
          <w:rFonts w:hAnsi="標楷體" w:hint="eastAsia"/>
          <w:noProof/>
        </w:rPr>
        <w:t>補助依據除</w:t>
      </w:r>
      <w:r w:rsidR="00F86500" w:rsidRPr="00866D38">
        <w:rPr>
          <w:rFonts w:hAnsi="標楷體" w:hint="eastAsia"/>
          <w:noProof/>
        </w:rPr>
        <w:t>學校之自身發展特色與定位，另著重</w:t>
      </w:r>
      <w:r w:rsidR="00745B5E" w:rsidRPr="00866D38">
        <w:rPr>
          <w:rFonts w:hAnsi="標楷體" w:hint="eastAsia"/>
          <w:noProof/>
        </w:rPr>
        <w:t>學校於「人才培育」、「產學研發」、「基礎建設」、「制度調整」等面向之未來發展目標及具體推動計畫等</w:t>
      </w:r>
      <w:r w:rsidR="00AF404A" w:rsidRPr="00866D38">
        <w:rPr>
          <w:rFonts w:hAnsi="標楷體" w:hint="eastAsia"/>
          <w:noProof/>
        </w:rPr>
        <w:t>，祈</w:t>
      </w:r>
      <w:r w:rsidR="00AF404A" w:rsidRPr="00866D38">
        <w:rPr>
          <w:rFonts w:hAnsi="標楷體"/>
          <w:noProof/>
        </w:rPr>
        <w:t>引導技專校院發展產學人才培育、務實教學為主</w:t>
      </w:r>
      <w:r w:rsidR="00F86500" w:rsidRPr="00866D38">
        <w:rPr>
          <w:rFonts w:hAnsi="標楷體" w:hint="eastAsia"/>
          <w:noProof/>
        </w:rPr>
        <w:t>要</w:t>
      </w:r>
      <w:r w:rsidR="00AF404A" w:rsidRPr="00866D38">
        <w:rPr>
          <w:rFonts w:hAnsi="標楷體"/>
          <w:noProof/>
        </w:rPr>
        <w:t>方向</w:t>
      </w:r>
      <w:r w:rsidR="00745B5E" w:rsidRPr="00866D38">
        <w:rPr>
          <w:rFonts w:hAnsi="標楷體" w:hint="eastAsia"/>
          <w:noProof/>
        </w:rPr>
        <w:t>。</w:t>
      </w:r>
      <w:r w:rsidR="00CA23FC" w:rsidRPr="00866D38">
        <w:t>106</w:t>
      </w:r>
      <w:r w:rsidR="00CA23FC" w:rsidRPr="00866D38">
        <w:rPr>
          <w:rFonts w:hint="eastAsia"/>
        </w:rPr>
        <w:t>年推動典範科技大學延續計畫</w:t>
      </w:r>
      <w:r w:rsidR="00CA23FC" w:rsidRPr="00866D38">
        <w:rPr>
          <w:rStyle w:val="aff"/>
        </w:rPr>
        <w:footnoteReference w:id="1"/>
      </w:r>
      <w:r w:rsidR="00CA23FC" w:rsidRPr="00866D38">
        <w:rPr>
          <w:rFonts w:hint="eastAsia"/>
        </w:rPr>
        <w:t>以「專業新人才」、「產學新典範」、「學校新關係」及「國際新接觸」為核心理念，並從精進「人才培育」、「產學研發」、「制度調整」及「國際交流」四大面向推動發展策略。</w:t>
      </w:r>
      <w:r w:rsidR="00E47827" w:rsidRPr="00866D38">
        <w:rPr>
          <w:rFonts w:hint="eastAsia"/>
        </w:rPr>
        <w:t>該計畫政策立意良善</w:t>
      </w:r>
      <w:r w:rsidR="00662485" w:rsidRPr="00866D38">
        <w:rPr>
          <w:rFonts w:hint="eastAsia"/>
        </w:rPr>
        <w:t>，</w:t>
      </w:r>
      <w:r w:rsidR="00E47827" w:rsidRPr="00866D38">
        <w:rPr>
          <w:rFonts w:hint="eastAsia"/>
        </w:rPr>
        <w:t>其</w:t>
      </w:r>
      <w:r w:rsidR="00662485" w:rsidRPr="00866D38">
        <w:rPr>
          <w:rFonts w:hint="eastAsia"/>
        </w:rPr>
        <w:t>發展方向尚與</w:t>
      </w:r>
      <w:r w:rsidR="00AC29D2" w:rsidRPr="00866D38">
        <w:rPr>
          <w:rFonts w:hint="eastAsia"/>
        </w:rPr>
        <w:t>高等技職教育國際趨勢</w:t>
      </w:r>
      <w:r w:rsidR="00680072" w:rsidRPr="00866D38">
        <w:rPr>
          <w:rFonts w:hint="eastAsia"/>
        </w:rPr>
        <w:t>相符</w:t>
      </w:r>
      <w:r w:rsidR="00C70739" w:rsidRPr="00866D38">
        <w:rPr>
          <w:rFonts w:hint="eastAsia"/>
        </w:rPr>
        <w:t>。</w:t>
      </w:r>
      <w:bookmarkEnd w:id="56"/>
      <w:bookmarkEnd w:id="57"/>
      <w:bookmarkEnd w:id="58"/>
      <w:bookmarkEnd w:id="59"/>
      <w:bookmarkEnd w:id="60"/>
      <w:bookmarkEnd w:id="61"/>
    </w:p>
    <w:p w:rsidR="009A41B7" w:rsidRPr="00866D38" w:rsidRDefault="00F54A6C" w:rsidP="00745658">
      <w:pPr>
        <w:pStyle w:val="3"/>
      </w:pPr>
      <w:bookmarkStart w:id="62" w:name="_Toc519839601"/>
      <w:bookmarkStart w:id="63" w:name="_Toc519844491"/>
      <w:bookmarkStart w:id="64" w:name="_Toc519864633"/>
      <w:bookmarkStart w:id="65" w:name="_Toc519864738"/>
      <w:bookmarkStart w:id="66" w:name="_Toc523220138"/>
      <w:bookmarkStart w:id="67" w:name="_Toc518915391"/>
      <w:r w:rsidRPr="00866D38">
        <w:rPr>
          <w:rFonts w:hint="eastAsia"/>
        </w:rPr>
        <w:t>依</w:t>
      </w:r>
      <w:r w:rsidR="00F9720F" w:rsidRPr="00866D38">
        <w:rPr>
          <w:rFonts w:hint="eastAsia"/>
        </w:rPr>
        <w:t>教育部</w:t>
      </w:r>
      <w:r w:rsidR="009F3F61" w:rsidRPr="00866D38">
        <w:rPr>
          <w:rFonts w:hint="eastAsia"/>
        </w:rPr>
        <w:t>及行政院</w:t>
      </w:r>
      <w:r w:rsidR="00CB2B06" w:rsidRPr="00866D38">
        <w:rPr>
          <w:rFonts w:hint="eastAsia"/>
        </w:rPr>
        <w:t>資料</w:t>
      </w:r>
      <w:r w:rsidR="006F338B" w:rsidRPr="00866D38">
        <w:rPr>
          <w:rFonts w:hint="eastAsia"/>
        </w:rPr>
        <w:t>載明</w:t>
      </w:r>
      <w:r w:rsidR="00C76F41" w:rsidRPr="00866D38">
        <w:rPr>
          <w:rStyle w:val="aff"/>
          <w:rFonts w:hAnsi="標楷體"/>
        </w:rPr>
        <w:footnoteReference w:id="2"/>
      </w:r>
      <w:r w:rsidR="00F9720F" w:rsidRPr="00866D38">
        <w:rPr>
          <w:rFonts w:hint="eastAsia"/>
        </w:rPr>
        <w:t>，</w:t>
      </w:r>
      <w:r w:rsidR="004F548E" w:rsidRPr="00866D38">
        <w:t>4年來推動</w:t>
      </w:r>
      <w:r w:rsidR="00775A9D" w:rsidRPr="00866D38">
        <w:rPr>
          <w:rFonts w:hint="eastAsia"/>
        </w:rPr>
        <w:t>典範科大</w:t>
      </w:r>
      <w:r w:rsidR="00581E66" w:rsidRPr="00866D38">
        <w:rPr>
          <w:rFonts w:hint="eastAsia"/>
        </w:rPr>
        <w:t>以</w:t>
      </w:r>
      <w:r w:rsidR="004A596F" w:rsidRPr="00866D38">
        <w:t>積極強化學生就業力、縮短學用落差的人才培育措施，並</w:t>
      </w:r>
      <w:r w:rsidR="00774661" w:rsidRPr="00866D38">
        <w:t>建立提升產學合作各項機制，</w:t>
      </w:r>
      <w:r w:rsidR="004A596F" w:rsidRPr="00866D38">
        <w:t>改造學校體質。在注入產業即戰人才方面，</w:t>
      </w:r>
      <w:r w:rsidR="00775A9D" w:rsidRPr="00866D38">
        <w:rPr>
          <w:rFonts w:hint="eastAsia"/>
        </w:rPr>
        <w:t>專任師資具備業界實務經驗比例較計畫推動前成長23.33％，應屆畢業生校外實習比例亦成長44.14%</w:t>
      </w:r>
      <w:r w:rsidR="00184921" w:rsidRPr="00866D38">
        <w:rPr>
          <w:rStyle w:val="aff"/>
        </w:rPr>
        <w:footnoteReference w:id="3"/>
      </w:r>
      <w:r w:rsidR="00775A9D" w:rsidRPr="00866D38">
        <w:rPr>
          <w:rFonts w:hint="eastAsia"/>
        </w:rPr>
        <w:t>；在產學能量提升方面，共建置154支產學合作跨校聯盟的研發團隊，育成中心年回饋收入也提升至9,583萬元，較計畫執行前成長將近3.5</w:t>
      </w:r>
      <w:r w:rsidR="00E8730A" w:rsidRPr="00866D38">
        <w:rPr>
          <w:rFonts w:hint="eastAsia"/>
        </w:rPr>
        <w:t>倍；此外，計畫</w:t>
      </w:r>
      <w:r w:rsidR="00775A9D" w:rsidRPr="00866D38">
        <w:rPr>
          <w:rFonts w:hint="eastAsia"/>
        </w:rPr>
        <w:t>帶動了1萬2,000名碩博士研究生從產學合作實作中掌握產業趨勢與需求，師生協力將象牙塔中的研究，轉化為實用性的尖端科技</w:t>
      </w:r>
      <w:r w:rsidR="00DF4F78" w:rsidRPr="00866D38">
        <w:rPr>
          <w:rFonts w:hint="eastAsia"/>
        </w:rPr>
        <w:t>等</w:t>
      </w:r>
      <w:r w:rsidR="00944702" w:rsidRPr="00866D38">
        <w:rPr>
          <w:rFonts w:hint="eastAsia"/>
        </w:rPr>
        <w:t>；</w:t>
      </w:r>
      <w:r w:rsidR="002C0B8C" w:rsidRPr="00866D38">
        <w:rPr>
          <w:rFonts w:hint="eastAsia"/>
        </w:rPr>
        <w:t>均</w:t>
      </w:r>
      <w:r w:rsidR="00B85520" w:rsidRPr="00866D38">
        <w:rPr>
          <w:rFonts w:hint="eastAsia"/>
        </w:rPr>
        <w:t>切合國際趨勢</w:t>
      </w:r>
      <w:r w:rsidR="00775A9D" w:rsidRPr="00866D38">
        <w:rPr>
          <w:rFonts w:hint="eastAsia"/>
        </w:rPr>
        <w:t>。</w:t>
      </w:r>
      <w:bookmarkEnd w:id="62"/>
      <w:bookmarkEnd w:id="63"/>
      <w:bookmarkEnd w:id="64"/>
      <w:bookmarkEnd w:id="65"/>
      <w:bookmarkEnd w:id="66"/>
    </w:p>
    <w:p w:rsidR="008C0059" w:rsidRPr="00866D38" w:rsidRDefault="00457951" w:rsidP="00745658">
      <w:pPr>
        <w:pStyle w:val="3"/>
      </w:pPr>
      <w:bookmarkStart w:id="68" w:name="_Toc519839602"/>
      <w:bookmarkStart w:id="69" w:name="_Toc519844492"/>
      <w:bookmarkStart w:id="70" w:name="_Toc519864634"/>
      <w:bookmarkStart w:id="71" w:name="_Toc519864739"/>
      <w:bookmarkStart w:id="72" w:name="_Toc523220139"/>
      <w:r w:rsidRPr="00866D38">
        <w:rPr>
          <w:rFonts w:hint="eastAsia"/>
        </w:rPr>
        <w:lastRenderedPageBreak/>
        <w:t>另</w:t>
      </w:r>
      <w:r w:rsidR="00BA2DD1" w:rsidRPr="00866D38">
        <w:rPr>
          <w:rFonts w:hint="eastAsia"/>
        </w:rPr>
        <w:t>查</w:t>
      </w:r>
      <w:r w:rsidR="00840CCE" w:rsidRPr="00866D38">
        <w:rPr>
          <w:rFonts w:hint="eastAsia"/>
        </w:rPr>
        <w:t>本院調卷資料，</w:t>
      </w:r>
      <w:r w:rsidRPr="00866D38">
        <w:rPr>
          <w:rFonts w:hint="eastAsia"/>
        </w:rPr>
        <w:t>整體計畫績效</w:t>
      </w:r>
      <w:r w:rsidR="00F46C9C" w:rsidRPr="00866D38">
        <w:rPr>
          <w:rFonts w:hint="eastAsia"/>
        </w:rPr>
        <w:t>指標之</w:t>
      </w:r>
      <w:r w:rsidRPr="00866D38">
        <w:rPr>
          <w:rFonts w:hint="eastAsia"/>
        </w:rPr>
        <w:t>檢核情形顯示，</w:t>
      </w:r>
      <w:r w:rsidR="00843285" w:rsidRPr="00866D38">
        <w:rPr>
          <w:rFonts w:hint="eastAsia"/>
        </w:rPr>
        <w:t>以101年為比較基準值，</w:t>
      </w:r>
      <w:r w:rsidR="006C7F9F" w:rsidRPr="00866D38">
        <w:rPr>
          <w:rFonts w:hint="eastAsia"/>
        </w:rPr>
        <w:t>除102</w:t>
      </w:r>
      <w:r w:rsidR="00276754" w:rsidRPr="00866D38">
        <w:rPr>
          <w:rFonts w:hint="eastAsia"/>
        </w:rPr>
        <w:t>年成長幅度略小之外，後續均有明顯增長；</w:t>
      </w:r>
      <w:r w:rsidR="00CA129E" w:rsidRPr="00866D38">
        <w:rPr>
          <w:rFonts w:hint="eastAsia"/>
        </w:rPr>
        <w:t>典範科</w:t>
      </w:r>
      <w:r w:rsidR="00F503F3" w:rsidRPr="00866D38">
        <w:rPr>
          <w:rFonts w:hint="eastAsia"/>
        </w:rPr>
        <w:t>大</w:t>
      </w:r>
      <w:r w:rsidR="00665909" w:rsidRPr="00866D38">
        <w:rPr>
          <w:rFonts w:hint="eastAsia"/>
        </w:rPr>
        <w:t>計畫</w:t>
      </w:r>
      <w:r w:rsidR="00CA129E" w:rsidRPr="00866D38">
        <w:rPr>
          <w:rFonts w:hint="eastAsia"/>
        </w:rPr>
        <w:t>補助</w:t>
      </w:r>
      <w:r w:rsidR="00276754" w:rsidRPr="00866D38">
        <w:rPr>
          <w:rFonts w:hint="eastAsia"/>
        </w:rPr>
        <w:t>經費執行率</w:t>
      </w:r>
      <w:r w:rsidR="006C7F9F" w:rsidRPr="00866D38">
        <w:rPr>
          <w:rFonts w:hint="eastAsia"/>
        </w:rPr>
        <w:t>，</w:t>
      </w:r>
      <w:r w:rsidR="005E5823" w:rsidRPr="00866D38">
        <w:rPr>
          <w:rFonts w:hint="eastAsia"/>
        </w:rPr>
        <w:t>約</w:t>
      </w:r>
      <w:r w:rsidR="002D05E9" w:rsidRPr="00866D38">
        <w:rPr>
          <w:rFonts w:hint="eastAsia"/>
        </w:rPr>
        <w:t>介於96%-100%，</w:t>
      </w:r>
      <w:r w:rsidR="00CC2166" w:rsidRPr="00866D38">
        <w:rPr>
          <w:rFonts w:hint="eastAsia"/>
        </w:rPr>
        <w:t>產學研發中心經費執行率</w:t>
      </w:r>
      <w:r w:rsidR="00BE2634" w:rsidRPr="00866D38">
        <w:rPr>
          <w:rFonts w:hint="eastAsia"/>
        </w:rPr>
        <w:t>約介於</w:t>
      </w:r>
      <w:r w:rsidR="00720200" w:rsidRPr="00866D38">
        <w:rPr>
          <w:rFonts w:hint="eastAsia"/>
        </w:rPr>
        <w:t>98%-100%；而</w:t>
      </w:r>
      <w:r w:rsidR="00051F4A" w:rsidRPr="00866D38">
        <w:rPr>
          <w:rFonts w:hint="eastAsia"/>
        </w:rPr>
        <w:t>策略聯盟</w:t>
      </w:r>
      <w:r w:rsidR="00944010" w:rsidRPr="00866D38">
        <w:rPr>
          <w:rFonts w:hint="eastAsia"/>
        </w:rPr>
        <w:t>補助經費執行率則為100%。揆諸整體計畫量化績效指標</w:t>
      </w:r>
      <w:r w:rsidR="008B5090" w:rsidRPr="00866D38">
        <w:rPr>
          <w:rFonts w:hint="eastAsia"/>
        </w:rPr>
        <w:t>表現尚屬良好</w:t>
      </w:r>
      <w:r w:rsidR="00A20FB1" w:rsidRPr="00866D38">
        <w:rPr>
          <w:rFonts w:hint="eastAsia"/>
        </w:rPr>
        <w:t>。</w:t>
      </w:r>
      <w:r w:rsidR="004E0FC2" w:rsidRPr="00866D38">
        <w:rPr>
          <w:rFonts w:hint="eastAsia"/>
        </w:rPr>
        <w:t>茲將</w:t>
      </w:r>
      <w:r w:rsidR="00745658" w:rsidRPr="00866D38">
        <w:rPr>
          <w:rFonts w:hint="eastAsia"/>
        </w:rPr>
        <w:t>整體計畫績效指標及評估基準檢核情形</w:t>
      </w:r>
      <w:r w:rsidR="008B5090" w:rsidRPr="00866D38">
        <w:rPr>
          <w:rFonts w:hint="eastAsia"/>
        </w:rPr>
        <w:t>表</w:t>
      </w:r>
      <w:r w:rsidR="004E0FC2" w:rsidRPr="00866D38">
        <w:rPr>
          <w:rFonts w:hint="eastAsia"/>
        </w:rPr>
        <w:t>列</w:t>
      </w:r>
      <w:r w:rsidR="008B5090" w:rsidRPr="00866D38">
        <w:rPr>
          <w:rFonts w:hint="eastAsia"/>
        </w:rPr>
        <w:t>如后：</w:t>
      </w:r>
      <w:bookmarkEnd w:id="67"/>
      <w:bookmarkEnd w:id="68"/>
      <w:bookmarkEnd w:id="69"/>
      <w:bookmarkEnd w:id="70"/>
      <w:bookmarkEnd w:id="71"/>
      <w:bookmarkEnd w:id="72"/>
      <w:r w:rsidR="008C0059" w:rsidRPr="00866D38">
        <w:br w:type="page"/>
      </w:r>
    </w:p>
    <w:p w:rsidR="00EF6F75" w:rsidRPr="00866D38" w:rsidRDefault="00EF6F75" w:rsidP="00EF6F75">
      <w:pPr>
        <w:pStyle w:val="a3"/>
      </w:pPr>
      <w:r w:rsidRPr="00866D38">
        <w:rPr>
          <w:rFonts w:hint="eastAsia"/>
          <w:b/>
        </w:rPr>
        <w:lastRenderedPageBreak/>
        <w:t>整體計畫績效指標及評估基準檢核情形-整體計畫部分</w:t>
      </w:r>
    </w:p>
    <w:p w:rsidR="00EF6F75" w:rsidRPr="00866D38" w:rsidRDefault="00EF6F75" w:rsidP="00EF6F75">
      <w:pPr>
        <w:pStyle w:val="aff1"/>
        <w:spacing w:before="137"/>
        <w:ind w:firstLine="485"/>
        <w:jc w:val="right"/>
        <w:rPr>
          <w:rFonts w:hAnsi="華康楷書體W5(P)"/>
          <w:color w:val="auto"/>
          <w:spacing w:val="-10"/>
          <w:kern w:val="28"/>
          <w:sz w:val="24"/>
          <w:szCs w:val="24"/>
        </w:rPr>
      </w:pPr>
      <w:r w:rsidRPr="00866D38">
        <w:rPr>
          <w:rFonts w:hAnsi="華康楷書體W5(P)" w:hint="eastAsia"/>
          <w:color w:val="auto"/>
          <w:spacing w:val="-10"/>
          <w:kern w:val="28"/>
          <w:sz w:val="24"/>
          <w:szCs w:val="24"/>
        </w:rPr>
        <w:t>單位：新台幣(下同)元；%；件</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6"/>
        <w:gridCol w:w="288"/>
        <w:gridCol w:w="993"/>
        <w:gridCol w:w="850"/>
        <w:gridCol w:w="851"/>
        <w:gridCol w:w="850"/>
        <w:gridCol w:w="851"/>
        <w:gridCol w:w="850"/>
        <w:gridCol w:w="851"/>
        <w:gridCol w:w="850"/>
        <w:gridCol w:w="851"/>
      </w:tblGrid>
      <w:tr w:rsidR="00866D38" w:rsidRPr="00866D38" w:rsidTr="00071B29">
        <w:trPr>
          <w:trHeight w:val="50"/>
          <w:jc w:val="center"/>
        </w:trPr>
        <w:tc>
          <w:tcPr>
            <w:tcW w:w="1226" w:type="dxa"/>
            <w:vMerge w:val="restart"/>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b/>
                <w:spacing w:val="-20"/>
                <w:kern w:val="0"/>
                <w:sz w:val="24"/>
                <w:szCs w:val="24"/>
              </w:rPr>
              <w:t>指</w:t>
            </w:r>
            <w:r w:rsidRPr="00866D38">
              <w:rPr>
                <w:rFonts w:hAnsi="標楷體" w:hint="eastAsia"/>
                <w:b/>
                <w:spacing w:val="-20"/>
                <w:kern w:val="0"/>
                <w:sz w:val="24"/>
                <w:szCs w:val="24"/>
              </w:rPr>
              <w:t xml:space="preserve"> </w:t>
            </w:r>
            <w:r w:rsidRPr="00866D38">
              <w:rPr>
                <w:rFonts w:hAnsi="標楷體"/>
                <w:b/>
                <w:spacing w:val="-20"/>
                <w:kern w:val="0"/>
                <w:sz w:val="24"/>
                <w:szCs w:val="24"/>
              </w:rPr>
              <w:t>標</w:t>
            </w:r>
          </w:p>
        </w:tc>
        <w:tc>
          <w:tcPr>
            <w:tcW w:w="288" w:type="dxa"/>
            <w:vMerge w:val="restart"/>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b/>
                <w:spacing w:val="-20"/>
                <w:kern w:val="0"/>
                <w:sz w:val="24"/>
                <w:szCs w:val="24"/>
              </w:rPr>
              <w:t>單位</w:t>
            </w:r>
          </w:p>
        </w:tc>
        <w:tc>
          <w:tcPr>
            <w:tcW w:w="993" w:type="dxa"/>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hint="eastAsia"/>
                <w:b/>
                <w:spacing w:val="-20"/>
                <w:kern w:val="0"/>
                <w:sz w:val="24"/>
                <w:szCs w:val="24"/>
              </w:rPr>
              <w:t>101</w:t>
            </w:r>
          </w:p>
        </w:tc>
        <w:tc>
          <w:tcPr>
            <w:tcW w:w="1701" w:type="dxa"/>
            <w:gridSpan w:val="2"/>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hint="eastAsia"/>
                <w:b/>
                <w:spacing w:val="-20"/>
                <w:kern w:val="0"/>
                <w:sz w:val="24"/>
                <w:szCs w:val="24"/>
              </w:rPr>
              <w:t>102</w:t>
            </w:r>
          </w:p>
        </w:tc>
        <w:tc>
          <w:tcPr>
            <w:tcW w:w="1701" w:type="dxa"/>
            <w:gridSpan w:val="2"/>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hint="eastAsia"/>
                <w:b/>
                <w:spacing w:val="-20"/>
                <w:kern w:val="0"/>
                <w:sz w:val="24"/>
                <w:szCs w:val="24"/>
              </w:rPr>
              <w:t>103</w:t>
            </w:r>
          </w:p>
        </w:tc>
        <w:tc>
          <w:tcPr>
            <w:tcW w:w="1701" w:type="dxa"/>
            <w:gridSpan w:val="2"/>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hint="eastAsia"/>
                <w:b/>
                <w:spacing w:val="-20"/>
                <w:kern w:val="0"/>
                <w:sz w:val="24"/>
                <w:szCs w:val="24"/>
              </w:rPr>
              <w:t>104</w:t>
            </w:r>
          </w:p>
        </w:tc>
        <w:tc>
          <w:tcPr>
            <w:tcW w:w="1701" w:type="dxa"/>
            <w:gridSpan w:val="2"/>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hint="eastAsia"/>
                <w:b/>
                <w:spacing w:val="-20"/>
                <w:kern w:val="0"/>
                <w:sz w:val="24"/>
                <w:szCs w:val="24"/>
              </w:rPr>
              <w:t>105</w:t>
            </w:r>
          </w:p>
        </w:tc>
      </w:tr>
      <w:tr w:rsidR="00866D38" w:rsidRPr="00866D38" w:rsidTr="00071B29">
        <w:trPr>
          <w:trHeight w:val="320"/>
          <w:jc w:val="center"/>
        </w:trPr>
        <w:tc>
          <w:tcPr>
            <w:tcW w:w="1226" w:type="dxa"/>
            <w:vMerge/>
            <w:vAlign w:val="center"/>
          </w:tcPr>
          <w:p w:rsidR="00071B29" w:rsidRPr="00866D38" w:rsidRDefault="00071B29" w:rsidP="00335FAE">
            <w:pPr>
              <w:widowControl/>
              <w:spacing w:line="320" w:lineRule="exact"/>
              <w:jc w:val="center"/>
              <w:rPr>
                <w:rFonts w:hAnsi="標楷體"/>
                <w:b/>
                <w:spacing w:val="-20"/>
                <w:kern w:val="0"/>
                <w:sz w:val="24"/>
                <w:szCs w:val="24"/>
              </w:rPr>
            </w:pPr>
          </w:p>
        </w:tc>
        <w:tc>
          <w:tcPr>
            <w:tcW w:w="288" w:type="dxa"/>
            <w:vMerge/>
            <w:vAlign w:val="center"/>
          </w:tcPr>
          <w:p w:rsidR="00071B29" w:rsidRPr="00866D38" w:rsidRDefault="00071B29" w:rsidP="00335FAE">
            <w:pPr>
              <w:widowControl/>
              <w:spacing w:line="320" w:lineRule="exact"/>
              <w:jc w:val="center"/>
              <w:rPr>
                <w:rFonts w:hAnsi="標楷體"/>
                <w:b/>
                <w:spacing w:val="-20"/>
                <w:kern w:val="0"/>
                <w:sz w:val="24"/>
                <w:szCs w:val="24"/>
              </w:rPr>
            </w:pPr>
          </w:p>
        </w:tc>
        <w:tc>
          <w:tcPr>
            <w:tcW w:w="993"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hint="eastAsia"/>
                <w:b/>
                <w:spacing w:val="-20"/>
                <w:kern w:val="0"/>
                <w:sz w:val="24"/>
                <w:szCs w:val="24"/>
              </w:rPr>
              <w:t>基</w:t>
            </w:r>
            <w:r w:rsidRPr="00866D38">
              <w:rPr>
                <w:rFonts w:hAnsi="標楷體"/>
                <w:b/>
                <w:spacing w:val="-20"/>
                <w:kern w:val="0"/>
                <w:sz w:val="24"/>
                <w:szCs w:val="24"/>
              </w:rPr>
              <w:t>準值</w:t>
            </w:r>
          </w:p>
        </w:tc>
        <w:tc>
          <w:tcPr>
            <w:tcW w:w="850"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b/>
                <w:spacing w:val="-20"/>
                <w:kern w:val="0"/>
                <w:sz w:val="24"/>
                <w:szCs w:val="24"/>
              </w:rPr>
              <w:t>預定值</w:t>
            </w:r>
          </w:p>
        </w:tc>
        <w:tc>
          <w:tcPr>
            <w:tcW w:w="851"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b/>
                <w:spacing w:val="-20"/>
                <w:kern w:val="0"/>
                <w:sz w:val="24"/>
                <w:szCs w:val="24"/>
              </w:rPr>
              <w:t>達成值</w:t>
            </w:r>
          </w:p>
        </w:tc>
        <w:tc>
          <w:tcPr>
            <w:tcW w:w="850"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b/>
                <w:spacing w:val="-20"/>
                <w:kern w:val="0"/>
                <w:sz w:val="24"/>
                <w:szCs w:val="24"/>
              </w:rPr>
              <w:t>預定值</w:t>
            </w:r>
          </w:p>
        </w:tc>
        <w:tc>
          <w:tcPr>
            <w:tcW w:w="851"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b/>
                <w:spacing w:val="-20"/>
                <w:kern w:val="0"/>
                <w:sz w:val="24"/>
                <w:szCs w:val="24"/>
              </w:rPr>
              <w:t>預定值</w:t>
            </w:r>
          </w:p>
        </w:tc>
        <w:tc>
          <w:tcPr>
            <w:tcW w:w="850"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b/>
                <w:spacing w:val="-20"/>
                <w:kern w:val="0"/>
                <w:sz w:val="24"/>
                <w:szCs w:val="24"/>
              </w:rPr>
              <w:t>預定值</w:t>
            </w:r>
          </w:p>
        </w:tc>
        <w:tc>
          <w:tcPr>
            <w:tcW w:w="851"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b/>
                <w:spacing w:val="-20"/>
                <w:kern w:val="0"/>
                <w:sz w:val="24"/>
                <w:szCs w:val="24"/>
              </w:rPr>
              <w:t>達成值</w:t>
            </w:r>
          </w:p>
        </w:tc>
        <w:tc>
          <w:tcPr>
            <w:tcW w:w="850"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b/>
                <w:spacing w:val="-20"/>
                <w:kern w:val="0"/>
                <w:sz w:val="24"/>
                <w:szCs w:val="24"/>
              </w:rPr>
              <w:t>預定值</w:t>
            </w:r>
          </w:p>
        </w:tc>
        <w:tc>
          <w:tcPr>
            <w:tcW w:w="851"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b/>
                <w:spacing w:val="-20"/>
                <w:kern w:val="0"/>
                <w:sz w:val="24"/>
                <w:szCs w:val="24"/>
              </w:rPr>
              <w:t>達成值</w:t>
            </w:r>
          </w:p>
        </w:tc>
      </w:tr>
      <w:tr w:rsidR="00866D38" w:rsidRPr="00866D38" w:rsidTr="00071B29">
        <w:trPr>
          <w:trHeight w:val="60"/>
          <w:jc w:val="center"/>
        </w:trPr>
        <w:tc>
          <w:tcPr>
            <w:tcW w:w="1226"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hint="eastAsia"/>
                <w:b/>
                <w:spacing w:val="-20"/>
                <w:kern w:val="0"/>
                <w:sz w:val="24"/>
                <w:szCs w:val="24"/>
              </w:rPr>
              <w:t>應屆畢業生就業率成長</w:t>
            </w:r>
          </w:p>
        </w:tc>
        <w:tc>
          <w:tcPr>
            <w:tcW w:w="288"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w:t>
            </w:r>
          </w:p>
        </w:tc>
        <w:tc>
          <w:tcPr>
            <w:tcW w:w="993"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87.15</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-1.96</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(85.44)</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-3.77</w:t>
            </w:r>
            <w:r w:rsidRPr="00866D38">
              <w:rPr>
                <w:rFonts w:hAnsi="標楷體"/>
                <w:spacing w:val="-20"/>
                <w:kern w:val="0"/>
                <w:sz w:val="24"/>
                <w:szCs w:val="24"/>
              </w:rPr>
              <w:br/>
            </w:r>
            <w:r w:rsidRPr="00866D38">
              <w:rPr>
                <w:rFonts w:hAnsi="標楷體" w:hint="eastAsia"/>
                <w:spacing w:val="-20"/>
                <w:kern w:val="0"/>
                <w:sz w:val="24"/>
                <w:szCs w:val="24"/>
              </w:rPr>
              <w:t>(</w:t>
            </w:r>
            <w:r w:rsidRPr="00866D38">
              <w:rPr>
                <w:rFonts w:hAnsi="標楷體"/>
                <w:spacing w:val="-20"/>
                <w:kern w:val="0"/>
                <w:sz w:val="24"/>
                <w:szCs w:val="24"/>
              </w:rPr>
              <w:t>83.87)</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+3.04</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(89.80)</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+4.64</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(91.19)</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+5.74</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(92.15)</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+7.69</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(93.85)</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+9.25</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(95.21)</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+9.24</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(95.20)</w:t>
            </w:r>
          </w:p>
        </w:tc>
      </w:tr>
      <w:tr w:rsidR="00866D38" w:rsidRPr="00866D38" w:rsidTr="00071B29">
        <w:trPr>
          <w:trHeight w:val="60"/>
          <w:jc w:val="center"/>
        </w:trPr>
        <w:tc>
          <w:tcPr>
            <w:tcW w:w="1226"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hint="eastAsia"/>
                <w:b/>
                <w:spacing w:val="-20"/>
                <w:kern w:val="0"/>
                <w:sz w:val="24"/>
                <w:szCs w:val="24"/>
              </w:rPr>
              <w:t>應屆畢業生修校外實習課程比例成長</w:t>
            </w:r>
          </w:p>
        </w:tc>
        <w:tc>
          <w:tcPr>
            <w:tcW w:w="288"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w:t>
            </w:r>
          </w:p>
        </w:tc>
        <w:tc>
          <w:tcPr>
            <w:tcW w:w="993"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36.79</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+19.33</w:t>
            </w:r>
            <w:r w:rsidRPr="00866D38">
              <w:rPr>
                <w:rFonts w:hAnsi="標楷體"/>
                <w:spacing w:val="-20"/>
                <w:kern w:val="0"/>
                <w:sz w:val="24"/>
                <w:szCs w:val="24"/>
              </w:rPr>
              <w:t xml:space="preserve"> </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(43.90)</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+25.41</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(46.14)</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+45.2</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(53.42)</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+64.18</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(60.40)</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+85.92</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(68.40)</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+98.29</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(72.95)</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+108.89</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(76.85)</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+110.44</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spacing w:val="-20"/>
                <w:kern w:val="0"/>
                <w:sz w:val="24"/>
                <w:szCs w:val="24"/>
              </w:rPr>
              <w:t>(77.42)</w:t>
            </w:r>
          </w:p>
        </w:tc>
      </w:tr>
      <w:tr w:rsidR="00866D38" w:rsidRPr="00866D38" w:rsidTr="00071B29">
        <w:trPr>
          <w:trHeight w:val="210"/>
          <w:jc w:val="center"/>
        </w:trPr>
        <w:tc>
          <w:tcPr>
            <w:tcW w:w="1226"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hint="eastAsia"/>
                <w:b/>
                <w:spacing w:val="-20"/>
                <w:kern w:val="0"/>
                <w:sz w:val="24"/>
                <w:szCs w:val="24"/>
              </w:rPr>
              <w:t>政府部門及企業部門資助學校產學合作金額成長</w:t>
            </w:r>
          </w:p>
        </w:tc>
        <w:tc>
          <w:tcPr>
            <w:tcW w:w="288"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w:t>
            </w:r>
          </w:p>
        </w:tc>
        <w:tc>
          <w:tcPr>
            <w:tcW w:w="993"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38億2</w:t>
            </w:r>
            <w:r w:rsidRPr="00866D38">
              <w:rPr>
                <w:rFonts w:hAnsi="標楷體"/>
                <w:spacing w:val="-20"/>
                <w:kern w:val="0"/>
                <w:sz w:val="24"/>
                <w:szCs w:val="24"/>
              </w:rPr>
              <w:t>,230</w:t>
            </w:r>
            <w:r w:rsidRPr="00866D38">
              <w:rPr>
                <w:rFonts w:hAnsi="標楷體" w:hint="eastAsia"/>
                <w:spacing w:val="-20"/>
                <w:kern w:val="0"/>
                <w:sz w:val="24"/>
                <w:szCs w:val="24"/>
              </w:rPr>
              <w:t>萬</w:t>
            </w:r>
            <w:r w:rsidRPr="00866D38">
              <w:rPr>
                <w:rFonts w:hAnsi="標楷體"/>
                <w:spacing w:val="-20"/>
                <w:kern w:val="0"/>
                <w:sz w:val="24"/>
                <w:szCs w:val="24"/>
              </w:rPr>
              <w:t>元</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+17.41</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(44億8</w:t>
            </w:r>
            <w:r w:rsidRPr="00866D38">
              <w:rPr>
                <w:rFonts w:hAnsi="標楷體"/>
                <w:spacing w:val="-20"/>
                <w:kern w:val="0"/>
                <w:sz w:val="24"/>
                <w:szCs w:val="24"/>
              </w:rPr>
              <w:t>,785</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+29.1</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(49億3</w:t>
            </w:r>
            <w:r w:rsidRPr="00866D38">
              <w:rPr>
                <w:rFonts w:hAnsi="標楷體"/>
                <w:spacing w:val="-20"/>
                <w:kern w:val="0"/>
                <w:sz w:val="24"/>
                <w:szCs w:val="24"/>
              </w:rPr>
              <w:t>,450</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+27.34</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(48億6</w:t>
            </w:r>
            <w:r w:rsidRPr="00866D38">
              <w:rPr>
                <w:rFonts w:hAnsi="標楷體"/>
                <w:spacing w:val="-20"/>
                <w:kern w:val="0"/>
                <w:sz w:val="24"/>
                <w:szCs w:val="24"/>
              </w:rPr>
              <w:t>,745</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+43.04</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(54億6</w:t>
            </w:r>
            <w:r w:rsidRPr="00866D38">
              <w:rPr>
                <w:rFonts w:hAnsi="標楷體"/>
                <w:spacing w:val="-20"/>
                <w:kern w:val="0"/>
                <w:sz w:val="24"/>
                <w:szCs w:val="24"/>
              </w:rPr>
              <w:t>,740</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+37.18</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(52億4</w:t>
            </w:r>
            <w:r w:rsidRPr="00866D38">
              <w:rPr>
                <w:rFonts w:hAnsi="標楷體"/>
                <w:spacing w:val="-20"/>
                <w:kern w:val="0"/>
                <w:sz w:val="24"/>
                <w:szCs w:val="24"/>
              </w:rPr>
              <w:t>,328</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+65.98</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(63億4</w:t>
            </w:r>
            <w:r w:rsidRPr="00866D38">
              <w:rPr>
                <w:rFonts w:hAnsi="標楷體"/>
                <w:spacing w:val="-20"/>
                <w:kern w:val="0"/>
                <w:sz w:val="24"/>
                <w:szCs w:val="24"/>
              </w:rPr>
              <w:t>,410</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+81.03</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(69億1</w:t>
            </w:r>
            <w:r w:rsidRPr="00866D38">
              <w:rPr>
                <w:rFonts w:hAnsi="標楷體"/>
                <w:spacing w:val="-20"/>
                <w:kern w:val="0"/>
                <w:sz w:val="24"/>
                <w:szCs w:val="24"/>
              </w:rPr>
              <w:t>,970</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+95.73</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(74億8</w:t>
            </w:r>
            <w:r w:rsidRPr="00866D38">
              <w:rPr>
                <w:rFonts w:hAnsi="標楷體"/>
                <w:spacing w:val="-20"/>
                <w:kern w:val="0"/>
                <w:sz w:val="24"/>
                <w:szCs w:val="24"/>
              </w:rPr>
              <w:t>,154</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r>
      <w:tr w:rsidR="00866D38" w:rsidRPr="00866D38" w:rsidTr="00071B29">
        <w:trPr>
          <w:trHeight w:val="53"/>
          <w:jc w:val="center"/>
        </w:trPr>
        <w:tc>
          <w:tcPr>
            <w:tcW w:w="1226"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hint="eastAsia"/>
                <w:b/>
                <w:spacing w:val="-20"/>
                <w:kern w:val="0"/>
                <w:sz w:val="24"/>
                <w:szCs w:val="24"/>
              </w:rPr>
              <w:t>教師接受</w:t>
            </w:r>
          </w:p>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hint="eastAsia"/>
                <w:b/>
                <w:spacing w:val="-20"/>
                <w:kern w:val="0"/>
                <w:sz w:val="24"/>
                <w:szCs w:val="24"/>
              </w:rPr>
              <w:t>企業產學計畫金額成長</w:t>
            </w:r>
          </w:p>
        </w:tc>
        <w:tc>
          <w:tcPr>
            <w:tcW w:w="288"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w:t>
            </w:r>
          </w:p>
        </w:tc>
        <w:tc>
          <w:tcPr>
            <w:tcW w:w="993"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15億4</w:t>
            </w:r>
            <w:r w:rsidRPr="00866D38">
              <w:rPr>
                <w:rFonts w:hAnsi="標楷體"/>
                <w:spacing w:val="-20"/>
                <w:kern w:val="0"/>
                <w:sz w:val="24"/>
                <w:szCs w:val="24"/>
              </w:rPr>
              <w:t>,910</w:t>
            </w:r>
            <w:r w:rsidRPr="00866D38">
              <w:rPr>
                <w:rFonts w:hAnsi="標楷體" w:hint="eastAsia"/>
                <w:spacing w:val="-20"/>
                <w:kern w:val="0"/>
                <w:sz w:val="24"/>
                <w:szCs w:val="24"/>
              </w:rPr>
              <w:t>萬</w:t>
            </w:r>
            <w:r w:rsidRPr="00866D38">
              <w:rPr>
                <w:rFonts w:hAnsi="標楷體"/>
                <w:spacing w:val="-20"/>
                <w:kern w:val="0"/>
                <w:sz w:val="24"/>
                <w:szCs w:val="24"/>
              </w:rPr>
              <w:t>元</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+18.3</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(18億3</w:t>
            </w:r>
            <w:r w:rsidRPr="00866D38">
              <w:rPr>
                <w:rFonts w:hAnsi="標楷體"/>
                <w:spacing w:val="-20"/>
                <w:kern w:val="0"/>
                <w:sz w:val="24"/>
                <w:szCs w:val="24"/>
              </w:rPr>
              <w:t>,266</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+33.72</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(20億7</w:t>
            </w:r>
            <w:r w:rsidRPr="00866D38">
              <w:rPr>
                <w:rFonts w:hAnsi="標楷體"/>
                <w:spacing w:val="-20"/>
                <w:kern w:val="0"/>
                <w:sz w:val="24"/>
                <w:szCs w:val="24"/>
              </w:rPr>
              <w:t>,145</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+29.21</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(20億1</w:t>
            </w:r>
            <w:r w:rsidRPr="00866D38">
              <w:rPr>
                <w:rFonts w:hAnsi="標楷體"/>
                <w:spacing w:val="-20"/>
                <w:kern w:val="0"/>
                <w:sz w:val="24"/>
                <w:szCs w:val="24"/>
              </w:rPr>
              <w:t>58</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+33.93</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(20億7</w:t>
            </w:r>
            <w:r w:rsidRPr="00866D38">
              <w:rPr>
                <w:rFonts w:hAnsi="標楷體"/>
                <w:spacing w:val="-20"/>
                <w:kern w:val="0"/>
                <w:sz w:val="24"/>
                <w:szCs w:val="24"/>
              </w:rPr>
              <w:t>,469</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+37.07</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(21億2</w:t>
            </w:r>
            <w:r w:rsidRPr="00866D38">
              <w:rPr>
                <w:rFonts w:hAnsi="標楷體"/>
                <w:spacing w:val="-20"/>
                <w:kern w:val="0"/>
                <w:sz w:val="24"/>
                <w:szCs w:val="24"/>
              </w:rPr>
              <w:t>,337</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+58.62</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(24億5</w:t>
            </w:r>
            <w:r w:rsidRPr="00866D38">
              <w:rPr>
                <w:rFonts w:hAnsi="標楷體"/>
                <w:spacing w:val="-20"/>
                <w:kern w:val="0"/>
                <w:sz w:val="24"/>
                <w:szCs w:val="24"/>
              </w:rPr>
              <w:t>,722</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+105.73</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(31億8</w:t>
            </w:r>
            <w:r w:rsidRPr="00866D38">
              <w:rPr>
                <w:rFonts w:hAnsi="標楷體"/>
                <w:spacing w:val="-20"/>
                <w:kern w:val="0"/>
                <w:sz w:val="24"/>
                <w:szCs w:val="24"/>
              </w:rPr>
              <w:t>,690</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+141.81</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(37億4</w:t>
            </w:r>
            <w:r w:rsidRPr="00866D38">
              <w:rPr>
                <w:rFonts w:hAnsi="標楷體"/>
                <w:spacing w:val="-20"/>
                <w:kern w:val="0"/>
                <w:sz w:val="24"/>
                <w:szCs w:val="24"/>
              </w:rPr>
              <w:t>,591萬元</w:t>
            </w:r>
            <w:r w:rsidRPr="00866D38">
              <w:rPr>
                <w:rFonts w:hAnsi="標楷體" w:hint="eastAsia"/>
                <w:spacing w:val="-20"/>
                <w:kern w:val="0"/>
                <w:sz w:val="24"/>
                <w:szCs w:val="24"/>
              </w:rPr>
              <w:t>)</w:t>
            </w:r>
          </w:p>
        </w:tc>
      </w:tr>
      <w:tr w:rsidR="00866D38" w:rsidRPr="00866D38" w:rsidTr="00071B29">
        <w:trPr>
          <w:trHeight w:val="53"/>
          <w:jc w:val="center"/>
        </w:trPr>
        <w:tc>
          <w:tcPr>
            <w:tcW w:w="1226"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hint="eastAsia"/>
                <w:b/>
                <w:spacing w:val="-20"/>
                <w:kern w:val="0"/>
                <w:sz w:val="24"/>
                <w:szCs w:val="24"/>
              </w:rPr>
              <w:t>創新技術</w:t>
            </w:r>
          </w:p>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hint="eastAsia"/>
                <w:b/>
                <w:spacing w:val="-20"/>
                <w:kern w:val="0"/>
                <w:sz w:val="24"/>
                <w:szCs w:val="24"/>
              </w:rPr>
              <w:t>專利件數成長</w:t>
            </w:r>
          </w:p>
        </w:tc>
        <w:tc>
          <w:tcPr>
            <w:tcW w:w="288"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件</w:t>
            </w:r>
          </w:p>
        </w:tc>
        <w:tc>
          <w:tcPr>
            <w:tcW w:w="993"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867</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+464</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w:t>
            </w:r>
            <w:r w:rsidRPr="00866D38">
              <w:rPr>
                <w:rFonts w:hAnsi="標楷體"/>
                <w:spacing w:val="-20"/>
                <w:kern w:val="0"/>
                <w:sz w:val="24"/>
                <w:szCs w:val="24"/>
              </w:rPr>
              <w:t>,</w:t>
            </w:r>
            <w:r w:rsidRPr="00866D38">
              <w:rPr>
                <w:rFonts w:hAnsi="標楷體" w:hint="eastAsia"/>
                <w:spacing w:val="-20"/>
                <w:kern w:val="0"/>
                <w:sz w:val="24"/>
                <w:szCs w:val="24"/>
              </w:rPr>
              <w:t>33</w:t>
            </w:r>
            <w:r w:rsidRPr="00866D38">
              <w:rPr>
                <w:rFonts w:hAnsi="標楷體"/>
                <w:spacing w:val="-20"/>
                <w:kern w:val="0"/>
                <w:sz w:val="24"/>
                <w:szCs w:val="24"/>
              </w:rPr>
              <w:t>1)</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w:t>
            </w:r>
            <w:r w:rsidRPr="00866D38">
              <w:rPr>
                <w:rFonts w:hAnsi="標楷體"/>
                <w:spacing w:val="-20"/>
                <w:kern w:val="0"/>
                <w:sz w:val="24"/>
                <w:szCs w:val="24"/>
              </w:rPr>
              <w:t>,</w:t>
            </w:r>
            <w:r w:rsidRPr="00866D38">
              <w:rPr>
                <w:rFonts w:hAnsi="標楷體" w:hint="eastAsia"/>
                <w:spacing w:val="-20"/>
                <w:kern w:val="0"/>
                <w:sz w:val="24"/>
                <w:szCs w:val="24"/>
              </w:rPr>
              <w:t>004</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(1,871)</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+565</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(1,432)</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+968</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(1,835)</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+677</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(1,544)</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+1,052</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(1,919)</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+526</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(1,393)</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+590</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(1,457)</w:t>
            </w:r>
          </w:p>
        </w:tc>
      </w:tr>
      <w:tr w:rsidR="00866D38" w:rsidRPr="00866D38" w:rsidTr="00071B29">
        <w:trPr>
          <w:trHeight w:val="103"/>
          <w:jc w:val="center"/>
        </w:trPr>
        <w:tc>
          <w:tcPr>
            <w:tcW w:w="1226" w:type="dxa"/>
            <w:vAlign w:val="center"/>
          </w:tcPr>
          <w:p w:rsidR="00071B29" w:rsidRPr="00866D38" w:rsidRDefault="00071B29" w:rsidP="00335FAE">
            <w:pPr>
              <w:widowControl/>
              <w:spacing w:line="320" w:lineRule="exact"/>
              <w:jc w:val="center"/>
              <w:rPr>
                <w:rFonts w:hAnsi="標楷體"/>
                <w:b/>
                <w:spacing w:val="-20"/>
                <w:kern w:val="0"/>
                <w:sz w:val="24"/>
                <w:szCs w:val="24"/>
              </w:rPr>
            </w:pPr>
            <w:r w:rsidRPr="00866D38">
              <w:rPr>
                <w:rFonts w:hAnsi="標楷體" w:hint="eastAsia"/>
                <w:b/>
                <w:spacing w:val="-20"/>
                <w:kern w:val="0"/>
                <w:sz w:val="24"/>
                <w:szCs w:val="24"/>
              </w:rPr>
              <w:t>學校技</w:t>
            </w:r>
            <w:r w:rsidRPr="00866D38">
              <w:rPr>
                <w:rFonts w:hAnsi="標楷體"/>
                <w:b/>
                <w:spacing w:val="-20"/>
                <w:kern w:val="0"/>
                <w:sz w:val="24"/>
                <w:szCs w:val="24"/>
              </w:rPr>
              <w:t>術</w:t>
            </w:r>
            <w:r w:rsidRPr="00866D38">
              <w:rPr>
                <w:rFonts w:hAnsi="標楷體" w:hint="eastAsia"/>
                <w:b/>
                <w:spacing w:val="-20"/>
                <w:kern w:val="0"/>
                <w:sz w:val="24"/>
                <w:szCs w:val="24"/>
              </w:rPr>
              <w:t>轉移金額成長</w:t>
            </w:r>
          </w:p>
        </w:tc>
        <w:tc>
          <w:tcPr>
            <w:tcW w:w="288"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w:t>
            </w:r>
          </w:p>
        </w:tc>
        <w:tc>
          <w:tcPr>
            <w:tcW w:w="993"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1億2,397萬</w:t>
            </w:r>
            <w:r w:rsidRPr="00866D38">
              <w:rPr>
                <w:rFonts w:hAnsi="標楷體"/>
                <w:spacing w:val="-20"/>
                <w:kern w:val="0"/>
                <w:sz w:val="24"/>
                <w:szCs w:val="24"/>
              </w:rPr>
              <w:t>元</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+31.9</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(1億6</w:t>
            </w:r>
            <w:r w:rsidRPr="00866D38">
              <w:rPr>
                <w:rFonts w:hAnsi="標楷體"/>
                <w:spacing w:val="-20"/>
                <w:kern w:val="0"/>
                <w:sz w:val="24"/>
                <w:szCs w:val="24"/>
              </w:rPr>
              <w:t>,352</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w:t>
            </w:r>
            <w:r w:rsidRPr="00866D38">
              <w:rPr>
                <w:rFonts w:hAnsi="標楷體"/>
                <w:spacing w:val="-20"/>
                <w:kern w:val="0"/>
                <w:sz w:val="24"/>
                <w:szCs w:val="24"/>
              </w:rPr>
              <w:t>56.38</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(1億9</w:t>
            </w:r>
            <w:r w:rsidRPr="00866D38">
              <w:rPr>
                <w:rFonts w:hAnsi="標楷體"/>
                <w:spacing w:val="-20"/>
                <w:kern w:val="0"/>
                <w:sz w:val="24"/>
                <w:szCs w:val="24"/>
              </w:rPr>
              <w:t>,387</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+50.99</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(1億8</w:t>
            </w:r>
            <w:r w:rsidRPr="00866D38">
              <w:rPr>
                <w:rFonts w:hAnsi="標楷體"/>
                <w:spacing w:val="-20"/>
                <w:kern w:val="0"/>
                <w:sz w:val="24"/>
                <w:szCs w:val="24"/>
              </w:rPr>
              <w:t>,718</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+84.58</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(2億2</w:t>
            </w:r>
            <w:r w:rsidRPr="00866D38">
              <w:rPr>
                <w:rFonts w:hAnsi="標楷體"/>
                <w:spacing w:val="-20"/>
                <w:kern w:val="0"/>
                <w:sz w:val="24"/>
                <w:szCs w:val="24"/>
              </w:rPr>
              <w:t>,883</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+78.81</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(2億2</w:t>
            </w:r>
            <w:r w:rsidRPr="00866D38">
              <w:rPr>
                <w:rFonts w:hAnsi="標楷體"/>
                <w:spacing w:val="-20"/>
                <w:kern w:val="0"/>
                <w:sz w:val="24"/>
                <w:szCs w:val="24"/>
              </w:rPr>
              <w:t>,167</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+114.64</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(2億6</w:t>
            </w:r>
            <w:r w:rsidRPr="00866D38">
              <w:rPr>
                <w:rFonts w:hAnsi="標楷體"/>
                <w:spacing w:val="-20"/>
                <w:kern w:val="0"/>
                <w:sz w:val="24"/>
                <w:szCs w:val="24"/>
              </w:rPr>
              <w:t>,609</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0"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w:t>
            </w:r>
            <w:r w:rsidRPr="00866D38">
              <w:rPr>
                <w:rFonts w:hAnsi="標楷體"/>
                <w:spacing w:val="-20"/>
                <w:kern w:val="0"/>
                <w:sz w:val="24"/>
                <w:szCs w:val="24"/>
              </w:rPr>
              <w:t>92.84</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(2億3</w:t>
            </w:r>
            <w:r w:rsidRPr="00866D38">
              <w:rPr>
                <w:rFonts w:hAnsi="標楷體"/>
                <w:spacing w:val="-20"/>
                <w:kern w:val="0"/>
                <w:sz w:val="24"/>
                <w:szCs w:val="24"/>
              </w:rPr>
              <w:t>,906</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c>
          <w:tcPr>
            <w:tcW w:w="851" w:type="dxa"/>
            <w:vAlign w:val="center"/>
          </w:tcPr>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+107.23</w:t>
            </w:r>
          </w:p>
          <w:p w:rsidR="00071B29" w:rsidRPr="00866D38" w:rsidRDefault="00071B29" w:rsidP="00335FAE">
            <w:pPr>
              <w:widowControl/>
              <w:spacing w:line="320" w:lineRule="exact"/>
              <w:jc w:val="center"/>
              <w:rPr>
                <w:rFonts w:hAnsi="標楷體"/>
                <w:spacing w:val="-20"/>
                <w:kern w:val="0"/>
                <w:sz w:val="24"/>
                <w:szCs w:val="24"/>
              </w:rPr>
            </w:pPr>
            <w:r w:rsidRPr="00866D38">
              <w:rPr>
                <w:rFonts w:hAnsi="標楷體" w:hint="eastAsia"/>
                <w:spacing w:val="-20"/>
                <w:kern w:val="0"/>
                <w:sz w:val="24"/>
                <w:szCs w:val="24"/>
              </w:rPr>
              <w:t>(2億5</w:t>
            </w:r>
            <w:r w:rsidRPr="00866D38">
              <w:rPr>
                <w:rFonts w:hAnsi="標楷體"/>
                <w:spacing w:val="-20"/>
                <w:kern w:val="0"/>
                <w:sz w:val="24"/>
                <w:szCs w:val="24"/>
              </w:rPr>
              <w:t>,690</w:t>
            </w:r>
            <w:r w:rsidRPr="00866D38">
              <w:rPr>
                <w:rFonts w:hAnsi="標楷體" w:hint="eastAsia"/>
                <w:spacing w:val="-20"/>
                <w:kern w:val="0"/>
                <w:sz w:val="24"/>
                <w:szCs w:val="24"/>
              </w:rPr>
              <w:t>萬</w:t>
            </w:r>
            <w:r w:rsidRPr="00866D38">
              <w:rPr>
                <w:rFonts w:hAnsi="標楷體"/>
                <w:spacing w:val="-20"/>
                <w:kern w:val="0"/>
                <w:sz w:val="24"/>
                <w:szCs w:val="24"/>
              </w:rPr>
              <w:t>元</w:t>
            </w:r>
            <w:r w:rsidRPr="00866D38">
              <w:rPr>
                <w:rFonts w:hAnsi="標楷體" w:hint="eastAsia"/>
                <w:spacing w:val="-20"/>
                <w:kern w:val="0"/>
                <w:sz w:val="24"/>
                <w:szCs w:val="24"/>
              </w:rPr>
              <w:t>)</w:t>
            </w:r>
          </w:p>
        </w:tc>
      </w:tr>
    </w:tbl>
    <w:p w:rsidR="00EF6F75" w:rsidRPr="00866D38" w:rsidRDefault="00EF6F75" w:rsidP="00EF6F75">
      <w:pPr>
        <w:rPr>
          <w:rFonts w:hAnsi="標楷體" w:cs="新細明體"/>
          <w:bCs/>
          <w:kern w:val="0"/>
          <w:sz w:val="24"/>
          <w:szCs w:val="24"/>
        </w:rPr>
      </w:pPr>
      <w:r w:rsidRPr="00866D38">
        <w:rPr>
          <w:rFonts w:hAnsi="標楷體" w:cs="新細明體" w:hint="eastAsia"/>
          <w:bCs/>
          <w:kern w:val="0"/>
          <w:sz w:val="24"/>
          <w:szCs w:val="24"/>
        </w:rPr>
        <w:t>資料來源：教育部調卷資料。</w:t>
      </w:r>
    </w:p>
    <w:p w:rsidR="00FD5400" w:rsidRPr="00866D38" w:rsidRDefault="001441D4" w:rsidP="00FD5400">
      <w:pPr>
        <w:pStyle w:val="3"/>
        <w:rPr>
          <w:rFonts w:hAnsi="標楷體"/>
          <w:szCs w:val="32"/>
        </w:rPr>
      </w:pPr>
      <w:bookmarkStart w:id="73" w:name="_Toc518915392"/>
      <w:bookmarkStart w:id="74" w:name="_Toc519839603"/>
      <w:bookmarkStart w:id="75" w:name="_Toc519844493"/>
      <w:bookmarkStart w:id="76" w:name="_Toc519864635"/>
      <w:bookmarkStart w:id="77" w:name="_Toc519864740"/>
      <w:bookmarkStart w:id="78" w:name="_Toc523220140"/>
      <w:r w:rsidRPr="00866D38">
        <w:rPr>
          <w:rFonts w:hAnsi="標楷體" w:hint="eastAsia"/>
        </w:rPr>
        <w:t>此外，本案</w:t>
      </w:r>
      <w:r w:rsidR="00F56ED6" w:rsidRPr="00866D38">
        <w:rPr>
          <w:rFonts w:hAnsi="標楷體" w:hint="eastAsia"/>
        </w:rPr>
        <w:t>調查委員</w:t>
      </w:r>
      <w:r w:rsidR="002F70E1" w:rsidRPr="00866D38">
        <w:rPr>
          <w:rFonts w:hint="eastAsia"/>
        </w:rPr>
        <w:t>於107年3月15日</w:t>
      </w:r>
      <w:r w:rsidR="00B95E49" w:rsidRPr="00866D38">
        <w:rPr>
          <w:rFonts w:hint="eastAsia"/>
        </w:rPr>
        <w:t>邀集教育部主管會同校方人員履勘國立臺灣科技大學</w:t>
      </w:r>
      <w:r w:rsidR="002F70E1" w:rsidRPr="00866D38">
        <w:rPr>
          <w:rFonts w:hint="eastAsia"/>
        </w:rPr>
        <w:t>、同年5月15日</w:t>
      </w:r>
      <w:r w:rsidR="00747CAD" w:rsidRPr="00866D38">
        <w:rPr>
          <w:rFonts w:hint="eastAsia"/>
        </w:rPr>
        <w:t>邀集教育部主管會同校方人員履勘弘光科技大學、國立勤益科技大學，</w:t>
      </w:r>
      <w:r w:rsidR="002F70E1" w:rsidRPr="00866D38">
        <w:rPr>
          <w:rFonts w:hint="eastAsia"/>
        </w:rPr>
        <w:t>及同年6月14日至15日</w:t>
      </w:r>
      <w:r w:rsidR="000B678A" w:rsidRPr="00866D38">
        <w:rPr>
          <w:rFonts w:hint="eastAsia"/>
        </w:rPr>
        <w:t>邀集教育部主管會同校方人員履勘</w:t>
      </w:r>
      <w:r w:rsidR="002F70E1" w:rsidRPr="00866D38">
        <w:rPr>
          <w:rFonts w:hint="eastAsia"/>
        </w:rPr>
        <w:t>南臺科技大學及國立高雄科技大學</w:t>
      </w:r>
      <w:r w:rsidR="00441A56" w:rsidRPr="00866D38">
        <w:rPr>
          <w:rStyle w:val="aff"/>
          <w:b/>
        </w:rPr>
        <w:footnoteReference w:id="4"/>
      </w:r>
      <w:r w:rsidR="002F70E1" w:rsidRPr="00866D38">
        <w:rPr>
          <w:rFonts w:hint="eastAsia"/>
        </w:rPr>
        <w:t>等計5所技專校院，</w:t>
      </w:r>
      <w:r w:rsidR="000B678A" w:rsidRPr="00866D38">
        <w:rPr>
          <w:rFonts w:hint="eastAsia"/>
        </w:rPr>
        <w:t>並辦理相關業務簡報及座談交流會議</w:t>
      </w:r>
      <w:r w:rsidR="00694BE9" w:rsidRPr="00866D38">
        <w:rPr>
          <w:rFonts w:hint="eastAsia"/>
        </w:rPr>
        <w:t>，</w:t>
      </w:r>
      <w:r w:rsidR="00FD5400" w:rsidRPr="00866D38">
        <w:rPr>
          <w:rFonts w:hAnsi="標楷體" w:hint="eastAsia"/>
          <w:szCs w:val="32"/>
        </w:rPr>
        <w:t>與會</w:t>
      </w:r>
      <w:r w:rsidR="00BC78D7" w:rsidRPr="00866D38">
        <w:rPr>
          <w:rFonts w:hAnsi="標楷體" w:hint="eastAsia"/>
          <w:szCs w:val="32"/>
        </w:rPr>
        <w:t>學校</w:t>
      </w:r>
      <w:r w:rsidR="005F136E" w:rsidRPr="00866D38">
        <w:rPr>
          <w:rFonts w:hAnsi="標楷體" w:hint="eastAsia"/>
          <w:szCs w:val="32"/>
        </w:rPr>
        <w:t>均</w:t>
      </w:r>
      <w:r w:rsidR="00FD5400" w:rsidRPr="00866D38">
        <w:rPr>
          <w:rFonts w:hAnsi="標楷體" w:hint="eastAsia"/>
          <w:szCs w:val="32"/>
        </w:rPr>
        <w:t>肯定</w:t>
      </w:r>
      <w:r w:rsidR="00D80B70" w:rsidRPr="00866D38">
        <w:rPr>
          <w:rFonts w:hAnsi="標楷體" w:hint="eastAsia"/>
          <w:szCs w:val="32"/>
        </w:rPr>
        <w:t>教育部</w:t>
      </w:r>
      <w:r w:rsidR="00ED6244" w:rsidRPr="00866D38">
        <w:rPr>
          <w:rFonts w:hAnsi="標楷體" w:hint="eastAsia"/>
          <w:szCs w:val="32"/>
        </w:rPr>
        <w:t>推動</w:t>
      </w:r>
      <w:r w:rsidR="00665909" w:rsidRPr="00866D38">
        <w:rPr>
          <w:rFonts w:hAnsi="標楷體" w:hint="eastAsia"/>
          <w:szCs w:val="32"/>
        </w:rPr>
        <w:t>典範科大</w:t>
      </w:r>
      <w:r w:rsidR="00ED6244" w:rsidRPr="00866D38">
        <w:rPr>
          <w:rFonts w:hAnsi="標楷體" w:hint="eastAsia"/>
          <w:szCs w:val="32"/>
        </w:rPr>
        <w:t>計畫</w:t>
      </w:r>
      <w:r w:rsidR="00FD5400" w:rsidRPr="00866D38">
        <w:rPr>
          <w:rFonts w:hAnsi="標楷體" w:hint="eastAsia"/>
          <w:szCs w:val="32"/>
        </w:rPr>
        <w:t>特色及方向，並</w:t>
      </w:r>
      <w:r w:rsidR="00D80B70" w:rsidRPr="00866D38">
        <w:rPr>
          <w:rFonts w:hAnsi="標楷體" w:hint="eastAsia"/>
          <w:szCs w:val="32"/>
        </w:rPr>
        <w:t>積極展現</w:t>
      </w:r>
      <w:r w:rsidR="00ED6244" w:rsidRPr="00866D38">
        <w:rPr>
          <w:rFonts w:hAnsi="標楷體" w:hint="eastAsia"/>
          <w:szCs w:val="32"/>
        </w:rPr>
        <w:t>典範</w:t>
      </w:r>
      <w:r w:rsidR="00ED6244" w:rsidRPr="00866D38">
        <w:rPr>
          <w:rFonts w:hAnsi="標楷體" w:hint="eastAsia"/>
          <w:szCs w:val="32"/>
        </w:rPr>
        <w:lastRenderedPageBreak/>
        <w:t>科大</w:t>
      </w:r>
      <w:r w:rsidR="00F964D7" w:rsidRPr="00866D38">
        <w:rPr>
          <w:rFonts w:hAnsi="標楷體" w:hint="eastAsia"/>
          <w:szCs w:val="32"/>
        </w:rPr>
        <w:t>計畫</w:t>
      </w:r>
      <w:r w:rsidR="0024641C" w:rsidRPr="00866D38">
        <w:rPr>
          <w:rFonts w:hAnsi="標楷體" w:hint="eastAsia"/>
          <w:szCs w:val="32"/>
        </w:rPr>
        <w:t>經費</w:t>
      </w:r>
      <w:r w:rsidR="002C5D73" w:rsidRPr="00866D38">
        <w:rPr>
          <w:rFonts w:hAnsi="標楷體" w:hint="eastAsia"/>
          <w:szCs w:val="32"/>
        </w:rPr>
        <w:t>挹注</w:t>
      </w:r>
      <w:r w:rsidR="0024641C" w:rsidRPr="00866D38">
        <w:rPr>
          <w:rFonts w:hAnsi="標楷體" w:hint="eastAsia"/>
          <w:szCs w:val="32"/>
        </w:rPr>
        <w:t>之</w:t>
      </w:r>
      <w:r w:rsidR="00FD5400" w:rsidRPr="00866D38">
        <w:rPr>
          <w:rFonts w:hAnsi="標楷體" w:hint="eastAsia"/>
          <w:szCs w:val="32"/>
        </w:rPr>
        <w:t>成果</w:t>
      </w:r>
      <w:r w:rsidR="00D80B70" w:rsidRPr="00866D38">
        <w:rPr>
          <w:rFonts w:hAnsi="標楷體" w:hint="eastAsia"/>
          <w:szCs w:val="32"/>
        </w:rPr>
        <w:t>及校務改善</w:t>
      </w:r>
      <w:r w:rsidR="006F17DC" w:rsidRPr="00866D38">
        <w:rPr>
          <w:rFonts w:hAnsi="標楷體" w:hint="eastAsia"/>
          <w:szCs w:val="32"/>
        </w:rPr>
        <w:t>情形</w:t>
      </w:r>
      <w:r w:rsidR="00144ED8" w:rsidRPr="00866D38">
        <w:rPr>
          <w:rFonts w:hAnsi="標楷體" w:hint="eastAsia"/>
          <w:szCs w:val="32"/>
        </w:rPr>
        <w:t>，以回應本計畫發展重點領域之初衷</w:t>
      </w:r>
      <w:r w:rsidR="006F17DC" w:rsidRPr="00866D38">
        <w:rPr>
          <w:rFonts w:hAnsi="標楷體" w:hint="eastAsia"/>
          <w:szCs w:val="32"/>
        </w:rPr>
        <w:t>。</w:t>
      </w:r>
      <w:r w:rsidR="00A31277" w:rsidRPr="00866D38">
        <w:rPr>
          <w:rFonts w:hAnsi="標楷體" w:hint="eastAsia"/>
          <w:szCs w:val="32"/>
        </w:rPr>
        <w:t>又</w:t>
      </w:r>
      <w:r w:rsidR="00B64C74" w:rsidRPr="00866D38">
        <w:rPr>
          <w:rFonts w:hAnsi="標楷體" w:hint="eastAsia"/>
          <w:szCs w:val="32"/>
        </w:rPr>
        <w:t>各典範科大聚焦重點領域尚與我國近年新興產業領域相符</w:t>
      </w:r>
      <w:r w:rsidR="006F17DC" w:rsidRPr="00866D38">
        <w:rPr>
          <w:rFonts w:hAnsi="標楷體" w:hint="eastAsia"/>
          <w:szCs w:val="32"/>
        </w:rPr>
        <w:t>。</w:t>
      </w:r>
      <w:r w:rsidR="00FD5400" w:rsidRPr="00866D38">
        <w:rPr>
          <w:rFonts w:hAnsi="標楷體" w:hint="eastAsia"/>
          <w:szCs w:val="32"/>
        </w:rPr>
        <w:t>茲摘述</w:t>
      </w:r>
      <w:r w:rsidR="00F86269" w:rsidRPr="00866D38">
        <w:rPr>
          <w:rFonts w:hAnsi="標楷體" w:hint="eastAsia"/>
          <w:szCs w:val="32"/>
        </w:rPr>
        <w:t>相關</w:t>
      </w:r>
      <w:r w:rsidR="007E2663" w:rsidRPr="00866D38">
        <w:rPr>
          <w:rFonts w:hAnsi="標楷體" w:hint="eastAsia"/>
          <w:szCs w:val="32"/>
        </w:rPr>
        <w:t>履勘</w:t>
      </w:r>
      <w:r w:rsidR="006E1907" w:rsidRPr="00866D38">
        <w:rPr>
          <w:rFonts w:hAnsi="標楷體" w:hint="eastAsia"/>
          <w:szCs w:val="32"/>
        </w:rPr>
        <w:t>所見成效</w:t>
      </w:r>
      <w:r w:rsidR="00433047" w:rsidRPr="00866D38">
        <w:rPr>
          <w:rFonts w:hAnsi="標楷體" w:hint="eastAsia"/>
          <w:szCs w:val="32"/>
        </w:rPr>
        <w:t>重點</w:t>
      </w:r>
      <w:r w:rsidR="00BE1104" w:rsidRPr="00866D38">
        <w:rPr>
          <w:rFonts w:hAnsi="標楷體" w:hint="eastAsia"/>
          <w:szCs w:val="32"/>
        </w:rPr>
        <w:t>於</w:t>
      </w:r>
      <w:r w:rsidR="00E53FEA" w:rsidRPr="00866D38">
        <w:rPr>
          <w:rFonts w:hAnsi="標楷體" w:hint="eastAsia"/>
          <w:szCs w:val="32"/>
        </w:rPr>
        <w:t>后</w:t>
      </w:r>
      <w:r w:rsidR="00DA2B74" w:rsidRPr="00866D38">
        <w:rPr>
          <w:rFonts w:hAnsi="標楷體" w:hint="eastAsia"/>
          <w:szCs w:val="32"/>
        </w:rPr>
        <w:t>（</w:t>
      </w:r>
      <w:r w:rsidR="0011000E" w:rsidRPr="00866D38">
        <w:rPr>
          <w:rFonts w:hAnsi="標楷體" w:hint="eastAsia"/>
          <w:szCs w:val="32"/>
        </w:rPr>
        <w:t>各典範科大</w:t>
      </w:r>
      <w:r w:rsidR="00B130EE" w:rsidRPr="00866D38">
        <w:rPr>
          <w:rFonts w:hint="eastAsia"/>
        </w:rPr>
        <w:t>聚焦</w:t>
      </w:r>
      <w:r w:rsidR="00A27233" w:rsidRPr="00866D38">
        <w:rPr>
          <w:rFonts w:hAnsi="標楷體" w:hint="eastAsia"/>
          <w:szCs w:val="32"/>
        </w:rPr>
        <w:t>重點領域詳如下表</w:t>
      </w:r>
      <w:r w:rsidR="00BA3AA9" w:rsidRPr="00866D38">
        <w:rPr>
          <w:rFonts w:hAnsi="標楷體" w:hint="eastAsia"/>
          <w:szCs w:val="32"/>
        </w:rPr>
        <w:t>12</w:t>
      </w:r>
      <w:r w:rsidR="00DA2B74" w:rsidRPr="00866D38">
        <w:rPr>
          <w:rFonts w:hAnsi="標楷體" w:hint="eastAsia"/>
          <w:szCs w:val="32"/>
        </w:rPr>
        <w:t>）</w:t>
      </w:r>
      <w:r w:rsidR="00FD5400" w:rsidRPr="00866D38">
        <w:rPr>
          <w:rFonts w:hAnsi="標楷體" w:hint="eastAsia"/>
          <w:szCs w:val="32"/>
        </w:rPr>
        <w:t>：</w:t>
      </w:r>
      <w:bookmarkEnd w:id="73"/>
      <w:bookmarkEnd w:id="74"/>
      <w:bookmarkEnd w:id="75"/>
      <w:bookmarkEnd w:id="76"/>
      <w:bookmarkEnd w:id="77"/>
      <w:bookmarkEnd w:id="78"/>
    </w:p>
    <w:p w:rsidR="00495150" w:rsidRPr="00866D38" w:rsidRDefault="00495150" w:rsidP="008F431E">
      <w:pPr>
        <w:pStyle w:val="4"/>
      </w:pPr>
      <w:r w:rsidRPr="00866D38">
        <w:rPr>
          <w:rFonts w:hint="eastAsia"/>
        </w:rPr>
        <w:t>106年臺灣7所科技大學聯合成立「臺灣應用科技大學聯盟」，由</w:t>
      </w:r>
      <w:r w:rsidR="008B46D6" w:rsidRPr="00866D38">
        <w:rPr>
          <w:rFonts w:hint="eastAsia"/>
        </w:rPr>
        <w:t>國立臺灣科技大學</w:t>
      </w:r>
      <w:r w:rsidRPr="00866D38">
        <w:rPr>
          <w:rFonts w:hint="eastAsia"/>
        </w:rPr>
        <w:t>擔任聯盟總校長，和德國應用科技大學聯盟HAWtech簽署合作備忘錄，目標將發展雙邊課程、推動結合企業實習的人才培育計畫等，初期將以學生實習交流為主，雙方互相選送學生到對方學校修習課程，完成一學期課程後，將協助安排學生到當地的專業實驗室或企業完成進一步實務學習。</w:t>
      </w:r>
    </w:p>
    <w:p w:rsidR="008F431E" w:rsidRPr="00866D38" w:rsidRDefault="00BA3AA9" w:rsidP="008F431E">
      <w:pPr>
        <w:pStyle w:val="4"/>
      </w:pPr>
      <w:r w:rsidRPr="00866D38">
        <w:rPr>
          <w:rFonts w:hint="eastAsia"/>
        </w:rPr>
        <w:t>101</w:t>
      </w:r>
      <w:r w:rsidR="00DB5D7C" w:rsidRPr="00866D38">
        <w:rPr>
          <w:rFonts w:hint="eastAsia"/>
        </w:rPr>
        <w:t>年未執行典範</w:t>
      </w:r>
      <w:r w:rsidR="00665909" w:rsidRPr="00866D38">
        <w:rPr>
          <w:rFonts w:hint="eastAsia"/>
        </w:rPr>
        <w:t>科大</w:t>
      </w:r>
      <w:r w:rsidR="00DB5D7C" w:rsidRPr="00866D38">
        <w:rPr>
          <w:rFonts w:hint="eastAsia"/>
        </w:rPr>
        <w:t>計畫前，</w:t>
      </w:r>
      <w:r w:rsidR="008B46D6" w:rsidRPr="00866D38">
        <w:rPr>
          <w:rFonts w:hint="eastAsia"/>
        </w:rPr>
        <w:t>國立勤益科技大學</w:t>
      </w:r>
      <w:r w:rsidR="00DB5D7C" w:rsidRPr="00866D38">
        <w:rPr>
          <w:rFonts w:hint="eastAsia"/>
        </w:rPr>
        <w:t>校外實習機制為學生自由參加。執行典範</w:t>
      </w:r>
      <w:r w:rsidR="00665909" w:rsidRPr="00866D38">
        <w:rPr>
          <w:rFonts w:hint="eastAsia"/>
        </w:rPr>
        <w:t>科大</w:t>
      </w:r>
      <w:r w:rsidR="00DB5D7C" w:rsidRPr="00866D38">
        <w:rPr>
          <w:rFonts w:hint="eastAsia"/>
        </w:rPr>
        <w:t>計畫後：A.推動全面校外實習：</w:t>
      </w:r>
      <w:r w:rsidR="008B46D6" w:rsidRPr="00866D38">
        <w:rPr>
          <w:rFonts w:hint="eastAsia"/>
        </w:rPr>
        <w:t>該</w:t>
      </w:r>
      <w:r w:rsidR="00DB5D7C" w:rsidRPr="00866D38">
        <w:rPr>
          <w:rFonts w:hint="eastAsia"/>
        </w:rPr>
        <w:t>校將校外實習課程列為校訂必修科目。B.與500家企業合作：學生參加校外實習人數激增。校外實習生最多可達人數：</w:t>
      </w:r>
      <w:r w:rsidR="008B46D6" w:rsidRPr="00866D38">
        <w:rPr>
          <w:rFonts w:hint="eastAsia"/>
        </w:rPr>
        <w:t>該</w:t>
      </w:r>
      <w:r w:rsidR="00DB5D7C" w:rsidRPr="00866D38">
        <w:rPr>
          <w:rFonts w:hint="eastAsia"/>
        </w:rPr>
        <w:t>校日間部應屆畢業生約為</w:t>
      </w:r>
      <w:r w:rsidR="00F82EA5" w:rsidRPr="00866D38">
        <w:rPr>
          <w:rFonts w:hint="eastAsia"/>
        </w:rPr>
        <w:t>1,600</w:t>
      </w:r>
      <w:r w:rsidR="00DB5D7C" w:rsidRPr="00866D38">
        <w:rPr>
          <w:rFonts w:hint="eastAsia"/>
        </w:rPr>
        <w:t>人，故校外實習人數最多可達1,600人</w:t>
      </w:r>
      <w:r w:rsidR="00F82EA5" w:rsidRPr="00866D38">
        <w:rPr>
          <w:rFonts w:hint="eastAsia"/>
        </w:rPr>
        <w:t>。</w:t>
      </w:r>
    </w:p>
    <w:p w:rsidR="002B10FD" w:rsidRPr="00866D38" w:rsidRDefault="002B10FD" w:rsidP="008F431E">
      <w:pPr>
        <w:pStyle w:val="4"/>
      </w:pPr>
      <w:r w:rsidRPr="00866D38">
        <w:rPr>
          <w:rFonts w:hint="eastAsia"/>
        </w:rPr>
        <w:t>於高等教育深耕計畫主軸二：發展學校特色分為研發特色及國際交流二部分，所佔經費比率為總計畫之26%。研發特色在已建構臨床技能檢定中心（OSCE）、HACCP級烘焙食品實習工廠、食品安全與超微量檢驗總中心、ISO22716Cosmetics-GMP校內實習工廠與學界唯一國際標準防曬試驗中心後，未來將以前述設施為基礎，積極推動問題導向產學合作與國際產學合作，並配合政府新南向政策，強化人才培育並鏈結校務研究，發揮學校特色同時解決產業問</w:t>
      </w:r>
      <w:r w:rsidRPr="00866D38">
        <w:rPr>
          <w:rFonts w:hint="eastAsia"/>
        </w:rPr>
        <w:lastRenderedPageBreak/>
        <w:t>題，善盡</w:t>
      </w:r>
      <w:r w:rsidR="008B46D6" w:rsidRPr="00866D38">
        <w:rPr>
          <w:rFonts w:hint="eastAsia"/>
        </w:rPr>
        <w:t>該</w:t>
      </w:r>
      <w:r w:rsidRPr="00866D38">
        <w:rPr>
          <w:rFonts w:hint="eastAsia"/>
        </w:rPr>
        <w:t>校</w:t>
      </w:r>
      <w:r w:rsidR="008B46D6" w:rsidRPr="00866D38">
        <w:rPr>
          <w:rFonts w:hint="eastAsia"/>
        </w:rPr>
        <w:t>（弘光科技大學）</w:t>
      </w:r>
      <w:r w:rsidRPr="00866D38">
        <w:rPr>
          <w:rFonts w:hint="eastAsia"/>
        </w:rPr>
        <w:t>社會責任。</w:t>
      </w:r>
    </w:p>
    <w:p w:rsidR="00144ED8" w:rsidRPr="00866D38" w:rsidRDefault="001B42AE" w:rsidP="008F431E">
      <w:pPr>
        <w:pStyle w:val="4"/>
      </w:pPr>
      <w:r w:rsidRPr="00866D38">
        <w:rPr>
          <w:rFonts w:hint="eastAsia"/>
        </w:rPr>
        <w:t>學校</w:t>
      </w:r>
      <w:r w:rsidR="000E7CAB" w:rsidRPr="00866D38">
        <w:rPr>
          <w:rFonts w:hint="eastAsia"/>
        </w:rPr>
        <w:t>（國立高雄科技大學）</w:t>
      </w:r>
      <w:r w:rsidRPr="00866D38">
        <w:rPr>
          <w:rFonts w:hint="eastAsia"/>
        </w:rPr>
        <w:t>推動發展典範</w:t>
      </w:r>
      <w:r w:rsidR="006F17DC" w:rsidRPr="00866D38">
        <w:rPr>
          <w:rFonts w:hint="eastAsia"/>
        </w:rPr>
        <w:t>科大計畫的成長有三個層面，第一個層面是因</w:t>
      </w:r>
      <w:r w:rsidRPr="00866D38">
        <w:rPr>
          <w:rFonts w:hint="eastAsia"/>
        </w:rPr>
        <w:t>典範</w:t>
      </w:r>
      <w:r w:rsidR="00665909" w:rsidRPr="00866D38">
        <w:rPr>
          <w:rFonts w:hint="eastAsia"/>
        </w:rPr>
        <w:t>科大</w:t>
      </w:r>
      <w:r w:rsidRPr="00866D38">
        <w:rPr>
          <w:rFonts w:hint="eastAsia"/>
        </w:rPr>
        <w:t>計畫的經費，學</w:t>
      </w:r>
      <w:r w:rsidR="006F17DC" w:rsidRPr="00866D38">
        <w:rPr>
          <w:rFonts w:hint="eastAsia"/>
        </w:rPr>
        <w:t>校可以把建築物建設起來，可以充實大型設備，這對於學校的幫助非常</w:t>
      </w:r>
      <w:r w:rsidRPr="00866D38">
        <w:rPr>
          <w:rFonts w:hint="eastAsia"/>
        </w:rPr>
        <w:t>大</w:t>
      </w:r>
      <w:r w:rsidR="006F17DC" w:rsidRPr="00866D38">
        <w:rPr>
          <w:rFonts w:hint="eastAsia"/>
        </w:rPr>
        <w:t>，學校本來有規劃經費投入，但在資源有限的情況下，因</w:t>
      </w:r>
      <w:r w:rsidRPr="00866D38">
        <w:rPr>
          <w:rFonts w:hint="eastAsia"/>
        </w:rPr>
        <w:t>這5年典範</w:t>
      </w:r>
      <w:r w:rsidR="00665909" w:rsidRPr="00866D38">
        <w:rPr>
          <w:rFonts w:hint="eastAsia"/>
        </w:rPr>
        <w:t>科大</w:t>
      </w:r>
      <w:r w:rsidRPr="00866D38">
        <w:rPr>
          <w:rFonts w:hint="eastAsia"/>
        </w:rPr>
        <w:t>計畫的經費挹注，學校可說是脫胎換骨，多</w:t>
      </w:r>
      <w:r w:rsidR="006F17DC" w:rsidRPr="00866D38">
        <w:rPr>
          <w:rFonts w:hint="eastAsia"/>
        </w:rPr>
        <w:t>了很多的實作場域、產學連結之空間、補充高階設備，對於學校來說影響</w:t>
      </w:r>
      <w:r w:rsidRPr="00866D38">
        <w:rPr>
          <w:rFonts w:hint="eastAsia"/>
        </w:rPr>
        <w:t>非常大</w:t>
      </w:r>
      <w:r w:rsidR="00FC14C7" w:rsidRPr="00866D38">
        <w:rPr>
          <w:rFonts w:hint="eastAsia"/>
        </w:rPr>
        <w:t>。</w:t>
      </w:r>
    </w:p>
    <w:p w:rsidR="00A869A2" w:rsidRPr="00866D38" w:rsidRDefault="00A869A2" w:rsidP="00495150">
      <w:pPr>
        <w:pStyle w:val="4"/>
      </w:pPr>
      <w:r w:rsidRPr="00866D38">
        <w:rPr>
          <w:rFonts w:hint="eastAsia"/>
        </w:rPr>
        <w:t>因推動發展</w:t>
      </w:r>
      <w:r w:rsidR="00665909" w:rsidRPr="00866D38">
        <w:rPr>
          <w:rFonts w:hint="eastAsia"/>
        </w:rPr>
        <w:t>典範科大</w:t>
      </w:r>
      <w:r w:rsidRPr="00866D38">
        <w:rPr>
          <w:rFonts w:hint="eastAsia"/>
        </w:rPr>
        <w:t>計畫經費，</w:t>
      </w:r>
      <w:r w:rsidR="00BA3AA9" w:rsidRPr="00866D38">
        <w:rPr>
          <w:rFonts w:hint="eastAsia"/>
        </w:rPr>
        <w:t>隨</w:t>
      </w:r>
      <w:r w:rsidRPr="00866D38">
        <w:rPr>
          <w:rFonts w:hint="eastAsia"/>
        </w:rPr>
        <w:t>著學生的實務能力提升，</w:t>
      </w:r>
      <w:r w:rsidR="00C05FC6" w:rsidRPr="00866D38">
        <w:rPr>
          <w:rFonts w:hint="eastAsia"/>
        </w:rPr>
        <w:t>國立高雄科技大學</w:t>
      </w:r>
      <w:r w:rsidRPr="00866D38">
        <w:rPr>
          <w:rFonts w:hint="eastAsia"/>
        </w:rPr>
        <w:t>在產學及技轉的量都提高很多。在國家的經濟未明顯成長之際，學校卻可以做得更多，都是靠著推動發展</w:t>
      </w:r>
      <w:r w:rsidR="00665909" w:rsidRPr="00866D38">
        <w:rPr>
          <w:rFonts w:hint="eastAsia"/>
        </w:rPr>
        <w:t>典範科大</w:t>
      </w:r>
      <w:r w:rsidRPr="00866D38">
        <w:rPr>
          <w:rFonts w:hint="eastAsia"/>
        </w:rPr>
        <w:t>計畫資源投入，學校可以快速對接未來，產業界看重學校特色可以對接國際上新的發展，並找學校一起合作，配合整體國家產業的轉型，典範</w:t>
      </w:r>
      <w:r w:rsidR="00665909" w:rsidRPr="00866D38">
        <w:rPr>
          <w:rFonts w:hint="eastAsia"/>
        </w:rPr>
        <w:t>科大</w:t>
      </w:r>
      <w:r w:rsidRPr="00866D38">
        <w:rPr>
          <w:rFonts w:hint="eastAsia"/>
        </w:rPr>
        <w:t>計畫資源挹注對學校影響真的非常大。</w:t>
      </w:r>
    </w:p>
    <w:p w:rsidR="000B16A6" w:rsidRPr="00866D38" w:rsidRDefault="004F7F83" w:rsidP="000B16A6">
      <w:pPr>
        <w:pStyle w:val="a3"/>
        <w:rPr>
          <w:b/>
        </w:rPr>
      </w:pPr>
      <w:r w:rsidRPr="00866D38">
        <w:rPr>
          <w:rFonts w:hint="eastAsia"/>
          <w:b/>
        </w:rPr>
        <w:t>典範科大</w:t>
      </w:r>
      <w:r w:rsidR="00665909" w:rsidRPr="00866D38">
        <w:rPr>
          <w:rFonts w:hint="eastAsia"/>
          <w:b/>
        </w:rPr>
        <w:t>計畫學校</w:t>
      </w:r>
      <w:r w:rsidR="00EC2551" w:rsidRPr="00866D38">
        <w:rPr>
          <w:rFonts w:hint="eastAsia"/>
          <w:b/>
        </w:rPr>
        <w:t>聚焦</w:t>
      </w:r>
      <w:r w:rsidR="00B4441C" w:rsidRPr="00866D38">
        <w:rPr>
          <w:b/>
        </w:rPr>
        <w:t>重點產業領域</w:t>
      </w:r>
      <w:r w:rsidRPr="00866D38">
        <w:rPr>
          <w:rFonts w:hint="eastAsia"/>
          <w:b/>
        </w:rPr>
        <w:t>一覽表</w:t>
      </w:r>
    </w:p>
    <w:tbl>
      <w:tblPr>
        <w:tblStyle w:val="af8"/>
        <w:tblW w:w="9639" w:type="dxa"/>
        <w:tblLook w:val="04A0" w:firstRow="1" w:lastRow="0" w:firstColumn="1" w:lastColumn="0" w:noHBand="0" w:noVBand="1"/>
      </w:tblPr>
      <w:tblGrid>
        <w:gridCol w:w="3085"/>
        <w:gridCol w:w="6554"/>
      </w:tblGrid>
      <w:tr w:rsidR="00866D38" w:rsidRPr="00866D38" w:rsidTr="008C0059">
        <w:trPr>
          <w:trHeight w:val="416"/>
          <w:tblHeader/>
        </w:trPr>
        <w:tc>
          <w:tcPr>
            <w:tcW w:w="3085" w:type="dxa"/>
            <w:vAlign w:val="center"/>
            <w:hideMark/>
          </w:tcPr>
          <w:p w:rsidR="005C39F7" w:rsidRPr="00866D38" w:rsidRDefault="005C39F7" w:rsidP="00B130EE">
            <w:pPr>
              <w:widowControl/>
              <w:overflowPunct/>
              <w:autoSpaceDE/>
              <w:autoSpaceDN/>
              <w:jc w:val="center"/>
              <w:rPr>
                <w:rFonts w:hAnsi="標楷體" w:cs="Arial"/>
                <w:b/>
                <w:kern w:val="0"/>
                <w:sz w:val="26"/>
                <w:szCs w:val="26"/>
              </w:rPr>
            </w:pPr>
            <w:r w:rsidRPr="00866D38">
              <w:rPr>
                <w:rFonts w:hAnsi="標楷體" w:cs="Arial"/>
                <w:b/>
                <w:bCs/>
                <w:kern w:val="24"/>
                <w:sz w:val="26"/>
                <w:szCs w:val="26"/>
              </w:rPr>
              <w:t>產業領域</w:t>
            </w:r>
          </w:p>
        </w:tc>
        <w:tc>
          <w:tcPr>
            <w:tcW w:w="6554" w:type="dxa"/>
            <w:vAlign w:val="center"/>
            <w:hideMark/>
          </w:tcPr>
          <w:p w:rsidR="005C39F7" w:rsidRPr="00866D38" w:rsidRDefault="005C39F7" w:rsidP="008D48A2">
            <w:pPr>
              <w:widowControl/>
              <w:overflowPunct/>
              <w:autoSpaceDE/>
              <w:autoSpaceDN/>
              <w:jc w:val="center"/>
              <w:rPr>
                <w:rFonts w:hAnsi="標楷體" w:cs="Arial"/>
                <w:kern w:val="0"/>
                <w:sz w:val="26"/>
                <w:szCs w:val="26"/>
              </w:rPr>
            </w:pPr>
            <w:r w:rsidRPr="00866D38">
              <w:rPr>
                <w:rFonts w:hAnsi="標楷體" w:cs="Arial"/>
                <w:b/>
                <w:bCs/>
                <w:kern w:val="24"/>
                <w:sz w:val="26"/>
                <w:szCs w:val="26"/>
              </w:rPr>
              <w:t>學校</w:t>
            </w:r>
          </w:p>
        </w:tc>
      </w:tr>
      <w:tr w:rsidR="00866D38" w:rsidRPr="00866D38" w:rsidTr="00B130EE">
        <w:trPr>
          <w:trHeight w:val="265"/>
        </w:trPr>
        <w:tc>
          <w:tcPr>
            <w:tcW w:w="3085" w:type="dxa"/>
            <w:vAlign w:val="center"/>
            <w:hideMark/>
          </w:tcPr>
          <w:p w:rsidR="005C39F7" w:rsidRPr="00866D38" w:rsidRDefault="005C39F7" w:rsidP="00B130EE">
            <w:pPr>
              <w:widowControl/>
              <w:overflowPunct/>
              <w:autoSpaceDE/>
              <w:autoSpaceDN/>
              <w:jc w:val="center"/>
              <w:rPr>
                <w:rFonts w:hAnsi="標楷體" w:cs="Arial"/>
                <w:b/>
                <w:kern w:val="0"/>
                <w:sz w:val="26"/>
                <w:szCs w:val="26"/>
              </w:rPr>
            </w:pPr>
            <w:r w:rsidRPr="00866D38">
              <w:rPr>
                <w:rFonts w:hAnsi="標楷體" w:cs="Arial"/>
                <w:b/>
                <w:kern w:val="24"/>
                <w:sz w:val="26"/>
                <w:szCs w:val="26"/>
              </w:rPr>
              <w:t>智慧電能與電動車</w:t>
            </w:r>
          </w:p>
        </w:tc>
        <w:tc>
          <w:tcPr>
            <w:tcW w:w="6554" w:type="dxa"/>
            <w:vAlign w:val="center"/>
            <w:hideMark/>
          </w:tcPr>
          <w:p w:rsidR="005C39F7" w:rsidRPr="00866D38" w:rsidRDefault="005C39F7" w:rsidP="00257619">
            <w:pPr>
              <w:widowControl/>
              <w:overflowPunct/>
              <w:autoSpaceDE/>
              <w:autoSpaceDN/>
              <w:rPr>
                <w:rFonts w:hAnsi="標楷體" w:cs="Arial"/>
                <w:kern w:val="0"/>
                <w:sz w:val="26"/>
                <w:szCs w:val="26"/>
              </w:rPr>
            </w:pPr>
            <w:r w:rsidRPr="00866D38">
              <w:rPr>
                <w:rFonts w:hAnsi="標楷體" w:cs="Arial"/>
                <w:kern w:val="24"/>
                <w:sz w:val="26"/>
                <w:szCs w:val="26"/>
              </w:rPr>
              <w:t>臺北科大、高應科大</w:t>
            </w:r>
          </w:p>
        </w:tc>
      </w:tr>
      <w:tr w:rsidR="00866D38" w:rsidRPr="00866D38" w:rsidTr="00B130EE">
        <w:trPr>
          <w:trHeight w:val="342"/>
        </w:trPr>
        <w:tc>
          <w:tcPr>
            <w:tcW w:w="3085" w:type="dxa"/>
            <w:vAlign w:val="center"/>
            <w:hideMark/>
          </w:tcPr>
          <w:p w:rsidR="005C39F7" w:rsidRPr="00866D38" w:rsidRDefault="005C39F7" w:rsidP="00B130EE">
            <w:pPr>
              <w:widowControl/>
              <w:overflowPunct/>
              <w:autoSpaceDE/>
              <w:autoSpaceDN/>
              <w:jc w:val="center"/>
              <w:rPr>
                <w:rFonts w:hAnsi="標楷體" w:cs="Arial"/>
                <w:b/>
                <w:kern w:val="0"/>
                <w:sz w:val="26"/>
                <w:szCs w:val="26"/>
              </w:rPr>
            </w:pPr>
            <w:r w:rsidRPr="00866D38">
              <w:rPr>
                <w:rFonts w:hAnsi="標楷體" w:cs="Arial"/>
                <w:b/>
                <w:kern w:val="24"/>
                <w:sz w:val="26"/>
                <w:szCs w:val="26"/>
              </w:rPr>
              <w:t>精密機械與光電科技</w:t>
            </w:r>
          </w:p>
        </w:tc>
        <w:tc>
          <w:tcPr>
            <w:tcW w:w="6554" w:type="dxa"/>
            <w:vAlign w:val="center"/>
            <w:hideMark/>
          </w:tcPr>
          <w:p w:rsidR="005C39F7" w:rsidRPr="00866D38" w:rsidRDefault="005C39F7" w:rsidP="00257619">
            <w:pPr>
              <w:widowControl/>
              <w:overflowPunct/>
              <w:autoSpaceDE/>
              <w:autoSpaceDN/>
              <w:rPr>
                <w:rFonts w:hAnsi="標楷體" w:cs="Arial"/>
                <w:kern w:val="0"/>
                <w:sz w:val="26"/>
                <w:szCs w:val="26"/>
              </w:rPr>
            </w:pPr>
            <w:r w:rsidRPr="00866D38">
              <w:rPr>
                <w:rFonts w:hAnsi="標楷體" w:cs="Arial"/>
                <w:kern w:val="24"/>
                <w:sz w:val="26"/>
                <w:szCs w:val="26"/>
              </w:rPr>
              <w:t>虎尾科大、正修科大、勤益科大、第一科大</w:t>
            </w:r>
          </w:p>
        </w:tc>
      </w:tr>
      <w:tr w:rsidR="00866D38" w:rsidRPr="00866D38" w:rsidTr="00B130EE">
        <w:trPr>
          <w:trHeight w:val="289"/>
        </w:trPr>
        <w:tc>
          <w:tcPr>
            <w:tcW w:w="3085" w:type="dxa"/>
            <w:vAlign w:val="center"/>
            <w:hideMark/>
          </w:tcPr>
          <w:p w:rsidR="005C39F7" w:rsidRPr="00866D38" w:rsidRDefault="005C39F7" w:rsidP="00B130EE">
            <w:pPr>
              <w:widowControl/>
              <w:overflowPunct/>
              <w:autoSpaceDE/>
              <w:autoSpaceDN/>
              <w:jc w:val="center"/>
              <w:rPr>
                <w:rFonts w:hAnsi="標楷體" w:cs="Arial"/>
                <w:b/>
                <w:kern w:val="0"/>
                <w:sz w:val="26"/>
                <w:szCs w:val="26"/>
              </w:rPr>
            </w:pPr>
            <w:r w:rsidRPr="00866D38">
              <w:rPr>
                <w:rFonts w:hAnsi="標楷體" w:cs="Arial"/>
                <w:b/>
                <w:kern w:val="24"/>
                <w:sz w:val="26"/>
                <w:szCs w:val="26"/>
              </w:rPr>
              <w:t>智慧生活</w:t>
            </w:r>
          </w:p>
        </w:tc>
        <w:tc>
          <w:tcPr>
            <w:tcW w:w="6554" w:type="dxa"/>
            <w:vAlign w:val="center"/>
            <w:hideMark/>
          </w:tcPr>
          <w:p w:rsidR="00257619" w:rsidRPr="00866D38" w:rsidRDefault="005C39F7" w:rsidP="00257619">
            <w:pPr>
              <w:widowControl/>
              <w:overflowPunct/>
              <w:autoSpaceDE/>
              <w:autoSpaceDN/>
              <w:rPr>
                <w:rFonts w:hAnsi="標楷體" w:cs="Arial"/>
                <w:kern w:val="24"/>
                <w:sz w:val="26"/>
                <w:szCs w:val="26"/>
              </w:rPr>
            </w:pPr>
            <w:r w:rsidRPr="00866D38">
              <w:rPr>
                <w:rFonts w:hAnsi="標楷體" w:cs="Arial"/>
                <w:kern w:val="24"/>
                <w:sz w:val="26"/>
                <w:szCs w:val="26"/>
              </w:rPr>
              <w:t>臺灣科大、雲林科大、崑山科大、龍華科大、</w:t>
            </w:r>
          </w:p>
          <w:p w:rsidR="005C39F7" w:rsidRPr="00866D38" w:rsidRDefault="005C39F7" w:rsidP="00257619">
            <w:pPr>
              <w:widowControl/>
              <w:overflowPunct/>
              <w:autoSpaceDE/>
              <w:autoSpaceDN/>
              <w:rPr>
                <w:rFonts w:hAnsi="標楷體" w:cs="Arial"/>
                <w:kern w:val="0"/>
                <w:sz w:val="26"/>
                <w:szCs w:val="26"/>
              </w:rPr>
            </w:pPr>
            <w:r w:rsidRPr="00866D38">
              <w:rPr>
                <w:rFonts w:hAnsi="標楷體" w:cs="Arial"/>
                <w:kern w:val="24"/>
                <w:sz w:val="26"/>
                <w:szCs w:val="26"/>
              </w:rPr>
              <w:t>第一科大</w:t>
            </w:r>
          </w:p>
        </w:tc>
      </w:tr>
      <w:tr w:rsidR="00866D38" w:rsidRPr="00866D38" w:rsidTr="00B130EE">
        <w:trPr>
          <w:trHeight w:val="63"/>
        </w:trPr>
        <w:tc>
          <w:tcPr>
            <w:tcW w:w="3085" w:type="dxa"/>
            <w:vAlign w:val="center"/>
            <w:hideMark/>
          </w:tcPr>
          <w:p w:rsidR="005C39F7" w:rsidRPr="00866D38" w:rsidRDefault="005C39F7" w:rsidP="00B130EE">
            <w:pPr>
              <w:widowControl/>
              <w:overflowPunct/>
              <w:autoSpaceDE/>
              <w:autoSpaceDN/>
              <w:jc w:val="center"/>
              <w:rPr>
                <w:rFonts w:hAnsi="標楷體" w:cs="Arial"/>
                <w:b/>
                <w:kern w:val="0"/>
                <w:sz w:val="26"/>
                <w:szCs w:val="26"/>
              </w:rPr>
            </w:pPr>
            <w:r w:rsidRPr="00866D38">
              <w:rPr>
                <w:rFonts w:hAnsi="標楷體" w:cs="Arial"/>
                <w:b/>
                <w:kern w:val="24"/>
                <w:sz w:val="26"/>
                <w:szCs w:val="26"/>
              </w:rPr>
              <w:t>綠能科技</w:t>
            </w:r>
          </w:p>
        </w:tc>
        <w:tc>
          <w:tcPr>
            <w:tcW w:w="6554" w:type="dxa"/>
            <w:vAlign w:val="center"/>
            <w:hideMark/>
          </w:tcPr>
          <w:p w:rsidR="00257619" w:rsidRPr="00866D38" w:rsidRDefault="005C39F7" w:rsidP="00257619">
            <w:pPr>
              <w:widowControl/>
              <w:overflowPunct/>
              <w:autoSpaceDE/>
              <w:autoSpaceDN/>
              <w:rPr>
                <w:rFonts w:hAnsi="標楷體" w:cs="Arial"/>
                <w:kern w:val="24"/>
                <w:sz w:val="26"/>
                <w:szCs w:val="26"/>
              </w:rPr>
            </w:pPr>
            <w:r w:rsidRPr="00866D38">
              <w:rPr>
                <w:rFonts w:hAnsi="標楷體" w:cs="Arial"/>
                <w:kern w:val="24"/>
                <w:sz w:val="26"/>
                <w:szCs w:val="26"/>
              </w:rPr>
              <w:t>臺灣科大、屏東科大、南臺科大、崑山科大、</w:t>
            </w:r>
          </w:p>
          <w:p w:rsidR="005C39F7" w:rsidRPr="00866D38" w:rsidRDefault="005C39F7" w:rsidP="00257619">
            <w:pPr>
              <w:widowControl/>
              <w:overflowPunct/>
              <w:autoSpaceDE/>
              <w:autoSpaceDN/>
              <w:rPr>
                <w:rFonts w:hAnsi="標楷體" w:cs="Arial"/>
                <w:kern w:val="0"/>
                <w:sz w:val="26"/>
                <w:szCs w:val="26"/>
              </w:rPr>
            </w:pPr>
            <w:r w:rsidRPr="00866D38">
              <w:rPr>
                <w:rFonts w:hAnsi="標楷體" w:cs="Arial"/>
                <w:kern w:val="24"/>
                <w:sz w:val="26"/>
                <w:szCs w:val="26"/>
              </w:rPr>
              <w:t>遠東科大</w:t>
            </w:r>
          </w:p>
        </w:tc>
      </w:tr>
      <w:tr w:rsidR="00866D38" w:rsidRPr="00866D38" w:rsidTr="00B130EE">
        <w:trPr>
          <w:trHeight w:val="63"/>
        </w:trPr>
        <w:tc>
          <w:tcPr>
            <w:tcW w:w="3085" w:type="dxa"/>
            <w:vAlign w:val="center"/>
            <w:hideMark/>
          </w:tcPr>
          <w:p w:rsidR="005C39F7" w:rsidRPr="00866D38" w:rsidRDefault="005C39F7" w:rsidP="00B130EE">
            <w:pPr>
              <w:widowControl/>
              <w:overflowPunct/>
              <w:autoSpaceDE/>
              <w:autoSpaceDN/>
              <w:jc w:val="center"/>
              <w:rPr>
                <w:rFonts w:hAnsi="標楷體" w:cs="Arial"/>
                <w:b/>
                <w:kern w:val="0"/>
                <w:sz w:val="26"/>
                <w:szCs w:val="26"/>
              </w:rPr>
            </w:pPr>
            <w:r w:rsidRPr="00866D38">
              <w:rPr>
                <w:rFonts w:hAnsi="標楷體" w:cs="Arial"/>
                <w:b/>
                <w:kern w:val="24"/>
                <w:sz w:val="26"/>
                <w:szCs w:val="26"/>
              </w:rPr>
              <w:t>農業生技</w:t>
            </w:r>
          </w:p>
        </w:tc>
        <w:tc>
          <w:tcPr>
            <w:tcW w:w="6554" w:type="dxa"/>
            <w:vAlign w:val="center"/>
            <w:hideMark/>
          </w:tcPr>
          <w:p w:rsidR="005C39F7" w:rsidRPr="00866D38" w:rsidRDefault="005C39F7" w:rsidP="00257619">
            <w:pPr>
              <w:widowControl/>
              <w:overflowPunct/>
              <w:autoSpaceDE/>
              <w:autoSpaceDN/>
              <w:rPr>
                <w:rFonts w:hAnsi="標楷體" w:cs="Arial"/>
                <w:kern w:val="0"/>
                <w:sz w:val="26"/>
                <w:szCs w:val="26"/>
              </w:rPr>
            </w:pPr>
            <w:r w:rsidRPr="00866D38">
              <w:rPr>
                <w:rFonts w:hAnsi="標楷體" w:cs="Arial"/>
                <w:kern w:val="24"/>
                <w:sz w:val="26"/>
                <w:szCs w:val="26"/>
              </w:rPr>
              <w:t>屏東科大、南臺科大、遠東科大</w:t>
            </w:r>
          </w:p>
        </w:tc>
      </w:tr>
      <w:tr w:rsidR="00866D38" w:rsidRPr="00866D38" w:rsidTr="00B130EE">
        <w:trPr>
          <w:trHeight w:val="63"/>
        </w:trPr>
        <w:tc>
          <w:tcPr>
            <w:tcW w:w="3085" w:type="dxa"/>
            <w:vAlign w:val="center"/>
            <w:hideMark/>
          </w:tcPr>
          <w:p w:rsidR="005C39F7" w:rsidRPr="00866D38" w:rsidRDefault="005C39F7" w:rsidP="00B130EE">
            <w:pPr>
              <w:widowControl/>
              <w:overflowPunct/>
              <w:autoSpaceDE/>
              <w:autoSpaceDN/>
              <w:jc w:val="center"/>
              <w:rPr>
                <w:rFonts w:hAnsi="標楷體" w:cs="Arial"/>
                <w:b/>
                <w:kern w:val="0"/>
                <w:sz w:val="26"/>
                <w:szCs w:val="26"/>
              </w:rPr>
            </w:pPr>
            <w:r w:rsidRPr="00866D38">
              <w:rPr>
                <w:rFonts w:hAnsi="標楷體" w:cs="Arial"/>
                <w:b/>
                <w:kern w:val="24"/>
                <w:sz w:val="26"/>
                <w:szCs w:val="26"/>
              </w:rPr>
              <w:t>文創設計</w:t>
            </w:r>
          </w:p>
        </w:tc>
        <w:tc>
          <w:tcPr>
            <w:tcW w:w="6554" w:type="dxa"/>
            <w:vAlign w:val="center"/>
            <w:hideMark/>
          </w:tcPr>
          <w:p w:rsidR="005C39F7" w:rsidRPr="00866D38" w:rsidRDefault="005C39F7" w:rsidP="00257619">
            <w:pPr>
              <w:widowControl/>
              <w:overflowPunct/>
              <w:autoSpaceDE/>
              <w:autoSpaceDN/>
              <w:rPr>
                <w:rFonts w:hAnsi="標楷體" w:cs="Arial"/>
                <w:kern w:val="0"/>
                <w:sz w:val="26"/>
                <w:szCs w:val="26"/>
              </w:rPr>
            </w:pPr>
            <w:r w:rsidRPr="00866D38">
              <w:rPr>
                <w:rFonts w:hAnsi="標楷體" w:cs="Arial"/>
                <w:kern w:val="24"/>
                <w:sz w:val="26"/>
                <w:szCs w:val="26"/>
              </w:rPr>
              <w:t>雲林科大、南臺科大、崑山科大</w:t>
            </w:r>
          </w:p>
        </w:tc>
      </w:tr>
      <w:tr w:rsidR="00866D38" w:rsidRPr="00866D38" w:rsidTr="00B130EE">
        <w:trPr>
          <w:trHeight w:val="63"/>
        </w:trPr>
        <w:tc>
          <w:tcPr>
            <w:tcW w:w="3085" w:type="dxa"/>
            <w:vAlign w:val="center"/>
            <w:hideMark/>
          </w:tcPr>
          <w:p w:rsidR="005C39F7" w:rsidRPr="00866D38" w:rsidRDefault="005C39F7" w:rsidP="00B130EE">
            <w:pPr>
              <w:widowControl/>
              <w:overflowPunct/>
              <w:autoSpaceDE/>
              <w:autoSpaceDN/>
              <w:jc w:val="center"/>
              <w:rPr>
                <w:rFonts w:hAnsi="標楷體" w:cs="Arial"/>
                <w:b/>
                <w:kern w:val="0"/>
                <w:sz w:val="26"/>
                <w:szCs w:val="26"/>
              </w:rPr>
            </w:pPr>
            <w:r w:rsidRPr="00866D38">
              <w:rPr>
                <w:rFonts w:hAnsi="標楷體" w:cs="Arial"/>
                <w:b/>
                <w:kern w:val="24"/>
                <w:sz w:val="26"/>
                <w:szCs w:val="26"/>
              </w:rPr>
              <w:t>數位資訊</w:t>
            </w:r>
          </w:p>
        </w:tc>
        <w:tc>
          <w:tcPr>
            <w:tcW w:w="6554" w:type="dxa"/>
            <w:vAlign w:val="center"/>
            <w:hideMark/>
          </w:tcPr>
          <w:p w:rsidR="005C39F7" w:rsidRPr="00866D38" w:rsidRDefault="005C39F7" w:rsidP="00257619">
            <w:pPr>
              <w:widowControl/>
              <w:overflowPunct/>
              <w:autoSpaceDE/>
              <w:autoSpaceDN/>
              <w:rPr>
                <w:rFonts w:hAnsi="標楷體" w:cs="Arial"/>
                <w:kern w:val="0"/>
                <w:sz w:val="26"/>
                <w:szCs w:val="26"/>
              </w:rPr>
            </w:pPr>
            <w:r w:rsidRPr="00866D38">
              <w:rPr>
                <w:rFonts w:hAnsi="標楷體" w:cs="Arial"/>
                <w:kern w:val="24"/>
                <w:sz w:val="26"/>
                <w:szCs w:val="26"/>
              </w:rPr>
              <w:t>臺北科大、臺灣科大、第一科大</w:t>
            </w:r>
          </w:p>
        </w:tc>
      </w:tr>
      <w:tr w:rsidR="00866D38" w:rsidRPr="00866D38" w:rsidTr="00B130EE">
        <w:trPr>
          <w:trHeight w:val="63"/>
        </w:trPr>
        <w:tc>
          <w:tcPr>
            <w:tcW w:w="3085" w:type="dxa"/>
            <w:vAlign w:val="center"/>
            <w:hideMark/>
          </w:tcPr>
          <w:p w:rsidR="005C39F7" w:rsidRPr="00866D38" w:rsidRDefault="005C39F7" w:rsidP="00B130EE">
            <w:pPr>
              <w:widowControl/>
              <w:overflowPunct/>
              <w:autoSpaceDE/>
              <w:autoSpaceDN/>
              <w:jc w:val="center"/>
              <w:rPr>
                <w:rFonts w:hAnsi="標楷體" w:cs="Arial"/>
                <w:b/>
                <w:kern w:val="0"/>
                <w:sz w:val="26"/>
                <w:szCs w:val="26"/>
              </w:rPr>
            </w:pPr>
            <w:r w:rsidRPr="00866D38">
              <w:rPr>
                <w:rFonts w:hAnsi="標楷體" w:cs="Arial"/>
                <w:b/>
                <w:kern w:val="24"/>
                <w:sz w:val="26"/>
                <w:szCs w:val="26"/>
              </w:rPr>
              <w:t>餐飲觀光</w:t>
            </w:r>
          </w:p>
        </w:tc>
        <w:tc>
          <w:tcPr>
            <w:tcW w:w="6554" w:type="dxa"/>
            <w:vAlign w:val="center"/>
            <w:hideMark/>
          </w:tcPr>
          <w:p w:rsidR="005C39F7" w:rsidRPr="00866D38" w:rsidRDefault="005C39F7" w:rsidP="00257619">
            <w:pPr>
              <w:widowControl/>
              <w:overflowPunct/>
              <w:autoSpaceDE/>
              <w:autoSpaceDN/>
              <w:rPr>
                <w:rFonts w:hAnsi="標楷體" w:cs="Arial"/>
                <w:kern w:val="0"/>
                <w:sz w:val="26"/>
                <w:szCs w:val="26"/>
              </w:rPr>
            </w:pPr>
            <w:r w:rsidRPr="00866D38">
              <w:rPr>
                <w:rFonts w:hAnsi="標楷體" w:cs="Arial"/>
                <w:kern w:val="24"/>
                <w:sz w:val="26"/>
                <w:szCs w:val="26"/>
              </w:rPr>
              <w:t>高雄餐旅大學</w:t>
            </w:r>
          </w:p>
        </w:tc>
      </w:tr>
      <w:tr w:rsidR="00866D38" w:rsidRPr="00866D38" w:rsidTr="00B130EE">
        <w:trPr>
          <w:trHeight w:val="215"/>
        </w:trPr>
        <w:tc>
          <w:tcPr>
            <w:tcW w:w="3085" w:type="dxa"/>
            <w:vAlign w:val="center"/>
            <w:hideMark/>
          </w:tcPr>
          <w:p w:rsidR="005C39F7" w:rsidRPr="00866D38" w:rsidRDefault="005C39F7" w:rsidP="00B130EE">
            <w:pPr>
              <w:widowControl/>
              <w:overflowPunct/>
              <w:autoSpaceDE/>
              <w:autoSpaceDN/>
              <w:jc w:val="center"/>
              <w:rPr>
                <w:rFonts w:hAnsi="標楷體" w:cs="Arial"/>
                <w:b/>
                <w:kern w:val="0"/>
                <w:sz w:val="26"/>
                <w:szCs w:val="26"/>
              </w:rPr>
            </w:pPr>
            <w:r w:rsidRPr="00866D38">
              <w:rPr>
                <w:rFonts w:hAnsi="標楷體" w:cs="Arial"/>
                <w:b/>
                <w:kern w:val="24"/>
                <w:sz w:val="26"/>
                <w:szCs w:val="26"/>
              </w:rPr>
              <w:t>健康醫護</w:t>
            </w:r>
          </w:p>
        </w:tc>
        <w:tc>
          <w:tcPr>
            <w:tcW w:w="6554" w:type="dxa"/>
            <w:vAlign w:val="center"/>
            <w:hideMark/>
          </w:tcPr>
          <w:p w:rsidR="005C39F7" w:rsidRPr="00866D38" w:rsidRDefault="005C39F7" w:rsidP="00257619">
            <w:pPr>
              <w:widowControl/>
              <w:overflowPunct/>
              <w:autoSpaceDE/>
              <w:autoSpaceDN/>
              <w:rPr>
                <w:rFonts w:hAnsi="標楷體" w:cs="Arial"/>
                <w:kern w:val="0"/>
                <w:sz w:val="26"/>
                <w:szCs w:val="26"/>
              </w:rPr>
            </w:pPr>
            <w:r w:rsidRPr="00866D38">
              <w:rPr>
                <w:rFonts w:hAnsi="標楷體" w:cs="Arial"/>
                <w:kern w:val="24"/>
                <w:sz w:val="26"/>
                <w:szCs w:val="26"/>
              </w:rPr>
              <w:t>護理健康大學、弘光科大</w:t>
            </w:r>
          </w:p>
        </w:tc>
      </w:tr>
    </w:tbl>
    <w:p w:rsidR="00C44FC7" w:rsidRPr="00866D38" w:rsidRDefault="00C44FC7" w:rsidP="00407EBE">
      <w:pPr>
        <w:wordWrap w:val="0"/>
        <w:overflowPunct/>
        <w:rPr>
          <w:rFonts w:hAnsi="標楷體" w:cs="新細明體"/>
          <w:bCs/>
          <w:kern w:val="0"/>
          <w:sz w:val="24"/>
          <w:szCs w:val="24"/>
        </w:rPr>
      </w:pPr>
      <w:r w:rsidRPr="00866D38">
        <w:rPr>
          <w:rFonts w:hAnsi="標楷體" w:cs="新細明體" w:hint="eastAsia"/>
          <w:bCs/>
          <w:kern w:val="0"/>
          <w:sz w:val="24"/>
          <w:szCs w:val="24"/>
        </w:rPr>
        <w:t>資料來源：教育部</w:t>
      </w:r>
      <w:r w:rsidR="00257619" w:rsidRPr="00866D38">
        <w:rPr>
          <w:rFonts w:hAnsi="標楷體" w:cs="新細明體" w:hint="eastAsia"/>
          <w:bCs/>
          <w:kern w:val="0"/>
          <w:sz w:val="24"/>
          <w:szCs w:val="24"/>
        </w:rPr>
        <w:t>簡報</w:t>
      </w:r>
      <w:r w:rsidRPr="00866D38">
        <w:rPr>
          <w:rFonts w:hAnsi="標楷體" w:cs="新細明體" w:hint="eastAsia"/>
          <w:bCs/>
          <w:kern w:val="0"/>
          <w:sz w:val="24"/>
          <w:szCs w:val="24"/>
        </w:rPr>
        <w:t>資料</w:t>
      </w:r>
      <w:r w:rsidR="001E3392" w:rsidRPr="00866D38">
        <w:rPr>
          <w:rFonts w:hAnsi="標楷體" w:cs="新細明體" w:hint="eastAsia"/>
          <w:bCs/>
          <w:kern w:val="0"/>
          <w:sz w:val="24"/>
          <w:szCs w:val="24"/>
        </w:rPr>
        <w:t>。</w:t>
      </w:r>
    </w:p>
    <w:p w:rsidR="00890EF3" w:rsidRPr="00866D38" w:rsidRDefault="00890EF3" w:rsidP="00407EBE">
      <w:pPr>
        <w:wordWrap w:val="0"/>
        <w:overflowPunct/>
        <w:rPr>
          <w:rFonts w:hAnsi="標楷體" w:cs="新細明體"/>
          <w:bCs/>
          <w:kern w:val="0"/>
          <w:sz w:val="24"/>
          <w:szCs w:val="24"/>
        </w:rPr>
      </w:pPr>
    </w:p>
    <w:p w:rsidR="00B16F02" w:rsidRPr="00866D38" w:rsidRDefault="007E7C24" w:rsidP="0080323B">
      <w:pPr>
        <w:pStyle w:val="3"/>
      </w:pPr>
      <w:bookmarkStart w:id="79" w:name="_Toc518915393"/>
      <w:bookmarkStart w:id="80" w:name="_Toc519839605"/>
      <w:bookmarkStart w:id="81" w:name="_Toc519844495"/>
      <w:bookmarkStart w:id="82" w:name="_Toc519864741"/>
      <w:bookmarkStart w:id="83" w:name="_Toc523220141"/>
      <w:r w:rsidRPr="00866D38">
        <w:rPr>
          <w:rFonts w:hint="eastAsia"/>
        </w:rPr>
        <w:lastRenderedPageBreak/>
        <w:t>綜上，</w:t>
      </w:r>
      <w:r w:rsidRPr="00866D38">
        <w:rPr>
          <w:rFonts w:hAnsi="標楷體" w:hint="eastAsia"/>
        </w:rPr>
        <w:t>目前各國競逐</w:t>
      </w:r>
      <w:r w:rsidR="00A23A0A" w:rsidRPr="00866D38">
        <w:rPr>
          <w:rFonts w:hAnsi="標楷體" w:hint="eastAsia"/>
        </w:rPr>
        <w:t>各項科技</w:t>
      </w:r>
      <w:r w:rsidR="00BE1BBC" w:rsidRPr="00866D38">
        <w:rPr>
          <w:rFonts w:hAnsi="標楷體" w:hint="eastAsia"/>
        </w:rPr>
        <w:t>產業</w:t>
      </w:r>
      <w:r w:rsidRPr="00866D38">
        <w:rPr>
          <w:rFonts w:hAnsi="標楷體" w:hint="eastAsia"/>
        </w:rPr>
        <w:t>發展及</w:t>
      </w:r>
      <w:r w:rsidR="00A23A0A" w:rsidRPr="00866D38">
        <w:rPr>
          <w:rFonts w:hAnsi="標楷體" w:hint="eastAsia"/>
        </w:rPr>
        <w:t>優秀人才培育，</w:t>
      </w:r>
      <w:r w:rsidR="00795FFB" w:rsidRPr="00866D38">
        <w:rPr>
          <w:rFonts w:hAnsi="標楷體" w:hint="eastAsia"/>
        </w:rPr>
        <w:t>尤追求</w:t>
      </w:r>
      <w:r w:rsidR="00A23A0A" w:rsidRPr="00866D38">
        <w:rPr>
          <w:rFonts w:hAnsi="標楷體" w:hint="eastAsia"/>
        </w:rPr>
        <w:t>技</w:t>
      </w:r>
      <w:r w:rsidR="00795FFB" w:rsidRPr="00866D38">
        <w:rPr>
          <w:rFonts w:hAnsi="標楷體" w:hint="eastAsia"/>
        </w:rPr>
        <w:t>職教育相關</w:t>
      </w:r>
      <w:r w:rsidR="00A23A0A" w:rsidRPr="00866D38">
        <w:rPr>
          <w:rFonts w:hAnsi="標楷體" w:hint="eastAsia"/>
        </w:rPr>
        <w:t>人才之適才適所，</w:t>
      </w:r>
      <w:r w:rsidRPr="00866D38">
        <w:rPr>
          <w:rFonts w:hAnsi="標楷體" w:hint="eastAsia"/>
        </w:rPr>
        <w:t>期</w:t>
      </w:r>
      <w:r w:rsidR="005C765E" w:rsidRPr="00866D38">
        <w:rPr>
          <w:rFonts w:hAnsi="標楷體" w:hint="eastAsia"/>
        </w:rPr>
        <w:t>能</w:t>
      </w:r>
      <w:r w:rsidRPr="00866D38">
        <w:rPr>
          <w:rFonts w:hAnsi="標楷體" w:hint="eastAsia"/>
        </w:rPr>
        <w:t>提升國家競爭力，</w:t>
      </w:r>
      <w:r w:rsidR="005C765E" w:rsidRPr="00866D38">
        <w:rPr>
          <w:rFonts w:hAnsi="標楷體" w:hint="eastAsia"/>
        </w:rPr>
        <w:t>已</w:t>
      </w:r>
      <w:r w:rsidRPr="00866D38">
        <w:rPr>
          <w:rFonts w:hAnsi="標楷體" w:hint="eastAsia"/>
        </w:rPr>
        <w:t>成為一重要國際趨勢。是以，</w:t>
      </w:r>
      <w:r w:rsidR="00F52754" w:rsidRPr="00866D38">
        <w:rPr>
          <w:rFonts w:hAnsi="標楷體" w:hint="eastAsia"/>
        </w:rPr>
        <w:t>不同</w:t>
      </w:r>
      <w:r w:rsidR="004D08D9" w:rsidRPr="00866D38">
        <w:rPr>
          <w:rFonts w:hAnsi="標楷體" w:hint="eastAsia"/>
        </w:rPr>
        <w:t>於一般大學發展「邁向頂尖大學計畫」，</w:t>
      </w:r>
      <w:r w:rsidR="0080323B" w:rsidRPr="00866D38">
        <w:rPr>
          <w:rFonts w:hAnsi="標楷體" w:hint="eastAsia"/>
        </w:rPr>
        <w:t>教育部自102年至105</w:t>
      </w:r>
      <w:r w:rsidR="00665909" w:rsidRPr="00866D38">
        <w:rPr>
          <w:rFonts w:hAnsi="標楷體" w:hint="eastAsia"/>
        </w:rPr>
        <w:t>年推動典範科大</w:t>
      </w:r>
      <w:r w:rsidR="0080323B" w:rsidRPr="00866D38">
        <w:rPr>
          <w:rFonts w:hAnsi="標楷體" w:hint="eastAsia"/>
        </w:rPr>
        <w:t>計畫，一次核定4年為期，共補助12所科技大學，祈引導技專校院發展產學人才培育、務實教學為主之方向，將技職</w:t>
      </w:r>
      <w:r w:rsidR="00BD2290" w:rsidRPr="00866D38">
        <w:rPr>
          <w:rFonts w:hAnsi="標楷體" w:hint="eastAsia"/>
        </w:rPr>
        <w:t>教育核心價值納為最重要之發展根基，發揮引領技職體系改革之作用，</w:t>
      </w:r>
      <w:r w:rsidR="001C2D41" w:rsidRPr="00866D38">
        <w:rPr>
          <w:rFonts w:hAnsi="標楷體" w:hint="eastAsia"/>
        </w:rPr>
        <w:t>期能</w:t>
      </w:r>
      <w:r w:rsidR="0080323B" w:rsidRPr="00866D38">
        <w:rPr>
          <w:rFonts w:hAnsi="標楷體" w:hint="eastAsia"/>
        </w:rPr>
        <w:t>具備與一般大學明顯不同之實務特色，執行率約達99.85%</w:t>
      </w:r>
      <w:r w:rsidR="00B85FCE" w:rsidRPr="00866D38">
        <w:rPr>
          <w:rFonts w:hAnsi="標楷體" w:hint="eastAsia"/>
        </w:rPr>
        <w:t>，整體方向立意及初步成效均</w:t>
      </w:r>
      <w:r w:rsidR="0080323B" w:rsidRPr="00866D38">
        <w:rPr>
          <w:rFonts w:hAnsi="標楷體" w:hint="eastAsia"/>
        </w:rPr>
        <w:t>值肯定</w:t>
      </w:r>
      <w:r w:rsidRPr="00866D38">
        <w:rPr>
          <w:rFonts w:hAnsi="標楷體" w:hint="eastAsia"/>
        </w:rPr>
        <w:t>。</w:t>
      </w:r>
      <w:bookmarkEnd w:id="79"/>
      <w:bookmarkEnd w:id="80"/>
      <w:bookmarkEnd w:id="81"/>
      <w:bookmarkEnd w:id="82"/>
      <w:bookmarkEnd w:id="83"/>
    </w:p>
    <w:p w:rsidR="00D40A56" w:rsidRPr="00866D38" w:rsidRDefault="00665909" w:rsidP="009E184E">
      <w:pPr>
        <w:pStyle w:val="2"/>
        <w:rPr>
          <w:b/>
        </w:rPr>
      </w:pPr>
      <w:bookmarkStart w:id="84" w:name="_Toc523220142"/>
      <w:r w:rsidRPr="00866D38">
        <w:rPr>
          <w:rFonts w:hint="eastAsia"/>
          <w:b/>
        </w:rPr>
        <w:t>教育部</w:t>
      </w:r>
      <w:r w:rsidR="00B90E24">
        <w:rPr>
          <w:rFonts w:hint="eastAsia"/>
          <w:b/>
        </w:rPr>
        <w:t>推動典範科大</w:t>
      </w:r>
      <w:r w:rsidRPr="00866D38">
        <w:rPr>
          <w:rFonts w:hint="eastAsia"/>
          <w:b/>
        </w:rPr>
        <w:t>計畫</w:t>
      </w:r>
      <w:r w:rsidR="00DB47FD" w:rsidRPr="00866D38">
        <w:rPr>
          <w:rFonts w:hint="eastAsia"/>
          <w:b/>
        </w:rPr>
        <w:t>將「強化學校產學實務連結」</w:t>
      </w:r>
      <w:r w:rsidR="00587056" w:rsidRPr="00866D38">
        <w:rPr>
          <w:rFonts w:hint="eastAsia"/>
          <w:b/>
        </w:rPr>
        <w:t>及「深耕特定專業技術」等列為計畫推動重點，</w:t>
      </w:r>
      <w:r w:rsidR="00D157E3" w:rsidRPr="00866D38">
        <w:rPr>
          <w:rFonts w:hint="eastAsia"/>
          <w:b/>
        </w:rPr>
        <w:t>且</w:t>
      </w:r>
      <w:r w:rsidR="00155371" w:rsidRPr="00866D38">
        <w:rPr>
          <w:rFonts w:hint="eastAsia"/>
          <w:b/>
        </w:rPr>
        <w:t>已有</w:t>
      </w:r>
      <w:r w:rsidR="001D0FB9" w:rsidRPr="00866D38">
        <w:rPr>
          <w:rFonts w:hint="eastAsia"/>
          <w:b/>
        </w:rPr>
        <w:t>初步</w:t>
      </w:r>
      <w:r w:rsidR="00FE4809" w:rsidRPr="00866D38">
        <w:rPr>
          <w:rFonts w:hint="eastAsia"/>
          <w:b/>
        </w:rPr>
        <w:t>成</w:t>
      </w:r>
      <w:r w:rsidR="00C83B8F" w:rsidRPr="00866D38">
        <w:rPr>
          <w:rFonts w:hint="eastAsia"/>
          <w:b/>
        </w:rPr>
        <w:t>效</w:t>
      </w:r>
      <w:r w:rsidR="00FE4809" w:rsidRPr="00866D38">
        <w:rPr>
          <w:rFonts w:hint="eastAsia"/>
          <w:b/>
        </w:rPr>
        <w:t>，</w:t>
      </w:r>
      <w:r w:rsidR="00155371" w:rsidRPr="00866D38">
        <w:rPr>
          <w:rFonts w:hint="eastAsia"/>
          <w:b/>
        </w:rPr>
        <w:t>但</w:t>
      </w:r>
      <w:r w:rsidR="00D868B7" w:rsidRPr="00866D38">
        <w:rPr>
          <w:rFonts w:hint="eastAsia"/>
          <w:b/>
        </w:rPr>
        <w:t>執行</w:t>
      </w:r>
      <w:r w:rsidR="00155371" w:rsidRPr="00866D38">
        <w:rPr>
          <w:rFonts w:hint="eastAsia"/>
          <w:b/>
        </w:rPr>
        <w:t>之</w:t>
      </w:r>
      <w:r w:rsidR="00D868B7" w:rsidRPr="00866D38">
        <w:rPr>
          <w:rFonts w:hint="eastAsia"/>
          <w:b/>
        </w:rPr>
        <w:t>實質內容仍待深化，</w:t>
      </w:r>
      <w:r w:rsidR="00155371" w:rsidRPr="00866D38">
        <w:rPr>
          <w:rFonts w:hint="eastAsia"/>
          <w:b/>
        </w:rPr>
        <w:t>目前</w:t>
      </w:r>
      <w:r w:rsidR="000D7A8F" w:rsidRPr="00866D38">
        <w:rPr>
          <w:rFonts w:hint="eastAsia"/>
          <w:b/>
        </w:rPr>
        <w:t>仍有</w:t>
      </w:r>
      <w:r w:rsidR="000103E0" w:rsidRPr="00866D38">
        <w:rPr>
          <w:rFonts w:hint="eastAsia"/>
          <w:b/>
        </w:rPr>
        <w:t>學生</w:t>
      </w:r>
      <w:r w:rsidR="00FD3493" w:rsidRPr="00866D38">
        <w:rPr>
          <w:rFonts w:hint="eastAsia"/>
          <w:b/>
        </w:rPr>
        <w:t>實習</w:t>
      </w:r>
      <w:r w:rsidR="005B6A30" w:rsidRPr="00866D38">
        <w:rPr>
          <w:rFonts w:hint="eastAsia"/>
          <w:b/>
        </w:rPr>
        <w:t>尚</w:t>
      </w:r>
      <w:r w:rsidR="00FD3493" w:rsidRPr="00866D38">
        <w:rPr>
          <w:rFonts w:hint="eastAsia"/>
          <w:b/>
        </w:rPr>
        <w:t>未</w:t>
      </w:r>
      <w:r w:rsidR="00744166" w:rsidRPr="00866D38">
        <w:rPr>
          <w:rFonts w:hint="eastAsia"/>
          <w:b/>
        </w:rPr>
        <w:t>制度化</w:t>
      </w:r>
      <w:r w:rsidR="00F54CEA" w:rsidRPr="00866D38">
        <w:rPr>
          <w:rFonts w:ascii="新細明體" w:eastAsia="新細明體" w:hAnsi="新細明體" w:hint="eastAsia"/>
          <w:b/>
        </w:rPr>
        <w:t>、</w:t>
      </w:r>
      <w:r w:rsidR="00F54CEA" w:rsidRPr="00866D38">
        <w:rPr>
          <w:rFonts w:hint="eastAsia"/>
          <w:b/>
        </w:rPr>
        <w:t>證照效用仍待提升</w:t>
      </w:r>
      <w:r w:rsidR="00155371" w:rsidRPr="00866D38">
        <w:rPr>
          <w:rFonts w:hint="eastAsia"/>
          <w:b/>
        </w:rPr>
        <w:t>、</w:t>
      </w:r>
      <w:r w:rsidR="000A6390" w:rsidRPr="00866D38">
        <w:rPr>
          <w:rFonts w:hint="eastAsia"/>
          <w:b/>
        </w:rPr>
        <w:t>現職教師與產業實務之連結</w:t>
      </w:r>
      <w:r w:rsidR="00155371" w:rsidRPr="00866D38">
        <w:rPr>
          <w:rFonts w:hAnsi="標楷體" w:hint="eastAsia"/>
          <w:b/>
        </w:rPr>
        <w:t>不夠</w:t>
      </w:r>
      <w:r w:rsidR="00DB47FD" w:rsidRPr="00866D38">
        <w:rPr>
          <w:rFonts w:hAnsi="標楷體" w:hint="eastAsia"/>
          <w:b/>
        </w:rPr>
        <w:t>充分</w:t>
      </w:r>
      <w:r w:rsidR="00155371" w:rsidRPr="00866D38">
        <w:rPr>
          <w:rFonts w:hint="eastAsia"/>
          <w:b/>
        </w:rPr>
        <w:t>、</w:t>
      </w:r>
      <w:r w:rsidR="00B90E24">
        <w:rPr>
          <w:rFonts w:hint="eastAsia"/>
          <w:b/>
        </w:rPr>
        <w:t>技術升等比率</w:t>
      </w:r>
      <w:r w:rsidR="00155371" w:rsidRPr="00866D38">
        <w:rPr>
          <w:rFonts w:hint="eastAsia"/>
          <w:b/>
        </w:rPr>
        <w:t>尚</w:t>
      </w:r>
      <w:r w:rsidR="00DB47FD" w:rsidRPr="00866D38">
        <w:rPr>
          <w:rFonts w:hint="eastAsia"/>
          <w:b/>
        </w:rPr>
        <w:t>待強化</w:t>
      </w:r>
      <w:r w:rsidR="00B83217" w:rsidRPr="00866D38">
        <w:rPr>
          <w:rFonts w:hint="eastAsia"/>
          <w:b/>
        </w:rPr>
        <w:t>等</w:t>
      </w:r>
      <w:r w:rsidR="00001C01" w:rsidRPr="00866D38">
        <w:rPr>
          <w:rFonts w:hint="eastAsia"/>
          <w:b/>
        </w:rPr>
        <w:t>尚待加強事項</w:t>
      </w:r>
      <w:r w:rsidR="004E32EC" w:rsidRPr="00866D38">
        <w:rPr>
          <w:rFonts w:hint="eastAsia"/>
          <w:b/>
        </w:rPr>
        <w:t>，</w:t>
      </w:r>
      <w:r w:rsidR="00587056" w:rsidRPr="00866D38">
        <w:rPr>
          <w:rFonts w:hint="eastAsia"/>
          <w:b/>
        </w:rPr>
        <w:t>後續</w:t>
      </w:r>
      <w:r w:rsidR="00000E23" w:rsidRPr="00866D38">
        <w:rPr>
          <w:rFonts w:hint="eastAsia"/>
          <w:b/>
        </w:rPr>
        <w:t>該部</w:t>
      </w:r>
      <w:r w:rsidR="00587056" w:rsidRPr="00866D38">
        <w:rPr>
          <w:rFonts w:hint="eastAsia"/>
          <w:b/>
        </w:rPr>
        <w:t>仍</w:t>
      </w:r>
      <w:r w:rsidR="0034468C" w:rsidRPr="00866D38">
        <w:rPr>
          <w:rFonts w:hint="eastAsia"/>
          <w:b/>
        </w:rPr>
        <w:t>應</w:t>
      </w:r>
      <w:r w:rsidR="00587056" w:rsidRPr="00866D38">
        <w:rPr>
          <w:rFonts w:hint="eastAsia"/>
          <w:b/>
        </w:rPr>
        <w:t>積極策進</w:t>
      </w:r>
      <w:r w:rsidR="00344109" w:rsidRPr="00866D38">
        <w:rPr>
          <w:rFonts w:hint="eastAsia"/>
          <w:b/>
        </w:rPr>
        <w:t>，以期</w:t>
      </w:r>
      <w:r w:rsidR="00887CB4" w:rsidRPr="00866D38">
        <w:rPr>
          <w:rFonts w:hint="eastAsia"/>
          <w:b/>
        </w:rPr>
        <w:t>發揮</w:t>
      </w:r>
      <w:r w:rsidR="00344109" w:rsidRPr="00866D38">
        <w:rPr>
          <w:rFonts w:hint="eastAsia"/>
          <w:b/>
        </w:rPr>
        <w:t>典範</w:t>
      </w:r>
      <w:r w:rsidRPr="00866D38">
        <w:rPr>
          <w:rFonts w:hint="eastAsia"/>
          <w:b/>
        </w:rPr>
        <w:t>科技大學</w:t>
      </w:r>
      <w:r w:rsidR="009E184E" w:rsidRPr="00866D38">
        <w:rPr>
          <w:rFonts w:hint="eastAsia"/>
          <w:b/>
        </w:rPr>
        <w:t>技職教育</w:t>
      </w:r>
      <w:r w:rsidR="00344109" w:rsidRPr="00866D38">
        <w:rPr>
          <w:rFonts w:hint="eastAsia"/>
          <w:b/>
        </w:rPr>
        <w:t>領頭</w:t>
      </w:r>
      <w:r w:rsidR="00753A6A" w:rsidRPr="00866D38">
        <w:rPr>
          <w:rFonts w:hint="eastAsia"/>
          <w:b/>
        </w:rPr>
        <w:t>羊</w:t>
      </w:r>
      <w:r w:rsidR="00344109" w:rsidRPr="00866D38">
        <w:rPr>
          <w:rFonts w:hint="eastAsia"/>
          <w:b/>
        </w:rPr>
        <w:t>之效</w:t>
      </w:r>
      <w:bookmarkEnd w:id="84"/>
      <w:r w:rsidRPr="00866D38">
        <w:rPr>
          <w:rFonts w:hint="eastAsia"/>
          <w:b/>
        </w:rPr>
        <w:t>。</w:t>
      </w:r>
    </w:p>
    <w:p w:rsidR="006A0F49" w:rsidRPr="00866D38" w:rsidRDefault="003667D9" w:rsidP="00F519C0">
      <w:pPr>
        <w:pStyle w:val="1"/>
        <w:numPr>
          <w:ilvl w:val="2"/>
          <w:numId w:val="16"/>
        </w:numPr>
        <w:overflowPunct/>
        <w:autoSpaceDE/>
        <w:autoSpaceDN/>
        <w:rPr>
          <w:rFonts w:hAnsi="標楷體"/>
          <w:szCs w:val="32"/>
        </w:rPr>
      </w:pPr>
      <w:bookmarkStart w:id="85" w:name="_Toc519839607"/>
      <w:bookmarkStart w:id="86" w:name="_Toc519844497"/>
      <w:bookmarkStart w:id="87" w:name="_Toc519864743"/>
      <w:bookmarkStart w:id="88" w:name="_Toc523220143"/>
      <w:bookmarkStart w:id="89" w:name="_Toc513131344"/>
      <w:bookmarkStart w:id="90" w:name="_Toc518915395"/>
      <w:r w:rsidRPr="00866D38">
        <w:rPr>
          <w:rFonts w:hint="eastAsia"/>
        </w:rPr>
        <w:t>按</w:t>
      </w:r>
      <w:r w:rsidR="00D545F0" w:rsidRPr="00866D38">
        <w:rPr>
          <w:rFonts w:hAnsi="標楷體" w:hint="eastAsia"/>
          <w:szCs w:val="32"/>
        </w:rPr>
        <w:t>技術及</w:t>
      </w:r>
      <w:r w:rsidR="006A0F49" w:rsidRPr="00866D38">
        <w:rPr>
          <w:rFonts w:hAnsi="標楷體" w:hint="eastAsia"/>
        </w:rPr>
        <w:t>職業教育</w:t>
      </w:r>
      <w:r w:rsidR="006A0F49" w:rsidRPr="00866D38">
        <w:rPr>
          <w:rFonts w:hAnsi="標楷體" w:hint="eastAsia"/>
          <w:szCs w:val="32"/>
        </w:rPr>
        <w:t>法第</w:t>
      </w:r>
      <w:r w:rsidR="007F1441" w:rsidRPr="00866D38">
        <w:rPr>
          <w:rFonts w:hAnsi="標楷體" w:hint="eastAsia"/>
          <w:szCs w:val="32"/>
        </w:rPr>
        <w:t>1條明</w:t>
      </w:r>
      <w:r w:rsidR="006A0F49" w:rsidRPr="00866D38">
        <w:rPr>
          <w:rFonts w:hAnsi="標楷體" w:hint="eastAsia"/>
          <w:szCs w:val="32"/>
        </w:rPr>
        <w:t>定</w:t>
      </w:r>
      <w:r w:rsidR="0066074F" w:rsidRPr="00866D38">
        <w:rPr>
          <w:rFonts w:hAnsi="標楷體" w:hint="eastAsia"/>
          <w:szCs w:val="32"/>
        </w:rPr>
        <w:t>：</w:t>
      </w:r>
      <w:r w:rsidR="006A0F49" w:rsidRPr="00866D38">
        <w:rPr>
          <w:rFonts w:hAnsi="標楷體" w:hint="eastAsia"/>
          <w:szCs w:val="32"/>
        </w:rPr>
        <w:t>「</w:t>
      </w:r>
      <w:r w:rsidR="007F1441" w:rsidRPr="00866D38">
        <w:rPr>
          <w:rFonts w:hAnsi="標楷體" w:hint="eastAsia"/>
          <w:szCs w:val="32"/>
        </w:rPr>
        <w:t>為建立技術及職業教育人才培育制度，培養國人正確職業觀念，落實技職教育務實致用特色，培育各行業人才，特制定本法</w:t>
      </w:r>
      <w:r w:rsidR="006A0F49" w:rsidRPr="00866D38">
        <w:rPr>
          <w:rFonts w:hAnsi="標楷體" w:hint="eastAsia"/>
          <w:szCs w:val="32"/>
        </w:rPr>
        <w:t>。」</w:t>
      </w:r>
      <w:r w:rsidR="00097A21" w:rsidRPr="00866D38">
        <w:rPr>
          <w:rFonts w:hAnsi="標楷體" w:hint="eastAsia"/>
          <w:szCs w:val="32"/>
        </w:rPr>
        <w:t>復按</w:t>
      </w:r>
      <w:r w:rsidR="006A0F49" w:rsidRPr="00866D38">
        <w:rPr>
          <w:rFonts w:hAnsi="標楷體" w:hint="eastAsia"/>
          <w:szCs w:val="32"/>
        </w:rPr>
        <w:t>產業創新條例第17條規定：「為強化產業發展所需人才，行政院應指定專責機關建立產業人才資源發展之協調整合機制，推動下列事項：一、協調各中央目的事業主管機關辦理重點產業人才供需調查及推估。二、整合產業人才供需資訊，訂定產業人才資源發展策略。三、協調產業人才資源發展之推動事宜。四、推動產業、學術、研究及職業訓練機構合作之規劃。」</w:t>
      </w:r>
      <w:r w:rsidR="006A0F49" w:rsidRPr="00866D38">
        <w:rPr>
          <w:rFonts w:hAnsi="標楷體" w:hint="eastAsia"/>
        </w:rPr>
        <w:t>另依中央研究院「高</w:t>
      </w:r>
      <w:r w:rsidR="006A0F49" w:rsidRPr="00866D38">
        <w:rPr>
          <w:rFonts w:hAnsi="標楷體" w:hint="eastAsia"/>
        </w:rPr>
        <w:lastRenderedPageBreak/>
        <w:t>等教育與科技政策建議書」</w:t>
      </w:r>
      <w:r w:rsidR="006A0F49" w:rsidRPr="00866D38">
        <w:rPr>
          <w:rStyle w:val="aff"/>
          <w:rFonts w:hAnsi="標楷體"/>
        </w:rPr>
        <w:footnoteReference w:id="5"/>
      </w:r>
      <w:r w:rsidR="006A0F49" w:rsidRPr="00866D38">
        <w:rPr>
          <w:rFonts w:hAnsi="標楷體" w:hint="eastAsia"/>
        </w:rPr>
        <w:t>載明「高等教育的規劃應適度考量產業的需求，使本土產業的研究與學界相輔相成，以達國際水準，並以具國際競爭力的薪資待遇留住人才，俾使臺灣的研發實力生根」。</w:t>
      </w:r>
      <w:r w:rsidR="006C20FA" w:rsidRPr="00866D38">
        <w:rPr>
          <w:rFonts w:hAnsi="標楷體" w:hint="eastAsia"/>
          <w:szCs w:val="32"/>
        </w:rPr>
        <w:t>基此</w:t>
      </w:r>
      <w:r w:rsidR="006A0F49" w:rsidRPr="00866D38">
        <w:rPr>
          <w:rFonts w:hAnsi="標楷體" w:hint="eastAsia"/>
          <w:szCs w:val="32"/>
        </w:rPr>
        <w:t>，</w:t>
      </w:r>
      <w:r w:rsidR="000062AD" w:rsidRPr="00866D38">
        <w:rPr>
          <w:rFonts w:hAnsi="標楷體" w:hint="eastAsia"/>
          <w:szCs w:val="32"/>
        </w:rPr>
        <w:t>職業基礎</w:t>
      </w:r>
      <w:r w:rsidR="006A0F49" w:rsidRPr="00866D38">
        <w:rPr>
          <w:rFonts w:hAnsi="標楷體" w:hint="eastAsia"/>
          <w:szCs w:val="32"/>
        </w:rPr>
        <w:t>人才</w:t>
      </w:r>
      <w:r w:rsidR="007A6864" w:rsidRPr="00866D38">
        <w:rPr>
          <w:rFonts w:hAnsi="標楷體" w:hint="eastAsia"/>
          <w:szCs w:val="32"/>
        </w:rPr>
        <w:t>之適切</w:t>
      </w:r>
      <w:r w:rsidR="006A0F49" w:rsidRPr="00866D38">
        <w:rPr>
          <w:rFonts w:hAnsi="標楷體" w:hint="eastAsia"/>
          <w:szCs w:val="32"/>
        </w:rPr>
        <w:t>攸關</w:t>
      </w:r>
      <w:r w:rsidR="000062AD" w:rsidRPr="00866D38">
        <w:rPr>
          <w:rFonts w:hAnsi="標楷體" w:hint="eastAsia"/>
          <w:szCs w:val="32"/>
        </w:rPr>
        <w:t>國家</w:t>
      </w:r>
      <w:r w:rsidR="007A6864" w:rsidRPr="00866D38">
        <w:rPr>
          <w:rFonts w:hAnsi="標楷體" w:hint="eastAsia"/>
          <w:szCs w:val="32"/>
        </w:rPr>
        <w:t>長期產業發展及國際</w:t>
      </w:r>
      <w:r w:rsidR="006A0F49" w:rsidRPr="00866D38">
        <w:rPr>
          <w:rFonts w:hAnsi="標楷體" w:hint="eastAsia"/>
          <w:szCs w:val="32"/>
        </w:rPr>
        <w:t>競爭力</w:t>
      </w:r>
      <w:r w:rsidR="007A6864" w:rsidRPr="00866D38">
        <w:rPr>
          <w:rFonts w:hAnsi="標楷體" w:hint="eastAsia"/>
          <w:szCs w:val="32"/>
        </w:rPr>
        <w:t>興衰</w:t>
      </w:r>
      <w:r w:rsidR="006A0F49" w:rsidRPr="00866D38">
        <w:rPr>
          <w:rFonts w:hAnsi="標楷體" w:hint="eastAsia"/>
          <w:szCs w:val="32"/>
        </w:rPr>
        <w:t>，尤以技職教育務實致用之特性應與產業間</w:t>
      </w:r>
      <w:r w:rsidR="00A04C1C" w:rsidRPr="00866D38">
        <w:rPr>
          <w:rFonts w:hAnsi="標楷體" w:hint="eastAsia"/>
          <w:szCs w:val="32"/>
        </w:rPr>
        <w:t>之</w:t>
      </w:r>
      <w:r w:rsidR="006A0F49" w:rsidRPr="00866D38">
        <w:rPr>
          <w:rFonts w:hAnsi="標楷體" w:hint="eastAsia"/>
          <w:szCs w:val="32"/>
        </w:rPr>
        <w:t>連結</w:t>
      </w:r>
      <w:r w:rsidR="00266A67" w:rsidRPr="00866D38">
        <w:rPr>
          <w:rFonts w:hAnsi="標楷體" w:hint="eastAsia"/>
          <w:szCs w:val="32"/>
        </w:rPr>
        <w:t>更為密切</w:t>
      </w:r>
      <w:r w:rsidR="006A0F49" w:rsidRPr="00866D38">
        <w:rPr>
          <w:rFonts w:hAnsi="標楷體" w:hint="eastAsia"/>
          <w:szCs w:val="32"/>
        </w:rPr>
        <w:t>。</w:t>
      </w:r>
      <w:bookmarkEnd w:id="85"/>
      <w:bookmarkEnd w:id="86"/>
      <w:bookmarkEnd w:id="87"/>
      <w:bookmarkEnd w:id="88"/>
    </w:p>
    <w:p w:rsidR="00616DEE" w:rsidRPr="00866D38" w:rsidRDefault="00BA3BC6" w:rsidP="00F519C0">
      <w:pPr>
        <w:pStyle w:val="1"/>
        <w:numPr>
          <w:ilvl w:val="2"/>
          <w:numId w:val="16"/>
        </w:numPr>
        <w:overflowPunct/>
        <w:autoSpaceDE/>
        <w:autoSpaceDN/>
      </w:pPr>
      <w:bookmarkStart w:id="91" w:name="_Toc519839608"/>
      <w:bookmarkStart w:id="92" w:name="_Toc519844498"/>
      <w:bookmarkStart w:id="93" w:name="_Toc519864744"/>
      <w:bookmarkStart w:id="94" w:name="_Toc523220144"/>
      <w:r w:rsidRPr="00866D38">
        <w:rPr>
          <w:rFonts w:hint="eastAsia"/>
        </w:rPr>
        <w:t>依</w:t>
      </w:r>
      <w:r w:rsidR="0070249A" w:rsidRPr="00866D38">
        <w:rPr>
          <w:rFonts w:hint="eastAsia"/>
        </w:rPr>
        <w:t>行政院102年3月12日院臺教字第1020013028號函核定教育部發展典範科大計畫之</w:t>
      </w:r>
      <w:r w:rsidR="00FA203C" w:rsidRPr="00866D38">
        <w:rPr>
          <w:rFonts w:hint="eastAsia"/>
        </w:rPr>
        <w:t>推動重點包括「強化學校產學實務連結」、「營建及維運產業創新發展中心」及「深耕特定專業技術」三項子項目據以推動。其中，</w:t>
      </w:r>
      <w:r w:rsidR="0007194B" w:rsidRPr="00866D38">
        <w:rPr>
          <w:rFonts w:hint="eastAsia"/>
        </w:rPr>
        <w:t>「子計畫一：強化學校產學實務連結」，引導學校依自身於人才培育及技術創新方面之特色定位，以產業需求為導向，有效整合區域內教學、智財及產業資源，推動人才培育、產學研發及制度調整三大面向之具體作為。本項目推動重點在協助學校於人才培育、產學研發及制度調整三面向強化產學連結，與產業無縫接軌。學校應就其與產業間人才培育及技術研發之自身特色定位，就所</w:t>
      </w:r>
      <w:r w:rsidR="0007194B" w:rsidRPr="00866D38">
        <w:t>選定</w:t>
      </w:r>
      <w:r w:rsidR="0007194B" w:rsidRPr="00866D38">
        <w:rPr>
          <w:rFonts w:hint="eastAsia"/>
        </w:rPr>
        <w:t>擬推動之技術創新領域，規劃發展目標，並聚焦特定產業應用技術及人才需求</w:t>
      </w:r>
      <w:r w:rsidR="005803A7" w:rsidRPr="00866D38">
        <w:rPr>
          <w:rFonts w:hAnsi="標楷體"/>
        </w:rPr>
        <w:t>……</w:t>
      </w:r>
      <w:r w:rsidR="0007194B" w:rsidRPr="00866D38">
        <w:rPr>
          <w:rFonts w:hint="eastAsia"/>
        </w:rPr>
        <w:t>。</w:t>
      </w:r>
      <w:bookmarkEnd w:id="89"/>
      <w:bookmarkEnd w:id="90"/>
      <w:r w:rsidR="00A45DDB" w:rsidRPr="00866D38">
        <w:rPr>
          <w:rFonts w:hint="eastAsia"/>
        </w:rPr>
        <w:t>及</w:t>
      </w:r>
      <w:r w:rsidR="00642C4B" w:rsidRPr="00866D38">
        <w:rPr>
          <w:rFonts w:hint="eastAsia"/>
        </w:rPr>
        <w:t>依</w:t>
      </w:r>
      <w:r w:rsidR="00D619D6" w:rsidRPr="00866D38">
        <w:rPr>
          <w:rFonts w:hint="eastAsia"/>
        </w:rPr>
        <w:t>教育部</w:t>
      </w:r>
      <w:r w:rsidR="00642C4B" w:rsidRPr="00866D38">
        <w:rPr>
          <w:rFonts w:hint="eastAsia"/>
        </w:rPr>
        <w:t>106年發布</w:t>
      </w:r>
      <w:r w:rsidR="00D619D6" w:rsidRPr="00866D38">
        <w:rPr>
          <w:rFonts w:hint="eastAsia"/>
        </w:rPr>
        <w:t>補助發展典範科大</w:t>
      </w:r>
      <w:r w:rsidR="00A45DDB" w:rsidRPr="00866D38">
        <w:rPr>
          <w:rFonts w:hint="eastAsia"/>
        </w:rPr>
        <w:t>延續計畫要點</w:t>
      </w:r>
      <w:r w:rsidR="006B1F79" w:rsidRPr="00866D38">
        <w:rPr>
          <w:rFonts w:hint="eastAsia"/>
        </w:rPr>
        <w:t>第</w:t>
      </w:r>
      <w:r w:rsidR="00A418A5" w:rsidRPr="00866D38">
        <w:rPr>
          <w:rFonts w:hint="eastAsia"/>
        </w:rPr>
        <w:t>5</w:t>
      </w:r>
      <w:r w:rsidR="006B1F79" w:rsidRPr="00866D38">
        <w:rPr>
          <w:rFonts w:hint="eastAsia"/>
        </w:rPr>
        <w:t>點</w:t>
      </w:r>
      <w:r w:rsidR="00642C4B" w:rsidRPr="00866D38">
        <w:rPr>
          <w:rFonts w:hint="eastAsia"/>
        </w:rPr>
        <w:t>規定</w:t>
      </w:r>
      <w:r w:rsidR="00005200" w:rsidRPr="00866D38">
        <w:rPr>
          <w:rFonts w:hint="eastAsia"/>
        </w:rPr>
        <w:t>該</w:t>
      </w:r>
      <w:r w:rsidR="00642C4B" w:rsidRPr="00866D38">
        <w:rPr>
          <w:rFonts w:hint="eastAsia"/>
        </w:rPr>
        <w:t>計畫書內容</w:t>
      </w:r>
      <w:r w:rsidR="0001754C" w:rsidRPr="00866D38">
        <w:rPr>
          <w:rFonts w:hint="eastAsia"/>
        </w:rPr>
        <w:t>應</w:t>
      </w:r>
      <w:r w:rsidR="008960A3" w:rsidRPr="00866D38">
        <w:rPr>
          <w:rFonts w:hint="eastAsia"/>
        </w:rPr>
        <w:t>含</w:t>
      </w:r>
      <w:r w:rsidR="00535735" w:rsidRPr="00866D38">
        <w:rPr>
          <w:rFonts w:hAnsi="標楷體" w:hint="eastAsia"/>
        </w:rPr>
        <w:t>：「發展目標：為達成長期性產學合作人才培育、專利研發布局及推廣，帶動人力及智慧財產加值為發展目標</w:t>
      </w:r>
      <w:r w:rsidR="00B70069" w:rsidRPr="00866D38">
        <w:rPr>
          <w:rFonts w:hAnsi="標楷體"/>
        </w:rPr>
        <w:t>……</w:t>
      </w:r>
      <w:r w:rsidR="00535735" w:rsidRPr="00866D38">
        <w:rPr>
          <w:rFonts w:hAnsi="標楷體" w:hint="eastAsia"/>
        </w:rPr>
        <w:t>」</w:t>
      </w:r>
      <w:r w:rsidR="00B70069" w:rsidRPr="00866D38">
        <w:rPr>
          <w:rFonts w:hAnsi="標楷體" w:hint="eastAsia"/>
        </w:rPr>
        <w:t>，及</w:t>
      </w:r>
      <w:r w:rsidR="00D812BC" w:rsidRPr="00866D38">
        <w:rPr>
          <w:rFonts w:hAnsi="標楷體" w:hint="eastAsia"/>
        </w:rPr>
        <w:t>2項子計畫</w:t>
      </w:r>
      <w:r w:rsidR="004479E1" w:rsidRPr="00866D38">
        <w:rPr>
          <w:rFonts w:hAnsi="標楷體" w:hint="eastAsia"/>
        </w:rPr>
        <w:t>內容包括</w:t>
      </w:r>
      <w:r w:rsidR="007F4359" w:rsidRPr="00866D38">
        <w:rPr>
          <w:rFonts w:hAnsi="標楷體" w:hint="eastAsia"/>
        </w:rPr>
        <w:t>「強化學校產學實務計畫」</w:t>
      </w:r>
      <w:r w:rsidR="007F4359" w:rsidRPr="00866D38">
        <w:rPr>
          <w:rFonts w:ascii="新細明體" w:eastAsia="新細明體" w:hAnsi="新細明體" w:hint="eastAsia"/>
        </w:rPr>
        <w:t>、</w:t>
      </w:r>
      <w:r w:rsidR="007F4359" w:rsidRPr="00866D38">
        <w:rPr>
          <w:rFonts w:hAnsi="標楷體" w:hint="eastAsia"/>
        </w:rPr>
        <w:t>「</w:t>
      </w:r>
      <w:r w:rsidR="009109AB" w:rsidRPr="00866D38">
        <w:rPr>
          <w:rFonts w:hAnsi="標楷體" w:hint="eastAsia"/>
        </w:rPr>
        <w:t>強化產學連結基礎建設計畫</w:t>
      </w:r>
      <w:r w:rsidR="007F4359" w:rsidRPr="00866D38">
        <w:rPr>
          <w:rFonts w:hAnsi="標楷體" w:hint="eastAsia"/>
        </w:rPr>
        <w:t>」</w:t>
      </w:r>
      <w:r w:rsidR="001835EB" w:rsidRPr="00866D38">
        <w:rPr>
          <w:rFonts w:hAnsi="標楷體" w:hint="eastAsia"/>
        </w:rPr>
        <w:t>等</w:t>
      </w:r>
      <w:r w:rsidR="00E57200" w:rsidRPr="00866D38">
        <w:rPr>
          <w:rFonts w:hAnsi="標楷體" w:hint="eastAsia"/>
        </w:rPr>
        <w:t>面向</w:t>
      </w:r>
      <w:r w:rsidR="001835EB" w:rsidRPr="00866D38">
        <w:rPr>
          <w:rFonts w:hAnsi="標楷體" w:hint="eastAsia"/>
        </w:rPr>
        <w:t>。</w:t>
      </w:r>
      <w:r w:rsidR="009361AB" w:rsidRPr="00866D38">
        <w:rPr>
          <w:rFonts w:hAnsi="標楷體" w:hint="eastAsia"/>
        </w:rPr>
        <w:t>足徵，</w:t>
      </w:r>
      <w:r w:rsidR="00F14E2F" w:rsidRPr="00866D38">
        <w:rPr>
          <w:rFonts w:hAnsi="標楷體" w:hint="eastAsia"/>
        </w:rPr>
        <w:t>教育部推動典範科大計畫之重點目標即以</w:t>
      </w:r>
      <w:r w:rsidR="00135079" w:rsidRPr="00866D38">
        <w:rPr>
          <w:rFonts w:hAnsi="標楷體" w:hint="eastAsia"/>
        </w:rPr>
        <w:t>培植部分科大建</w:t>
      </w:r>
      <w:r w:rsidR="00135079" w:rsidRPr="00866D38">
        <w:rPr>
          <w:rFonts w:hAnsi="標楷體" w:hint="eastAsia"/>
        </w:rPr>
        <w:lastRenderedPageBreak/>
        <w:t>立典範，以期能發揮科技大學務實致用之定位及其核心價值</w:t>
      </w:r>
      <w:r w:rsidR="009361AB" w:rsidRPr="00866D38">
        <w:rPr>
          <w:rFonts w:hAnsi="標楷體" w:hint="eastAsia"/>
        </w:rPr>
        <w:t>。</w:t>
      </w:r>
      <w:bookmarkEnd w:id="91"/>
      <w:bookmarkEnd w:id="92"/>
      <w:bookmarkEnd w:id="93"/>
      <w:bookmarkEnd w:id="94"/>
    </w:p>
    <w:p w:rsidR="001A3F38" w:rsidRPr="00866D38" w:rsidRDefault="00624680" w:rsidP="00F519C0">
      <w:pPr>
        <w:pStyle w:val="1"/>
        <w:numPr>
          <w:ilvl w:val="2"/>
          <w:numId w:val="16"/>
        </w:numPr>
        <w:overflowPunct/>
        <w:autoSpaceDE/>
        <w:autoSpaceDN/>
      </w:pPr>
      <w:bookmarkStart w:id="95" w:name="_Toc519839609"/>
      <w:bookmarkStart w:id="96" w:name="_Toc519844499"/>
      <w:bookmarkStart w:id="97" w:name="_Toc519864745"/>
      <w:bookmarkStart w:id="98" w:name="_Toc523220145"/>
      <w:r w:rsidRPr="00866D38">
        <w:rPr>
          <w:rFonts w:hAnsi="標楷體" w:hint="eastAsia"/>
        </w:rPr>
        <w:t>又</w:t>
      </w:r>
      <w:r w:rsidR="005032CB" w:rsidRPr="00866D38">
        <w:rPr>
          <w:rFonts w:hAnsi="標楷體" w:hint="eastAsia"/>
        </w:rPr>
        <w:t>行政院經濟建設委員會</w:t>
      </w:r>
      <w:r w:rsidR="00F41E24" w:rsidRPr="00866D38">
        <w:rPr>
          <w:rFonts w:hAnsi="標楷體" w:hint="eastAsia"/>
        </w:rPr>
        <w:t>（現國家發展委員會，下同）與教育部於97年1月即研提「強化大專校院學生實習策略」</w:t>
      </w:r>
      <w:r w:rsidR="00DD7E38" w:rsidRPr="00866D38">
        <w:rPr>
          <w:rStyle w:val="aff"/>
          <w:rFonts w:hAnsi="標楷體"/>
        </w:rPr>
        <w:footnoteReference w:id="6"/>
      </w:r>
      <w:r w:rsidR="00F41E24" w:rsidRPr="00866D38">
        <w:rPr>
          <w:rFonts w:hAnsi="標楷體" w:hint="eastAsia"/>
        </w:rPr>
        <w:t>，期能提升學生校外實習</w:t>
      </w:r>
      <w:r w:rsidR="003963FE" w:rsidRPr="00866D38">
        <w:rPr>
          <w:rStyle w:val="aff"/>
          <w:rFonts w:hAnsi="標楷體"/>
        </w:rPr>
        <w:footnoteReference w:id="7"/>
      </w:r>
      <w:r w:rsidR="00F41E24" w:rsidRPr="00866D38">
        <w:rPr>
          <w:rFonts w:hAnsi="標楷體" w:hint="eastAsia"/>
        </w:rPr>
        <w:t>比率，每年成長10%，有效縮小大專校院畢業生職能與企業用人需求的落差，促進高級人才培育與產業發展密切結合</w:t>
      </w:r>
      <w:r w:rsidR="00962970" w:rsidRPr="00866D38">
        <w:rPr>
          <w:rFonts w:hAnsi="標楷體" w:hint="eastAsia"/>
        </w:rPr>
        <w:t>。</w:t>
      </w:r>
      <w:r w:rsidR="00F41E24" w:rsidRPr="00866D38">
        <w:rPr>
          <w:rFonts w:hAnsi="標楷體" w:hint="eastAsia"/>
        </w:rPr>
        <w:t>足見</w:t>
      </w:r>
      <w:r w:rsidR="002D560A" w:rsidRPr="00866D38">
        <w:rPr>
          <w:rFonts w:hAnsi="標楷體" w:hint="eastAsia"/>
        </w:rPr>
        <w:t>，</w:t>
      </w:r>
      <w:r w:rsidR="006C7271" w:rsidRPr="00866D38">
        <w:rPr>
          <w:rFonts w:hAnsi="標楷體" w:hint="eastAsia"/>
        </w:rPr>
        <w:t>推展</w:t>
      </w:r>
      <w:r w:rsidR="00F41E24" w:rsidRPr="00866D38">
        <w:rPr>
          <w:rFonts w:hAnsi="標楷體" w:hint="eastAsia"/>
        </w:rPr>
        <w:t>大專校院校外實習制度</w:t>
      </w:r>
      <w:r w:rsidR="00BC40DF" w:rsidRPr="00866D38">
        <w:rPr>
          <w:rFonts w:hAnsi="標楷體" w:hint="eastAsia"/>
        </w:rPr>
        <w:t>係</w:t>
      </w:r>
      <w:r w:rsidR="00F41E24" w:rsidRPr="00866D38">
        <w:rPr>
          <w:rFonts w:hAnsi="標楷體" w:hint="eastAsia"/>
        </w:rPr>
        <w:t>基於過去</w:t>
      </w:r>
      <w:r w:rsidR="00CF5269" w:rsidRPr="00866D38">
        <w:rPr>
          <w:rFonts w:hAnsi="標楷體" w:hint="eastAsia"/>
        </w:rPr>
        <w:t>辦理</w:t>
      </w:r>
      <w:r w:rsidR="00F41E24" w:rsidRPr="00866D38">
        <w:rPr>
          <w:rFonts w:hAnsi="標楷體" w:hint="eastAsia"/>
        </w:rPr>
        <w:t>基礎</w:t>
      </w:r>
      <w:r w:rsidR="00CA3D7C" w:rsidRPr="00866D38">
        <w:rPr>
          <w:rFonts w:hAnsi="標楷體" w:hint="eastAsia"/>
        </w:rPr>
        <w:t>，且技職再造二期計畫亦有類似</w:t>
      </w:r>
      <w:r w:rsidR="00BC40DF" w:rsidRPr="00866D38">
        <w:rPr>
          <w:rFonts w:hAnsi="標楷體" w:hint="eastAsia"/>
        </w:rPr>
        <w:t>規劃</w:t>
      </w:r>
      <w:r w:rsidR="00F41E24" w:rsidRPr="00866D38">
        <w:rPr>
          <w:rFonts w:hAnsi="標楷體" w:hint="eastAsia"/>
        </w:rPr>
        <w:t>，尚非本計畫</w:t>
      </w:r>
      <w:r w:rsidR="0038618D" w:rsidRPr="00866D38">
        <w:rPr>
          <w:rFonts w:hAnsi="標楷體" w:hint="eastAsia"/>
        </w:rPr>
        <w:t>才開</w:t>
      </w:r>
      <w:r w:rsidR="00712A75" w:rsidRPr="00866D38">
        <w:rPr>
          <w:rFonts w:hAnsi="標楷體" w:hint="eastAsia"/>
        </w:rPr>
        <w:t>始推動之</w:t>
      </w:r>
      <w:r w:rsidR="00F41E24" w:rsidRPr="00866D38">
        <w:rPr>
          <w:rFonts w:hAnsi="標楷體" w:hint="eastAsia"/>
        </w:rPr>
        <w:t>獨有項目。</w:t>
      </w:r>
      <w:r w:rsidR="00712A75" w:rsidRPr="00866D38">
        <w:rPr>
          <w:rFonts w:hAnsi="標楷體" w:hint="eastAsia"/>
        </w:rPr>
        <w:t>然</w:t>
      </w:r>
      <w:r w:rsidR="00751CF5" w:rsidRPr="00866D38">
        <w:rPr>
          <w:rFonts w:hAnsi="標楷體" w:hint="eastAsia"/>
        </w:rPr>
        <w:t>而，據</w:t>
      </w:r>
      <w:r w:rsidR="00665FCB" w:rsidRPr="00866D38">
        <w:rPr>
          <w:rFonts w:hAnsi="標楷體" w:hint="eastAsia"/>
        </w:rPr>
        <w:t>典範科大</w:t>
      </w:r>
      <w:r w:rsidR="003D76F5" w:rsidRPr="00866D38">
        <w:rPr>
          <w:rFonts w:hAnsi="標楷體" w:hint="eastAsia"/>
        </w:rPr>
        <w:t>計畫量化績效指標顯示，</w:t>
      </w:r>
      <w:r w:rsidR="00A605FC" w:rsidRPr="00866D38">
        <w:rPr>
          <w:rFonts w:hAnsi="標楷體" w:hint="eastAsia"/>
        </w:rPr>
        <w:t>教育部</w:t>
      </w:r>
      <w:r w:rsidR="009776C9" w:rsidRPr="00866D38">
        <w:rPr>
          <w:rFonts w:hint="eastAsia"/>
        </w:rPr>
        <w:t>於102</w:t>
      </w:r>
      <w:r w:rsidR="00B90E24">
        <w:rPr>
          <w:rFonts w:hint="eastAsia"/>
        </w:rPr>
        <w:t>年開始將「應屆畢業生畢業前修習校外實習課程者比率</w:t>
      </w:r>
      <w:r w:rsidR="009776C9" w:rsidRPr="00866D38">
        <w:rPr>
          <w:rFonts w:hint="eastAsia"/>
        </w:rPr>
        <w:t>4年成長20%」列為共同指標之一</w:t>
      </w:r>
      <w:r w:rsidR="009776C9" w:rsidRPr="00866D38">
        <w:rPr>
          <w:rFonts w:hAnsi="標楷體" w:hint="eastAsia"/>
        </w:rPr>
        <w:t>，</w:t>
      </w:r>
      <w:r w:rsidR="008911E8" w:rsidRPr="00866D38">
        <w:rPr>
          <w:rFonts w:hAnsi="標楷體" w:hint="eastAsia"/>
        </w:rPr>
        <w:t>執行典範科大</w:t>
      </w:r>
      <w:r w:rsidR="00A27073" w:rsidRPr="00866D38">
        <w:rPr>
          <w:rFonts w:hAnsi="標楷體" w:hint="eastAsia"/>
        </w:rPr>
        <w:t>計畫成效顯示應屆畢業生校外實習</w:t>
      </w:r>
      <w:r w:rsidR="00B90E24">
        <w:rPr>
          <w:rFonts w:hAnsi="標楷體" w:hint="eastAsia"/>
        </w:rPr>
        <w:t>比率</w:t>
      </w:r>
      <w:r w:rsidR="00451844" w:rsidRPr="00866D38">
        <w:rPr>
          <w:rFonts w:hint="eastAsia"/>
        </w:rPr>
        <w:t>4年成長</w:t>
      </w:r>
      <w:r w:rsidR="00C872B6" w:rsidRPr="00866D38">
        <w:rPr>
          <w:rFonts w:hint="eastAsia"/>
        </w:rPr>
        <w:t>40.63%</w:t>
      </w:r>
      <w:r w:rsidR="005D540E" w:rsidRPr="00866D38">
        <w:rPr>
          <w:rFonts w:hAnsi="標楷體" w:hint="eastAsia"/>
        </w:rPr>
        <w:t>，至105年度達成值為+110.44%</w:t>
      </w:r>
      <w:r w:rsidR="008911E8" w:rsidRPr="00866D38">
        <w:rPr>
          <w:rFonts w:hAnsi="標楷體" w:hint="eastAsia"/>
        </w:rPr>
        <w:t>，</w:t>
      </w:r>
      <w:r w:rsidR="00DD4CC9" w:rsidRPr="00866D38">
        <w:rPr>
          <w:rFonts w:hAnsi="標楷體" w:hint="eastAsia"/>
        </w:rPr>
        <w:t>成長</w:t>
      </w:r>
      <w:r w:rsidR="007F5E2A" w:rsidRPr="00866D38">
        <w:rPr>
          <w:rFonts w:hAnsi="標楷體" w:hint="eastAsia"/>
        </w:rPr>
        <w:t>幅度</w:t>
      </w:r>
      <w:r w:rsidR="00DD4CC9" w:rsidRPr="00866D38">
        <w:rPr>
          <w:rFonts w:hAnsi="標楷體" w:hint="eastAsia"/>
        </w:rPr>
        <w:t>大致</w:t>
      </w:r>
      <w:r w:rsidR="007F5E2A" w:rsidRPr="00866D38">
        <w:rPr>
          <w:rFonts w:hAnsi="標楷體" w:hint="eastAsia"/>
        </w:rPr>
        <w:t>頗高</w:t>
      </w:r>
      <w:r w:rsidR="008911E8" w:rsidRPr="00866D38">
        <w:rPr>
          <w:rFonts w:hAnsi="標楷體" w:hint="eastAsia"/>
        </w:rPr>
        <w:t>。</w:t>
      </w:r>
      <w:r w:rsidR="00BC40DF" w:rsidRPr="00866D38">
        <w:rPr>
          <w:rFonts w:hAnsi="標楷體" w:hint="eastAsia"/>
        </w:rPr>
        <w:t>惟進一步分析</w:t>
      </w:r>
      <w:r w:rsidR="00385DA7" w:rsidRPr="00866D38">
        <w:rPr>
          <w:rFonts w:hAnsi="標楷體" w:hint="eastAsia"/>
        </w:rPr>
        <w:t>教育部函復</w:t>
      </w:r>
      <w:r w:rsidR="00AB7538" w:rsidRPr="00866D38">
        <w:rPr>
          <w:rFonts w:hAnsi="標楷體" w:hint="eastAsia"/>
        </w:rPr>
        <w:t>數據</w:t>
      </w:r>
      <w:r w:rsidR="00385DA7" w:rsidRPr="00866D38">
        <w:rPr>
          <w:rFonts w:hAnsi="標楷體" w:hint="eastAsia"/>
        </w:rPr>
        <w:t>資料顯示</w:t>
      </w:r>
      <w:r w:rsidR="00941E92" w:rsidRPr="00866D38">
        <w:rPr>
          <w:rFonts w:hAnsi="標楷體" w:hint="eastAsia"/>
        </w:rPr>
        <w:t>，</w:t>
      </w:r>
      <w:r w:rsidR="00B72E3C" w:rsidRPr="00866D38">
        <w:rPr>
          <w:rFonts w:hAnsi="標楷體" w:hint="eastAsia"/>
        </w:rPr>
        <w:t>曾</w:t>
      </w:r>
      <w:r w:rsidR="008364DD" w:rsidRPr="00866D38">
        <w:rPr>
          <w:rFonts w:hAnsi="標楷體" w:hint="eastAsia"/>
        </w:rPr>
        <w:t>參與</w:t>
      </w:r>
      <w:r w:rsidR="00231E1E" w:rsidRPr="00866D38">
        <w:rPr>
          <w:rFonts w:hAnsi="標楷體" w:hint="eastAsia"/>
        </w:rPr>
        <w:t>本計畫之1</w:t>
      </w:r>
      <w:r w:rsidR="00B72E3C" w:rsidRPr="00866D38">
        <w:rPr>
          <w:rFonts w:hAnsi="標楷體" w:hint="eastAsia"/>
        </w:rPr>
        <w:t>6</w:t>
      </w:r>
      <w:r w:rsidR="00231E1E" w:rsidRPr="00866D38">
        <w:rPr>
          <w:rFonts w:hAnsi="標楷體" w:hint="eastAsia"/>
        </w:rPr>
        <w:t>所學校</w:t>
      </w:r>
      <w:r w:rsidR="00F44B60" w:rsidRPr="00866D38">
        <w:rPr>
          <w:rFonts w:hAnsi="標楷體" w:hint="eastAsia"/>
        </w:rPr>
        <w:t>，</w:t>
      </w:r>
      <w:r w:rsidR="00943CB2" w:rsidRPr="00866D38">
        <w:rPr>
          <w:rFonts w:hAnsi="標楷體" w:hint="eastAsia"/>
        </w:rPr>
        <w:t>105年度該項指標達成值分別為</w:t>
      </w:r>
      <w:r w:rsidR="00943CB2" w:rsidRPr="00866D38">
        <w:rPr>
          <w:rFonts w:hAnsi="標楷體"/>
        </w:rPr>
        <w:t>90.82%</w:t>
      </w:r>
      <w:r w:rsidR="00943CB2" w:rsidRPr="00866D38">
        <w:rPr>
          <w:rFonts w:hAnsi="標楷體" w:hint="eastAsia"/>
        </w:rPr>
        <w:t>、</w:t>
      </w:r>
      <w:r w:rsidR="00A404DB" w:rsidRPr="00866D38">
        <w:rPr>
          <w:rFonts w:hAnsi="標楷體"/>
        </w:rPr>
        <w:t>36.73%</w:t>
      </w:r>
      <w:r w:rsidR="00BC6D4B" w:rsidRPr="00866D38">
        <w:rPr>
          <w:rFonts w:hAnsi="標楷體" w:hint="eastAsia"/>
        </w:rPr>
        <w:t>、</w:t>
      </w:r>
      <w:r w:rsidR="00BC6D4B" w:rsidRPr="00866D38">
        <w:rPr>
          <w:rFonts w:hAnsi="標楷體"/>
        </w:rPr>
        <w:t>69.35%</w:t>
      </w:r>
      <w:r w:rsidR="00BC6D4B" w:rsidRPr="00866D38">
        <w:rPr>
          <w:rFonts w:hAnsi="標楷體" w:hint="eastAsia"/>
        </w:rPr>
        <w:t>、</w:t>
      </w:r>
      <w:r w:rsidR="004217D2" w:rsidRPr="00866D38">
        <w:rPr>
          <w:rFonts w:hAnsi="標楷體"/>
        </w:rPr>
        <w:t>69.09%</w:t>
      </w:r>
      <w:r w:rsidR="00BC6D4B" w:rsidRPr="00866D38">
        <w:rPr>
          <w:rFonts w:hAnsi="標楷體" w:hint="eastAsia"/>
        </w:rPr>
        <w:t>、</w:t>
      </w:r>
      <w:r w:rsidR="004217D2" w:rsidRPr="00866D38">
        <w:rPr>
          <w:rFonts w:hAnsi="標楷體"/>
        </w:rPr>
        <w:t>100%</w:t>
      </w:r>
      <w:r w:rsidR="004217D2" w:rsidRPr="00866D38">
        <w:rPr>
          <w:rFonts w:hAnsi="標楷體" w:hint="eastAsia"/>
        </w:rPr>
        <w:t>、</w:t>
      </w:r>
      <w:r w:rsidR="004217D2" w:rsidRPr="00866D38">
        <w:rPr>
          <w:rFonts w:hAnsi="標楷體"/>
        </w:rPr>
        <w:t>86.27%</w:t>
      </w:r>
      <w:r w:rsidR="00BC6D4B" w:rsidRPr="00866D38">
        <w:rPr>
          <w:rFonts w:hAnsi="標楷體" w:hint="eastAsia"/>
        </w:rPr>
        <w:t>、</w:t>
      </w:r>
      <w:r w:rsidR="002C5492" w:rsidRPr="00866D38">
        <w:rPr>
          <w:rFonts w:hAnsi="標楷體"/>
        </w:rPr>
        <w:t>85.84%</w:t>
      </w:r>
      <w:r w:rsidR="004217D2" w:rsidRPr="00866D38">
        <w:rPr>
          <w:rFonts w:hAnsi="標楷體" w:hint="eastAsia"/>
        </w:rPr>
        <w:t>、</w:t>
      </w:r>
      <w:r w:rsidR="002C5492" w:rsidRPr="00866D38">
        <w:rPr>
          <w:rFonts w:hAnsi="標楷體"/>
        </w:rPr>
        <w:t>100%</w:t>
      </w:r>
      <w:r w:rsidR="004217D2" w:rsidRPr="00866D38">
        <w:rPr>
          <w:rFonts w:hAnsi="標楷體" w:hint="eastAsia"/>
        </w:rPr>
        <w:t>、</w:t>
      </w:r>
      <w:r w:rsidR="002C5492" w:rsidRPr="00866D38">
        <w:rPr>
          <w:rFonts w:hAnsi="標楷體"/>
        </w:rPr>
        <w:t>97.04%</w:t>
      </w:r>
      <w:r w:rsidR="002C5492" w:rsidRPr="00866D38">
        <w:rPr>
          <w:rFonts w:hAnsi="標楷體" w:hint="eastAsia"/>
        </w:rPr>
        <w:t>、</w:t>
      </w:r>
      <w:r w:rsidR="009D69CB" w:rsidRPr="00866D38">
        <w:rPr>
          <w:rFonts w:hAnsi="標楷體"/>
        </w:rPr>
        <w:t>89.21%</w:t>
      </w:r>
      <w:r w:rsidR="002C5492" w:rsidRPr="00866D38">
        <w:rPr>
          <w:rFonts w:hAnsi="標楷體" w:hint="eastAsia"/>
        </w:rPr>
        <w:t>、</w:t>
      </w:r>
      <w:r w:rsidR="00B303D2" w:rsidRPr="00866D38">
        <w:rPr>
          <w:rFonts w:hAnsi="標楷體"/>
        </w:rPr>
        <w:t>43.32%</w:t>
      </w:r>
      <w:r w:rsidR="002C5492" w:rsidRPr="00866D38">
        <w:rPr>
          <w:rFonts w:hAnsi="標楷體" w:hint="eastAsia"/>
        </w:rPr>
        <w:t>、</w:t>
      </w:r>
      <w:r w:rsidR="00B303D2" w:rsidRPr="00866D38">
        <w:rPr>
          <w:rFonts w:hAnsi="標楷體"/>
        </w:rPr>
        <w:t>41.21%</w:t>
      </w:r>
      <w:r w:rsidR="002C5492" w:rsidRPr="00866D38">
        <w:rPr>
          <w:rFonts w:hAnsi="標楷體" w:hint="eastAsia"/>
        </w:rPr>
        <w:t>、</w:t>
      </w:r>
      <w:r w:rsidR="006F499B" w:rsidRPr="00866D38">
        <w:rPr>
          <w:rFonts w:hAnsi="標楷體"/>
        </w:rPr>
        <w:t>39.28%</w:t>
      </w:r>
      <w:r w:rsidR="00886211" w:rsidRPr="00866D38">
        <w:rPr>
          <w:rFonts w:hAnsi="標楷體" w:hint="eastAsia"/>
        </w:rPr>
        <w:t>、</w:t>
      </w:r>
      <w:r w:rsidR="00886211" w:rsidRPr="00866D38">
        <w:rPr>
          <w:rFonts w:hAnsi="標楷體"/>
        </w:rPr>
        <w:t>96.73%</w:t>
      </w:r>
      <w:r w:rsidR="009A5E1B" w:rsidRPr="00866D38">
        <w:rPr>
          <w:rFonts w:hAnsi="標楷體" w:hint="eastAsia"/>
        </w:rPr>
        <w:t>、</w:t>
      </w:r>
      <w:r w:rsidR="009A5E1B" w:rsidRPr="00866D38">
        <w:rPr>
          <w:rFonts w:hAnsi="標楷體"/>
        </w:rPr>
        <w:t>97.68%</w:t>
      </w:r>
      <w:r w:rsidR="00961A8C" w:rsidRPr="00866D38">
        <w:rPr>
          <w:rFonts w:hAnsi="標楷體" w:hint="eastAsia"/>
        </w:rPr>
        <w:t>及</w:t>
      </w:r>
      <w:r w:rsidR="00961A8C" w:rsidRPr="00866D38">
        <w:rPr>
          <w:rFonts w:hAnsi="標楷體"/>
        </w:rPr>
        <w:t>96.21%</w:t>
      </w:r>
      <w:r w:rsidR="00507A5C" w:rsidRPr="00866D38">
        <w:rPr>
          <w:rFonts w:hAnsi="標楷體" w:hint="eastAsia"/>
        </w:rPr>
        <w:t>，顯見</w:t>
      </w:r>
      <w:r w:rsidR="00D13CD2" w:rsidRPr="00866D38">
        <w:rPr>
          <w:rFonts w:hAnsi="標楷體" w:hint="eastAsia"/>
        </w:rPr>
        <w:t>本計畫</w:t>
      </w:r>
      <w:r w:rsidR="00C43E1D" w:rsidRPr="00866D38">
        <w:rPr>
          <w:rFonts w:hAnsi="標楷體" w:hint="eastAsia"/>
        </w:rPr>
        <w:t>各校之</w:t>
      </w:r>
      <w:r w:rsidR="00507A5C" w:rsidRPr="00866D38">
        <w:rPr>
          <w:rFonts w:hAnsi="標楷體" w:hint="eastAsia"/>
        </w:rPr>
        <w:t>執行</w:t>
      </w:r>
      <w:r w:rsidR="00695E27" w:rsidRPr="00866D38">
        <w:rPr>
          <w:rFonts w:hAnsi="標楷體" w:hint="eastAsia"/>
        </w:rPr>
        <w:t>成果</w:t>
      </w:r>
      <w:r w:rsidR="00507A5C" w:rsidRPr="00866D38">
        <w:rPr>
          <w:rFonts w:hAnsi="標楷體" w:hint="eastAsia"/>
        </w:rPr>
        <w:t>仍有大幅度落差</w:t>
      </w:r>
      <w:r w:rsidR="00601B64" w:rsidRPr="00866D38">
        <w:rPr>
          <w:rFonts w:hAnsi="標楷體" w:hint="eastAsia"/>
        </w:rPr>
        <w:t>。</w:t>
      </w:r>
      <w:bookmarkEnd w:id="95"/>
      <w:bookmarkEnd w:id="96"/>
      <w:bookmarkEnd w:id="97"/>
      <w:bookmarkEnd w:id="98"/>
    </w:p>
    <w:p w:rsidR="00971C5E" w:rsidRPr="00866D38" w:rsidRDefault="00231E1E" w:rsidP="00F519C0">
      <w:pPr>
        <w:pStyle w:val="1"/>
        <w:numPr>
          <w:ilvl w:val="2"/>
          <w:numId w:val="16"/>
        </w:numPr>
        <w:overflowPunct/>
        <w:autoSpaceDE/>
        <w:autoSpaceDN/>
      </w:pPr>
      <w:bookmarkStart w:id="99" w:name="_Toc519839610"/>
      <w:bookmarkStart w:id="100" w:name="_Toc519844500"/>
      <w:bookmarkStart w:id="101" w:name="_Toc519864746"/>
      <w:bookmarkStart w:id="102" w:name="_Toc523220146"/>
      <w:r w:rsidRPr="00866D38">
        <w:rPr>
          <w:rFonts w:hAnsi="標楷體" w:hint="eastAsia"/>
        </w:rPr>
        <w:t>此外，</w:t>
      </w:r>
      <w:r w:rsidR="007E7593" w:rsidRPr="00866D38">
        <w:rPr>
          <w:rFonts w:hAnsi="標楷體" w:hint="eastAsia"/>
        </w:rPr>
        <w:t>教育部</w:t>
      </w:r>
      <w:r w:rsidR="007E7593" w:rsidRPr="00866D38">
        <w:rPr>
          <w:rFonts w:hint="eastAsia"/>
        </w:rPr>
        <w:t>106年高等教育競爭性經費延續計畫</w:t>
      </w:r>
      <w:r w:rsidR="007E7593" w:rsidRPr="00866D38">
        <w:rPr>
          <w:rStyle w:val="aff"/>
        </w:rPr>
        <w:footnoteReference w:id="8"/>
      </w:r>
      <w:r w:rsidR="007E7593" w:rsidRPr="00866D38">
        <w:rPr>
          <w:rFonts w:hint="eastAsia"/>
        </w:rPr>
        <w:lastRenderedPageBreak/>
        <w:t>關於原計畫之</w:t>
      </w:r>
      <w:r w:rsidR="007E7593" w:rsidRPr="00866D38">
        <w:rPr>
          <w:rFonts w:hAnsi="標楷體" w:hint="eastAsia"/>
        </w:rPr>
        <w:t>「執行情形及檢討」部分</w:t>
      </w:r>
      <w:r w:rsidR="008702C2" w:rsidRPr="00866D38">
        <w:rPr>
          <w:rFonts w:hAnsi="標楷體" w:hint="eastAsia"/>
        </w:rPr>
        <w:t>亦</w:t>
      </w:r>
      <w:r w:rsidR="007E7593" w:rsidRPr="00866D38">
        <w:rPr>
          <w:rFonts w:hint="eastAsia"/>
        </w:rPr>
        <w:t>載明：</w:t>
      </w:r>
      <w:r w:rsidR="007E7593" w:rsidRPr="00866D38">
        <w:rPr>
          <w:rFonts w:hAnsi="標楷體" w:hint="eastAsia"/>
        </w:rPr>
        <w:t>「</w:t>
      </w:r>
      <w:r w:rsidR="005866E2" w:rsidRPr="00866D38">
        <w:rPr>
          <w:rFonts w:hAnsi="標楷體" w:hint="eastAsia"/>
        </w:rPr>
        <w:t>（二）校外實習有待深化，且應建立實習制度及確保其效果：學校為拓展更多實習機會，在與產業建立合作關係初期，較難要求廠商配合於學生實習期間需投入之資源，應再就實習制度之建立及效果予以確認及深化，以確保實習品質及學生學習權益</w:t>
      </w:r>
      <w:r w:rsidR="005866E2" w:rsidRPr="00866D38">
        <w:rPr>
          <w:rFonts w:hAnsi="標楷體"/>
          <w:bCs w:val="0"/>
        </w:rPr>
        <w:t>……</w:t>
      </w:r>
      <w:r w:rsidR="005866E2" w:rsidRPr="00866D38">
        <w:rPr>
          <w:rFonts w:hAnsi="標楷體" w:hint="eastAsia"/>
        </w:rPr>
        <w:t>」可稽</w:t>
      </w:r>
      <w:r w:rsidR="00DC73AF" w:rsidRPr="00866D38">
        <w:rPr>
          <w:rFonts w:hAnsi="標楷體" w:hint="eastAsia"/>
        </w:rPr>
        <w:t>。</w:t>
      </w:r>
      <w:r w:rsidR="0057590E" w:rsidRPr="00866D38">
        <w:rPr>
          <w:rFonts w:hAnsi="標楷體" w:hint="eastAsia"/>
        </w:rPr>
        <w:t>又</w:t>
      </w:r>
      <w:r w:rsidR="00866594" w:rsidRPr="00866D38">
        <w:rPr>
          <w:rFonts w:hAnsi="標楷體" w:hint="eastAsia"/>
        </w:rPr>
        <w:t>教育部</w:t>
      </w:r>
      <w:r w:rsidR="00D369E3" w:rsidRPr="00866D38">
        <w:rPr>
          <w:rFonts w:hAnsi="標楷體" w:hint="eastAsia"/>
        </w:rPr>
        <w:t>雖</w:t>
      </w:r>
      <w:r w:rsidR="0057590E" w:rsidRPr="00866D38">
        <w:rPr>
          <w:rFonts w:hAnsi="標楷體" w:hint="eastAsia"/>
        </w:rPr>
        <w:t>稱非將校外實習開設為必修課程列為共同指標，惟就人才培育部分，特別針對就業力之實習項目，依</w:t>
      </w:r>
      <w:r w:rsidR="00866594" w:rsidRPr="00866D38">
        <w:rPr>
          <w:rFonts w:hAnsi="標楷體" w:hint="eastAsia"/>
        </w:rPr>
        <w:t>該</w:t>
      </w:r>
      <w:r w:rsidR="00D83D5C" w:rsidRPr="00866D38">
        <w:rPr>
          <w:rFonts w:hAnsi="標楷體" w:hint="eastAsia"/>
        </w:rPr>
        <w:t>部</w:t>
      </w:r>
      <w:r w:rsidR="0057590E" w:rsidRPr="00866D38">
        <w:rPr>
          <w:rFonts w:hAnsi="標楷體" w:hint="eastAsia"/>
        </w:rPr>
        <w:t>典範科大計畫之內容載明，「包括提升學生就業力之具體作為，含將學生實習納入必修學分</w:t>
      </w:r>
      <w:r w:rsidR="0057590E" w:rsidRPr="00866D38">
        <w:rPr>
          <w:rFonts w:ascii="新細明體" w:eastAsia="新細明體" w:hAnsi="新細明體" w:hint="eastAsia"/>
        </w:rPr>
        <w:t>、</w:t>
      </w:r>
      <w:r w:rsidR="0057590E" w:rsidRPr="00866D38">
        <w:rPr>
          <w:rFonts w:hAnsi="標楷體" w:hint="eastAsia"/>
        </w:rPr>
        <w:t>系科課程調整</w:t>
      </w:r>
      <w:r w:rsidR="0057590E" w:rsidRPr="00866D38">
        <w:rPr>
          <w:rFonts w:ascii="新細明體" w:eastAsia="新細明體" w:hAnsi="新細明體" w:hint="eastAsia"/>
        </w:rPr>
        <w:t>、</w:t>
      </w:r>
      <w:r w:rsidR="0057590E" w:rsidRPr="00866D38">
        <w:rPr>
          <w:rFonts w:hAnsi="標楷體" w:hint="eastAsia"/>
        </w:rPr>
        <w:t>成立產業學院</w:t>
      </w:r>
      <w:r w:rsidR="0057590E" w:rsidRPr="00866D38">
        <w:rPr>
          <w:rFonts w:ascii="新細明體" w:eastAsia="新細明體" w:hAnsi="新細明體" w:hint="eastAsia"/>
        </w:rPr>
        <w:t>、</w:t>
      </w:r>
      <w:r w:rsidR="00782F83" w:rsidRPr="00866D38">
        <w:rPr>
          <w:rFonts w:hAnsi="標楷體" w:hint="eastAsia"/>
        </w:rPr>
        <w:t>開設產業學程</w:t>
      </w:r>
      <w:r w:rsidR="0057590E" w:rsidRPr="00866D38">
        <w:rPr>
          <w:rFonts w:ascii="新細明體" w:eastAsia="新細明體" w:hAnsi="新細明體"/>
        </w:rPr>
        <w:t>……</w:t>
      </w:r>
      <w:r w:rsidR="0057590E" w:rsidRPr="00866D38">
        <w:rPr>
          <w:rFonts w:hAnsi="標楷體" w:hint="eastAsia"/>
        </w:rPr>
        <w:t>」等項。</w:t>
      </w:r>
      <w:r w:rsidR="001935DE" w:rsidRPr="00866D38">
        <w:rPr>
          <w:rFonts w:hAnsi="標楷體" w:hint="eastAsia"/>
        </w:rPr>
        <w:t>是以，</w:t>
      </w:r>
      <w:r w:rsidR="00E0771A" w:rsidRPr="00866D38">
        <w:rPr>
          <w:rFonts w:hAnsi="標楷體" w:hint="eastAsia"/>
        </w:rPr>
        <w:t>教育部督導學校執行典範</w:t>
      </w:r>
      <w:r w:rsidR="00962970" w:rsidRPr="00866D38">
        <w:rPr>
          <w:rFonts w:hAnsi="標楷體" w:hint="eastAsia"/>
        </w:rPr>
        <w:t>科大</w:t>
      </w:r>
      <w:r w:rsidR="00835A3F" w:rsidRPr="00866D38">
        <w:rPr>
          <w:rFonts w:hAnsi="標楷體" w:hint="eastAsia"/>
        </w:rPr>
        <w:t>計畫校外實習之績效指標雖</w:t>
      </w:r>
      <w:r w:rsidR="0038618D" w:rsidRPr="00866D38">
        <w:rPr>
          <w:rFonts w:hAnsi="標楷體" w:hint="eastAsia"/>
        </w:rPr>
        <w:t>已達</w:t>
      </w:r>
      <w:r w:rsidR="00CB1217" w:rsidRPr="00866D38">
        <w:rPr>
          <w:rFonts w:hAnsi="標楷體" w:hint="eastAsia"/>
        </w:rPr>
        <w:t>預期目標</w:t>
      </w:r>
      <w:r w:rsidR="00835A3F" w:rsidRPr="00866D38">
        <w:rPr>
          <w:rFonts w:hAnsi="標楷體" w:hint="eastAsia"/>
        </w:rPr>
        <w:t>，惟實質</w:t>
      </w:r>
      <w:r w:rsidR="00A1308C" w:rsidRPr="00866D38">
        <w:rPr>
          <w:rFonts w:hAnsi="標楷體" w:hint="eastAsia"/>
        </w:rPr>
        <w:t>推動</w:t>
      </w:r>
      <w:r w:rsidR="00835A3F" w:rsidRPr="00866D38">
        <w:rPr>
          <w:rFonts w:hAnsi="標楷體" w:hint="eastAsia"/>
        </w:rPr>
        <w:t>內容</w:t>
      </w:r>
      <w:r w:rsidR="00B70454" w:rsidRPr="00866D38">
        <w:rPr>
          <w:rFonts w:hAnsi="標楷體" w:hint="eastAsia"/>
        </w:rPr>
        <w:t>尚</w:t>
      </w:r>
      <w:r w:rsidR="00835A3F" w:rsidRPr="00866D38">
        <w:rPr>
          <w:rFonts w:hAnsi="標楷體" w:hint="eastAsia"/>
        </w:rPr>
        <w:t>待深化及優化</w:t>
      </w:r>
      <w:r w:rsidR="005866E2" w:rsidRPr="00866D38">
        <w:rPr>
          <w:rFonts w:hAnsi="標楷體" w:hint="eastAsia"/>
        </w:rPr>
        <w:t>。</w:t>
      </w:r>
      <w:bookmarkEnd w:id="99"/>
      <w:bookmarkEnd w:id="100"/>
      <w:bookmarkEnd w:id="101"/>
      <w:bookmarkEnd w:id="102"/>
    </w:p>
    <w:p w:rsidR="00144BD5" w:rsidRPr="00866D38" w:rsidRDefault="00A50F05" w:rsidP="00F519C0">
      <w:pPr>
        <w:pStyle w:val="1"/>
        <w:numPr>
          <w:ilvl w:val="2"/>
          <w:numId w:val="16"/>
        </w:numPr>
        <w:overflowPunct/>
        <w:autoSpaceDE/>
        <w:autoSpaceDN/>
      </w:pPr>
      <w:bookmarkStart w:id="103" w:name="_Toc519839611"/>
      <w:bookmarkStart w:id="104" w:name="_Toc519844501"/>
      <w:bookmarkStart w:id="105" w:name="_Toc519864747"/>
      <w:bookmarkStart w:id="106" w:name="_Toc523220147"/>
      <w:r w:rsidRPr="00866D38">
        <w:rPr>
          <w:rFonts w:hint="eastAsia"/>
          <w:bCs w:val="0"/>
        </w:rPr>
        <w:t>另查，</w:t>
      </w:r>
      <w:r w:rsidR="00BD5CEC" w:rsidRPr="00866D38">
        <w:rPr>
          <w:rFonts w:hint="eastAsia"/>
          <w:bCs w:val="0"/>
        </w:rPr>
        <w:t>教育部督導各校執行</w:t>
      </w:r>
      <w:r w:rsidR="0085681E" w:rsidRPr="00866D38">
        <w:rPr>
          <w:rFonts w:hint="eastAsia"/>
          <w:bCs w:val="0"/>
        </w:rPr>
        <w:t>典範</w:t>
      </w:r>
      <w:r w:rsidR="00962970" w:rsidRPr="00866D38">
        <w:rPr>
          <w:rFonts w:hint="eastAsia"/>
          <w:bCs w:val="0"/>
        </w:rPr>
        <w:t>科大</w:t>
      </w:r>
      <w:r w:rsidR="00A61987" w:rsidRPr="00866D38">
        <w:rPr>
          <w:rFonts w:hint="eastAsia"/>
          <w:bCs w:val="0"/>
        </w:rPr>
        <w:t>計畫</w:t>
      </w:r>
      <w:r w:rsidR="00617C47" w:rsidRPr="00866D38">
        <w:rPr>
          <w:rFonts w:hint="eastAsia"/>
          <w:bCs w:val="0"/>
        </w:rPr>
        <w:t>中</w:t>
      </w:r>
      <w:r w:rsidR="00FD47ED" w:rsidRPr="00866D38">
        <w:rPr>
          <w:rFonts w:hAnsi="標楷體" w:hint="eastAsia"/>
          <w:bCs w:val="0"/>
        </w:rPr>
        <w:t>「</w:t>
      </w:r>
      <w:r w:rsidR="00797087" w:rsidRPr="00866D38">
        <w:rPr>
          <w:rFonts w:hAnsi="標楷體" w:hint="eastAsia"/>
          <w:bCs w:val="0"/>
        </w:rPr>
        <w:t>在學學生取得計畫相關職業證照人數</w:t>
      </w:r>
      <w:r w:rsidR="00B90E24">
        <w:rPr>
          <w:rFonts w:hAnsi="標楷體" w:hint="eastAsia"/>
          <w:bCs w:val="0"/>
        </w:rPr>
        <w:t>比率</w:t>
      </w:r>
      <w:r w:rsidR="00FD47ED" w:rsidRPr="00866D38">
        <w:rPr>
          <w:rFonts w:hAnsi="標楷體" w:hint="eastAsia"/>
          <w:bCs w:val="0"/>
        </w:rPr>
        <w:t>」</w:t>
      </w:r>
      <w:r w:rsidR="00C77EE6" w:rsidRPr="00866D38">
        <w:rPr>
          <w:rFonts w:hint="eastAsia"/>
          <w:bCs w:val="0"/>
        </w:rPr>
        <w:t>之</w:t>
      </w:r>
      <w:r w:rsidR="00DB54FE" w:rsidRPr="00866D38">
        <w:rPr>
          <w:rFonts w:hAnsi="標楷體" w:hint="eastAsia"/>
          <w:bCs w:val="0"/>
        </w:rPr>
        <w:t>歷年</w:t>
      </w:r>
      <w:r w:rsidR="00010389" w:rsidRPr="00866D38">
        <w:rPr>
          <w:rFonts w:hAnsi="標楷體" w:hint="eastAsia"/>
          <w:bCs w:val="0"/>
        </w:rPr>
        <w:t>績效</w:t>
      </w:r>
      <w:r w:rsidR="00732EC8" w:rsidRPr="00866D38">
        <w:rPr>
          <w:rFonts w:hAnsi="標楷體" w:hint="eastAsia"/>
          <w:bCs w:val="0"/>
        </w:rPr>
        <w:t>數據</w:t>
      </w:r>
      <w:r w:rsidR="00376C70" w:rsidRPr="00866D38">
        <w:rPr>
          <w:rFonts w:hint="eastAsia"/>
          <w:bCs w:val="0"/>
        </w:rPr>
        <w:t>雖</w:t>
      </w:r>
      <w:r w:rsidR="00F64D76" w:rsidRPr="00866D38">
        <w:rPr>
          <w:rFonts w:hint="eastAsia"/>
          <w:bCs w:val="0"/>
        </w:rPr>
        <w:t>多</w:t>
      </w:r>
      <w:r w:rsidR="00B729F1" w:rsidRPr="00866D38">
        <w:rPr>
          <w:rFonts w:hAnsi="標楷體" w:hint="eastAsia"/>
          <w:szCs w:val="32"/>
        </w:rPr>
        <w:t>呈成長趨勢</w:t>
      </w:r>
      <w:r w:rsidR="001935DE" w:rsidRPr="00866D38">
        <w:rPr>
          <w:rFonts w:hAnsi="標楷體" w:hint="eastAsia"/>
          <w:szCs w:val="32"/>
        </w:rPr>
        <w:t>，然</w:t>
      </w:r>
      <w:r w:rsidR="00B729F1" w:rsidRPr="00866D38">
        <w:rPr>
          <w:rFonts w:hAnsi="標楷體" w:hint="eastAsia"/>
          <w:szCs w:val="32"/>
        </w:rPr>
        <w:t>以</w:t>
      </w:r>
      <w:r w:rsidR="009F1B1D" w:rsidRPr="00866D38">
        <w:rPr>
          <w:rFonts w:hAnsi="標楷體" w:hint="eastAsia"/>
          <w:szCs w:val="32"/>
        </w:rPr>
        <w:t>目前技職教育學生取得之專業證照多數僅作為升學考試加分使用，部分尚</w:t>
      </w:r>
      <w:r w:rsidR="001935DE" w:rsidRPr="00866D38">
        <w:rPr>
          <w:rFonts w:hAnsi="標楷體" w:hint="eastAsia"/>
          <w:szCs w:val="32"/>
        </w:rPr>
        <w:t>未能對應產業實際需求</w:t>
      </w:r>
      <w:r w:rsidR="00D45CFF" w:rsidRPr="00866D38">
        <w:rPr>
          <w:rFonts w:hAnsi="標楷體" w:hint="eastAsia"/>
          <w:szCs w:val="32"/>
        </w:rPr>
        <w:t>，亦未與就業門檻完全對接</w:t>
      </w:r>
      <w:r w:rsidR="001935DE" w:rsidRPr="00866D38">
        <w:rPr>
          <w:rFonts w:hAnsi="標楷體" w:hint="eastAsia"/>
          <w:szCs w:val="32"/>
        </w:rPr>
        <w:t>，致取得之證照無法為業界所用或為職場加分</w:t>
      </w:r>
      <w:r w:rsidR="00CA22B5" w:rsidRPr="00866D38">
        <w:rPr>
          <w:rFonts w:hAnsi="標楷體" w:hint="eastAsia"/>
          <w:szCs w:val="32"/>
        </w:rPr>
        <w:t>，其</w:t>
      </w:r>
      <w:r w:rsidR="006F3DE1" w:rsidRPr="00866D38">
        <w:rPr>
          <w:rFonts w:hAnsi="標楷體" w:hint="eastAsia"/>
          <w:szCs w:val="32"/>
        </w:rPr>
        <w:t>實際</w:t>
      </w:r>
      <w:r w:rsidR="00CA22B5" w:rsidRPr="00866D38">
        <w:rPr>
          <w:rFonts w:hAnsi="標楷體" w:hint="eastAsia"/>
          <w:szCs w:val="32"/>
        </w:rPr>
        <w:t>效果仍有</w:t>
      </w:r>
      <w:r w:rsidR="009F1B1D" w:rsidRPr="00866D38">
        <w:rPr>
          <w:rFonts w:hAnsi="標楷體" w:hint="eastAsia"/>
          <w:szCs w:val="32"/>
        </w:rPr>
        <w:t>待檢討</w:t>
      </w:r>
      <w:r w:rsidR="00AF679B" w:rsidRPr="00866D38">
        <w:rPr>
          <w:rFonts w:hAnsi="標楷體" w:hint="eastAsia"/>
          <w:szCs w:val="32"/>
        </w:rPr>
        <w:t>，</w:t>
      </w:r>
      <w:r w:rsidR="00D83D5C" w:rsidRPr="00866D38">
        <w:rPr>
          <w:rFonts w:hAnsi="標楷體" w:hint="eastAsia"/>
          <w:szCs w:val="32"/>
        </w:rPr>
        <w:t>典範科技大學</w:t>
      </w:r>
      <w:r w:rsidR="00DC33A8" w:rsidRPr="00866D38">
        <w:rPr>
          <w:rFonts w:hAnsi="標楷體" w:hint="eastAsia"/>
          <w:szCs w:val="32"/>
        </w:rPr>
        <w:t>顯未能發揮</w:t>
      </w:r>
      <w:r w:rsidR="00AF679B" w:rsidRPr="00866D38">
        <w:rPr>
          <w:rFonts w:hAnsi="標楷體" w:hint="eastAsia"/>
          <w:bCs w:val="0"/>
        </w:rPr>
        <w:t>「</w:t>
      </w:r>
      <w:r w:rsidR="00AF679B" w:rsidRPr="00866D38">
        <w:rPr>
          <w:rFonts w:hAnsi="標楷體" w:hint="eastAsia"/>
          <w:szCs w:val="32"/>
        </w:rPr>
        <w:t>證能合一」</w:t>
      </w:r>
      <w:r w:rsidR="007D54B1" w:rsidRPr="00866D38">
        <w:rPr>
          <w:rFonts w:hAnsi="標楷體" w:hint="eastAsia"/>
          <w:szCs w:val="32"/>
        </w:rPr>
        <w:t>進而帶動技職專業及就業能力</w:t>
      </w:r>
      <w:r w:rsidR="001E2FAF" w:rsidRPr="00866D38">
        <w:rPr>
          <w:rFonts w:hAnsi="標楷體" w:hint="eastAsia"/>
          <w:szCs w:val="32"/>
        </w:rPr>
        <w:t>之產學</w:t>
      </w:r>
      <w:r w:rsidR="00957707" w:rsidRPr="00866D38">
        <w:rPr>
          <w:rFonts w:hAnsi="標楷體" w:hint="eastAsia"/>
          <w:szCs w:val="32"/>
        </w:rPr>
        <w:t>連</w:t>
      </w:r>
      <w:r w:rsidR="001E2FAF" w:rsidRPr="00866D38">
        <w:rPr>
          <w:rFonts w:hAnsi="標楷體" w:hint="eastAsia"/>
          <w:szCs w:val="32"/>
        </w:rPr>
        <w:t>結</w:t>
      </w:r>
      <w:r w:rsidR="009F1B1D" w:rsidRPr="00866D38">
        <w:rPr>
          <w:rFonts w:hAnsi="標楷體" w:hint="eastAsia"/>
          <w:szCs w:val="32"/>
        </w:rPr>
        <w:t>，</w:t>
      </w:r>
      <w:r w:rsidR="001935DE" w:rsidRPr="00866D38">
        <w:rPr>
          <w:rFonts w:hAnsi="標楷體" w:hint="eastAsia"/>
          <w:szCs w:val="32"/>
        </w:rPr>
        <w:t>典範科大計畫</w:t>
      </w:r>
      <w:r w:rsidR="00A61987" w:rsidRPr="00866D38">
        <w:rPr>
          <w:rFonts w:hint="eastAsia"/>
          <w:bCs w:val="0"/>
        </w:rPr>
        <w:t>雖強調</w:t>
      </w:r>
      <w:r w:rsidR="004C6378" w:rsidRPr="00866D38">
        <w:rPr>
          <w:rFonts w:hAnsi="標楷體" w:hint="eastAsia"/>
          <w:bCs w:val="0"/>
        </w:rPr>
        <w:t>「</w:t>
      </w:r>
      <w:r w:rsidR="00D551B3" w:rsidRPr="00866D38">
        <w:rPr>
          <w:rFonts w:hint="eastAsia"/>
          <w:bCs w:val="0"/>
        </w:rPr>
        <w:t>人才培育</w:t>
      </w:r>
      <w:r w:rsidR="004C6378" w:rsidRPr="00866D38">
        <w:rPr>
          <w:rFonts w:hAnsi="標楷體" w:hint="eastAsia"/>
          <w:bCs w:val="0"/>
        </w:rPr>
        <w:t>」</w:t>
      </w:r>
      <w:r w:rsidR="00A61987" w:rsidRPr="00866D38">
        <w:rPr>
          <w:rFonts w:hint="eastAsia"/>
          <w:bCs w:val="0"/>
        </w:rPr>
        <w:t>，然</w:t>
      </w:r>
      <w:r w:rsidR="002978F2" w:rsidRPr="00866D38">
        <w:rPr>
          <w:rFonts w:hint="eastAsia"/>
          <w:bCs w:val="0"/>
        </w:rPr>
        <w:t>仍未</w:t>
      </w:r>
      <w:r w:rsidR="009F1B1D" w:rsidRPr="00866D38">
        <w:rPr>
          <w:rFonts w:hint="eastAsia"/>
          <w:bCs w:val="0"/>
        </w:rPr>
        <w:t>能</w:t>
      </w:r>
      <w:r w:rsidR="008F59D7" w:rsidRPr="00866D38">
        <w:rPr>
          <w:rFonts w:hint="eastAsia"/>
          <w:bCs w:val="0"/>
        </w:rPr>
        <w:t>突破</w:t>
      </w:r>
      <w:r w:rsidR="009F1B1D" w:rsidRPr="00866D38">
        <w:rPr>
          <w:rFonts w:hint="eastAsia"/>
          <w:bCs w:val="0"/>
        </w:rPr>
        <w:t>證照實用性。</w:t>
      </w:r>
      <w:r w:rsidR="00061C8E" w:rsidRPr="00866D38">
        <w:rPr>
          <w:rFonts w:hint="eastAsia"/>
          <w:bCs w:val="0"/>
        </w:rPr>
        <w:t>105年1月11日</w:t>
      </w:r>
      <w:r w:rsidR="00061C8E" w:rsidRPr="00866D38">
        <w:rPr>
          <w:rFonts w:hAnsi="標楷體" w:hint="eastAsia"/>
          <w:bCs w:val="0"/>
        </w:rPr>
        <w:t>「發展典範科技大學計畫」期末考評第3次會議紀錄附件</w:t>
      </w:r>
      <w:r w:rsidR="00061C8E" w:rsidRPr="00866D38">
        <w:rPr>
          <w:rFonts w:hint="eastAsia"/>
        </w:rPr>
        <w:t>之</w:t>
      </w:r>
      <w:r w:rsidR="00061C8E" w:rsidRPr="00866D38">
        <w:rPr>
          <w:rFonts w:hAnsi="標楷體" w:hint="eastAsia"/>
        </w:rPr>
        <w:t>「</w:t>
      </w:r>
      <w:r w:rsidR="00061C8E" w:rsidRPr="00866D38">
        <w:rPr>
          <w:rFonts w:hint="eastAsia"/>
        </w:rPr>
        <w:t>1</w:t>
      </w:r>
      <w:r w:rsidR="00D6376B" w:rsidRPr="00866D38">
        <w:rPr>
          <w:rFonts w:hint="eastAsia"/>
        </w:rPr>
        <w:t>04年度該計畫執行</w:t>
      </w:r>
      <w:r w:rsidR="004A2044" w:rsidRPr="00866D38">
        <w:rPr>
          <w:rFonts w:hint="eastAsia"/>
        </w:rPr>
        <w:t>成效之</w:t>
      </w:r>
      <w:r w:rsidR="00D6376B" w:rsidRPr="00866D38">
        <w:rPr>
          <w:rFonts w:hint="eastAsia"/>
        </w:rPr>
        <w:t>考</w:t>
      </w:r>
      <w:r w:rsidR="004A2044" w:rsidRPr="00866D38">
        <w:rPr>
          <w:rFonts w:hint="eastAsia"/>
        </w:rPr>
        <w:t>評結果相關意見</w:t>
      </w:r>
      <w:r w:rsidR="00D6376B" w:rsidRPr="00866D38">
        <w:rPr>
          <w:rFonts w:hint="eastAsia"/>
        </w:rPr>
        <w:t>摘要</w:t>
      </w:r>
      <w:r w:rsidR="00061C8E" w:rsidRPr="00866D38">
        <w:rPr>
          <w:rFonts w:hAnsi="標楷體" w:hint="eastAsia"/>
        </w:rPr>
        <w:t>」</w:t>
      </w:r>
      <w:r w:rsidR="00D6376B" w:rsidRPr="00866D38">
        <w:rPr>
          <w:rFonts w:hint="eastAsia"/>
        </w:rPr>
        <w:t>指出，</w:t>
      </w:r>
      <w:r w:rsidR="00B54A33" w:rsidRPr="00866D38">
        <w:rPr>
          <w:rFonts w:hAnsi="標楷體" w:hint="eastAsia"/>
        </w:rPr>
        <w:t>「</w:t>
      </w:r>
      <w:r w:rsidR="00220F58" w:rsidRPr="00866D38">
        <w:rPr>
          <w:rFonts w:hAnsi="標楷體" w:hint="eastAsia"/>
        </w:rPr>
        <w:t>學生證照應朝向學生至業界後有實際效用之證照</w:t>
      </w:r>
      <w:r w:rsidR="00220F58" w:rsidRPr="00866D38">
        <w:rPr>
          <w:rFonts w:hAnsi="標楷體"/>
        </w:rPr>
        <w:t>……</w:t>
      </w:r>
      <w:r w:rsidR="00B54A33" w:rsidRPr="00866D38">
        <w:rPr>
          <w:rFonts w:hAnsi="標楷體" w:hint="eastAsia"/>
        </w:rPr>
        <w:t>」</w:t>
      </w:r>
      <w:r w:rsidR="001935DE" w:rsidRPr="00866D38">
        <w:rPr>
          <w:rFonts w:hAnsi="標楷體" w:hint="eastAsia"/>
        </w:rPr>
        <w:t>可稽</w:t>
      </w:r>
      <w:r w:rsidR="00220F58" w:rsidRPr="00866D38">
        <w:rPr>
          <w:rFonts w:hAnsi="標楷體" w:hint="eastAsia"/>
        </w:rPr>
        <w:t>。</w:t>
      </w:r>
      <w:bookmarkEnd w:id="103"/>
      <w:bookmarkEnd w:id="104"/>
      <w:bookmarkEnd w:id="105"/>
      <w:bookmarkEnd w:id="106"/>
    </w:p>
    <w:p w:rsidR="000B2F00" w:rsidRPr="00866D38" w:rsidRDefault="000B2F00" w:rsidP="00F519C0">
      <w:pPr>
        <w:pStyle w:val="1"/>
        <w:numPr>
          <w:ilvl w:val="2"/>
          <w:numId w:val="16"/>
        </w:numPr>
        <w:overflowPunct/>
        <w:autoSpaceDE/>
        <w:autoSpaceDN/>
        <w:ind w:leftChars="200"/>
        <w:rPr>
          <w:rFonts w:hAnsi="標楷體"/>
          <w:szCs w:val="32"/>
        </w:rPr>
      </w:pPr>
      <w:bookmarkStart w:id="107" w:name="_Toc519839612"/>
      <w:bookmarkStart w:id="108" w:name="_Toc519844502"/>
      <w:bookmarkStart w:id="109" w:name="_Toc519864748"/>
      <w:bookmarkStart w:id="110" w:name="_Toc523220148"/>
      <w:r w:rsidRPr="00866D38">
        <w:rPr>
          <w:rFonts w:hAnsi="標楷體" w:hint="eastAsia"/>
          <w:szCs w:val="32"/>
        </w:rPr>
        <w:t>關於技職教育相關師資需求部分，按技術及</w:t>
      </w:r>
      <w:r w:rsidRPr="00866D38">
        <w:rPr>
          <w:rFonts w:hAnsi="標楷體" w:hint="eastAsia"/>
        </w:rPr>
        <w:t>職業教育</w:t>
      </w:r>
      <w:r w:rsidRPr="00866D38">
        <w:rPr>
          <w:rFonts w:hAnsi="標楷體" w:hint="eastAsia"/>
          <w:szCs w:val="32"/>
        </w:rPr>
        <w:t>法第14條第1項規定：「學校得遴聘業界專家，</w:t>
      </w:r>
      <w:r w:rsidRPr="00866D38">
        <w:rPr>
          <w:rFonts w:hAnsi="標楷體" w:hint="eastAsia"/>
          <w:szCs w:val="32"/>
        </w:rPr>
        <w:lastRenderedPageBreak/>
        <w:t>協同教學。」同條第2項：「前項業界專家之認定、權利義務、管理、學校開設課程及其他應遵行事項之辦法，由中央主管機關定之。」教育部104</w:t>
      </w:r>
      <w:r w:rsidR="009F1B1D" w:rsidRPr="00866D38">
        <w:rPr>
          <w:rFonts w:hAnsi="標楷體" w:hint="eastAsia"/>
          <w:szCs w:val="32"/>
        </w:rPr>
        <w:t>年增訂</w:t>
      </w:r>
      <w:r w:rsidRPr="00866D38">
        <w:rPr>
          <w:rFonts w:hAnsi="標楷體" w:hint="eastAsia"/>
          <w:szCs w:val="32"/>
        </w:rPr>
        <w:t>技術及</w:t>
      </w:r>
      <w:r w:rsidRPr="00866D38">
        <w:rPr>
          <w:rFonts w:hAnsi="標楷體" w:hint="eastAsia"/>
        </w:rPr>
        <w:t>職業教育</w:t>
      </w:r>
      <w:r w:rsidRPr="00866D38">
        <w:rPr>
          <w:rFonts w:hAnsi="標楷體" w:hint="eastAsia"/>
          <w:szCs w:val="32"/>
        </w:rPr>
        <w:t>法第25條第1項規定：「技職校院專業科目或技術科目之教師，應具備1年以上與任教領域相關之業界實務工作經驗。但本法施行前已在職之專任合格教師，不在此限。」</w:t>
      </w:r>
      <w:r w:rsidR="009F1B1D" w:rsidRPr="00866D38">
        <w:rPr>
          <w:rFonts w:hAnsi="標楷體" w:hint="eastAsia"/>
          <w:szCs w:val="32"/>
        </w:rPr>
        <w:t>為</w:t>
      </w:r>
      <w:r w:rsidRPr="00866D38">
        <w:rPr>
          <w:rFonts w:hAnsi="標楷體" w:hint="eastAsia"/>
          <w:szCs w:val="32"/>
        </w:rPr>
        <w:t>避免技職校院從事專</w:t>
      </w:r>
      <w:r w:rsidR="009F1B1D" w:rsidRPr="00866D38">
        <w:rPr>
          <w:rFonts w:hAnsi="標楷體" w:hint="eastAsia"/>
          <w:szCs w:val="32"/>
        </w:rPr>
        <w:t>業科目或技術科目之任教教師授課內容與產業實際層面產生嚴重落差，</w:t>
      </w:r>
      <w:r w:rsidRPr="00866D38">
        <w:rPr>
          <w:rFonts w:hAnsi="標楷體" w:hint="eastAsia"/>
          <w:szCs w:val="32"/>
        </w:rPr>
        <w:t>同法第26條規定：「技職校院專業科目或技術科目教師、專業及技術人員或專業及技術教師，每任教滿6年應至與技職校院合作機構或與任教領域有關之產業，進行至少半年以上與專業或技術有關之研習或研究。相關研習或研究之辦法，由中央主管機關定之」。此外，</w:t>
      </w:r>
      <w:r w:rsidRPr="00866D38">
        <w:rPr>
          <w:rFonts w:hint="eastAsia"/>
        </w:rPr>
        <w:t>該部另</w:t>
      </w:r>
      <w:r w:rsidR="00445320" w:rsidRPr="00866D38">
        <w:rPr>
          <w:rFonts w:hint="eastAsia"/>
        </w:rPr>
        <w:t>訂</w:t>
      </w:r>
      <w:r w:rsidR="00CA6540" w:rsidRPr="00866D38">
        <w:rPr>
          <w:rFonts w:hint="eastAsia"/>
        </w:rPr>
        <w:t>有「專科以上學校遴聘業界專家協同教學實施辦法」，</w:t>
      </w:r>
      <w:r w:rsidRPr="00866D38">
        <w:rPr>
          <w:rFonts w:hint="eastAsia"/>
        </w:rPr>
        <w:t>教學模式採「雙師制度」教學，由專任教師與業界專家共同規劃實務專題，課程內容應與產業對接，並以問題導向設計為基礎，實際解決產業問題、教學及指導實務專題製作，業界專家之協同授課時數依實際需求排定，</w:t>
      </w:r>
      <w:r w:rsidR="001E6F74" w:rsidRPr="00866D38">
        <w:rPr>
          <w:rFonts w:hint="eastAsia"/>
        </w:rPr>
        <w:t>期</w:t>
      </w:r>
      <w:r w:rsidRPr="00866D38">
        <w:rPr>
          <w:rFonts w:hint="eastAsia"/>
        </w:rPr>
        <w:t>使技專校院教學更貼近產業，有效提升教師實務教學品質，促使技職教育與產業接軌。</w:t>
      </w:r>
      <w:bookmarkEnd w:id="107"/>
      <w:bookmarkEnd w:id="108"/>
      <w:bookmarkEnd w:id="109"/>
      <w:bookmarkEnd w:id="110"/>
    </w:p>
    <w:p w:rsidR="00486CC6" w:rsidRPr="00866D38" w:rsidRDefault="002951AC" w:rsidP="00F519C0">
      <w:pPr>
        <w:pStyle w:val="1"/>
        <w:numPr>
          <w:ilvl w:val="2"/>
          <w:numId w:val="16"/>
        </w:numPr>
        <w:overflowPunct/>
        <w:autoSpaceDE/>
        <w:autoSpaceDN/>
      </w:pPr>
      <w:bookmarkStart w:id="111" w:name="_Toc519839613"/>
      <w:bookmarkStart w:id="112" w:name="_Toc519844503"/>
      <w:bookmarkStart w:id="113" w:name="_Toc519864749"/>
      <w:bookmarkStart w:id="114" w:name="_Toc523220149"/>
      <w:r w:rsidRPr="00866D38">
        <w:rPr>
          <w:rFonts w:hAnsi="標楷體" w:hint="eastAsia"/>
          <w:szCs w:val="32"/>
        </w:rPr>
        <w:t>惟查，</w:t>
      </w:r>
      <w:r w:rsidR="00E471EA" w:rsidRPr="00866D38">
        <w:rPr>
          <w:rFonts w:hint="eastAsia"/>
          <w:bCs w:val="0"/>
        </w:rPr>
        <w:t>教育部督導執行典範</w:t>
      </w:r>
      <w:r w:rsidR="00962970" w:rsidRPr="00866D38">
        <w:rPr>
          <w:rFonts w:hint="eastAsia"/>
          <w:bCs w:val="0"/>
        </w:rPr>
        <w:t>科大</w:t>
      </w:r>
      <w:r w:rsidR="00E471EA" w:rsidRPr="00866D38">
        <w:rPr>
          <w:rFonts w:hint="eastAsia"/>
          <w:bCs w:val="0"/>
        </w:rPr>
        <w:t>計畫</w:t>
      </w:r>
      <w:r w:rsidR="00D050FE" w:rsidRPr="00866D38">
        <w:rPr>
          <w:rFonts w:hAnsi="標楷體" w:hint="eastAsia"/>
          <w:bCs w:val="0"/>
        </w:rPr>
        <w:t>將「</w:t>
      </w:r>
      <w:r w:rsidR="00D050FE" w:rsidRPr="00866D38">
        <w:rPr>
          <w:rFonts w:hAnsi="標楷體" w:hint="eastAsia"/>
          <w:szCs w:val="32"/>
        </w:rPr>
        <w:t>專任師資具備業界實務經驗人數</w:t>
      </w:r>
      <w:r w:rsidR="00B90E24">
        <w:rPr>
          <w:rFonts w:hAnsi="標楷體" w:hint="eastAsia"/>
          <w:szCs w:val="32"/>
        </w:rPr>
        <w:t>比率</w:t>
      </w:r>
      <w:r w:rsidR="00D050FE" w:rsidRPr="00866D38">
        <w:rPr>
          <w:rFonts w:hAnsi="標楷體" w:hint="eastAsia"/>
          <w:bCs w:val="0"/>
        </w:rPr>
        <w:t>」納入年度績效指標</w:t>
      </w:r>
      <w:r w:rsidR="0004268A" w:rsidRPr="00866D38">
        <w:rPr>
          <w:rFonts w:hAnsi="標楷體" w:hint="eastAsia"/>
          <w:bCs w:val="0"/>
        </w:rPr>
        <w:t>，</w:t>
      </w:r>
      <w:r w:rsidR="005D0107" w:rsidRPr="00866D38">
        <w:rPr>
          <w:rFonts w:hAnsi="標楷體" w:hint="eastAsia"/>
          <w:bCs w:val="0"/>
        </w:rPr>
        <w:t>而</w:t>
      </w:r>
      <w:r w:rsidR="00E471EA" w:rsidRPr="00866D38">
        <w:rPr>
          <w:rFonts w:hAnsi="標楷體" w:hint="eastAsia"/>
          <w:bCs w:val="0"/>
        </w:rPr>
        <w:t>歷年績效數據</w:t>
      </w:r>
      <w:r w:rsidR="004C2E9A" w:rsidRPr="00866D38">
        <w:rPr>
          <w:rFonts w:hAnsi="標楷體" w:hint="eastAsia"/>
          <w:bCs w:val="0"/>
        </w:rPr>
        <w:t>雖</w:t>
      </w:r>
      <w:r w:rsidR="003C7529" w:rsidRPr="00866D38">
        <w:rPr>
          <w:rFonts w:hAnsi="標楷體" w:hint="eastAsia"/>
          <w:bCs w:val="0"/>
        </w:rPr>
        <w:t>有所提升</w:t>
      </w:r>
      <w:r w:rsidR="004C2E9A" w:rsidRPr="00866D38">
        <w:rPr>
          <w:rFonts w:hAnsi="標楷體" w:hint="eastAsia"/>
          <w:bCs w:val="0"/>
        </w:rPr>
        <w:t>，然</w:t>
      </w:r>
      <w:r w:rsidR="00514276" w:rsidRPr="00866D38">
        <w:rPr>
          <w:rFonts w:hAnsi="標楷體" w:hint="eastAsia"/>
          <w:bCs w:val="0"/>
        </w:rPr>
        <w:t>仍有部分學校</w:t>
      </w:r>
      <w:r w:rsidR="00BB367D" w:rsidRPr="00866D38">
        <w:rPr>
          <w:rFonts w:hAnsi="標楷體" w:hint="eastAsia"/>
          <w:bCs w:val="0"/>
        </w:rPr>
        <w:t>呈現</w:t>
      </w:r>
      <w:r w:rsidR="00DF1437" w:rsidRPr="00866D38">
        <w:rPr>
          <w:rFonts w:hAnsi="標楷體" w:hint="eastAsia"/>
          <w:bCs w:val="0"/>
        </w:rPr>
        <w:t>負成長情形，</w:t>
      </w:r>
      <w:r w:rsidR="008B79D9" w:rsidRPr="00866D38">
        <w:rPr>
          <w:rFonts w:hAnsi="標楷體" w:hint="eastAsia"/>
          <w:bCs w:val="0"/>
        </w:rPr>
        <w:t>如</w:t>
      </w:r>
      <w:r w:rsidR="00EA72C5" w:rsidRPr="00866D38">
        <w:rPr>
          <w:rFonts w:hAnsi="標楷體" w:hint="eastAsia"/>
          <w:bCs w:val="0"/>
        </w:rPr>
        <w:t>比</w:t>
      </w:r>
      <w:r w:rsidR="008B79D9" w:rsidRPr="00866D38">
        <w:rPr>
          <w:rFonts w:hAnsi="標楷體" w:hint="eastAsia"/>
          <w:bCs w:val="0"/>
        </w:rPr>
        <w:t>較102</w:t>
      </w:r>
      <w:r w:rsidR="00EA72C5" w:rsidRPr="00866D38">
        <w:rPr>
          <w:rFonts w:hAnsi="標楷體" w:hint="eastAsia"/>
          <w:bCs w:val="0"/>
        </w:rPr>
        <w:t>與105年度之</w:t>
      </w:r>
      <w:r w:rsidR="008B79D9" w:rsidRPr="00866D38">
        <w:rPr>
          <w:rFonts w:hAnsi="標楷體" w:hint="eastAsia"/>
          <w:bCs w:val="0"/>
        </w:rPr>
        <w:t>達成值，A</w:t>
      </w:r>
      <w:r w:rsidR="00EA72C5" w:rsidRPr="00866D38">
        <w:rPr>
          <w:rFonts w:hAnsi="標楷體" w:hint="eastAsia"/>
          <w:bCs w:val="0"/>
        </w:rPr>
        <w:t>校分別為</w:t>
      </w:r>
      <w:r w:rsidR="00A20498" w:rsidRPr="00866D38">
        <w:rPr>
          <w:rFonts w:hAnsi="標楷體"/>
          <w:bCs w:val="0"/>
        </w:rPr>
        <w:t>61.63%</w:t>
      </w:r>
      <w:r w:rsidR="00A20498" w:rsidRPr="00866D38">
        <w:rPr>
          <w:rFonts w:ascii="新細明體" w:eastAsia="新細明體" w:hAnsi="新細明體" w:hint="eastAsia"/>
          <w:bCs w:val="0"/>
        </w:rPr>
        <w:t>、</w:t>
      </w:r>
      <w:r w:rsidR="003902B4" w:rsidRPr="00866D38">
        <w:rPr>
          <w:rFonts w:hAnsi="標楷體"/>
          <w:kern w:val="0"/>
        </w:rPr>
        <w:t>51.79%</w:t>
      </w:r>
      <w:r w:rsidR="003902B4" w:rsidRPr="00866D38">
        <w:rPr>
          <w:rFonts w:hAnsi="標楷體" w:hint="eastAsia"/>
          <w:kern w:val="0"/>
        </w:rPr>
        <w:t>，</w:t>
      </w:r>
      <w:r w:rsidR="00F7334D" w:rsidRPr="00866D38">
        <w:rPr>
          <w:rFonts w:hAnsi="標楷體" w:hint="eastAsia"/>
          <w:bCs w:val="0"/>
        </w:rPr>
        <w:t>B</w:t>
      </w:r>
      <w:r w:rsidR="003902B4" w:rsidRPr="00866D38">
        <w:rPr>
          <w:rFonts w:hAnsi="標楷體" w:hint="eastAsia"/>
          <w:bCs w:val="0"/>
        </w:rPr>
        <w:t>校分別為</w:t>
      </w:r>
      <w:r w:rsidR="00D75C45" w:rsidRPr="00866D38">
        <w:rPr>
          <w:rFonts w:hAnsi="標楷體"/>
          <w:kern w:val="0"/>
        </w:rPr>
        <w:t>84.06%</w:t>
      </w:r>
      <w:r w:rsidR="00D75C45" w:rsidRPr="00866D38">
        <w:rPr>
          <w:rFonts w:ascii="新細明體" w:eastAsia="新細明體" w:hAnsi="新細明體" w:hint="eastAsia"/>
          <w:kern w:val="0"/>
        </w:rPr>
        <w:t>、</w:t>
      </w:r>
      <w:r w:rsidR="005832F3" w:rsidRPr="00866D38">
        <w:rPr>
          <w:rFonts w:hAnsi="標楷體"/>
          <w:kern w:val="0"/>
        </w:rPr>
        <w:t>43.05%</w:t>
      </w:r>
      <w:r w:rsidR="005832F3" w:rsidRPr="00866D38">
        <w:rPr>
          <w:rFonts w:hAnsi="標楷體" w:hint="eastAsia"/>
          <w:kern w:val="0"/>
        </w:rPr>
        <w:t>，</w:t>
      </w:r>
      <w:r w:rsidR="00302151" w:rsidRPr="00866D38">
        <w:rPr>
          <w:rFonts w:hAnsi="標楷體" w:hint="eastAsia"/>
          <w:kern w:val="0"/>
        </w:rPr>
        <w:t>C校</w:t>
      </w:r>
      <w:r w:rsidR="00302151" w:rsidRPr="00866D38">
        <w:rPr>
          <w:rFonts w:hAnsi="標楷體" w:hint="eastAsia"/>
          <w:bCs w:val="0"/>
        </w:rPr>
        <w:t>分別為</w:t>
      </w:r>
      <w:r w:rsidR="00302151" w:rsidRPr="00866D38">
        <w:rPr>
          <w:rFonts w:hAnsi="標楷體"/>
          <w:kern w:val="0"/>
        </w:rPr>
        <w:t>63.22%</w:t>
      </w:r>
      <w:r w:rsidR="00302151" w:rsidRPr="00866D38">
        <w:rPr>
          <w:rFonts w:ascii="新細明體" w:eastAsia="新細明體" w:hAnsi="新細明體" w:hint="eastAsia"/>
          <w:bCs w:val="0"/>
        </w:rPr>
        <w:t>、</w:t>
      </w:r>
      <w:r w:rsidR="00BB5F0E" w:rsidRPr="00866D38">
        <w:rPr>
          <w:rFonts w:hAnsi="標楷體"/>
          <w:kern w:val="0"/>
        </w:rPr>
        <w:t>60.05%</w:t>
      </w:r>
      <w:r w:rsidR="00BB5F0E" w:rsidRPr="00866D38">
        <w:rPr>
          <w:rFonts w:hAnsi="標楷體" w:hint="eastAsia"/>
          <w:kern w:val="0"/>
        </w:rPr>
        <w:t>，</w:t>
      </w:r>
      <w:r w:rsidR="00203A7E" w:rsidRPr="00866D38">
        <w:rPr>
          <w:rFonts w:hAnsi="標楷體" w:hint="eastAsia"/>
          <w:kern w:val="0"/>
        </w:rPr>
        <w:t>D校分別為</w:t>
      </w:r>
      <w:r w:rsidR="00203A7E" w:rsidRPr="00866D38">
        <w:rPr>
          <w:rFonts w:hAnsi="標楷體"/>
          <w:kern w:val="0"/>
        </w:rPr>
        <w:t>4</w:t>
      </w:r>
      <w:r w:rsidR="00203A7E" w:rsidRPr="00866D38">
        <w:rPr>
          <w:rFonts w:hAnsi="標楷體"/>
          <w:bCs w:val="0"/>
        </w:rPr>
        <w:t>7.72%</w:t>
      </w:r>
      <w:r w:rsidR="00203A7E" w:rsidRPr="00866D38">
        <w:rPr>
          <w:rFonts w:hAnsi="標楷體" w:hint="eastAsia"/>
          <w:bCs w:val="0"/>
        </w:rPr>
        <w:t>、</w:t>
      </w:r>
      <w:r w:rsidR="00203A7E" w:rsidRPr="00866D38">
        <w:rPr>
          <w:rFonts w:hAnsi="標楷體"/>
          <w:bCs w:val="0"/>
        </w:rPr>
        <w:t>43.24%</w:t>
      </w:r>
      <w:r w:rsidR="00203A7E" w:rsidRPr="00866D38">
        <w:rPr>
          <w:rFonts w:hAnsi="標楷體" w:hint="eastAsia"/>
          <w:bCs w:val="0"/>
        </w:rPr>
        <w:t>，</w:t>
      </w:r>
      <w:r w:rsidR="00AD3CB5" w:rsidRPr="00866D38">
        <w:rPr>
          <w:rFonts w:hAnsi="標楷體" w:hint="eastAsia"/>
          <w:bCs w:val="0"/>
        </w:rPr>
        <w:t>E校分別為</w:t>
      </w:r>
      <w:r w:rsidR="00AD3CB5" w:rsidRPr="00866D38">
        <w:rPr>
          <w:rFonts w:hAnsi="標楷體"/>
          <w:kern w:val="0"/>
        </w:rPr>
        <w:t>73.29%</w:t>
      </w:r>
      <w:r w:rsidR="00AD3CB5" w:rsidRPr="00866D38">
        <w:rPr>
          <w:rFonts w:ascii="新細明體" w:eastAsia="新細明體" w:hAnsi="新細明體" w:hint="eastAsia"/>
          <w:kern w:val="0"/>
        </w:rPr>
        <w:t>、</w:t>
      </w:r>
      <w:r w:rsidR="00716F54" w:rsidRPr="00866D38">
        <w:rPr>
          <w:rFonts w:hAnsi="標楷體"/>
          <w:kern w:val="0"/>
        </w:rPr>
        <w:t>64.98%</w:t>
      </w:r>
      <w:r w:rsidR="009F0C0C" w:rsidRPr="00866D38">
        <w:rPr>
          <w:rFonts w:hAnsi="標楷體" w:hint="eastAsia"/>
          <w:kern w:val="0"/>
        </w:rPr>
        <w:t>。</w:t>
      </w:r>
      <w:r w:rsidR="00556186" w:rsidRPr="00866D38">
        <w:rPr>
          <w:rFonts w:hAnsi="標楷體" w:hint="eastAsia"/>
          <w:kern w:val="0"/>
        </w:rPr>
        <w:t>足見</w:t>
      </w:r>
      <w:r w:rsidR="0021188A" w:rsidRPr="00866D38">
        <w:rPr>
          <w:rFonts w:hAnsi="標楷體" w:hint="eastAsia"/>
          <w:kern w:val="0"/>
        </w:rPr>
        <w:t>，本項執行情形</w:t>
      </w:r>
      <w:r w:rsidR="00556186" w:rsidRPr="00866D38">
        <w:rPr>
          <w:rFonts w:hAnsi="標楷體" w:hint="eastAsia"/>
          <w:kern w:val="0"/>
        </w:rPr>
        <w:t>除有整體執行落差外，</w:t>
      </w:r>
      <w:r w:rsidR="006545E6" w:rsidRPr="00866D38">
        <w:rPr>
          <w:rFonts w:hAnsi="標楷體" w:hint="eastAsia"/>
          <w:kern w:val="0"/>
        </w:rPr>
        <w:t>另</w:t>
      </w:r>
      <w:r w:rsidR="00DF1B5D" w:rsidRPr="00866D38">
        <w:rPr>
          <w:rFonts w:hAnsi="標楷體" w:hint="eastAsia"/>
          <w:kern w:val="0"/>
        </w:rPr>
        <w:t>關於執</w:t>
      </w:r>
      <w:r w:rsidR="00DF1B5D" w:rsidRPr="00866D38">
        <w:rPr>
          <w:rFonts w:hAnsi="標楷體" w:hint="eastAsia"/>
          <w:kern w:val="0"/>
        </w:rPr>
        <w:lastRenderedPageBreak/>
        <w:t>行細節之規劃仍有待審酌。</w:t>
      </w:r>
      <w:r w:rsidR="006545E6" w:rsidRPr="00866D38">
        <w:rPr>
          <w:rFonts w:hAnsi="標楷體" w:hint="eastAsia"/>
          <w:kern w:val="0"/>
        </w:rPr>
        <w:t>參酌</w:t>
      </w:r>
      <w:r w:rsidR="00486CC6" w:rsidRPr="00866D38">
        <w:rPr>
          <w:rFonts w:hint="eastAsia"/>
        </w:rPr>
        <w:t>教育部</w:t>
      </w:r>
      <w:r w:rsidR="00486CC6" w:rsidRPr="00866D38">
        <w:rPr>
          <w:rFonts w:hint="eastAsia"/>
          <w:bCs w:val="0"/>
        </w:rPr>
        <w:t>105年1月11日</w:t>
      </w:r>
      <w:r w:rsidR="00486CC6" w:rsidRPr="00866D38">
        <w:rPr>
          <w:rFonts w:hAnsi="標楷體" w:hint="eastAsia"/>
          <w:bCs w:val="0"/>
        </w:rPr>
        <w:t>「發展典範科技大學計畫」期末考評第3次會議紀錄附件</w:t>
      </w:r>
      <w:r w:rsidR="00486CC6" w:rsidRPr="00866D38">
        <w:rPr>
          <w:rFonts w:hint="eastAsia"/>
        </w:rPr>
        <w:t>之</w:t>
      </w:r>
      <w:r w:rsidR="00486CC6" w:rsidRPr="00866D38">
        <w:rPr>
          <w:rFonts w:hAnsi="標楷體" w:hint="eastAsia"/>
        </w:rPr>
        <w:t>「</w:t>
      </w:r>
      <w:r w:rsidR="00486CC6" w:rsidRPr="00866D38">
        <w:rPr>
          <w:rFonts w:hint="eastAsia"/>
        </w:rPr>
        <w:t>104年度該計畫執行成效之考評結果相關意見摘要</w:t>
      </w:r>
      <w:r w:rsidR="00486CC6" w:rsidRPr="00866D38">
        <w:rPr>
          <w:rFonts w:hAnsi="標楷體" w:hint="eastAsia"/>
        </w:rPr>
        <w:t>」</w:t>
      </w:r>
      <w:r w:rsidR="00486CC6" w:rsidRPr="00866D38">
        <w:rPr>
          <w:rFonts w:hint="eastAsia"/>
        </w:rPr>
        <w:t>指出，</w:t>
      </w:r>
      <w:r w:rsidR="00486CC6" w:rsidRPr="00866D38">
        <w:rPr>
          <w:rFonts w:hAnsi="標楷體" w:hint="eastAsia"/>
        </w:rPr>
        <w:t>「有關教師與業界結合的深度，</w:t>
      </w:r>
      <w:r w:rsidR="00C35927" w:rsidRPr="00866D38">
        <w:rPr>
          <w:rFonts w:hAnsi="標楷體" w:hint="eastAsia"/>
        </w:rPr>
        <w:t>科技部與經濟部業有合作方案（如：教師全時至工研院進行研發作業）</w:t>
      </w:r>
      <w:r w:rsidR="00486CC6" w:rsidRPr="00866D38">
        <w:rPr>
          <w:rFonts w:hAnsi="標楷體" w:hint="eastAsia"/>
        </w:rPr>
        <w:t>，另有關教育部所提教師至國營企業</w:t>
      </w:r>
      <w:r w:rsidR="00486CC6" w:rsidRPr="00866D38">
        <w:rPr>
          <w:rFonts w:ascii="新細明體" w:eastAsia="新細明體" w:hAnsi="新細明體" w:hint="eastAsia"/>
        </w:rPr>
        <w:t>、</w:t>
      </w:r>
      <w:r w:rsidR="00486CC6" w:rsidRPr="00866D38">
        <w:rPr>
          <w:rFonts w:hAnsi="標楷體" w:hint="eastAsia"/>
        </w:rPr>
        <w:t>法人及泛公股企業部分進行產業研習，建議提至次長層級跨部會平臺處理」</w:t>
      </w:r>
      <w:r w:rsidR="00486CC6" w:rsidRPr="00866D38">
        <w:rPr>
          <w:rFonts w:ascii="新細明體" w:eastAsia="新細明體" w:hAnsi="新細明體" w:hint="eastAsia"/>
        </w:rPr>
        <w:t>、</w:t>
      </w:r>
      <w:r w:rsidR="00486CC6" w:rsidRPr="00866D38">
        <w:rPr>
          <w:rFonts w:hAnsi="標楷體" w:hint="eastAsia"/>
        </w:rPr>
        <w:t>「典範科大的執行使得科技大學有所成長及改變，但教育部應注意除了量的改變外，質的內涵更應關注（如</w:t>
      </w:r>
      <w:r w:rsidR="00486CC6" w:rsidRPr="00866D38">
        <w:rPr>
          <w:rFonts w:hAnsi="標楷體"/>
        </w:rPr>
        <w:t>……</w:t>
      </w:r>
      <w:r w:rsidR="00486CC6" w:rsidRPr="00866D38">
        <w:rPr>
          <w:rFonts w:hAnsi="標楷體" w:hint="eastAsia"/>
        </w:rPr>
        <w:t>業師聘任之校內資格</w:t>
      </w:r>
      <w:r w:rsidR="00486CC6" w:rsidRPr="00866D38">
        <w:rPr>
          <w:rFonts w:ascii="新細明體" w:eastAsia="新細明體" w:hAnsi="新細明體" w:hint="eastAsia"/>
        </w:rPr>
        <w:t>、</w:t>
      </w:r>
      <w:r w:rsidR="00486CC6" w:rsidRPr="00866D38">
        <w:rPr>
          <w:rFonts w:hAnsi="標楷體" w:hint="eastAsia"/>
        </w:rPr>
        <w:t>管理及指導等</w:t>
      </w:r>
      <w:r w:rsidR="00486CC6" w:rsidRPr="00866D38">
        <w:rPr>
          <w:rFonts w:hAnsi="標楷體"/>
        </w:rPr>
        <w:t>……</w:t>
      </w:r>
      <w:r w:rsidR="003F621B" w:rsidRPr="00866D38">
        <w:rPr>
          <w:rFonts w:hAnsi="標楷體" w:hint="eastAsia"/>
        </w:rPr>
        <w:t>）</w:t>
      </w:r>
      <w:r w:rsidR="00486CC6" w:rsidRPr="00866D38">
        <w:rPr>
          <w:rFonts w:hAnsi="標楷體" w:hint="eastAsia"/>
        </w:rPr>
        <w:t>」及「技專校院聘任業師部分，可瞭解學校重視程度；另藉由此次考評作業看見執行典範科大的成果，對科技大學的改變」等</w:t>
      </w:r>
      <w:r w:rsidR="00962970" w:rsidRPr="00866D38">
        <w:rPr>
          <w:rFonts w:hAnsi="標楷體" w:hint="eastAsia"/>
        </w:rPr>
        <w:t>內容</w:t>
      </w:r>
      <w:r w:rsidR="00486CC6" w:rsidRPr="00866D38">
        <w:rPr>
          <w:rFonts w:hAnsi="標楷體" w:hint="eastAsia"/>
        </w:rPr>
        <w:t>可</w:t>
      </w:r>
      <w:r w:rsidR="00DF1B5D" w:rsidRPr="00866D38">
        <w:rPr>
          <w:rFonts w:hAnsi="標楷體" w:hint="eastAsia"/>
        </w:rPr>
        <w:t>證</w:t>
      </w:r>
      <w:r w:rsidR="00486CC6" w:rsidRPr="00866D38">
        <w:rPr>
          <w:rFonts w:hAnsi="標楷體" w:hint="eastAsia"/>
        </w:rPr>
        <w:t>。</w:t>
      </w:r>
      <w:bookmarkEnd w:id="111"/>
      <w:bookmarkEnd w:id="112"/>
      <w:bookmarkEnd w:id="113"/>
      <w:bookmarkEnd w:id="114"/>
    </w:p>
    <w:p w:rsidR="003B2808" w:rsidRPr="00866D38" w:rsidRDefault="000702EE" w:rsidP="00F519C0">
      <w:pPr>
        <w:pStyle w:val="af9"/>
        <w:numPr>
          <w:ilvl w:val="2"/>
          <w:numId w:val="16"/>
        </w:numPr>
        <w:ind w:leftChars="0"/>
        <w:rPr>
          <w:rFonts w:hAnsi="標楷體"/>
        </w:rPr>
      </w:pPr>
      <w:r w:rsidRPr="00866D38">
        <w:rPr>
          <w:rFonts w:hint="eastAsia"/>
        </w:rPr>
        <w:t>此外，</w:t>
      </w:r>
      <w:r w:rsidR="00693706" w:rsidRPr="00866D38">
        <w:rPr>
          <w:rFonts w:hint="eastAsia"/>
        </w:rPr>
        <w:t>國際趨勢針對產學合作深化之重要策略即包括私部門協力夥伴關係。惟</w:t>
      </w:r>
      <w:r w:rsidR="005C7130" w:rsidRPr="00866D38">
        <w:rPr>
          <w:rFonts w:hint="eastAsia"/>
        </w:rPr>
        <w:t>教育部</w:t>
      </w:r>
      <w:r w:rsidR="00320478" w:rsidRPr="00866D38">
        <w:rPr>
          <w:rFonts w:hint="eastAsia"/>
        </w:rPr>
        <w:t>典範科大</w:t>
      </w:r>
      <w:r w:rsidRPr="00866D38">
        <w:rPr>
          <w:rFonts w:hint="eastAsia"/>
        </w:rPr>
        <w:t>計畫</w:t>
      </w:r>
      <w:r w:rsidR="00320478" w:rsidRPr="00866D38">
        <w:rPr>
          <w:rFonts w:hint="eastAsia"/>
        </w:rPr>
        <w:t>執行</w:t>
      </w:r>
      <w:r w:rsidR="00320478" w:rsidRPr="00866D38">
        <w:rPr>
          <w:rFonts w:hAnsi="標楷體" w:hint="eastAsia"/>
        </w:rPr>
        <w:t>「</w:t>
      </w:r>
      <w:r w:rsidRPr="00866D38">
        <w:rPr>
          <w:rFonts w:hint="eastAsia"/>
        </w:rPr>
        <w:t>產學合作</w:t>
      </w:r>
      <w:r w:rsidR="00320478" w:rsidRPr="00866D38">
        <w:rPr>
          <w:rFonts w:hAnsi="標楷體" w:hint="eastAsia"/>
        </w:rPr>
        <w:t>」</w:t>
      </w:r>
      <w:r w:rsidR="00AD0446" w:rsidRPr="00866D38">
        <w:rPr>
          <w:rFonts w:hint="eastAsia"/>
        </w:rPr>
        <w:t>結合</w:t>
      </w:r>
      <w:r w:rsidRPr="00866D38">
        <w:rPr>
          <w:rFonts w:hint="eastAsia"/>
        </w:rPr>
        <w:t>私部門資源</w:t>
      </w:r>
      <w:r w:rsidR="00567EAE" w:rsidRPr="00866D38">
        <w:rPr>
          <w:rFonts w:hint="eastAsia"/>
        </w:rPr>
        <w:t>仍有</w:t>
      </w:r>
      <w:r w:rsidRPr="00866D38">
        <w:rPr>
          <w:rFonts w:hint="eastAsia"/>
        </w:rPr>
        <w:t>相對</w:t>
      </w:r>
      <w:r w:rsidR="004738D7" w:rsidRPr="00866D38">
        <w:rPr>
          <w:rFonts w:hint="eastAsia"/>
        </w:rPr>
        <w:t>缺乏</w:t>
      </w:r>
      <w:r w:rsidRPr="00866D38">
        <w:rPr>
          <w:rFonts w:hint="eastAsia"/>
        </w:rPr>
        <w:t>之情形</w:t>
      </w:r>
      <w:r w:rsidR="00B65F2A" w:rsidRPr="00866D38">
        <w:rPr>
          <w:rFonts w:hint="eastAsia"/>
        </w:rPr>
        <w:t>，顯有待深化產學合作成效</w:t>
      </w:r>
      <w:r w:rsidR="005B6ADD" w:rsidRPr="00866D38">
        <w:rPr>
          <w:rFonts w:hint="eastAsia"/>
        </w:rPr>
        <w:t>。</w:t>
      </w:r>
      <w:r w:rsidR="00962970" w:rsidRPr="00866D38">
        <w:rPr>
          <w:rFonts w:hint="eastAsia"/>
        </w:rPr>
        <w:t>此據</w:t>
      </w:r>
      <w:r w:rsidR="00310219" w:rsidRPr="00866D38">
        <w:rPr>
          <w:rFonts w:hint="eastAsia"/>
        </w:rPr>
        <w:t>教育部</w:t>
      </w:r>
      <w:r w:rsidR="00A50870" w:rsidRPr="00866D38">
        <w:rPr>
          <w:rFonts w:hint="eastAsia"/>
          <w:bCs/>
        </w:rPr>
        <w:t>105年1月11日</w:t>
      </w:r>
      <w:r w:rsidR="00A50870" w:rsidRPr="00866D38">
        <w:rPr>
          <w:rFonts w:hAnsi="標楷體" w:hint="eastAsia"/>
          <w:bCs/>
        </w:rPr>
        <w:t>「發展典範科技大學計畫」期末考評第3次會議紀錄附件</w:t>
      </w:r>
      <w:r w:rsidR="00A50870" w:rsidRPr="00866D38">
        <w:rPr>
          <w:rFonts w:hint="eastAsia"/>
        </w:rPr>
        <w:t>之</w:t>
      </w:r>
      <w:r w:rsidR="00A50870" w:rsidRPr="00866D38">
        <w:rPr>
          <w:rFonts w:hAnsi="標楷體" w:hint="eastAsia"/>
        </w:rPr>
        <w:t>「</w:t>
      </w:r>
      <w:r w:rsidR="00A50870" w:rsidRPr="00866D38">
        <w:rPr>
          <w:rFonts w:hint="eastAsia"/>
        </w:rPr>
        <w:t>104年度該計畫執行成效之考評結果相關意見摘要</w:t>
      </w:r>
      <w:r w:rsidR="00A50870" w:rsidRPr="00866D38">
        <w:rPr>
          <w:rFonts w:hAnsi="標楷體" w:hint="eastAsia"/>
        </w:rPr>
        <w:t>」</w:t>
      </w:r>
      <w:r w:rsidR="00A50870" w:rsidRPr="00866D38">
        <w:rPr>
          <w:rFonts w:hint="eastAsia"/>
        </w:rPr>
        <w:t>指出，</w:t>
      </w:r>
      <w:r w:rsidR="00A50870" w:rsidRPr="00866D38">
        <w:rPr>
          <w:rFonts w:hAnsi="標楷體" w:hint="eastAsia"/>
        </w:rPr>
        <w:t>「</w:t>
      </w:r>
      <w:r w:rsidR="00E74359" w:rsidRPr="00866D38">
        <w:rPr>
          <w:rFonts w:hAnsi="標楷體" w:hint="eastAsia"/>
        </w:rPr>
        <w:t>產學合作少有私部門，建議經濟部給予誘因，以引導之</w:t>
      </w:r>
      <w:r w:rsidR="00A50870" w:rsidRPr="00866D38">
        <w:rPr>
          <w:rFonts w:hAnsi="標楷體"/>
        </w:rPr>
        <w:t>……</w:t>
      </w:r>
      <w:r w:rsidR="00A50870" w:rsidRPr="00866D38">
        <w:rPr>
          <w:rFonts w:hAnsi="標楷體" w:hint="eastAsia"/>
        </w:rPr>
        <w:t>」</w:t>
      </w:r>
      <w:r w:rsidR="001F4BCA" w:rsidRPr="00866D38">
        <w:rPr>
          <w:rFonts w:ascii="新細明體" w:eastAsia="新細明體" w:hAnsi="新細明體" w:hint="eastAsia"/>
        </w:rPr>
        <w:t>、</w:t>
      </w:r>
      <w:r w:rsidR="00E74359" w:rsidRPr="00866D38">
        <w:rPr>
          <w:rFonts w:hAnsi="標楷體" w:hint="eastAsia"/>
        </w:rPr>
        <w:t>「</w:t>
      </w:r>
      <w:r w:rsidR="00864270" w:rsidRPr="00866D38">
        <w:rPr>
          <w:rFonts w:hAnsi="標楷體" w:hint="eastAsia"/>
        </w:rPr>
        <w:t>典範科大的執行使得科技大學有所成長及改變，但教育部應注意除了量的改變外，質的內涵更應關注（如</w:t>
      </w:r>
      <w:r w:rsidR="00864270" w:rsidRPr="00866D38">
        <w:rPr>
          <w:rFonts w:hAnsi="標楷體"/>
        </w:rPr>
        <w:t>……</w:t>
      </w:r>
      <w:r w:rsidR="00BF4FD7" w:rsidRPr="00866D38">
        <w:rPr>
          <w:rFonts w:hAnsi="標楷體" w:hint="eastAsia"/>
        </w:rPr>
        <w:t>產學合作少有私部門之對象</w:t>
      </w:r>
      <w:r w:rsidR="00E74359" w:rsidRPr="00866D38">
        <w:rPr>
          <w:rFonts w:hAnsi="標楷體"/>
        </w:rPr>
        <w:t>……</w:t>
      </w:r>
      <w:r w:rsidR="0020748E" w:rsidRPr="00866D38">
        <w:rPr>
          <w:rFonts w:hAnsi="標楷體"/>
        </w:rPr>
        <w:t>）</w:t>
      </w:r>
      <w:r w:rsidR="00E74359" w:rsidRPr="00866D38">
        <w:rPr>
          <w:rFonts w:hAnsi="標楷體" w:hint="eastAsia"/>
        </w:rPr>
        <w:t>」</w:t>
      </w:r>
      <w:r w:rsidR="00CA0C16" w:rsidRPr="00866D38">
        <w:rPr>
          <w:rFonts w:ascii="新細明體" w:eastAsia="新細明體" w:hAnsi="新細明體" w:hint="eastAsia"/>
        </w:rPr>
        <w:t>、</w:t>
      </w:r>
      <w:r w:rsidR="001F4BCA" w:rsidRPr="00866D38">
        <w:rPr>
          <w:rFonts w:hAnsi="標楷體" w:hint="eastAsia"/>
        </w:rPr>
        <w:t>「</w:t>
      </w:r>
      <w:r w:rsidR="00267FE8" w:rsidRPr="00866D38">
        <w:rPr>
          <w:rFonts w:hAnsi="標楷體" w:hint="eastAsia"/>
        </w:rPr>
        <w:t>有關政策引導以利學校與私部門合作之配套1節，</w:t>
      </w:r>
      <w:r w:rsidR="00500E4E" w:rsidRPr="00866D38">
        <w:rPr>
          <w:rFonts w:hAnsi="標楷體" w:hint="eastAsia"/>
        </w:rPr>
        <w:t>可由經濟部與教育部共同出題，建議可提至次長</w:t>
      </w:r>
      <w:r w:rsidR="00C35927" w:rsidRPr="00866D38">
        <w:rPr>
          <w:rFonts w:hAnsi="標楷體" w:hint="eastAsia"/>
        </w:rPr>
        <w:t>層級</w:t>
      </w:r>
      <w:r w:rsidR="00500E4E" w:rsidRPr="00866D38">
        <w:rPr>
          <w:rFonts w:hAnsi="標楷體" w:hint="eastAsia"/>
        </w:rPr>
        <w:t>跨部會平臺處理</w:t>
      </w:r>
      <w:r w:rsidR="00500E4E" w:rsidRPr="00866D38">
        <w:rPr>
          <w:rFonts w:hAnsi="標楷體"/>
        </w:rPr>
        <w:t>……</w:t>
      </w:r>
      <w:r w:rsidR="001F4BCA" w:rsidRPr="00866D38">
        <w:rPr>
          <w:rFonts w:hAnsi="標楷體" w:hint="eastAsia"/>
        </w:rPr>
        <w:t>」</w:t>
      </w:r>
      <w:r w:rsidR="00CA0C16" w:rsidRPr="00866D38">
        <w:rPr>
          <w:rFonts w:hAnsi="標楷體" w:hint="eastAsia"/>
        </w:rPr>
        <w:t>及「</w:t>
      </w:r>
      <w:r w:rsidR="00CC53D6" w:rsidRPr="00866D38">
        <w:rPr>
          <w:rFonts w:hAnsi="標楷體" w:hint="eastAsia"/>
        </w:rPr>
        <w:t>有關產學合作部分，科技部業變更相關補助方式，至私部門部分由產業支應相對的配合款項</w:t>
      </w:r>
      <w:r w:rsidR="00CA0C16" w:rsidRPr="00866D38">
        <w:rPr>
          <w:rFonts w:hAnsi="標楷體" w:hint="eastAsia"/>
        </w:rPr>
        <w:t>」</w:t>
      </w:r>
      <w:r w:rsidR="00962970" w:rsidRPr="00866D38">
        <w:rPr>
          <w:rFonts w:hAnsi="標楷體" w:hint="eastAsia"/>
        </w:rPr>
        <w:t>等</w:t>
      </w:r>
      <w:r w:rsidR="00962970" w:rsidRPr="00866D38">
        <w:rPr>
          <w:rFonts w:hint="eastAsia"/>
        </w:rPr>
        <w:t>，以及</w:t>
      </w:r>
      <w:r w:rsidR="00310219" w:rsidRPr="00866D38">
        <w:rPr>
          <w:rFonts w:hint="eastAsia"/>
        </w:rPr>
        <w:t>教育部106年高等教育競爭性</w:t>
      </w:r>
      <w:r w:rsidR="00310219" w:rsidRPr="00866D38">
        <w:rPr>
          <w:rFonts w:hint="eastAsia"/>
        </w:rPr>
        <w:lastRenderedPageBreak/>
        <w:t>經費延續計畫</w:t>
      </w:r>
      <w:r w:rsidR="00310219" w:rsidRPr="00866D38">
        <w:rPr>
          <w:rStyle w:val="aff"/>
        </w:rPr>
        <w:footnoteReference w:id="9"/>
      </w:r>
      <w:r w:rsidR="00310219" w:rsidRPr="00866D38">
        <w:rPr>
          <w:rFonts w:hint="eastAsia"/>
        </w:rPr>
        <w:t>關於原計畫之</w:t>
      </w:r>
      <w:r w:rsidR="00310219" w:rsidRPr="00866D38">
        <w:rPr>
          <w:rFonts w:hAnsi="標楷體" w:hint="eastAsia"/>
        </w:rPr>
        <w:t>「執行情形及檢討」部分</w:t>
      </w:r>
      <w:r w:rsidR="00310219" w:rsidRPr="00866D38">
        <w:rPr>
          <w:rFonts w:hint="eastAsia"/>
        </w:rPr>
        <w:t>載明：</w:t>
      </w:r>
      <w:r w:rsidR="00310219" w:rsidRPr="00866D38">
        <w:rPr>
          <w:rFonts w:hAnsi="標楷體" w:hint="eastAsia"/>
        </w:rPr>
        <w:t>「</w:t>
      </w:r>
      <w:r w:rsidR="00310219" w:rsidRPr="00866D38">
        <w:rPr>
          <w:rFonts w:hAnsi="標楷體" w:hint="eastAsia"/>
          <w:bCs/>
          <w:kern w:val="32"/>
          <w:szCs w:val="52"/>
        </w:rPr>
        <w:t>教師與產業實務連結仍有不足，技術升等</w:t>
      </w:r>
      <w:r w:rsidR="00B90E24">
        <w:rPr>
          <w:rFonts w:hAnsi="標楷體" w:hint="eastAsia"/>
          <w:bCs/>
          <w:kern w:val="32"/>
          <w:szCs w:val="52"/>
        </w:rPr>
        <w:t>比率</w:t>
      </w:r>
      <w:r w:rsidR="00310219" w:rsidRPr="00866D38">
        <w:rPr>
          <w:rFonts w:hAnsi="標楷體" w:hint="eastAsia"/>
          <w:bCs/>
          <w:kern w:val="32"/>
          <w:szCs w:val="52"/>
        </w:rPr>
        <w:t>有待提升：為改變教師走往學術化的方向，鼓勵教師產學合作，103學年度典範科技大學專任教師具實務經驗</w:t>
      </w:r>
      <w:r w:rsidR="00B90E24">
        <w:rPr>
          <w:rFonts w:hAnsi="標楷體" w:hint="eastAsia"/>
          <w:bCs/>
          <w:kern w:val="32"/>
          <w:szCs w:val="52"/>
        </w:rPr>
        <w:t>比率</w:t>
      </w:r>
      <w:r w:rsidR="00310219" w:rsidRPr="00866D38">
        <w:rPr>
          <w:rFonts w:hAnsi="標楷體" w:hint="eastAsia"/>
          <w:bCs/>
          <w:kern w:val="32"/>
          <w:szCs w:val="52"/>
        </w:rPr>
        <w:t>達70.84％，較102學年度之64.68％成長6.16％，另教師自相關研發成果中衍生技術報告篇數亦較102年增加38篇，但整體而言教師的教學內容調整、心態轉變及選擇以技術報告升等途徑之成果仍有不足。103學年度典範科技大學專任教師以技術報告通過升等</w:t>
      </w:r>
      <w:r w:rsidR="00B90E24">
        <w:rPr>
          <w:rFonts w:hAnsi="標楷體" w:hint="eastAsia"/>
          <w:bCs/>
          <w:kern w:val="32"/>
          <w:szCs w:val="52"/>
        </w:rPr>
        <w:t>比率</w:t>
      </w:r>
      <w:r w:rsidR="00310219" w:rsidRPr="00866D38">
        <w:rPr>
          <w:rFonts w:hAnsi="標楷體" w:hint="eastAsia"/>
          <w:bCs/>
          <w:kern w:val="32"/>
          <w:szCs w:val="52"/>
        </w:rPr>
        <w:t>，占所有專任教師通過升等</w:t>
      </w:r>
      <w:r w:rsidR="00B90E24">
        <w:rPr>
          <w:rFonts w:hAnsi="標楷體" w:hint="eastAsia"/>
          <w:bCs/>
          <w:kern w:val="32"/>
          <w:szCs w:val="52"/>
        </w:rPr>
        <w:t>比率</w:t>
      </w:r>
      <w:r w:rsidR="00310219" w:rsidRPr="00866D38">
        <w:rPr>
          <w:rFonts w:hAnsi="標楷體" w:hint="eastAsia"/>
          <w:bCs/>
          <w:kern w:val="32"/>
          <w:szCs w:val="52"/>
        </w:rPr>
        <w:t>達12％，雖較101學年度提高4.38%，但顯示教師與產業實務連結及重視實務研發應用研究之程度仍有不足，有待建立更強的誘因與機制推動</w:t>
      </w:r>
      <w:r w:rsidR="00310219" w:rsidRPr="00866D38">
        <w:rPr>
          <w:rFonts w:hAnsi="標楷體"/>
          <w:bCs/>
          <w:kern w:val="32"/>
          <w:szCs w:val="52"/>
        </w:rPr>
        <w:t>……</w:t>
      </w:r>
      <w:r w:rsidR="00C35927" w:rsidRPr="00866D38">
        <w:rPr>
          <w:rFonts w:hAnsi="標楷體" w:hint="eastAsia"/>
        </w:rPr>
        <w:t>」</w:t>
      </w:r>
      <w:r w:rsidR="00962970" w:rsidRPr="00866D38">
        <w:rPr>
          <w:rFonts w:hAnsi="標楷體" w:hint="eastAsia"/>
        </w:rPr>
        <w:t>等</w:t>
      </w:r>
      <w:r w:rsidR="00310219" w:rsidRPr="00866D38">
        <w:rPr>
          <w:rFonts w:hAnsi="標楷體" w:hint="eastAsia"/>
        </w:rPr>
        <w:t>在卷可稽。</w:t>
      </w:r>
      <w:r w:rsidR="008E2C87" w:rsidRPr="00866D38">
        <w:rPr>
          <w:rFonts w:hAnsi="標楷體" w:hint="eastAsia"/>
        </w:rPr>
        <w:t>針對</w:t>
      </w:r>
      <w:r w:rsidR="003B2808" w:rsidRPr="00866D38">
        <w:rPr>
          <w:rFonts w:hAnsi="標楷體" w:hint="eastAsia"/>
        </w:rPr>
        <w:t>後續</w:t>
      </w:r>
      <w:r w:rsidR="008E2C87" w:rsidRPr="00866D38">
        <w:rPr>
          <w:rFonts w:hAnsi="標楷體" w:hint="eastAsia"/>
        </w:rPr>
        <w:t>作為，</w:t>
      </w:r>
      <w:r w:rsidR="003B2808" w:rsidRPr="00866D38">
        <w:rPr>
          <w:rFonts w:hAnsi="標楷體" w:hint="eastAsia"/>
        </w:rPr>
        <w:t>依教育部意見指出107年起推動高教深耕計畫，其中技專校院應逐年提升專任教師具業界實務經驗</w:t>
      </w:r>
      <w:r w:rsidR="00B90E24">
        <w:rPr>
          <w:rFonts w:hAnsi="標楷體" w:hint="eastAsia"/>
        </w:rPr>
        <w:t>比率</w:t>
      </w:r>
      <w:r w:rsidR="003B2808" w:rsidRPr="00866D38">
        <w:rPr>
          <w:rFonts w:hAnsi="標楷體" w:hint="eastAsia"/>
        </w:rPr>
        <w:t>列為政策目標，後續將再函請各校需重視兼任教師所具實務經驗能力，以達將產業新知回饋於實務課程，提升學生實務學習之目標</w:t>
      </w:r>
      <w:r w:rsidR="00722FA6" w:rsidRPr="00866D38">
        <w:rPr>
          <w:rFonts w:hAnsi="標楷體" w:hint="eastAsia"/>
        </w:rPr>
        <w:t>等</w:t>
      </w:r>
      <w:r w:rsidR="008E2C87" w:rsidRPr="00866D38">
        <w:rPr>
          <w:rFonts w:hAnsi="標楷體" w:hint="eastAsia"/>
        </w:rPr>
        <w:t>，均有待該部賡續列管督導</w:t>
      </w:r>
      <w:r w:rsidR="003B2808" w:rsidRPr="00866D38">
        <w:rPr>
          <w:rFonts w:hAnsi="標楷體" w:hint="eastAsia"/>
        </w:rPr>
        <w:t>。</w:t>
      </w:r>
    </w:p>
    <w:p w:rsidR="005C527C" w:rsidRPr="00866D38" w:rsidRDefault="005C527C" w:rsidP="00B90E24">
      <w:pPr>
        <w:pStyle w:val="1"/>
        <w:numPr>
          <w:ilvl w:val="2"/>
          <w:numId w:val="16"/>
        </w:numPr>
        <w:overflowPunct/>
        <w:autoSpaceDE/>
        <w:autoSpaceDN/>
      </w:pPr>
      <w:bookmarkStart w:id="115" w:name="_Toc519839614"/>
      <w:bookmarkStart w:id="116" w:name="_Toc519844504"/>
      <w:bookmarkStart w:id="117" w:name="_Toc519864750"/>
      <w:bookmarkStart w:id="118" w:name="_Toc523220150"/>
      <w:r w:rsidRPr="00866D38">
        <w:rPr>
          <w:rFonts w:hint="eastAsia"/>
        </w:rPr>
        <w:t>綜上，</w:t>
      </w:r>
      <w:r w:rsidR="00722FA6" w:rsidRPr="00866D38">
        <w:rPr>
          <w:rFonts w:hint="eastAsia"/>
        </w:rPr>
        <w:t>教育部</w:t>
      </w:r>
      <w:r w:rsidR="00B90E24" w:rsidRPr="00B90E24">
        <w:rPr>
          <w:rFonts w:hint="eastAsia"/>
        </w:rPr>
        <w:t>推動典範科大計畫</w:t>
      </w:r>
      <w:r w:rsidR="00070F2C" w:rsidRPr="00866D38">
        <w:rPr>
          <w:rFonts w:hint="eastAsia"/>
        </w:rPr>
        <w:t>將「強化學校產學實務連結」</w:t>
      </w:r>
      <w:r w:rsidR="001C46FE" w:rsidRPr="00866D38">
        <w:rPr>
          <w:rFonts w:hint="eastAsia"/>
        </w:rPr>
        <w:t>及「深耕特定專業技術」等列為計畫推動重點，</w:t>
      </w:r>
      <w:r w:rsidR="00A1689A" w:rsidRPr="00866D38">
        <w:rPr>
          <w:rFonts w:hint="eastAsia"/>
        </w:rPr>
        <w:t>且</w:t>
      </w:r>
      <w:r w:rsidR="00C35927" w:rsidRPr="00866D38">
        <w:rPr>
          <w:rFonts w:hint="eastAsia"/>
        </w:rPr>
        <w:t>已有初步成效</w:t>
      </w:r>
      <w:r w:rsidR="001C46FE" w:rsidRPr="00866D38">
        <w:rPr>
          <w:rFonts w:hint="eastAsia"/>
        </w:rPr>
        <w:t>，惟多項</w:t>
      </w:r>
      <w:r w:rsidR="0046726A" w:rsidRPr="00866D38">
        <w:rPr>
          <w:rFonts w:hint="eastAsia"/>
        </w:rPr>
        <w:t>執行</w:t>
      </w:r>
      <w:r w:rsidR="00C35927" w:rsidRPr="00866D38">
        <w:rPr>
          <w:rFonts w:hint="eastAsia"/>
        </w:rPr>
        <w:t>之實質內容仍待深化，</w:t>
      </w:r>
      <w:r w:rsidR="0014020E" w:rsidRPr="00866D38">
        <w:rPr>
          <w:rFonts w:hint="eastAsia"/>
        </w:rPr>
        <w:t>以</w:t>
      </w:r>
      <w:r w:rsidR="00070F2C" w:rsidRPr="00866D38">
        <w:rPr>
          <w:rFonts w:hint="eastAsia"/>
        </w:rPr>
        <w:t>整體高等技職教育角色定位，現職教師與產業實務之連結</w:t>
      </w:r>
      <w:r w:rsidR="00C35927" w:rsidRPr="00866D38">
        <w:rPr>
          <w:rFonts w:hint="eastAsia"/>
        </w:rPr>
        <w:t>不夠</w:t>
      </w:r>
      <w:r w:rsidR="00070F2C" w:rsidRPr="00866D38">
        <w:rPr>
          <w:rFonts w:hint="eastAsia"/>
        </w:rPr>
        <w:t>充分，技術升等</w:t>
      </w:r>
      <w:r w:rsidR="00B90E24">
        <w:rPr>
          <w:rFonts w:hint="eastAsia"/>
        </w:rPr>
        <w:t>比率</w:t>
      </w:r>
      <w:r w:rsidR="00C35927" w:rsidRPr="00866D38">
        <w:rPr>
          <w:rFonts w:hint="eastAsia"/>
        </w:rPr>
        <w:t>尚</w:t>
      </w:r>
      <w:r w:rsidR="00070F2C" w:rsidRPr="00866D38">
        <w:rPr>
          <w:rFonts w:hint="eastAsia"/>
        </w:rPr>
        <w:t>待強化，後續該部仍有積極策進之必要，以期發揮典範</w:t>
      </w:r>
      <w:r w:rsidR="00722FA6" w:rsidRPr="00866D38">
        <w:rPr>
          <w:rFonts w:hint="eastAsia"/>
        </w:rPr>
        <w:t>科技大學</w:t>
      </w:r>
      <w:r w:rsidR="00070F2C" w:rsidRPr="00866D38">
        <w:rPr>
          <w:rFonts w:hint="eastAsia"/>
        </w:rPr>
        <w:t>技職教育領頭羊之效</w:t>
      </w:r>
      <w:r w:rsidRPr="00866D38">
        <w:rPr>
          <w:rFonts w:hint="eastAsia"/>
        </w:rPr>
        <w:t>。</w:t>
      </w:r>
      <w:bookmarkEnd w:id="115"/>
      <w:bookmarkEnd w:id="116"/>
      <w:bookmarkEnd w:id="117"/>
      <w:bookmarkEnd w:id="118"/>
    </w:p>
    <w:p w:rsidR="00464205" w:rsidRPr="00866D38" w:rsidRDefault="00464205" w:rsidP="00464205">
      <w:pPr>
        <w:pStyle w:val="2"/>
        <w:rPr>
          <w:b/>
        </w:rPr>
      </w:pPr>
      <w:bookmarkStart w:id="119" w:name="_Toc439076316"/>
      <w:bookmarkStart w:id="120" w:name="_Toc523220151"/>
      <w:r w:rsidRPr="00866D38">
        <w:rPr>
          <w:rFonts w:hAnsi="標楷體" w:hint="eastAsia"/>
          <w:b/>
        </w:rPr>
        <w:t>審計部前於</w:t>
      </w:r>
      <w:r w:rsidR="00B83318" w:rsidRPr="00866D38">
        <w:rPr>
          <w:rFonts w:hAnsi="標楷體" w:hint="eastAsia"/>
          <w:b/>
        </w:rPr>
        <w:t>101年起陸續針對教育部試辦及執行典範</w:t>
      </w:r>
      <w:r w:rsidR="00722FA6" w:rsidRPr="00866D38">
        <w:rPr>
          <w:rFonts w:hAnsi="標楷體" w:hint="eastAsia"/>
          <w:b/>
        </w:rPr>
        <w:lastRenderedPageBreak/>
        <w:t>科大</w:t>
      </w:r>
      <w:r w:rsidR="00B83318" w:rsidRPr="00866D38">
        <w:rPr>
          <w:rFonts w:hAnsi="標楷體" w:hint="eastAsia"/>
          <w:b/>
        </w:rPr>
        <w:t>計畫提出相關查核報告，又於</w:t>
      </w:r>
      <w:r w:rsidRPr="00866D38">
        <w:rPr>
          <w:rFonts w:hAnsi="標楷體" w:hint="eastAsia"/>
          <w:b/>
        </w:rPr>
        <w:t>10</w:t>
      </w:r>
      <w:r w:rsidR="0034665B" w:rsidRPr="00866D38">
        <w:rPr>
          <w:rFonts w:hAnsi="標楷體" w:hint="eastAsia"/>
          <w:b/>
        </w:rPr>
        <w:t>5</w:t>
      </w:r>
      <w:r w:rsidR="004D0DE1" w:rsidRPr="00866D38">
        <w:rPr>
          <w:rFonts w:hAnsi="標楷體" w:hint="eastAsia"/>
          <w:b/>
        </w:rPr>
        <w:t>年</w:t>
      </w:r>
      <w:r w:rsidR="005770B0" w:rsidRPr="00866D38">
        <w:rPr>
          <w:rFonts w:hAnsi="標楷體" w:hint="eastAsia"/>
          <w:b/>
        </w:rPr>
        <w:t>度</w:t>
      </w:r>
      <w:r w:rsidR="004D0DE1" w:rsidRPr="00866D38">
        <w:rPr>
          <w:rFonts w:hAnsi="標楷體" w:hint="eastAsia"/>
          <w:b/>
        </w:rPr>
        <w:t>中央政府總決算審核報告</w:t>
      </w:r>
      <w:r w:rsidRPr="00866D38">
        <w:rPr>
          <w:rFonts w:hAnsi="標楷體" w:hint="eastAsia"/>
          <w:b/>
        </w:rPr>
        <w:t>查核結果指出</w:t>
      </w:r>
      <w:r w:rsidR="00CE79F2" w:rsidRPr="00866D38">
        <w:rPr>
          <w:rFonts w:hAnsi="標楷體" w:hint="eastAsia"/>
          <w:b/>
        </w:rPr>
        <w:t>，</w:t>
      </w:r>
      <w:r w:rsidR="00574B33" w:rsidRPr="00866D38">
        <w:rPr>
          <w:rFonts w:hAnsi="標楷體" w:hint="eastAsia"/>
          <w:b/>
        </w:rPr>
        <w:t>教育部執行</w:t>
      </w:r>
      <w:r w:rsidR="00722FA6" w:rsidRPr="00866D38">
        <w:rPr>
          <w:rFonts w:hAnsi="標楷體" w:hint="eastAsia"/>
          <w:b/>
        </w:rPr>
        <w:t>該</w:t>
      </w:r>
      <w:r w:rsidR="004306D4" w:rsidRPr="00866D38">
        <w:rPr>
          <w:rFonts w:hAnsi="標楷體" w:hint="eastAsia"/>
          <w:b/>
        </w:rPr>
        <w:t>計畫</w:t>
      </w:r>
      <w:r w:rsidRPr="00866D38">
        <w:rPr>
          <w:rFonts w:hAnsi="標楷體" w:hint="eastAsia"/>
          <w:b/>
        </w:rPr>
        <w:t>仍有部分未</w:t>
      </w:r>
      <w:r w:rsidR="007F1D5A" w:rsidRPr="00866D38">
        <w:rPr>
          <w:rFonts w:hAnsi="標楷體" w:hint="eastAsia"/>
          <w:b/>
        </w:rPr>
        <w:t>盡</w:t>
      </w:r>
      <w:r w:rsidRPr="00866D38">
        <w:rPr>
          <w:rFonts w:hAnsi="標楷體" w:hint="eastAsia"/>
          <w:b/>
        </w:rPr>
        <w:t>情事</w:t>
      </w:r>
      <w:r w:rsidR="00DD5F5C" w:rsidRPr="00866D38">
        <w:rPr>
          <w:rFonts w:hAnsi="標楷體" w:hint="eastAsia"/>
          <w:b/>
        </w:rPr>
        <w:t>，</w:t>
      </w:r>
      <w:r w:rsidR="007569A9" w:rsidRPr="00866D38">
        <w:rPr>
          <w:rFonts w:hAnsi="標楷體" w:hint="eastAsia"/>
          <w:b/>
        </w:rPr>
        <w:t>該部</w:t>
      </w:r>
      <w:r w:rsidR="00DD5F5C" w:rsidRPr="00866D38">
        <w:rPr>
          <w:rFonts w:hAnsi="標楷體" w:hint="eastAsia"/>
          <w:b/>
        </w:rPr>
        <w:t>雖已針對</w:t>
      </w:r>
      <w:r w:rsidR="00DB4227" w:rsidRPr="00866D38">
        <w:rPr>
          <w:rFonts w:hAnsi="標楷體" w:hint="eastAsia"/>
          <w:b/>
        </w:rPr>
        <w:t>審核</w:t>
      </w:r>
      <w:r w:rsidR="00DD5F5C" w:rsidRPr="00866D38">
        <w:rPr>
          <w:rFonts w:hAnsi="標楷體" w:hint="eastAsia"/>
          <w:b/>
        </w:rPr>
        <w:t>內容查復，惟</w:t>
      </w:r>
      <w:r w:rsidR="00866BC7" w:rsidRPr="00866D38">
        <w:rPr>
          <w:rFonts w:hAnsi="標楷體" w:hint="eastAsia"/>
          <w:b/>
        </w:rPr>
        <w:t>有關</w:t>
      </w:r>
      <w:r w:rsidR="007569A9" w:rsidRPr="00866D38">
        <w:rPr>
          <w:rFonts w:hAnsi="標楷體" w:hint="eastAsia"/>
          <w:b/>
        </w:rPr>
        <w:t>技職教育整體</w:t>
      </w:r>
      <w:r w:rsidR="003653AA" w:rsidRPr="00866D38">
        <w:rPr>
          <w:rFonts w:hAnsi="標楷體" w:hint="eastAsia"/>
          <w:b/>
        </w:rPr>
        <w:t>資源配置、</w:t>
      </w:r>
      <w:r w:rsidR="00105572" w:rsidRPr="00866D38">
        <w:rPr>
          <w:rFonts w:hAnsi="標楷體" w:hint="eastAsia"/>
          <w:b/>
        </w:rPr>
        <w:t>延續</w:t>
      </w:r>
      <w:r w:rsidR="003653AA" w:rsidRPr="00866D38">
        <w:rPr>
          <w:rFonts w:hAnsi="標楷體" w:hint="eastAsia"/>
          <w:b/>
        </w:rPr>
        <w:t>計畫成效等面向</w:t>
      </w:r>
      <w:r w:rsidR="007569A9" w:rsidRPr="00866D38">
        <w:rPr>
          <w:rFonts w:hAnsi="標楷體" w:hint="eastAsia"/>
          <w:b/>
        </w:rPr>
        <w:t>，</w:t>
      </w:r>
      <w:r w:rsidR="00DD5F5C" w:rsidRPr="00866D38">
        <w:rPr>
          <w:rFonts w:hAnsi="標楷體" w:hint="eastAsia"/>
          <w:b/>
        </w:rPr>
        <w:t>仍應</w:t>
      </w:r>
      <w:r w:rsidR="007569A9" w:rsidRPr="00866D38">
        <w:rPr>
          <w:rFonts w:hAnsi="標楷體" w:hint="eastAsia"/>
          <w:b/>
        </w:rPr>
        <w:t>參酌相關</w:t>
      </w:r>
      <w:r w:rsidR="00DD5F5C" w:rsidRPr="00866D38">
        <w:rPr>
          <w:rFonts w:hAnsi="標楷體" w:hint="eastAsia"/>
          <w:b/>
        </w:rPr>
        <w:t>審核意見</w:t>
      </w:r>
      <w:r w:rsidR="007569A9" w:rsidRPr="00866D38">
        <w:rPr>
          <w:rFonts w:hAnsi="標楷體" w:hint="eastAsia"/>
          <w:b/>
        </w:rPr>
        <w:t>，</w:t>
      </w:r>
      <w:r w:rsidR="00722FA6" w:rsidRPr="00866D38">
        <w:rPr>
          <w:rFonts w:hAnsi="標楷體" w:hint="eastAsia"/>
          <w:b/>
        </w:rPr>
        <w:t>予以</w:t>
      </w:r>
      <w:r w:rsidR="0092119D" w:rsidRPr="00866D38">
        <w:rPr>
          <w:rFonts w:hAnsi="標楷體" w:hint="eastAsia"/>
          <w:b/>
        </w:rPr>
        <w:t>正視</w:t>
      </w:r>
      <w:r w:rsidR="002637CD" w:rsidRPr="00866D38">
        <w:rPr>
          <w:rFonts w:hAnsi="標楷體" w:hint="eastAsia"/>
          <w:b/>
        </w:rPr>
        <w:t>併予檢討</w:t>
      </w:r>
      <w:r w:rsidR="0092119D" w:rsidRPr="00866D38">
        <w:rPr>
          <w:rFonts w:hAnsi="標楷體" w:hint="eastAsia"/>
          <w:b/>
        </w:rPr>
        <w:t>，</w:t>
      </w:r>
      <w:r w:rsidR="00105572" w:rsidRPr="00866D38">
        <w:rPr>
          <w:rFonts w:hAnsi="標楷體" w:hint="eastAsia"/>
          <w:b/>
        </w:rPr>
        <w:t>以</w:t>
      </w:r>
      <w:r w:rsidR="00E57B5B" w:rsidRPr="00866D38">
        <w:rPr>
          <w:rFonts w:hAnsi="標楷體" w:hint="eastAsia"/>
          <w:b/>
        </w:rPr>
        <w:t>作為</w:t>
      </w:r>
      <w:r w:rsidR="00701D0F" w:rsidRPr="00866D38">
        <w:rPr>
          <w:rFonts w:hAnsi="標楷體" w:hint="eastAsia"/>
          <w:b/>
        </w:rPr>
        <w:t>整體技職教育</w:t>
      </w:r>
      <w:r w:rsidR="00E57B5B" w:rsidRPr="00866D38">
        <w:rPr>
          <w:rFonts w:hAnsi="標楷體" w:hint="eastAsia"/>
          <w:b/>
        </w:rPr>
        <w:t>後續</w:t>
      </w:r>
      <w:r w:rsidR="00701D0F" w:rsidRPr="00866D38">
        <w:rPr>
          <w:rFonts w:hAnsi="標楷體" w:hint="eastAsia"/>
          <w:b/>
        </w:rPr>
        <w:t>相關計畫、</w:t>
      </w:r>
      <w:r w:rsidR="00E57B5B" w:rsidRPr="00866D38">
        <w:rPr>
          <w:rFonts w:hAnsi="標楷體" w:hint="eastAsia"/>
          <w:b/>
        </w:rPr>
        <w:t>建置</w:t>
      </w:r>
      <w:r w:rsidR="00701D0F" w:rsidRPr="00866D38">
        <w:rPr>
          <w:rFonts w:hAnsi="標楷體" w:hint="eastAsia"/>
          <w:b/>
        </w:rPr>
        <w:t>措施及銜接策略</w:t>
      </w:r>
      <w:r w:rsidR="00E57B5B" w:rsidRPr="00866D38">
        <w:rPr>
          <w:rFonts w:hAnsi="標楷體" w:hint="eastAsia"/>
          <w:b/>
        </w:rPr>
        <w:t>之評估參考</w:t>
      </w:r>
      <w:r w:rsidR="00701D0F" w:rsidRPr="00866D38">
        <w:rPr>
          <w:rFonts w:hAnsi="標楷體" w:hint="eastAsia"/>
          <w:b/>
        </w:rPr>
        <w:t>。</w:t>
      </w:r>
      <w:bookmarkEnd w:id="119"/>
      <w:bookmarkEnd w:id="120"/>
    </w:p>
    <w:p w:rsidR="00895FE4" w:rsidRPr="00866D38" w:rsidRDefault="00243792" w:rsidP="00D83138">
      <w:pPr>
        <w:pStyle w:val="3"/>
      </w:pPr>
      <w:bookmarkStart w:id="121" w:name="_Toc519839638"/>
      <w:bookmarkStart w:id="122" w:name="_Toc519844531"/>
      <w:bookmarkStart w:id="123" w:name="_Toc519864774"/>
      <w:bookmarkStart w:id="124" w:name="_Toc523220152"/>
      <w:r w:rsidRPr="00866D38">
        <w:rPr>
          <w:rFonts w:hint="eastAsia"/>
        </w:rPr>
        <w:t>審計部</w:t>
      </w:r>
      <w:r w:rsidR="00E819C8" w:rsidRPr="00866D38">
        <w:rPr>
          <w:rFonts w:hint="eastAsia"/>
        </w:rPr>
        <w:t>歷年</w:t>
      </w:r>
      <w:r w:rsidR="00D83138" w:rsidRPr="00866D38">
        <w:rPr>
          <w:rFonts w:hint="eastAsia"/>
        </w:rPr>
        <w:t>相關查核報告摘要內容如后：</w:t>
      </w:r>
      <w:bookmarkEnd w:id="121"/>
      <w:bookmarkEnd w:id="122"/>
      <w:bookmarkEnd w:id="123"/>
      <w:bookmarkEnd w:id="124"/>
    </w:p>
    <w:p w:rsidR="003C2C8F" w:rsidRPr="00866D38" w:rsidRDefault="00A80F7B" w:rsidP="00895FE4">
      <w:pPr>
        <w:pStyle w:val="4"/>
      </w:pPr>
      <w:r w:rsidRPr="00866D38">
        <w:rPr>
          <w:rFonts w:hint="eastAsia"/>
        </w:rPr>
        <w:t>審計部查</w:t>
      </w:r>
      <w:r w:rsidR="0003019F" w:rsidRPr="00866D38">
        <w:rPr>
          <w:rFonts w:hint="eastAsia"/>
        </w:rPr>
        <w:t>核</w:t>
      </w:r>
      <w:r w:rsidR="003C2C8F" w:rsidRPr="00866D38">
        <w:rPr>
          <w:rFonts w:hint="eastAsia"/>
        </w:rPr>
        <w:t>教育部強化高等教育人才培育及減少學用落差相關措施執行情形專案調查報告(有關101試辦方案-102</w:t>
      </w:r>
      <w:r w:rsidR="00FB73E1">
        <w:rPr>
          <w:rFonts w:hint="eastAsia"/>
        </w:rPr>
        <w:t>年</w:t>
      </w:r>
      <w:r w:rsidR="003C2C8F" w:rsidRPr="00866D38">
        <w:rPr>
          <w:rFonts w:hint="eastAsia"/>
        </w:rPr>
        <w:t>典範科大計畫執行情形部分)</w:t>
      </w:r>
      <w:r w:rsidR="003C2C8F" w:rsidRPr="00866D38">
        <w:rPr>
          <w:rStyle w:val="aff"/>
        </w:rPr>
        <w:footnoteReference w:id="10"/>
      </w:r>
      <w:r w:rsidR="003C2C8F" w:rsidRPr="00866D38">
        <w:rPr>
          <w:rFonts w:hint="eastAsia"/>
        </w:rPr>
        <w:t>核有：發展典範科技大學學校提交之成果報告未盡詳實，審查作業有待落實</w:t>
      </w:r>
      <w:r w:rsidR="003C2C8F" w:rsidRPr="00866D38">
        <w:rPr>
          <w:rStyle w:val="aff"/>
        </w:rPr>
        <w:footnoteReference w:id="11"/>
      </w:r>
      <w:r w:rsidR="003C2C8F" w:rsidRPr="00866D38">
        <w:rPr>
          <w:rFonts w:hint="eastAsia"/>
        </w:rPr>
        <w:t>；考核結果有關人才培育待改進事項繁多，尚待督促學校加強辦理，以符計畫特色等情事。</w:t>
      </w:r>
    </w:p>
    <w:p w:rsidR="003C2C8F" w:rsidRPr="00866D38" w:rsidRDefault="00243792" w:rsidP="00895FE4">
      <w:pPr>
        <w:pStyle w:val="4"/>
      </w:pPr>
      <w:r w:rsidRPr="00866D38">
        <w:rPr>
          <w:rFonts w:hint="eastAsia"/>
        </w:rPr>
        <w:t>審計部查核</w:t>
      </w:r>
      <w:r w:rsidR="003C2C8F" w:rsidRPr="00866D38">
        <w:rPr>
          <w:rFonts w:hint="eastAsia"/>
        </w:rPr>
        <w:t>教育部103年度財務收支及決算抽查報告(有關102-103</w:t>
      </w:r>
      <w:r w:rsidR="00FB73E1">
        <w:rPr>
          <w:rFonts w:hint="eastAsia"/>
        </w:rPr>
        <w:t>年</w:t>
      </w:r>
      <w:r w:rsidR="003C2C8F" w:rsidRPr="00866D38">
        <w:rPr>
          <w:rFonts w:hint="eastAsia"/>
        </w:rPr>
        <w:t>典範科大計畫執行情形部分)</w:t>
      </w:r>
      <w:r w:rsidR="003C2C8F" w:rsidRPr="00866D38">
        <w:rPr>
          <w:rStyle w:val="aff"/>
        </w:rPr>
        <w:footnoteReference w:id="12"/>
      </w:r>
      <w:r w:rsidR="003C2C8F" w:rsidRPr="00866D38">
        <w:rPr>
          <w:rFonts w:hint="eastAsia"/>
          <w:bCs/>
        </w:rPr>
        <w:t>核有</w:t>
      </w:r>
      <w:r w:rsidR="003C2C8F" w:rsidRPr="00866D38">
        <w:rPr>
          <w:rFonts w:ascii="新細明體" w:hAnsi="新細明體" w:hint="eastAsia"/>
          <w:bCs/>
        </w:rPr>
        <w:t>：</w:t>
      </w:r>
      <w:r w:rsidR="00895FE4" w:rsidRPr="00866D38">
        <w:rPr>
          <w:rFonts w:hint="eastAsia"/>
        </w:rPr>
        <w:t>1.</w:t>
      </w:r>
      <w:r w:rsidR="003C2C8F" w:rsidRPr="00866D38">
        <w:rPr>
          <w:rFonts w:hint="eastAsia"/>
        </w:rPr>
        <w:t>逾半數受補助學校具業界</w:t>
      </w:r>
      <w:r w:rsidR="003C2C8F" w:rsidRPr="00866D38">
        <w:rPr>
          <w:rFonts w:cs="標楷體-WinCharSetFFFF-H" w:hint="eastAsia"/>
          <w:kern w:val="0"/>
        </w:rPr>
        <w:t>實務經驗教師比率未達</w:t>
      </w:r>
      <w:r w:rsidR="003C2C8F" w:rsidRPr="00866D38">
        <w:rPr>
          <w:rFonts w:hint="eastAsia"/>
        </w:rPr>
        <w:t>目標</w:t>
      </w:r>
      <w:r w:rsidR="003C2C8F" w:rsidRPr="00866D38">
        <w:rPr>
          <w:rFonts w:cs="標楷體-WinCharSetFFFF-H" w:hint="eastAsia"/>
          <w:kern w:val="0"/>
        </w:rPr>
        <w:t>，仍待積極強</w:t>
      </w:r>
      <w:r w:rsidR="003C2C8F" w:rsidRPr="00866D38">
        <w:rPr>
          <w:rFonts w:hint="eastAsia"/>
        </w:rPr>
        <w:t>化教師實務教學能力</w:t>
      </w:r>
      <w:r w:rsidR="003C2C8F" w:rsidRPr="00866D38">
        <w:rPr>
          <w:rFonts w:ascii="新細明體" w:hAnsi="新細明體" w:hint="eastAsia"/>
        </w:rPr>
        <w:t>；</w:t>
      </w:r>
      <w:r w:rsidR="00895FE4" w:rsidRPr="00866D38">
        <w:rPr>
          <w:rFonts w:hint="eastAsia"/>
        </w:rPr>
        <w:t>2.</w:t>
      </w:r>
      <w:r w:rsidR="003C2C8F" w:rsidRPr="00866D38">
        <w:rPr>
          <w:rFonts w:cs="標楷體-WinCharSetFFFF-H" w:hint="eastAsia"/>
          <w:kern w:val="0"/>
        </w:rPr>
        <w:t>國立臺灣科技大學</w:t>
      </w:r>
      <w:r w:rsidR="003C2C8F" w:rsidRPr="00866D38">
        <w:rPr>
          <w:rFonts w:hint="eastAsia"/>
        </w:rPr>
        <w:t>未能滾動修正</w:t>
      </w:r>
      <w:r w:rsidR="003C2C8F" w:rsidRPr="00866D38">
        <w:rPr>
          <w:rFonts w:cs="標楷體-WinCharSetFFFF-H" w:hint="eastAsia"/>
          <w:kern w:val="0"/>
        </w:rPr>
        <w:t>產學研發</w:t>
      </w:r>
      <w:r w:rsidR="003C2C8F" w:rsidRPr="00866D38">
        <w:rPr>
          <w:rFonts w:hint="eastAsia"/>
        </w:rPr>
        <w:t>績效評估指標，目標值未具挑戰性及激勵作用</w:t>
      </w:r>
      <w:r w:rsidR="003C2C8F" w:rsidRPr="00866D38">
        <w:rPr>
          <w:rFonts w:ascii="新細明體" w:hAnsi="新細明體" w:hint="eastAsia"/>
        </w:rPr>
        <w:t>；</w:t>
      </w:r>
      <w:r w:rsidR="00895FE4" w:rsidRPr="00866D38">
        <w:rPr>
          <w:rFonts w:hint="eastAsia"/>
        </w:rPr>
        <w:t>3.</w:t>
      </w:r>
      <w:r w:rsidR="003C2C8F" w:rsidRPr="00866D38">
        <w:rPr>
          <w:rFonts w:hint="eastAsia"/>
        </w:rPr>
        <w:t>策略聯盟網站平台資料未能隨時更新，未發揮區域學校資源共享機制</w:t>
      </w:r>
      <w:r w:rsidR="003C2C8F" w:rsidRPr="00866D38">
        <w:rPr>
          <w:rFonts w:ascii="新細明體" w:hAnsi="新細明體" w:hint="eastAsia"/>
        </w:rPr>
        <w:t>；</w:t>
      </w:r>
      <w:r w:rsidR="00895FE4" w:rsidRPr="00866D38">
        <w:rPr>
          <w:rFonts w:hint="eastAsia"/>
        </w:rPr>
        <w:t>4.</w:t>
      </w:r>
      <w:r w:rsidR="003C2C8F" w:rsidRPr="00866D38">
        <w:rPr>
          <w:rFonts w:hint="eastAsia"/>
        </w:rPr>
        <w:t>國立高雄應用科技大學計畫書修正、核定，未盡周妥等</w:t>
      </w:r>
      <w:r w:rsidR="003C2C8F" w:rsidRPr="00866D38">
        <w:rPr>
          <w:rFonts w:cs="Arial" w:hint="eastAsia"/>
          <w:spacing w:val="15"/>
        </w:rPr>
        <w:t>情事</w:t>
      </w:r>
      <w:r w:rsidR="003C2C8F" w:rsidRPr="00866D38">
        <w:rPr>
          <w:spacing w:val="-2"/>
          <w:kern w:val="0"/>
        </w:rPr>
        <w:t>。</w:t>
      </w:r>
    </w:p>
    <w:p w:rsidR="00464205" w:rsidRPr="00866D38" w:rsidRDefault="004940AE" w:rsidP="00895FE4">
      <w:pPr>
        <w:pStyle w:val="4"/>
      </w:pPr>
      <w:r w:rsidRPr="00866D38">
        <w:rPr>
          <w:rFonts w:hint="eastAsia"/>
        </w:rPr>
        <w:t>教育部105年度1至8月財務收支抽查報告(</w:t>
      </w:r>
      <w:r w:rsidR="00FB73E1">
        <w:rPr>
          <w:rFonts w:hint="eastAsia"/>
        </w:rPr>
        <w:t>有關</w:t>
      </w:r>
      <w:r w:rsidRPr="00866D38">
        <w:rPr>
          <w:rFonts w:hint="eastAsia"/>
        </w:rPr>
        <w:t>典範科大計畫執行情形部分)</w:t>
      </w:r>
      <w:r w:rsidRPr="00866D38">
        <w:rPr>
          <w:rStyle w:val="aff"/>
        </w:rPr>
        <w:footnoteReference w:id="13"/>
      </w:r>
      <w:r w:rsidR="001E0974" w:rsidRPr="00866D38">
        <w:rPr>
          <w:rFonts w:hint="eastAsia"/>
        </w:rPr>
        <w:t>核有：1.部分學校</w:t>
      </w:r>
      <w:r w:rsidR="001E0974" w:rsidRPr="00866D38">
        <w:rPr>
          <w:rFonts w:hint="eastAsia"/>
        </w:rPr>
        <w:lastRenderedPageBreak/>
        <w:t>系所註冊率欠佳，有待檢討改善以提升人才培育成效；2.部分學校具實務經驗教師人數比率不升反降；3.部分學校業界專家協同教學情形未臻理想，且經費</w:t>
      </w:r>
      <w:r w:rsidR="001D1CC2" w:rsidRPr="00866D38">
        <w:rPr>
          <w:rFonts w:hint="eastAsia"/>
        </w:rPr>
        <w:t>須</w:t>
      </w:r>
      <w:r w:rsidR="001E0974" w:rsidRPr="00866D38">
        <w:rPr>
          <w:rFonts w:hint="eastAsia"/>
        </w:rPr>
        <w:t>賴政府補助，有待建立永續發展機制；4.部分學校系所尚未將實習課程列為畢業必修學分，且校外實習學生人數及總時數減少，並以短期實習為主，尚待持續改善；</w:t>
      </w:r>
      <w:r w:rsidR="004B77C8" w:rsidRPr="00866D38">
        <w:rPr>
          <w:rFonts w:hint="eastAsia"/>
        </w:rPr>
        <w:t>5.</w:t>
      </w:r>
      <w:r w:rsidR="001E0974" w:rsidRPr="00866D38">
        <w:rPr>
          <w:rFonts w:hint="eastAsia"/>
        </w:rPr>
        <w:t>學校產學合作計畫經費多來自政府部門，研發成果申請專利及技術移轉表現未臻理想；</w:t>
      </w:r>
      <w:r w:rsidR="004B77C8" w:rsidRPr="00866D38">
        <w:rPr>
          <w:rFonts w:hint="eastAsia"/>
        </w:rPr>
        <w:t>6.</w:t>
      </w:r>
      <w:r w:rsidR="001E0974" w:rsidRPr="00866D38">
        <w:rPr>
          <w:rFonts w:hint="eastAsia"/>
        </w:rPr>
        <w:t>部分建築設施之執行核有進度落後情事；</w:t>
      </w:r>
      <w:r w:rsidR="004B77C8" w:rsidRPr="00866D38">
        <w:rPr>
          <w:rFonts w:hint="eastAsia"/>
        </w:rPr>
        <w:t>7.</w:t>
      </w:r>
      <w:r w:rsidR="001E0974" w:rsidRPr="00866D38">
        <w:rPr>
          <w:rFonts w:hint="eastAsia"/>
        </w:rPr>
        <w:t>強化工業基礎技術發展方案部分課程培育人才數減少；</w:t>
      </w:r>
      <w:r w:rsidR="004B77C8" w:rsidRPr="00866D38">
        <w:rPr>
          <w:rFonts w:hint="eastAsia"/>
        </w:rPr>
        <w:t>8.</w:t>
      </w:r>
      <w:r w:rsidR="001E0974" w:rsidRPr="00866D38">
        <w:rPr>
          <w:rFonts w:hint="eastAsia"/>
        </w:rPr>
        <w:t>允宜持續配合行政院推動五大創新研發計畫期程，加強推動產業研發及人才培育；</w:t>
      </w:r>
      <w:r w:rsidR="004B77C8" w:rsidRPr="00866D38">
        <w:rPr>
          <w:rFonts w:hint="eastAsia"/>
        </w:rPr>
        <w:t>9.</w:t>
      </w:r>
      <w:r w:rsidR="001E0974" w:rsidRPr="00866D38">
        <w:rPr>
          <w:rFonts w:hint="eastAsia"/>
        </w:rPr>
        <w:t>區域策略</w:t>
      </w:r>
      <w:r w:rsidR="002179D5" w:rsidRPr="00866D38">
        <w:rPr>
          <w:rFonts w:hint="eastAsia"/>
        </w:rPr>
        <w:t>聯</w:t>
      </w:r>
      <w:r w:rsidR="001E0974" w:rsidRPr="00866D38">
        <w:rPr>
          <w:rFonts w:hint="eastAsia"/>
        </w:rPr>
        <w:t>盟資源分享機制仍待檢討強化，且與其他計畫區域中心有功能重疊等情事。</w:t>
      </w:r>
    </w:p>
    <w:p w:rsidR="008B59E8" w:rsidRPr="00866D38" w:rsidRDefault="003B31D7" w:rsidP="006D35DF">
      <w:pPr>
        <w:pStyle w:val="3"/>
      </w:pPr>
      <w:bookmarkStart w:id="125" w:name="_Toc519839639"/>
      <w:bookmarkStart w:id="126" w:name="_Toc519844532"/>
      <w:bookmarkStart w:id="127" w:name="_Toc519864775"/>
      <w:bookmarkStart w:id="128" w:name="_Toc523220153"/>
      <w:bookmarkStart w:id="129" w:name="_Toc518915406"/>
      <w:r w:rsidRPr="00866D38">
        <w:rPr>
          <w:rFonts w:hint="eastAsia"/>
        </w:rPr>
        <w:t>經查，</w:t>
      </w:r>
      <w:r w:rsidR="00BE3140" w:rsidRPr="00866D38">
        <w:rPr>
          <w:rFonts w:hint="eastAsia"/>
        </w:rPr>
        <w:t>教育部針對審計部</w:t>
      </w:r>
      <w:r w:rsidR="004D1A4D" w:rsidRPr="00866D38">
        <w:rPr>
          <w:rFonts w:hint="eastAsia"/>
        </w:rPr>
        <w:t>審核</w:t>
      </w:r>
      <w:r w:rsidR="00BE3140" w:rsidRPr="00866D38">
        <w:rPr>
          <w:rFonts w:hint="eastAsia"/>
        </w:rPr>
        <w:t>意見</w:t>
      </w:r>
      <w:r w:rsidR="009B566E" w:rsidRPr="00866D38">
        <w:rPr>
          <w:rFonts w:hint="eastAsia"/>
        </w:rPr>
        <w:t>相關執行項目</w:t>
      </w:r>
      <w:r w:rsidR="00AD6C2E" w:rsidRPr="00866D38">
        <w:rPr>
          <w:rFonts w:hint="eastAsia"/>
        </w:rPr>
        <w:t>之</w:t>
      </w:r>
      <w:r w:rsidR="00BE3140" w:rsidRPr="00866D38">
        <w:rPr>
          <w:rFonts w:hint="eastAsia"/>
        </w:rPr>
        <w:t>聲復內容</w:t>
      </w:r>
      <w:r w:rsidR="00E85B4D" w:rsidRPr="00866D38">
        <w:rPr>
          <w:rFonts w:hint="eastAsia"/>
        </w:rPr>
        <w:t>前經審計部</w:t>
      </w:r>
      <w:r w:rsidR="00AD6C2E" w:rsidRPr="00866D38">
        <w:rPr>
          <w:rFonts w:hint="eastAsia"/>
        </w:rPr>
        <w:t>審核</w:t>
      </w:r>
      <w:r w:rsidR="007655C5" w:rsidRPr="00866D38">
        <w:rPr>
          <w:rFonts w:hint="eastAsia"/>
        </w:rPr>
        <w:t>尚屬允當</w:t>
      </w:r>
      <w:r w:rsidR="00E85B4D" w:rsidRPr="00866D38">
        <w:rPr>
          <w:rFonts w:hint="eastAsia"/>
        </w:rPr>
        <w:t>，</w:t>
      </w:r>
      <w:r w:rsidR="007655C5" w:rsidRPr="00866D38">
        <w:rPr>
          <w:rFonts w:hint="eastAsia"/>
        </w:rPr>
        <w:t>茲摘述</w:t>
      </w:r>
      <w:r w:rsidR="00BE3140" w:rsidRPr="00866D38">
        <w:rPr>
          <w:rFonts w:hint="eastAsia"/>
        </w:rPr>
        <w:t>略以：</w:t>
      </w:r>
      <w:bookmarkEnd w:id="125"/>
      <w:bookmarkEnd w:id="126"/>
      <w:bookmarkEnd w:id="127"/>
      <w:bookmarkEnd w:id="128"/>
    </w:p>
    <w:p w:rsidR="00345652" w:rsidRPr="00866D38" w:rsidRDefault="004D1A4D" w:rsidP="00345652">
      <w:pPr>
        <w:pStyle w:val="4"/>
      </w:pPr>
      <w:r w:rsidRPr="00866D38">
        <w:rPr>
          <w:rFonts w:hint="eastAsia"/>
        </w:rPr>
        <w:t>教育部</w:t>
      </w:r>
      <w:r w:rsidR="00345652" w:rsidRPr="00866D38">
        <w:t>105</w:t>
      </w:r>
      <w:r w:rsidR="00345652" w:rsidRPr="00866D38">
        <w:rPr>
          <w:rFonts w:hint="eastAsia"/>
        </w:rPr>
        <w:t>年</w:t>
      </w:r>
      <w:r w:rsidR="00345652" w:rsidRPr="00866D38">
        <w:t>5</w:t>
      </w:r>
      <w:r w:rsidR="00345652" w:rsidRPr="00866D38">
        <w:rPr>
          <w:rFonts w:hint="eastAsia"/>
        </w:rPr>
        <w:t>月</w:t>
      </w:r>
      <w:r w:rsidR="00345652" w:rsidRPr="00866D38">
        <w:t>18</w:t>
      </w:r>
      <w:r w:rsidR="00345652" w:rsidRPr="00866D38">
        <w:rPr>
          <w:rFonts w:hint="eastAsia"/>
        </w:rPr>
        <w:t>日</w:t>
      </w:r>
      <w:r w:rsidR="00FB73E1">
        <w:rPr>
          <w:rFonts w:hint="eastAsia"/>
        </w:rPr>
        <w:t>典範科大計畫</w:t>
      </w:r>
      <w:r w:rsidR="00345652" w:rsidRPr="00866D38">
        <w:rPr>
          <w:rFonts w:hint="eastAsia"/>
        </w:rPr>
        <w:t>學校工作圈第</w:t>
      </w:r>
      <w:r w:rsidR="00345652" w:rsidRPr="00866D38">
        <w:t>2</w:t>
      </w:r>
      <w:r w:rsidR="00345652" w:rsidRPr="00866D38">
        <w:rPr>
          <w:rFonts w:hint="eastAsia"/>
        </w:rPr>
        <w:t>次會議討論明訂典範科技大學學校實務經驗之採認範圍，與依「技專校院校務資料庫」所採認實務經驗，兩者採認範圍有所不同，另因應技術及職業教育法施行，於</w:t>
      </w:r>
      <w:r w:rsidR="00345652" w:rsidRPr="00866D38">
        <w:t>105</w:t>
      </w:r>
      <w:r w:rsidR="00345652" w:rsidRPr="00866D38">
        <w:rPr>
          <w:rFonts w:hint="eastAsia"/>
        </w:rPr>
        <w:t>年以後依據該部訂頒之「技專校院專業科目或技術科目之教師業界實務工作經驗認定標準」辦理，原「教師赴公民營實務深耕研習」於</w:t>
      </w:r>
      <w:r w:rsidR="00345652" w:rsidRPr="00866D38">
        <w:t>105</w:t>
      </w:r>
      <w:r w:rsidR="00345652" w:rsidRPr="00866D38">
        <w:rPr>
          <w:rFonts w:hint="eastAsia"/>
        </w:rPr>
        <w:t>年後不列入採計範圍，因填報定義有所調整，致歷年資料比較基準不同。</w:t>
      </w:r>
    </w:p>
    <w:p w:rsidR="00811C4C" w:rsidRPr="00866D38" w:rsidRDefault="001E36D1" w:rsidP="007636A7">
      <w:pPr>
        <w:pStyle w:val="4"/>
      </w:pPr>
      <w:r w:rsidRPr="00866D38">
        <w:rPr>
          <w:rFonts w:hint="eastAsia"/>
        </w:rPr>
        <w:t>教育部</w:t>
      </w:r>
      <w:r w:rsidR="007636A7" w:rsidRPr="00866D38">
        <w:rPr>
          <w:rFonts w:hint="eastAsia"/>
        </w:rPr>
        <w:t>業以106年5月4日臺教技(三)字第1060037227B號令修正發布「教育部補助技專校院辦理實務課程發展及師生實務增能實施要</w:t>
      </w:r>
      <w:r w:rsidR="007636A7" w:rsidRPr="00866D38">
        <w:rPr>
          <w:rFonts w:hint="eastAsia"/>
        </w:rPr>
        <w:lastRenderedPageBreak/>
        <w:t>點」，於106學年度修正補助方式，</w:t>
      </w:r>
      <w:r w:rsidR="00A57C54" w:rsidRPr="00866D38">
        <w:rPr>
          <w:rFonts w:hint="eastAsia"/>
        </w:rPr>
        <w:t>修正</w:t>
      </w:r>
      <w:r w:rsidR="007636A7" w:rsidRPr="00866D38">
        <w:rPr>
          <w:rFonts w:hint="eastAsia"/>
        </w:rPr>
        <w:t>前開要點程序四「遴聘業界專家協同教學」之計畫辦理及補助方式</w:t>
      </w:r>
      <w:r w:rsidR="00A57C54" w:rsidRPr="00866D38">
        <w:rPr>
          <w:rFonts w:hint="eastAsia"/>
        </w:rPr>
        <w:t>。</w:t>
      </w:r>
    </w:p>
    <w:p w:rsidR="002A0F4C" w:rsidRPr="00866D38" w:rsidRDefault="00F45F75" w:rsidP="007636A7">
      <w:pPr>
        <w:pStyle w:val="4"/>
      </w:pPr>
      <w:r w:rsidRPr="00866D38">
        <w:rPr>
          <w:rFonts w:hint="eastAsia"/>
        </w:rPr>
        <w:t>經統計</w:t>
      </w:r>
      <w:r w:rsidRPr="00866D38">
        <w:t>100-104</w:t>
      </w:r>
      <w:r w:rsidRPr="00866D38">
        <w:rPr>
          <w:rFonts w:hint="eastAsia"/>
        </w:rPr>
        <w:t>年各技專校院承接產學計畫情形，來自企業部門投入產學合作經費由</w:t>
      </w:r>
      <w:r w:rsidRPr="00866D38">
        <w:t>100</w:t>
      </w:r>
      <w:r w:rsidRPr="00866D38">
        <w:rPr>
          <w:rFonts w:hint="eastAsia"/>
        </w:rPr>
        <w:t>年</w:t>
      </w:r>
      <w:r w:rsidRPr="00866D38">
        <w:t>16</w:t>
      </w:r>
      <w:r w:rsidRPr="00866D38">
        <w:rPr>
          <w:rFonts w:hint="eastAsia"/>
        </w:rPr>
        <w:t>億</w:t>
      </w:r>
      <w:r w:rsidR="00722FA6" w:rsidRPr="00866D38">
        <w:rPr>
          <w:rFonts w:hint="eastAsia"/>
        </w:rPr>
        <w:t>元</w:t>
      </w:r>
      <w:r w:rsidRPr="00866D38">
        <w:rPr>
          <w:rFonts w:hint="eastAsia"/>
        </w:rPr>
        <w:t>逐年提升，</w:t>
      </w:r>
      <w:r w:rsidRPr="00866D38">
        <w:t>104</w:t>
      </w:r>
      <w:r w:rsidRPr="00866D38">
        <w:rPr>
          <w:rFonts w:hint="eastAsia"/>
        </w:rPr>
        <w:t>年達</w:t>
      </w:r>
      <w:r w:rsidRPr="00866D38">
        <w:t>18</w:t>
      </w:r>
      <w:r w:rsidRPr="00866D38">
        <w:rPr>
          <w:rFonts w:hint="eastAsia"/>
        </w:rPr>
        <w:t>億元</w:t>
      </w:r>
      <w:r w:rsidRPr="00866D38">
        <w:t>(</w:t>
      </w:r>
      <w:r w:rsidRPr="00866D38">
        <w:rPr>
          <w:rFonts w:hint="eastAsia"/>
        </w:rPr>
        <w:t>來自校務基本資料庫</w:t>
      </w:r>
      <w:r w:rsidRPr="00866D38">
        <w:t>)</w:t>
      </w:r>
      <w:r w:rsidRPr="00866D38">
        <w:rPr>
          <w:rFonts w:hint="eastAsia"/>
        </w:rPr>
        <w:t>，顯見學校與產業的合作是緊密的</w:t>
      </w:r>
      <w:r w:rsidR="002A0F4C" w:rsidRPr="00866D38">
        <w:rPr>
          <w:rFonts w:hint="eastAsia"/>
        </w:rPr>
        <w:t>。</w:t>
      </w:r>
    </w:p>
    <w:p w:rsidR="006C432D" w:rsidRPr="00866D38" w:rsidRDefault="00626CBA" w:rsidP="001E36D1">
      <w:pPr>
        <w:pStyle w:val="4"/>
      </w:pPr>
      <w:r w:rsidRPr="00866D38">
        <w:rPr>
          <w:rFonts w:hint="eastAsia"/>
        </w:rPr>
        <w:t>校務基本資料庫統計技專校院專利申請或核准件數雖逐年下降，惟技術移轉金額卻未呈現逐年下降趨勢，顯見專利之申請並非學校推動技術移轉或產學合作之必備條件。</w:t>
      </w:r>
    </w:p>
    <w:p w:rsidR="00BE3140" w:rsidRPr="00866D38" w:rsidRDefault="00F664C4" w:rsidP="00FB73E1">
      <w:pPr>
        <w:pStyle w:val="3"/>
      </w:pPr>
      <w:bookmarkStart w:id="130" w:name="_Toc519839640"/>
      <w:bookmarkStart w:id="131" w:name="_Toc519844533"/>
      <w:bookmarkStart w:id="132" w:name="_Toc519864776"/>
      <w:bookmarkStart w:id="133" w:name="_Toc523220154"/>
      <w:r w:rsidRPr="00866D38">
        <w:rPr>
          <w:rFonts w:hint="eastAsia"/>
        </w:rPr>
        <w:t>再</w:t>
      </w:r>
      <w:r w:rsidR="007465BA" w:rsidRPr="00866D38">
        <w:rPr>
          <w:rFonts w:hint="eastAsia"/>
        </w:rPr>
        <w:t>查</w:t>
      </w:r>
      <w:r w:rsidR="00BE3140" w:rsidRPr="00866D38">
        <w:rPr>
          <w:rFonts w:hint="eastAsia"/>
        </w:rPr>
        <w:t>，除典範科大</w:t>
      </w:r>
      <w:r w:rsidR="00FB73E1">
        <w:rPr>
          <w:rFonts w:hint="eastAsia"/>
        </w:rPr>
        <w:t>計畫</w:t>
      </w:r>
      <w:r w:rsidR="00BE3140" w:rsidRPr="00866D38">
        <w:rPr>
          <w:rFonts w:hint="eastAsia"/>
        </w:rPr>
        <w:t>執行內容之相關數據更新及定義不明</w:t>
      </w:r>
      <w:r w:rsidR="00BF24CB" w:rsidRPr="00866D38">
        <w:rPr>
          <w:rFonts w:hint="eastAsia"/>
        </w:rPr>
        <w:t>或相左</w:t>
      </w:r>
      <w:r w:rsidR="00BE3140" w:rsidRPr="00866D38">
        <w:rPr>
          <w:rFonts w:hint="eastAsia"/>
        </w:rPr>
        <w:t>情形外，</w:t>
      </w:r>
      <w:r w:rsidR="00BE4D78" w:rsidRPr="00866D38">
        <w:rPr>
          <w:rFonts w:hint="eastAsia"/>
        </w:rPr>
        <w:t>審計部部分</w:t>
      </w:r>
      <w:r w:rsidR="00BE3140" w:rsidRPr="00866D38">
        <w:rPr>
          <w:rFonts w:hint="eastAsia"/>
        </w:rPr>
        <w:t>審核意見仍突顯我國技職教育</w:t>
      </w:r>
      <w:r w:rsidR="00BE4D78" w:rsidRPr="00866D38">
        <w:rPr>
          <w:rFonts w:hint="eastAsia"/>
        </w:rPr>
        <w:t>之</w:t>
      </w:r>
      <w:r w:rsidR="00BE3140" w:rsidRPr="00866D38">
        <w:rPr>
          <w:rFonts w:hint="eastAsia"/>
        </w:rPr>
        <w:t>現況問題，</w:t>
      </w:r>
      <w:r w:rsidR="00BE4D78" w:rsidRPr="00866D38">
        <w:rPr>
          <w:rFonts w:hint="eastAsia"/>
        </w:rPr>
        <w:t>此</w:t>
      </w:r>
      <w:r w:rsidR="00BE3140" w:rsidRPr="00866D38">
        <w:rPr>
          <w:rFonts w:hint="eastAsia"/>
        </w:rPr>
        <w:t>雖非歸咎單一個案計畫執行不力，惟</w:t>
      </w:r>
      <w:r w:rsidR="00BE4D78" w:rsidRPr="00866D38">
        <w:rPr>
          <w:rFonts w:hint="eastAsia"/>
        </w:rPr>
        <w:t>典範科大計畫因具拔尖及示範作用，</w:t>
      </w:r>
      <w:r w:rsidR="00BE3140" w:rsidRPr="00866D38">
        <w:rPr>
          <w:rFonts w:hint="eastAsia"/>
        </w:rPr>
        <w:t>後續仍待主管機關整體盤整檢討。如</w:t>
      </w:r>
      <w:r w:rsidR="00297E69" w:rsidRPr="00866D38">
        <w:rPr>
          <w:rFonts w:hint="eastAsia"/>
        </w:rPr>
        <w:t>102年度</w:t>
      </w:r>
      <w:r w:rsidR="00FB73E1" w:rsidRPr="00FB73E1">
        <w:rPr>
          <w:rFonts w:hint="eastAsia"/>
        </w:rPr>
        <w:t>典範科大計畫</w:t>
      </w:r>
      <w:r w:rsidR="00297E69" w:rsidRPr="00866D38">
        <w:rPr>
          <w:rFonts w:hint="eastAsia"/>
        </w:rPr>
        <w:t>學校工作圈第2次會議</w:t>
      </w:r>
      <w:r w:rsidR="00BE4D78" w:rsidRPr="00866D38">
        <w:rPr>
          <w:rFonts w:hint="eastAsia"/>
        </w:rPr>
        <w:t>（</w:t>
      </w:r>
      <w:r w:rsidR="00297E69" w:rsidRPr="00866D38">
        <w:rPr>
          <w:rFonts w:hint="eastAsia"/>
        </w:rPr>
        <w:t>102年8月27日</w:t>
      </w:r>
      <w:r w:rsidR="00BE4D78" w:rsidRPr="00866D38">
        <w:rPr>
          <w:rFonts w:hint="eastAsia"/>
        </w:rPr>
        <w:t>）</w:t>
      </w:r>
      <w:r w:rsidR="00297E69" w:rsidRPr="00866D38">
        <w:rPr>
          <w:rFonts w:hint="eastAsia"/>
        </w:rPr>
        <w:t>決議，受補助學校應配合推動「強化工業基礎技術發展方案」，以落實工業基礎技術人才培育與產業創新</w:t>
      </w:r>
      <w:r w:rsidR="00722FA6" w:rsidRPr="00866D38">
        <w:rPr>
          <w:rFonts w:hint="eastAsia"/>
        </w:rPr>
        <w:t>……</w:t>
      </w:r>
      <w:r w:rsidR="00BE4D78" w:rsidRPr="00866D38">
        <w:rPr>
          <w:rFonts w:hint="eastAsia"/>
        </w:rPr>
        <w:t>等</w:t>
      </w:r>
      <w:r w:rsidR="00AB535E" w:rsidRPr="00866D38">
        <w:rPr>
          <w:rFonts w:hint="eastAsia"/>
        </w:rPr>
        <w:t>項</w:t>
      </w:r>
      <w:r w:rsidR="00F50060" w:rsidRPr="00866D38">
        <w:rPr>
          <w:rFonts w:hint="eastAsia"/>
        </w:rPr>
        <w:t>。</w:t>
      </w:r>
      <w:r w:rsidR="00297E69" w:rsidRPr="00866D38">
        <w:rPr>
          <w:rFonts w:hint="eastAsia"/>
        </w:rPr>
        <w:t>此</w:t>
      </w:r>
      <w:r w:rsidR="00F50060" w:rsidRPr="00866D38">
        <w:rPr>
          <w:rFonts w:hint="eastAsia"/>
        </w:rPr>
        <w:t>策略</w:t>
      </w:r>
      <w:r w:rsidR="00CF39BB" w:rsidRPr="00866D38">
        <w:rPr>
          <w:rFonts w:hint="eastAsia"/>
        </w:rPr>
        <w:t>應係</w:t>
      </w:r>
      <w:r w:rsidR="00297E69" w:rsidRPr="00866D38">
        <w:rPr>
          <w:rFonts w:hint="eastAsia"/>
        </w:rPr>
        <w:t>配合</w:t>
      </w:r>
      <w:r w:rsidR="00E43228" w:rsidRPr="00866D38">
        <w:rPr>
          <w:rFonts w:hint="eastAsia"/>
        </w:rPr>
        <w:t>行政院101年7月19日核定「強化工業基礎技術發展方案」相關執行方案</w:t>
      </w:r>
      <w:r w:rsidR="00297E69" w:rsidRPr="00866D38">
        <w:rPr>
          <w:rFonts w:hint="eastAsia"/>
        </w:rPr>
        <w:t>。</w:t>
      </w:r>
      <w:r w:rsidR="00E43228" w:rsidRPr="00866D38">
        <w:rPr>
          <w:rFonts w:hint="eastAsia"/>
        </w:rPr>
        <w:t>爰</w:t>
      </w:r>
      <w:r w:rsidR="001200E5" w:rsidRPr="00866D38">
        <w:rPr>
          <w:rFonts w:hint="eastAsia"/>
        </w:rPr>
        <w:t>關於我國技職教育培育工業</w:t>
      </w:r>
      <w:r w:rsidR="00D712C6" w:rsidRPr="00866D38">
        <w:rPr>
          <w:rFonts w:hint="eastAsia"/>
        </w:rPr>
        <w:t>基礎類科相關</w:t>
      </w:r>
      <w:r w:rsidR="001200E5" w:rsidRPr="00866D38">
        <w:rPr>
          <w:rFonts w:hint="eastAsia"/>
        </w:rPr>
        <w:t>技術人才</w:t>
      </w:r>
      <w:r w:rsidR="00E43228" w:rsidRPr="00866D38">
        <w:rPr>
          <w:rFonts w:hint="eastAsia"/>
        </w:rPr>
        <w:t>情形，實與</w:t>
      </w:r>
      <w:r w:rsidR="0048394E" w:rsidRPr="00866D38">
        <w:rPr>
          <w:rFonts w:hint="eastAsia"/>
        </w:rPr>
        <w:t>工業基礎技術發展息息相關</w:t>
      </w:r>
      <w:r w:rsidR="00912914" w:rsidRPr="00866D38">
        <w:rPr>
          <w:rFonts w:hint="eastAsia"/>
        </w:rPr>
        <w:t>，</w:t>
      </w:r>
      <w:r w:rsidR="000C0AE4" w:rsidRPr="00866D38">
        <w:rPr>
          <w:rFonts w:hint="eastAsia"/>
        </w:rPr>
        <w:t>針對部分重點工業項目恐有人才不足或下降情形，</w:t>
      </w:r>
      <w:r w:rsidR="0048394E" w:rsidRPr="00866D38">
        <w:rPr>
          <w:rFonts w:hint="eastAsia"/>
        </w:rPr>
        <w:t>仍有待教育部加強推動。</w:t>
      </w:r>
      <w:r w:rsidR="0019722A" w:rsidRPr="00866D38">
        <w:rPr>
          <w:rFonts w:hint="eastAsia"/>
        </w:rPr>
        <w:t>再者，</w:t>
      </w:r>
      <w:r w:rsidR="0098065A" w:rsidRPr="00866D38">
        <w:rPr>
          <w:rFonts w:hint="eastAsia"/>
        </w:rPr>
        <w:t>依據技術與職業教育法第4、5條規定</w:t>
      </w:r>
      <w:r w:rsidR="0098065A" w:rsidRPr="00866D38">
        <w:rPr>
          <w:rStyle w:val="aff"/>
        </w:rPr>
        <w:footnoteReference w:id="14"/>
      </w:r>
      <w:r w:rsidR="0098065A" w:rsidRPr="00866D38">
        <w:rPr>
          <w:rFonts w:hint="eastAsia"/>
        </w:rPr>
        <w:t>，行政院應定期邀集相關</w:t>
      </w:r>
      <w:r w:rsidR="0098065A" w:rsidRPr="00866D38">
        <w:rPr>
          <w:rFonts w:hint="eastAsia"/>
        </w:rPr>
        <w:lastRenderedPageBreak/>
        <w:t>部會首長召開技職教育審議會，並由中央目的事業主管機關彙整所轄產業人才需求相關資料，提供產業人才需求調查及推估報告，以培育符合國家經濟及產業發展需求之人才，並制定宏觀技職教育政策綱領。是以，</w:t>
      </w:r>
      <w:r w:rsidR="0098065A" w:rsidRPr="00866D38">
        <w:rPr>
          <w:rFonts w:hAnsi="標楷體" w:hint="eastAsia"/>
        </w:rPr>
        <w:t>技職教育係在培育國家所需人力，在全球化趨勢下，產業結構變遷快速，教育部於規劃相關技職教育計畫時，允宜加強與相關產業主管機關（如經濟部）橫向聯繫機制，瞭解</w:t>
      </w:r>
      <w:r w:rsidR="0098065A" w:rsidRPr="00866D38">
        <w:rPr>
          <w:rFonts w:hint="eastAsia"/>
        </w:rPr>
        <w:t>經濟發展及產業結構轉變，</w:t>
      </w:r>
      <w:r w:rsidR="0098065A" w:rsidRPr="00866D38">
        <w:rPr>
          <w:rFonts w:hAnsi="標楷體" w:hint="eastAsia"/>
        </w:rPr>
        <w:t>俾引導技職教育培育出符合國家發展及產業所需之人才。</w:t>
      </w:r>
      <w:bookmarkEnd w:id="130"/>
      <w:bookmarkEnd w:id="131"/>
      <w:bookmarkEnd w:id="132"/>
      <w:bookmarkEnd w:id="133"/>
    </w:p>
    <w:p w:rsidR="00ED16BC" w:rsidRPr="00866D38" w:rsidRDefault="00FA5FD1" w:rsidP="00ED16BC">
      <w:pPr>
        <w:pStyle w:val="3"/>
      </w:pPr>
      <w:bookmarkStart w:id="134" w:name="_Toc523220155"/>
      <w:bookmarkStart w:id="135" w:name="_Toc519839641"/>
      <w:bookmarkStart w:id="136" w:name="_Toc519844534"/>
      <w:bookmarkStart w:id="137" w:name="_Toc519864777"/>
      <w:r w:rsidRPr="00866D38">
        <w:rPr>
          <w:rFonts w:hint="eastAsia"/>
        </w:rPr>
        <w:t>至於</w:t>
      </w:r>
      <w:r w:rsidR="0050788E" w:rsidRPr="00866D38">
        <w:rPr>
          <w:rFonts w:hint="eastAsia"/>
        </w:rPr>
        <w:t>典範科大計畫後續之延續性規劃，據教育部函稱，</w:t>
      </w:r>
      <w:r w:rsidR="0050788E" w:rsidRPr="00866D38">
        <w:t>106</w:t>
      </w:r>
      <w:r w:rsidR="00FB73E1">
        <w:rPr>
          <w:rFonts w:hint="eastAsia"/>
        </w:rPr>
        <w:t>年推動典範科大</w:t>
      </w:r>
      <w:r w:rsidR="0050788E" w:rsidRPr="00866D38">
        <w:rPr>
          <w:rFonts w:hint="eastAsia"/>
        </w:rPr>
        <w:t>延續計畫</w:t>
      </w:r>
      <w:r w:rsidR="0050788E" w:rsidRPr="00866D38">
        <w:rPr>
          <w:rStyle w:val="aff"/>
        </w:rPr>
        <w:footnoteReference w:id="15"/>
      </w:r>
      <w:r w:rsidR="0050788E" w:rsidRPr="00866D38">
        <w:rPr>
          <w:rFonts w:hint="eastAsia"/>
        </w:rPr>
        <w:t>以「專業新人才」、「產學新典範」、「學校新關係」及「國際新接觸」為核心理念，並從精進「人才培育」、「產學研發」、「制度調整」及「國際交流」四大面向推動發展策略；另為橋接未來高等教育人才培育方向，獲補助學校以</w:t>
      </w:r>
      <w:r w:rsidR="0050788E" w:rsidRPr="00866D38">
        <w:t>106</w:t>
      </w:r>
      <w:r w:rsidR="0050788E" w:rsidRPr="00866D38">
        <w:rPr>
          <w:rFonts w:hint="eastAsia"/>
        </w:rPr>
        <w:t>年度</w:t>
      </w:r>
      <w:r w:rsidR="0050788E" w:rsidRPr="00866D38">
        <w:t>3</w:t>
      </w:r>
      <w:r w:rsidR="0050788E" w:rsidRPr="00866D38">
        <w:rPr>
          <w:rFonts w:hint="eastAsia"/>
        </w:rPr>
        <w:t>0%經費作為執行「106</w:t>
      </w:r>
      <w:r w:rsidR="007231FE" w:rsidRPr="00866D38">
        <w:rPr>
          <w:rFonts w:hint="eastAsia"/>
        </w:rPr>
        <w:t>年技職深耕試辦未來人才培育方案」之用。</w:t>
      </w:r>
      <w:r w:rsidR="0050788E" w:rsidRPr="00866D38">
        <w:rPr>
          <w:rFonts w:hint="eastAsia"/>
        </w:rPr>
        <w:t>教育部函復審計部105年中央政府總決算審核報告</w:t>
      </w:r>
      <w:r w:rsidR="007231FE" w:rsidRPr="00866D38">
        <w:rPr>
          <w:rFonts w:hint="eastAsia"/>
        </w:rPr>
        <w:t>，該</w:t>
      </w:r>
      <w:r w:rsidR="0050788E" w:rsidRPr="00866D38">
        <w:rPr>
          <w:rFonts w:hint="eastAsia"/>
        </w:rPr>
        <w:t>部107</w:t>
      </w:r>
      <w:r w:rsidR="007231FE" w:rsidRPr="00866D38">
        <w:rPr>
          <w:rFonts w:hint="eastAsia"/>
        </w:rPr>
        <w:t>年起推動高教深耕計畫，</w:t>
      </w:r>
      <w:r w:rsidR="0050788E" w:rsidRPr="00866D38">
        <w:rPr>
          <w:rFonts w:hint="eastAsia"/>
        </w:rPr>
        <w:t>技專校院應逐年提升專任教師具業界實務經驗</w:t>
      </w:r>
      <w:r w:rsidR="00B90E24">
        <w:rPr>
          <w:rFonts w:hint="eastAsia"/>
        </w:rPr>
        <w:t>比率</w:t>
      </w:r>
      <w:r w:rsidR="0050788E" w:rsidRPr="00866D38">
        <w:rPr>
          <w:rFonts w:hint="eastAsia"/>
        </w:rPr>
        <w:t>列為政策目標，爰</w:t>
      </w:r>
      <w:r w:rsidR="0098065A" w:rsidRPr="00866D38">
        <w:rPr>
          <w:rFonts w:hint="eastAsia"/>
        </w:rPr>
        <w:t>典範科大延續</w:t>
      </w:r>
      <w:r w:rsidR="0050788E" w:rsidRPr="00866D38">
        <w:rPr>
          <w:rFonts w:hint="eastAsia"/>
        </w:rPr>
        <w:t>計畫與後續高等</w:t>
      </w:r>
      <w:r w:rsidR="00724C01" w:rsidRPr="00866D38">
        <w:rPr>
          <w:rFonts w:hint="eastAsia"/>
        </w:rPr>
        <w:t>教育深耕計畫有其關聯及銜接作業。惟本院履勘發現，</w:t>
      </w:r>
      <w:r w:rsidR="0098065A" w:rsidRPr="00866D38">
        <w:rPr>
          <w:rFonts w:hint="eastAsia"/>
        </w:rPr>
        <w:t>學校</w:t>
      </w:r>
      <w:r w:rsidRPr="00866D38">
        <w:rPr>
          <w:rFonts w:hint="eastAsia"/>
        </w:rPr>
        <w:t>端</w:t>
      </w:r>
      <w:r w:rsidR="00724C01" w:rsidRPr="00866D38">
        <w:rPr>
          <w:rFonts w:hint="eastAsia"/>
        </w:rPr>
        <w:t>可能因未獲通過高等教育深耕計畫，致使相關研究中心量能延續出現落差，對此教育部主管人員</w:t>
      </w:r>
      <w:r w:rsidR="0050788E" w:rsidRPr="00866D38">
        <w:rPr>
          <w:rFonts w:hint="eastAsia"/>
        </w:rPr>
        <w:t>回應稱，後續將會提出一個符合技職校院類似於研究中心的計畫，供技職院校申請。高教研究中心計畫申請的部份對於技職</w:t>
      </w:r>
      <w:r w:rsidR="0050788E" w:rsidRPr="00866D38">
        <w:rPr>
          <w:rFonts w:hint="eastAsia"/>
        </w:rPr>
        <w:lastRenderedPageBreak/>
        <w:t>體系較不利，因為技職體系較強調產業合作與人才培育，故此部份將會有另外一個計畫提供學校進行申請</w:t>
      </w:r>
      <w:r w:rsidR="0098065A" w:rsidRPr="00866D38">
        <w:rPr>
          <w:rFonts w:hint="eastAsia"/>
        </w:rPr>
        <w:t>等語</w:t>
      </w:r>
      <w:r w:rsidR="007209DB" w:rsidRPr="00866D38">
        <w:rPr>
          <w:rFonts w:hint="eastAsia"/>
        </w:rPr>
        <w:t>。</w:t>
      </w:r>
      <w:r w:rsidR="0098065A" w:rsidRPr="00866D38">
        <w:rPr>
          <w:rFonts w:hint="eastAsia"/>
        </w:rPr>
        <w:t>可見</w:t>
      </w:r>
      <w:r w:rsidR="007231FE" w:rsidRPr="00866D38">
        <w:rPr>
          <w:rFonts w:hint="eastAsia"/>
        </w:rPr>
        <w:t>典範科大計畫與後續高等教育深耕計畫之銜接</w:t>
      </w:r>
      <w:r w:rsidR="00D83D5C" w:rsidRPr="00866D38">
        <w:rPr>
          <w:rFonts w:hint="eastAsia"/>
        </w:rPr>
        <w:t>仍有</w:t>
      </w:r>
      <w:r w:rsidR="007231FE" w:rsidRPr="00866D38">
        <w:rPr>
          <w:rFonts w:hint="eastAsia"/>
        </w:rPr>
        <w:t>落差。</w:t>
      </w:r>
      <w:r w:rsidR="00ED309D" w:rsidRPr="00866D38">
        <w:rPr>
          <w:rFonts w:hint="eastAsia"/>
        </w:rPr>
        <w:t>再者，</w:t>
      </w:r>
      <w:r w:rsidR="00ED16BC" w:rsidRPr="00866D38">
        <w:rPr>
          <w:rFonts w:hint="eastAsia"/>
        </w:rPr>
        <w:t>本案</w:t>
      </w:r>
      <w:r w:rsidR="007231FE" w:rsidRPr="00866D38">
        <w:rPr>
          <w:rFonts w:hint="eastAsia"/>
        </w:rPr>
        <w:t>履勘</w:t>
      </w:r>
      <w:r w:rsidR="00D83D5C" w:rsidRPr="00866D38">
        <w:rPr>
          <w:rFonts w:hint="eastAsia"/>
        </w:rPr>
        <w:t>及座談會議中</w:t>
      </w:r>
      <w:r w:rsidR="00ED16BC" w:rsidRPr="00866D38">
        <w:rPr>
          <w:rFonts w:hint="eastAsia"/>
        </w:rPr>
        <w:t>亦發現，對於新合併或轉型中學校</w:t>
      </w:r>
      <w:r w:rsidR="007231FE" w:rsidRPr="00866D38">
        <w:rPr>
          <w:rFonts w:hint="eastAsia"/>
        </w:rPr>
        <w:t>，</w:t>
      </w:r>
      <w:r w:rsidR="00ED16BC" w:rsidRPr="00866D38">
        <w:rPr>
          <w:rFonts w:hint="eastAsia"/>
        </w:rPr>
        <w:t>相關計畫資源措施</w:t>
      </w:r>
      <w:r w:rsidR="00D83D5C" w:rsidRPr="00866D38">
        <w:rPr>
          <w:rFonts w:hint="eastAsia"/>
        </w:rPr>
        <w:t>難於短</w:t>
      </w:r>
      <w:r w:rsidR="00966771" w:rsidRPr="00866D38">
        <w:rPr>
          <w:rFonts w:hint="eastAsia"/>
        </w:rPr>
        <w:t>時間內重新合理</w:t>
      </w:r>
      <w:r w:rsidR="00D83D5C" w:rsidRPr="00866D38">
        <w:rPr>
          <w:rFonts w:hint="eastAsia"/>
        </w:rPr>
        <w:t>分配、</w:t>
      </w:r>
      <w:r w:rsidR="00ED16BC" w:rsidRPr="00866D38">
        <w:rPr>
          <w:rFonts w:hint="eastAsia"/>
        </w:rPr>
        <w:t>整合，</w:t>
      </w:r>
      <w:r w:rsidR="007231FE" w:rsidRPr="00866D38">
        <w:rPr>
          <w:rFonts w:hint="eastAsia"/>
        </w:rPr>
        <w:t>對於</w:t>
      </w:r>
      <w:r w:rsidR="00966771" w:rsidRPr="00866D38">
        <w:rPr>
          <w:rFonts w:hint="eastAsia"/>
        </w:rPr>
        <w:t>計畫</w:t>
      </w:r>
      <w:r w:rsidR="0098065A" w:rsidRPr="00866D38">
        <w:rPr>
          <w:rFonts w:hint="eastAsia"/>
        </w:rPr>
        <w:t>執行成果</w:t>
      </w:r>
      <w:r w:rsidR="00D83D5C" w:rsidRPr="00866D38">
        <w:rPr>
          <w:rFonts w:hint="eastAsia"/>
        </w:rPr>
        <w:t>延續與</w:t>
      </w:r>
      <w:r w:rsidR="0098065A" w:rsidRPr="00866D38">
        <w:rPr>
          <w:rFonts w:hint="eastAsia"/>
        </w:rPr>
        <w:t>共享，</w:t>
      </w:r>
      <w:r w:rsidR="00966771" w:rsidRPr="00866D38">
        <w:rPr>
          <w:rFonts w:hint="eastAsia"/>
        </w:rPr>
        <w:t>在</w:t>
      </w:r>
      <w:r w:rsidR="0098065A" w:rsidRPr="00866D38">
        <w:rPr>
          <w:rFonts w:hint="eastAsia"/>
        </w:rPr>
        <w:t>行政分工及</w:t>
      </w:r>
      <w:r w:rsidR="00ED16BC" w:rsidRPr="00866D38">
        <w:rPr>
          <w:rFonts w:hint="eastAsia"/>
        </w:rPr>
        <w:t>效益區隔</w:t>
      </w:r>
      <w:r w:rsidR="007231FE" w:rsidRPr="00866D38">
        <w:rPr>
          <w:rFonts w:hint="eastAsia"/>
        </w:rPr>
        <w:t>等</w:t>
      </w:r>
      <w:r w:rsidR="00966771" w:rsidRPr="00866D38">
        <w:rPr>
          <w:rFonts w:hint="eastAsia"/>
        </w:rPr>
        <w:t>面向</w:t>
      </w:r>
      <w:r w:rsidR="00ED16BC" w:rsidRPr="00866D38">
        <w:rPr>
          <w:rFonts w:hint="eastAsia"/>
        </w:rPr>
        <w:t>，</w:t>
      </w:r>
      <w:r w:rsidR="0098065A" w:rsidRPr="00866D38">
        <w:rPr>
          <w:rFonts w:hint="eastAsia"/>
        </w:rPr>
        <w:t>均成</w:t>
      </w:r>
      <w:r w:rsidR="00ED16BC" w:rsidRPr="00866D38">
        <w:rPr>
          <w:rFonts w:hint="eastAsia"/>
        </w:rPr>
        <w:t>為學校</w:t>
      </w:r>
      <w:r w:rsidR="00ED309D" w:rsidRPr="00866D38">
        <w:rPr>
          <w:rFonts w:hint="eastAsia"/>
        </w:rPr>
        <w:t>的</w:t>
      </w:r>
      <w:r w:rsidR="007231FE" w:rsidRPr="00866D38">
        <w:rPr>
          <w:rFonts w:hint="eastAsia"/>
        </w:rPr>
        <w:t>挑戰</w:t>
      </w:r>
      <w:r w:rsidR="00ED16BC" w:rsidRPr="00866D38">
        <w:rPr>
          <w:rFonts w:hint="eastAsia"/>
        </w:rPr>
        <w:t>。</w:t>
      </w:r>
      <w:r w:rsidR="00966771" w:rsidRPr="00866D38">
        <w:rPr>
          <w:rFonts w:hint="eastAsia"/>
        </w:rPr>
        <w:t>是以，</w:t>
      </w:r>
      <w:r w:rsidR="007231FE" w:rsidRPr="00866D38">
        <w:rPr>
          <w:rFonts w:hint="eastAsia"/>
        </w:rPr>
        <w:t>教育部後續執行大型高等教育計畫</w:t>
      </w:r>
      <w:r w:rsidR="00966771" w:rsidRPr="00866D38">
        <w:rPr>
          <w:rFonts w:hint="eastAsia"/>
        </w:rPr>
        <w:t>應正</w:t>
      </w:r>
      <w:r w:rsidR="00ED16BC" w:rsidRPr="00866D38">
        <w:rPr>
          <w:rFonts w:hint="eastAsia"/>
        </w:rPr>
        <w:t>視</w:t>
      </w:r>
      <w:r w:rsidR="00966771" w:rsidRPr="00866D38">
        <w:rPr>
          <w:rFonts w:hint="eastAsia"/>
        </w:rPr>
        <w:t>相關資源整合及合理分配，</w:t>
      </w:r>
      <w:r w:rsidR="007231FE" w:rsidRPr="00866D38">
        <w:rPr>
          <w:rFonts w:hint="eastAsia"/>
        </w:rPr>
        <w:t>以利</w:t>
      </w:r>
      <w:r w:rsidR="00ED16BC" w:rsidRPr="00866D38">
        <w:rPr>
          <w:rFonts w:hint="eastAsia"/>
        </w:rPr>
        <w:t>整體高等技職教育資源挹注效益及計畫成效</w:t>
      </w:r>
      <w:r w:rsidR="007231FE" w:rsidRPr="00866D38">
        <w:rPr>
          <w:rFonts w:hint="eastAsia"/>
        </w:rPr>
        <w:t>之延續</w:t>
      </w:r>
      <w:r w:rsidR="00ED16BC" w:rsidRPr="00866D38">
        <w:rPr>
          <w:rFonts w:hint="eastAsia"/>
        </w:rPr>
        <w:t>。</w:t>
      </w:r>
      <w:bookmarkEnd w:id="134"/>
    </w:p>
    <w:p w:rsidR="00ED309D" w:rsidRPr="00866D38" w:rsidRDefault="00ED309D" w:rsidP="00ED309D">
      <w:pPr>
        <w:pStyle w:val="3"/>
      </w:pPr>
      <w:bookmarkStart w:id="138" w:name="_Toc523220156"/>
      <w:r w:rsidRPr="00866D38">
        <w:rPr>
          <w:rFonts w:hint="eastAsia"/>
        </w:rPr>
        <w:t>此外，</w:t>
      </w:r>
      <w:r w:rsidR="004B594F" w:rsidRPr="00866D38">
        <w:rPr>
          <w:rFonts w:hint="eastAsia"/>
        </w:rPr>
        <w:t>典範科大計畫</w:t>
      </w:r>
      <w:r w:rsidR="004B594F" w:rsidRPr="00866D38">
        <w:rPr>
          <w:rFonts w:hAnsi="標楷體" w:hint="eastAsia"/>
        </w:rPr>
        <w:t>期培育務實人才，強化高等技職教育品質，提升為世界一流國際競爭力，符應國際趨勢，充分彰顯目標理想性。惟整體計畫績效指標及評估基準，仍以「應屆畢業生就業率成長」、「應屆畢業生修校外實習課程</w:t>
      </w:r>
      <w:r w:rsidR="00B90E24">
        <w:rPr>
          <w:rFonts w:hAnsi="標楷體" w:hint="eastAsia"/>
        </w:rPr>
        <w:t>比率</w:t>
      </w:r>
      <w:r w:rsidR="004B594F" w:rsidRPr="00866D38">
        <w:rPr>
          <w:rFonts w:hAnsi="標楷體" w:hint="eastAsia"/>
        </w:rPr>
        <w:t>成長」、「政府部門及企業部門資助學校產學合作金額成長」、「教師接受企業產學計畫金額成長」、「創新技術專利件數成長」、「學校技術轉移金額成長」等6</w:t>
      </w:r>
      <w:r w:rsidR="00FA5FD1" w:rsidRPr="00866D38">
        <w:rPr>
          <w:rFonts w:hAnsi="標楷體" w:hint="eastAsia"/>
        </w:rPr>
        <w:t>大項為主，難</w:t>
      </w:r>
      <w:r w:rsidR="00866BC7" w:rsidRPr="00866D38">
        <w:rPr>
          <w:rFonts w:hAnsi="標楷體" w:hint="eastAsia"/>
        </w:rPr>
        <w:t>以</w:t>
      </w:r>
      <w:r w:rsidR="004B594F" w:rsidRPr="00866D38">
        <w:rPr>
          <w:rFonts w:hAnsi="標楷體" w:hint="eastAsia"/>
        </w:rPr>
        <w:t>彰顯整體計畫特色及拔尖目的。且依教育部105年1月11日</w:t>
      </w:r>
      <w:r w:rsidR="00FB73E1">
        <w:rPr>
          <w:rFonts w:hAnsi="標楷體" w:hint="eastAsia"/>
        </w:rPr>
        <w:t>典範科大計畫</w:t>
      </w:r>
      <w:r w:rsidR="004B594F" w:rsidRPr="00866D38">
        <w:rPr>
          <w:rFonts w:hAnsi="標楷體" w:hint="eastAsia"/>
        </w:rPr>
        <w:t>期末考評第3次會議紀錄附件之「104</w:t>
      </w:r>
      <w:r w:rsidR="00FB73E1">
        <w:rPr>
          <w:rFonts w:hAnsi="標楷體" w:hint="eastAsia"/>
        </w:rPr>
        <w:t>年度該計畫執行成效之考評結果相關意見摘要」指出「有關</w:t>
      </w:r>
      <w:r w:rsidR="004B594F" w:rsidRPr="00866D38">
        <w:rPr>
          <w:rFonts w:hAnsi="標楷體" w:hint="eastAsia"/>
        </w:rPr>
        <w:t>典範科大指標之定義，宜界定清楚，以利各校依循」，足證</w:t>
      </w:r>
      <w:r w:rsidR="004B3D4A" w:rsidRPr="00866D38">
        <w:rPr>
          <w:rFonts w:hAnsi="標楷體" w:hint="eastAsia"/>
        </w:rPr>
        <w:t>計畫</w:t>
      </w:r>
      <w:r w:rsidR="004B594F" w:rsidRPr="00866D38">
        <w:rPr>
          <w:rFonts w:hAnsi="標楷體" w:hint="eastAsia"/>
        </w:rPr>
        <w:t>相關定義仍屬模糊。</w:t>
      </w:r>
      <w:r w:rsidR="004B594F" w:rsidRPr="00866D38">
        <w:rPr>
          <w:rFonts w:hint="eastAsia"/>
        </w:rPr>
        <w:t>再者，</w:t>
      </w:r>
      <w:r w:rsidRPr="00866D38">
        <w:rPr>
          <w:rFonts w:hint="eastAsia"/>
        </w:rPr>
        <w:t>對照典範科大計畫內容仍與「技職再造方案」</w:t>
      </w:r>
      <w:r w:rsidR="004B594F" w:rsidRPr="00866D38">
        <w:rPr>
          <w:rStyle w:val="aff"/>
        </w:rPr>
        <w:footnoteReference w:id="16"/>
      </w:r>
      <w:r w:rsidRPr="00866D38">
        <w:rPr>
          <w:rFonts w:hint="eastAsia"/>
        </w:rPr>
        <w:t>之對象及實施內容多有類似。</w:t>
      </w:r>
      <w:r w:rsidR="004B594F" w:rsidRPr="00866D38">
        <w:rPr>
          <w:rFonts w:hint="eastAsia"/>
        </w:rPr>
        <w:t>教育部於</w:t>
      </w:r>
      <w:r w:rsidR="004B594F" w:rsidRPr="00866D38">
        <w:rPr>
          <w:rFonts w:hint="eastAsia"/>
        </w:rPr>
        <w:lastRenderedPageBreak/>
        <w:t>本院107年3月15日履勘座談會議中指稱，</w:t>
      </w:r>
      <w:r w:rsidR="004B594F" w:rsidRPr="00866D38">
        <w:t>「</w:t>
      </w:r>
      <w:r w:rsidR="004B594F" w:rsidRPr="00866D38">
        <w:rPr>
          <w:rFonts w:hint="eastAsia"/>
        </w:rPr>
        <w:t>『</w:t>
      </w:r>
      <w:r w:rsidR="00FB73E1">
        <w:rPr>
          <w:rFonts w:hint="eastAsia"/>
        </w:rPr>
        <w:t>典範科大計畫</w:t>
      </w:r>
      <w:r w:rsidR="004B594F" w:rsidRPr="00866D38">
        <w:rPr>
          <w:rFonts w:hint="eastAsia"/>
        </w:rPr>
        <w:t>』</w:t>
      </w:r>
      <w:r w:rsidR="004B594F" w:rsidRPr="00866D38">
        <w:t>係透過建立技職教育典範，發揮</w:t>
      </w:r>
      <w:r w:rsidR="004B594F" w:rsidRPr="00866D38">
        <w:rPr>
          <w:rFonts w:hint="eastAsia"/>
        </w:rPr>
        <w:t>『</w:t>
      </w:r>
      <w:r w:rsidR="004B594F" w:rsidRPr="00866D38">
        <w:t>拔尖</w:t>
      </w:r>
      <w:r w:rsidR="004B594F" w:rsidRPr="00866D38">
        <w:rPr>
          <w:rFonts w:hint="eastAsia"/>
        </w:rPr>
        <w:t>』</w:t>
      </w:r>
      <w:r w:rsidR="004B594F" w:rsidRPr="00866D38">
        <w:t>引導作用，</w:t>
      </w:r>
      <w:r w:rsidR="004B594F" w:rsidRPr="00866D38">
        <w:rPr>
          <w:rFonts w:hint="eastAsia"/>
        </w:rPr>
        <w:t>『</w:t>
      </w:r>
      <w:r w:rsidR="004B594F" w:rsidRPr="00866D38">
        <w:t>第一期技職再造方案</w:t>
      </w:r>
      <w:r w:rsidR="004B594F" w:rsidRPr="00866D38">
        <w:rPr>
          <w:rFonts w:hint="eastAsia"/>
        </w:rPr>
        <w:t>』</w:t>
      </w:r>
      <w:r w:rsidR="004B594F" w:rsidRPr="00866D38">
        <w:t>及</w:t>
      </w:r>
      <w:r w:rsidR="004B594F" w:rsidRPr="00866D38">
        <w:rPr>
          <w:rFonts w:hint="eastAsia"/>
        </w:rPr>
        <w:t>『</w:t>
      </w:r>
      <w:r w:rsidR="004B594F" w:rsidRPr="00866D38">
        <w:t>第二期技職教育再造計畫</w:t>
      </w:r>
      <w:r w:rsidR="004B594F" w:rsidRPr="00866D38">
        <w:rPr>
          <w:rFonts w:hint="eastAsia"/>
        </w:rPr>
        <w:t>』</w:t>
      </w:r>
      <w:r w:rsidR="004B594F" w:rsidRPr="00866D38">
        <w:t>係屬全面性推動之築底計畫。</w:t>
      </w:r>
      <w:r w:rsidR="00FB73E1">
        <w:rPr>
          <w:rFonts w:hint="eastAsia"/>
        </w:rPr>
        <w:t>典範科大計畫</w:t>
      </w:r>
      <w:r w:rsidR="004B594F" w:rsidRPr="00866D38">
        <w:t>為競爭性補助，學校整體運作補助經費推動具產學連結人才培育及技術研發合作，技職再造經費則係由個別系所或學程進行申請，部分學校雖有同時獲得典範科大計畫及技職再造經費，惟經費支用對象均未重疊，兩者計畫對學校人才培育與產學合作係屬互補作用</w:t>
      </w:r>
      <w:r w:rsidR="004B594F" w:rsidRPr="00866D38">
        <w:rPr>
          <w:rFonts w:hAnsi="標楷體" w:hint="eastAsia"/>
        </w:rPr>
        <w:t>」</w:t>
      </w:r>
      <w:r w:rsidR="004B594F" w:rsidRPr="00866D38">
        <w:rPr>
          <w:rFonts w:hAnsi="標楷體" w:hint="eastAsia"/>
          <w:szCs w:val="32"/>
        </w:rPr>
        <w:t>。惟查其二計畫執行期間多有重疊，且</w:t>
      </w:r>
      <w:r w:rsidR="004B594F" w:rsidRPr="00866D38">
        <w:rPr>
          <w:rFonts w:hAnsi="標楷體" w:hint="eastAsia"/>
        </w:rPr>
        <w:t>深究典範科大</w:t>
      </w:r>
      <w:r w:rsidR="00EF41EA">
        <w:rPr>
          <w:rFonts w:hAnsi="標楷體" w:hint="eastAsia"/>
        </w:rPr>
        <w:t>計畫</w:t>
      </w:r>
      <w:r w:rsidR="004B594F" w:rsidRPr="00866D38">
        <w:rPr>
          <w:rFonts w:hAnsi="標楷體" w:hint="eastAsia"/>
        </w:rPr>
        <w:t>與兩期技職再造方案(計畫)之策略內容及目標仍屬類似，</w:t>
      </w:r>
      <w:r w:rsidR="00CD4CB5" w:rsidRPr="00866D38">
        <w:rPr>
          <w:rFonts w:hAnsi="標楷體" w:hint="eastAsia"/>
        </w:rPr>
        <w:t>且</w:t>
      </w:r>
      <w:r w:rsidR="004B594F" w:rsidRPr="00866D38">
        <w:rPr>
          <w:rFonts w:hAnsi="標楷體" w:hint="eastAsia"/>
        </w:rPr>
        <w:t>二計畫之執行學校亦有重複，就政府整體技職</w:t>
      </w:r>
      <w:r w:rsidR="004B3D4A" w:rsidRPr="00866D38">
        <w:rPr>
          <w:rFonts w:hAnsi="標楷體" w:hint="eastAsia"/>
        </w:rPr>
        <w:t>教育資源配置</w:t>
      </w:r>
      <w:r w:rsidR="00CD4CB5" w:rsidRPr="00866D38">
        <w:rPr>
          <w:rFonts w:hAnsi="標楷體" w:hint="eastAsia"/>
        </w:rPr>
        <w:t>而言</w:t>
      </w:r>
      <w:r w:rsidR="004B3D4A" w:rsidRPr="00866D38">
        <w:rPr>
          <w:rFonts w:hAnsi="標楷體" w:hint="eastAsia"/>
        </w:rPr>
        <w:t>，仍有執行團隊整合及經費盤整效率之問題，</w:t>
      </w:r>
      <w:r w:rsidR="00D83D5C" w:rsidRPr="00866D38">
        <w:rPr>
          <w:rFonts w:hAnsi="標楷體" w:hint="eastAsia"/>
        </w:rPr>
        <w:t>以及</w:t>
      </w:r>
      <w:r w:rsidR="004B594F" w:rsidRPr="00866D38">
        <w:rPr>
          <w:rFonts w:hAnsi="標楷體" w:hint="eastAsia"/>
        </w:rPr>
        <w:t>難以突顯典範科大計畫</w:t>
      </w:r>
      <w:r w:rsidR="00DD14B6" w:rsidRPr="00866D38">
        <w:rPr>
          <w:rFonts w:hAnsi="標楷體" w:hint="eastAsia"/>
        </w:rPr>
        <w:t>之特色與</w:t>
      </w:r>
      <w:r w:rsidR="00DD14B6" w:rsidRPr="00866D38">
        <w:rPr>
          <w:rFonts w:hAnsi="標楷體"/>
        </w:rPr>
        <w:t>「拔尖」</w:t>
      </w:r>
      <w:r w:rsidR="00DD14B6" w:rsidRPr="00866D38">
        <w:rPr>
          <w:rFonts w:hAnsi="標楷體" w:hint="eastAsia"/>
        </w:rPr>
        <w:t>作用</w:t>
      </w:r>
      <w:r w:rsidR="004B594F" w:rsidRPr="00866D38">
        <w:rPr>
          <w:rFonts w:hAnsi="標楷體" w:hint="eastAsia"/>
        </w:rPr>
        <w:t>，</w:t>
      </w:r>
      <w:r w:rsidR="0026210A" w:rsidRPr="00866D38">
        <w:rPr>
          <w:rFonts w:hAnsi="標楷體" w:hint="eastAsia"/>
        </w:rPr>
        <w:t>凡此均有待教育部於規劃</w:t>
      </w:r>
      <w:r w:rsidR="004B594F" w:rsidRPr="00866D38">
        <w:rPr>
          <w:rFonts w:hAnsi="標楷體" w:hint="eastAsia"/>
        </w:rPr>
        <w:t>後續</w:t>
      </w:r>
      <w:r w:rsidR="0026210A" w:rsidRPr="00866D38">
        <w:rPr>
          <w:rFonts w:hAnsi="標楷體" w:hint="eastAsia"/>
        </w:rPr>
        <w:t>相關延續計畫時，通盤</w:t>
      </w:r>
      <w:r w:rsidR="00CD4CB5" w:rsidRPr="00866D38">
        <w:rPr>
          <w:rFonts w:hAnsi="標楷體" w:hint="eastAsia"/>
        </w:rPr>
        <w:t>檢視</w:t>
      </w:r>
      <w:r w:rsidR="0026210A" w:rsidRPr="00866D38">
        <w:rPr>
          <w:rFonts w:hAnsi="標楷體" w:hint="eastAsia"/>
        </w:rPr>
        <w:t>及評估</w:t>
      </w:r>
      <w:r w:rsidR="004B594F" w:rsidRPr="00866D38">
        <w:rPr>
          <w:rFonts w:hAnsi="標楷體" w:hint="eastAsia"/>
        </w:rPr>
        <w:t>。</w:t>
      </w:r>
      <w:bookmarkEnd w:id="138"/>
    </w:p>
    <w:p w:rsidR="006D35DF" w:rsidRPr="00866D38" w:rsidRDefault="006D35DF" w:rsidP="00B21210">
      <w:pPr>
        <w:pStyle w:val="3"/>
      </w:pPr>
      <w:bookmarkStart w:id="139" w:name="_Toc523220157"/>
      <w:r w:rsidRPr="00866D38">
        <w:rPr>
          <w:rFonts w:hint="eastAsia"/>
        </w:rPr>
        <w:t>綜上，</w:t>
      </w:r>
      <w:r w:rsidR="00B21210" w:rsidRPr="00866D38">
        <w:rPr>
          <w:rFonts w:hint="eastAsia"/>
        </w:rPr>
        <w:t>為強化產業人才之培育，技職教育確與促進社會融合及經濟成長息息相關，實有妥為規劃及推動之必要。</w:t>
      </w:r>
      <w:r w:rsidR="00B079F3" w:rsidRPr="00866D38">
        <w:rPr>
          <w:rFonts w:hint="eastAsia"/>
        </w:rPr>
        <w:t>而本案</w:t>
      </w:r>
      <w:r w:rsidRPr="00866D38">
        <w:rPr>
          <w:rFonts w:hint="eastAsia"/>
        </w:rPr>
        <w:t>審計部查核</w:t>
      </w:r>
      <w:r w:rsidR="008B59E8" w:rsidRPr="00866D38">
        <w:rPr>
          <w:rFonts w:hint="eastAsia"/>
        </w:rPr>
        <w:t>教育部執行本計畫之</w:t>
      </w:r>
      <w:r w:rsidRPr="00866D38">
        <w:rPr>
          <w:rFonts w:hint="eastAsia"/>
        </w:rPr>
        <w:t>過程仍有部分</w:t>
      </w:r>
      <w:r w:rsidR="008B59E8" w:rsidRPr="00866D38">
        <w:rPr>
          <w:rFonts w:hint="eastAsia"/>
        </w:rPr>
        <w:t>未盡</w:t>
      </w:r>
      <w:r w:rsidRPr="00866D38">
        <w:rPr>
          <w:rFonts w:hint="eastAsia"/>
        </w:rPr>
        <w:t>情事</w:t>
      </w:r>
      <w:r w:rsidR="002038DC" w:rsidRPr="00866D38">
        <w:rPr>
          <w:rFonts w:hint="eastAsia"/>
        </w:rPr>
        <w:t>，部分</w:t>
      </w:r>
      <w:r w:rsidR="00132182" w:rsidRPr="00866D38">
        <w:rPr>
          <w:rFonts w:hint="eastAsia"/>
        </w:rPr>
        <w:t>意見</w:t>
      </w:r>
      <w:r w:rsidR="002038DC" w:rsidRPr="00866D38">
        <w:rPr>
          <w:rFonts w:hint="eastAsia"/>
        </w:rPr>
        <w:t>雖經該部查復，惟整體環境問題</w:t>
      </w:r>
      <w:r w:rsidR="0073298B" w:rsidRPr="00866D38">
        <w:rPr>
          <w:rFonts w:hint="eastAsia"/>
        </w:rPr>
        <w:t>尚</w:t>
      </w:r>
      <w:r w:rsidR="00B079F3" w:rsidRPr="00866D38">
        <w:rPr>
          <w:rFonts w:hint="eastAsia"/>
        </w:rPr>
        <w:t>非一時片刻</w:t>
      </w:r>
      <w:r w:rsidR="00B079F3" w:rsidRPr="00866D38">
        <w:rPr>
          <w:rFonts w:ascii="新細明體" w:eastAsia="新細明體" w:hAnsi="新細明體" w:hint="eastAsia"/>
        </w:rPr>
        <w:t>、</w:t>
      </w:r>
      <w:r w:rsidR="00B079F3" w:rsidRPr="00866D38">
        <w:rPr>
          <w:rFonts w:hint="eastAsia"/>
        </w:rPr>
        <w:t>單一計畫所能承擔。爰</w:t>
      </w:r>
      <w:r w:rsidR="00722FA6" w:rsidRPr="00866D38">
        <w:rPr>
          <w:rFonts w:hint="eastAsia"/>
        </w:rPr>
        <w:t>為利整體高教科技研究資源挹注之效益、經費分配合理性、</w:t>
      </w:r>
      <w:r w:rsidRPr="00866D38">
        <w:rPr>
          <w:rFonts w:hint="eastAsia"/>
        </w:rPr>
        <w:t>提升</w:t>
      </w:r>
      <w:r w:rsidR="00B874C6" w:rsidRPr="00866D38">
        <w:rPr>
          <w:rFonts w:hint="eastAsia"/>
        </w:rPr>
        <w:t>高等技職教育實務</w:t>
      </w:r>
      <w:r w:rsidRPr="00866D38">
        <w:rPr>
          <w:rFonts w:hint="eastAsia"/>
        </w:rPr>
        <w:t>能量及國家競爭力，</w:t>
      </w:r>
      <w:r w:rsidR="009A6485" w:rsidRPr="00866D38">
        <w:rPr>
          <w:rFonts w:hint="eastAsia"/>
        </w:rPr>
        <w:t>教育部</w:t>
      </w:r>
      <w:r w:rsidR="00782A00" w:rsidRPr="00866D38">
        <w:rPr>
          <w:rFonts w:hint="eastAsia"/>
        </w:rPr>
        <w:t>允</w:t>
      </w:r>
      <w:r w:rsidR="00D5410D" w:rsidRPr="00866D38">
        <w:rPr>
          <w:rFonts w:hint="eastAsia"/>
        </w:rPr>
        <w:t>應</w:t>
      </w:r>
      <w:r w:rsidR="00C8077E" w:rsidRPr="00866D38">
        <w:rPr>
          <w:rFonts w:hint="eastAsia"/>
        </w:rPr>
        <w:t>持續</w:t>
      </w:r>
      <w:r w:rsidR="0026210A" w:rsidRPr="00866D38">
        <w:rPr>
          <w:rFonts w:hint="eastAsia"/>
        </w:rPr>
        <w:t>妥適</w:t>
      </w:r>
      <w:r w:rsidR="00782A00" w:rsidRPr="00866D38">
        <w:rPr>
          <w:rFonts w:hint="eastAsia"/>
        </w:rPr>
        <w:t>因應</w:t>
      </w:r>
      <w:r w:rsidRPr="00866D38">
        <w:rPr>
          <w:rFonts w:hint="eastAsia"/>
        </w:rPr>
        <w:t>。</w:t>
      </w:r>
      <w:bookmarkEnd w:id="129"/>
      <w:bookmarkEnd w:id="135"/>
      <w:bookmarkEnd w:id="136"/>
      <w:bookmarkEnd w:id="137"/>
      <w:bookmarkEnd w:id="139"/>
    </w:p>
    <w:p w:rsidR="00C011FC" w:rsidRPr="00866D38" w:rsidRDefault="00C011FC" w:rsidP="006D35DF">
      <w:pPr>
        <w:pStyle w:val="3"/>
      </w:pPr>
      <w:r w:rsidRPr="00866D38">
        <w:br w:type="page"/>
      </w:r>
    </w:p>
    <w:p w:rsidR="00C011FC" w:rsidRPr="00866D38" w:rsidRDefault="00C011FC" w:rsidP="00C011FC">
      <w:pPr>
        <w:pStyle w:val="1"/>
      </w:pPr>
      <w:bookmarkStart w:id="140" w:name="_Toc523220158"/>
      <w:r w:rsidRPr="00866D38">
        <w:rPr>
          <w:rFonts w:hint="eastAsia"/>
        </w:rPr>
        <w:lastRenderedPageBreak/>
        <w:t>處理辦法</w:t>
      </w:r>
      <w:bookmarkEnd w:id="140"/>
    </w:p>
    <w:p w:rsidR="00603083" w:rsidRPr="00866D38" w:rsidRDefault="00337FBD" w:rsidP="00603083">
      <w:pPr>
        <w:pStyle w:val="2"/>
        <w:numPr>
          <w:ilvl w:val="1"/>
          <w:numId w:val="1"/>
        </w:numPr>
      </w:pPr>
      <w:bookmarkStart w:id="141" w:name="_Toc2400396"/>
      <w:bookmarkStart w:id="142" w:name="_Toc4316190"/>
      <w:bookmarkStart w:id="143" w:name="_Toc4473331"/>
      <w:bookmarkStart w:id="144" w:name="_Toc69556898"/>
      <w:bookmarkStart w:id="145" w:name="_Toc69556947"/>
      <w:bookmarkStart w:id="146" w:name="_Toc69609821"/>
      <w:bookmarkStart w:id="147" w:name="_Toc70241817"/>
      <w:bookmarkStart w:id="148" w:name="_Toc70242206"/>
      <w:bookmarkStart w:id="149" w:name="_Toc421794877"/>
      <w:bookmarkStart w:id="150" w:name="_Toc421795443"/>
      <w:bookmarkStart w:id="151" w:name="_Toc421796024"/>
      <w:bookmarkStart w:id="152" w:name="_Toc422728959"/>
      <w:bookmarkStart w:id="153" w:name="_Toc422834162"/>
      <w:bookmarkStart w:id="154" w:name="_Toc503193351"/>
      <w:bookmarkStart w:id="155" w:name="_Toc513131351"/>
      <w:bookmarkStart w:id="156" w:name="_Toc518915408"/>
      <w:bookmarkStart w:id="157" w:name="_Toc519839643"/>
      <w:bookmarkStart w:id="158" w:name="_Toc519864779"/>
      <w:bookmarkStart w:id="159" w:name="_Toc523220159"/>
      <w:bookmarkStart w:id="160" w:name="_Toc524902735"/>
      <w:bookmarkStart w:id="161" w:name="_Toc525066149"/>
      <w:bookmarkStart w:id="162" w:name="_Toc525070840"/>
      <w:bookmarkStart w:id="163" w:name="_Toc525938380"/>
      <w:bookmarkStart w:id="164" w:name="_Toc525939228"/>
      <w:bookmarkStart w:id="165" w:name="_Toc525939733"/>
      <w:bookmarkStart w:id="166" w:name="_Toc529218273"/>
      <w:bookmarkStart w:id="167" w:name="_Toc529222690"/>
      <w:bookmarkStart w:id="168" w:name="_Toc529223112"/>
      <w:bookmarkStart w:id="169" w:name="_Toc529223863"/>
      <w:bookmarkStart w:id="170" w:name="_Toc529228266"/>
      <w:r w:rsidRPr="00866D38">
        <w:rPr>
          <w:rFonts w:hint="eastAsia"/>
        </w:rPr>
        <w:t>調查意見一</w:t>
      </w:r>
      <w:r w:rsidR="00062B6D" w:rsidRPr="00866D38">
        <w:rPr>
          <w:rFonts w:ascii="新細明體" w:eastAsia="新細明體" w:hAnsi="新細明體" w:hint="eastAsia"/>
        </w:rPr>
        <w:t>、</w:t>
      </w:r>
      <w:r w:rsidR="009442A0" w:rsidRPr="00866D38">
        <w:rPr>
          <w:rFonts w:hint="eastAsia"/>
        </w:rPr>
        <w:t>三</w:t>
      </w:r>
      <w:r w:rsidR="00603083" w:rsidRPr="00866D38">
        <w:rPr>
          <w:rFonts w:hint="eastAsia"/>
        </w:rPr>
        <w:t>，函請</w:t>
      </w:r>
      <w:r w:rsidR="00375042" w:rsidRPr="00866D38">
        <w:rPr>
          <w:rFonts w:hint="eastAsia"/>
        </w:rPr>
        <w:t>教育部</w:t>
      </w:r>
      <w:r w:rsidR="005038A9" w:rsidRPr="00866D38">
        <w:rPr>
          <w:rFonts w:hint="eastAsia"/>
        </w:rPr>
        <w:t>參考</w:t>
      </w:r>
      <w:r w:rsidR="00603083" w:rsidRPr="00866D38">
        <w:rPr>
          <w:rFonts w:hint="eastAsia"/>
        </w:rPr>
        <w: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603083" w:rsidRPr="00866D38" w:rsidRDefault="00603083" w:rsidP="00603083">
      <w:pPr>
        <w:pStyle w:val="2"/>
        <w:numPr>
          <w:ilvl w:val="1"/>
          <w:numId w:val="1"/>
        </w:numPr>
      </w:pPr>
      <w:bookmarkStart w:id="171" w:name="_Toc70241819"/>
      <w:bookmarkStart w:id="172" w:name="_Toc70242208"/>
      <w:bookmarkStart w:id="173" w:name="_Toc421794878"/>
      <w:bookmarkStart w:id="174" w:name="_Toc421795444"/>
      <w:bookmarkStart w:id="175" w:name="_Toc421796025"/>
      <w:bookmarkStart w:id="176" w:name="_Toc422728960"/>
      <w:bookmarkStart w:id="177" w:name="_Toc422834163"/>
      <w:bookmarkStart w:id="178" w:name="_Toc503193352"/>
      <w:bookmarkStart w:id="179" w:name="_Toc513131352"/>
      <w:bookmarkStart w:id="180" w:name="_Toc518915409"/>
      <w:bookmarkStart w:id="181" w:name="_Toc519839644"/>
      <w:bookmarkStart w:id="182" w:name="_Toc519864780"/>
      <w:bookmarkStart w:id="183" w:name="_Toc523220160"/>
      <w:bookmarkStart w:id="184" w:name="_Toc70241818"/>
      <w:bookmarkStart w:id="185" w:name="_Toc70242207"/>
      <w:bookmarkStart w:id="186" w:name="_Toc69556899"/>
      <w:bookmarkStart w:id="187" w:name="_Toc69556948"/>
      <w:bookmarkStart w:id="188" w:name="_Toc69609822"/>
      <w:r w:rsidRPr="00866D38">
        <w:rPr>
          <w:rFonts w:hint="eastAsia"/>
        </w:rPr>
        <w:t>調查意見</w:t>
      </w:r>
      <w:r w:rsidR="00ED1D98" w:rsidRPr="00866D38">
        <w:rPr>
          <w:rFonts w:hint="eastAsia"/>
        </w:rPr>
        <w:t>二</w:t>
      </w:r>
      <w:r w:rsidRPr="00866D38">
        <w:rPr>
          <w:rFonts w:hint="eastAsia"/>
        </w:rPr>
        <w:t>，</w:t>
      </w:r>
      <w:r w:rsidR="00375042" w:rsidRPr="00866D38">
        <w:rPr>
          <w:rFonts w:hint="eastAsia"/>
        </w:rPr>
        <w:t>函請教育部確實檢討改進見復</w:t>
      </w:r>
      <w:r w:rsidRPr="00866D38">
        <w:rPr>
          <w:rFonts w:hint="eastAsia"/>
        </w:rPr>
        <w:t>。</w:t>
      </w:r>
      <w:bookmarkEnd w:id="171"/>
      <w:bookmarkEnd w:id="172"/>
      <w:bookmarkEnd w:id="173"/>
      <w:bookmarkEnd w:id="174"/>
      <w:bookmarkEnd w:id="175"/>
      <w:bookmarkEnd w:id="176"/>
      <w:bookmarkEnd w:id="177"/>
      <w:bookmarkEnd w:id="178"/>
      <w:bookmarkEnd w:id="179"/>
      <w:bookmarkEnd w:id="180"/>
      <w:bookmarkEnd w:id="181"/>
      <w:bookmarkEnd w:id="182"/>
      <w:bookmarkEnd w:id="183"/>
    </w:p>
    <w:p w:rsidR="005038A9" w:rsidRDefault="005038A9" w:rsidP="005038A9">
      <w:pPr>
        <w:pStyle w:val="2"/>
        <w:numPr>
          <w:ilvl w:val="1"/>
          <w:numId w:val="1"/>
        </w:numPr>
      </w:pPr>
      <w:bookmarkStart w:id="189" w:name="_Toc513131353"/>
      <w:bookmarkStart w:id="190" w:name="_Toc518915410"/>
      <w:bookmarkStart w:id="191" w:name="_Toc519839645"/>
      <w:bookmarkStart w:id="192" w:name="_Toc519864781"/>
      <w:bookmarkStart w:id="193" w:name="_Toc523220161"/>
      <w:r w:rsidRPr="00866D38">
        <w:rPr>
          <w:rFonts w:hint="eastAsia"/>
        </w:rPr>
        <w:t>調查意見，函請審計部參考。</w:t>
      </w:r>
      <w:bookmarkEnd w:id="26"/>
      <w:bookmarkEnd w:id="27"/>
      <w:bookmarkEnd w:id="28"/>
      <w:bookmarkEnd w:id="29"/>
      <w:bookmarkEnd w:id="30"/>
      <w:bookmarkEnd w:id="31"/>
      <w:bookmarkEnd w:id="160"/>
      <w:bookmarkEnd w:id="161"/>
      <w:bookmarkEnd w:id="162"/>
      <w:bookmarkEnd w:id="163"/>
      <w:bookmarkEnd w:id="164"/>
      <w:bookmarkEnd w:id="165"/>
      <w:bookmarkEnd w:id="166"/>
      <w:bookmarkEnd w:id="167"/>
      <w:bookmarkEnd w:id="168"/>
      <w:bookmarkEnd w:id="169"/>
      <w:bookmarkEnd w:id="170"/>
      <w:bookmarkEnd w:id="184"/>
      <w:bookmarkEnd w:id="185"/>
      <w:bookmarkEnd w:id="186"/>
      <w:bookmarkEnd w:id="187"/>
      <w:bookmarkEnd w:id="188"/>
      <w:bookmarkEnd w:id="189"/>
      <w:bookmarkEnd w:id="190"/>
      <w:bookmarkEnd w:id="191"/>
      <w:bookmarkEnd w:id="192"/>
      <w:bookmarkEnd w:id="193"/>
    </w:p>
    <w:p w:rsidR="00C2155D" w:rsidRDefault="00C2155D" w:rsidP="00C2155D">
      <w:pPr>
        <w:pStyle w:val="1"/>
        <w:numPr>
          <w:ilvl w:val="0"/>
          <w:numId w:val="0"/>
        </w:numPr>
        <w:ind w:left="2381"/>
      </w:pPr>
    </w:p>
    <w:p w:rsidR="00C2155D" w:rsidRDefault="00C2155D" w:rsidP="00C2155D">
      <w:pPr>
        <w:pStyle w:val="1"/>
        <w:numPr>
          <w:ilvl w:val="0"/>
          <w:numId w:val="0"/>
        </w:numPr>
        <w:ind w:left="2381"/>
      </w:pPr>
    </w:p>
    <w:p w:rsidR="00C2155D" w:rsidRDefault="00C2155D" w:rsidP="00C2155D">
      <w:pPr>
        <w:pStyle w:val="1"/>
        <w:numPr>
          <w:ilvl w:val="0"/>
          <w:numId w:val="0"/>
        </w:numPr>
        <w:ind w:left="2381"/>
      </w:pPr>
    </w:p>
    <w:p w:rsidR="00C2155D" w:rsidRPr="00C2155D" w:rsidRDefault="00C2155D" w:rsidP="00C2155D">
      <w:pPr>
        <w:pStyle w:val="1"/>
        <w:numPr>
          <w:ilvl w:val="0"/>
          <w:numId w:val="0"/>
        </w:numPr>
        <w:ind w:left="3544"/>
        <w:rPr>
          <w:rFonts w:hAnsi="標楷體"/>
          <w:sz w:val="40"/>
          <w:szCs w:val="40"/>
        </w:rPr>
      </w:pPr>
      <w:r w:rsidRPr="00C2155D">
        <w:rPr>
          <w:rFonts w:hint="eastAsia"/>
          <w:sz w:val="40"/>
          <w:szCs w:val="40"/>
        </w:rPr>
        <w:t>調查委員</w:t>
      </w:r>
      <w:r w:rsidRPr="00C2155D">
        <w:rPr>
          <w:rFonts w:hAnsi="標楷體" w:hint="eastAsia"/>
          <w:sz w:val="40"/>
          <w:szCs w:val="40"/>
        </w:rPr>
        <w:t>：陳慶財</w:t>
      </w:r>
    </w:p>
    <w:p w:rsidR="00C2155D" w:rsidRPr="00C2155D" w:rsidRDefault="00C2155D" w:rsidP="00C2155D">
      <w:pPr>
        <w:pStyle w:val="1"/>
        <w:numPr>
          <w:ilvl w:val="0"/>
          <w:numId w:val="0"/>
        </w:numPr>
        <w:ind w:left="5670"/>
        <w:rPr>
          <w:rFonts w:hAnsi="標楷體"/>
          <w:sz w:val="40"/>
          <w:szCs w:val="40"/>
        </w:rPr>
      </w:pPr>
      <w:bookmarkStart w:id="194" w:name="_GoBack"/>
      <w:r w:rsidRPr="00C2155D">
        <w:rPr>
          <w:rFonts w:hAnsi="標楷體" w:hint="eastAsia"/>
          <w:sz w:val="40"/>
          <w:szCs w:val="40"/>
        </w:rPr>
        <w:t>包宗和</w:t>
      </w:r>
    </w:p>
    <w:p w:rsidR="00C2155D" w:rsidRPr="00C2155D" w:rsidRDefault="00C2155D" w:rsidP="00C2155D">
      <w:pPr>
        <w:pStyle w:val="1"/>
        <w:numPr>
          <w:ilvl w:val="0"/>
          <w:numId w:val="0"/>
        </w:numPr>
        <w:ind w:left="5670"/>
        <w:rPr>
          <w:rFonts w:hAnsi="標楷體"/>
          <w:sz w:val="40"/>
          <w:szCs w:val="40"/>
        </w:rPr>
      </w:pPr>
      <w:r w:rsidRPr="00C2155D">
        <w:rPr>
          <w:rFonts w:hAnsi="標楷體" w:hint="eastAsia"/>
          <w:sz w:val="40"/>
          <w:szCs w:val="40"/>
        </w:rPr>
        <w:t>王美玉</w:t>
      </w:r>
    </w:p>
    <w:p w:rsidR="00C2155D" w:rsidRPr="00C2155D" w:rsidRDefault="00C2155D" w:rsidP="00C2155D">
      <w:pPr>
        <w:pStyle w:val="1"/>
        <w:numPr>
          <w:ilvl w:val="0"/>
          <w:numId w:val="0"/>
        </w:numPr>
        <w:ind w:left="5670"/>
        <w:rPr>
          <w:rFonts w:hint="eastAsia"/>
          <w:sz w:val="40"/>
          <w:szCs w:val="40"/>
        </w:rPr>
      </w:pPr>
      <w:r w:rsidRPr="00C2155D">
        <w:rPr>
          <w:rFonts w:hAnsi="標楷體" w:hint="eastAsia"/>
          <w:sz w:val="40"/>
          <w:szCs w:val="40"/>
        </w:rPr>
        <w:t>章仁香</w:t>
      </w:r>
      <w:bookmarkEnd w:id="194"/>
    </w:p>
    <w:sectPr w:rsidR="00C2155D" w:rsidRPr="00C2155D"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B47" w:rsidRDefault="00C70B47">
      <w:r>
        <w:separator/>
      </w:r>
    </w:p>
  </w:endnote>
  <w:endnote w:type="continuationSeparator" w:id="0">
    <w:p w:rsidR="00C70B47" w:rsidRDefault="00C7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MingStd-Light">
    <w:altName w:val="細明體"/>
    <w:panose1 w:val="00000000000000000000"/>
    <w:charset w:val="88"/>
    <w:family w:val="auto"/>
    <w:notTrueType/>
    <w:pitch w:val="default"/>
    <w:sig w:usb0="00000001" w:usb1="08080000" w:usb2="00000010" w:usb3="00000000" w:csb0="00100000"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7D7" w:rsidRDefault="00FC27D7">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2155D">
      <w:rPr>
        <w:rStyle w:val="ac"/>
        <w:noProof/>
        <w:sz w:val="24"/>
      </w:rPr>
      <w:t>21</w:t>
    </w:r>
    <w:r>
      <w:rPr>
        <w:rStyle w:val="ac"/>
        <w:sz w:val="24"/>
      </w:rPr>
      <w:fldChar w:fldCharType="end"/>
    </w:r>
  </w:p>
  <w:p w:rsidR="00FC27D7" w:rsidRDefault="00FC27D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B47" w:rsidRDefault="00C70B47">
      <w:r>
        <w:separator/>
      </w:r>
    </w:p>
  </w:footnote>
  <w:footnote w:type="continuationSeparator" w:id="0">
    <w:p w:rsidR="00C70B47" w:rsidRDefault="00C70B47">
      <w:r>
        <w:continuationSeparator/>
      </w:r>
    </w:p>
  </w:footnote>
  <w:footnote w:id="1">
    <w:p w:rsidR="00FC27D7" w:rsidRPr="00B6406D" w:rsidRDefault="00FC27D7" w:rsidP="00FC27D7">
      <w:pPr>
        <w:pStyle w:val="afd"/>
        <w:ind w:left="141" w:hangingChars="64" w:hanging="141"/>
        <w:jc w:val="both"/>
      </w:pPr>
      <w:r>
        <w:rPr>
          <w:rStyle w:val="aff"/>
        </w:rPr>
        <w:footnoteRef/>
      </w:r>
      <w:r>
        <w:rPr>
          <w:rFonts w:hint="eastAsia"/>
        </w:rPr>
        <w:t xml:space="preserve"> </w:t>
      </w:r>
      <w:r w:rsidRPr="00B6406D">
        <w:rPr>
          <w:rFonts w:hint="eastAsia"/>
        </w:rPr>
        <w:t>為妥善規劃高等教育發展方向，發展典範科技大學計畫於106年納入該部「106年高等教育競爭性經費延續計畫」中辦理，並經行政院於105年8月2日以院臺教字第1050172091號函核定，辦理期程為106年1月1日至106年12月31日止。</w:t>
      </w:r>
    </w:p>
  </w:footnote>
  <w:footnote w:id="2">
    <w:p w:rsidR="00FC27D7" w:rsidRDefault="00FC27D7">
      <w:pPr>
        <w:pStyle w:val="afd"/>
      </w:pPr>
      <w:r>
        <w:rPr>
          <w:rStyle w:val="aff"/>
        </w:rPr>
        <w:footnoteRef/>
      </w:r>
      <w:r>
        <w:rPr>
          <w:rFonts w:hint="eastAsia"/>
        </w:rPr>
        <w:t>行政院部會新聞(民105)。</w:t>
      </w:r>
      <w:r w:rsidRPr="00F454BA">
        <w:rPr>
          <w:rFonts w:hint="eastAsia"/>
          <w:b/>
        </w:rPr>
        <w:t>「產學典範‧點亮未來」 2016發展典範科技大學計畫成果展</w:t>
      </w:r>
      <w:r>
        <w:rPr>
          <w:rFonts w:hint="eastAsia"/>
        </w:rPr>
        <w:t>。</w:t>
      </w:r>
    </w:p>
  </w:footnote>
  <w:footnote w:id="3">
    <w:p w:rsidR="00FC27D7" w:rsidRPr="00184921" w:rsidRDefault="00FC27D7">
      <w:pPr>
        <w:pStyle w:val="afd"/>
      </w:pPr>
      <w:r>
        <w:rPr>
          <w:rStyle w:val="aff"/>
        </w:rPr>
        <w:footnoteRef/>
      </w:r>
      <w:r>
        <w:rPr>
          <w:rFonts w:hint="eastAsia"/>
        </w:rPr>
        <w:t>據教育部提供之資料顯示應為</w:t>
      </w:r>
      <w:r w:rsidRPr="00827A74">
        <w:rPr>
          <w:rFonts w:hint="eastAsia"/>
        </w:rPr>
        <w:t>40.63%</w:t>
      </w:r>
      <w:r>
        <w:rPr>
          <w:rFonts w:hint="eastAsia"/>
        </w:rPr>
        <w:t>。</w:t>
      </w:r>
    </w:p>
  </w:footnote>
  <w:footnote w:id="4">
    <w:p w:rsidR="00FC27D7" w:rsidRPr="00513EAD" w:rsidRDefault="00FC27D7" w:rsidP="00441A56">
      <w:pPr>
        <w:pStyle w:val="afd"/>
        <w:ind w:left="156" w:hangingChars="71" w:hanging="156"/>
      </w:pPr>
      <w:r>
        <w:rPr>
          <w:rStyle w:val="aff"/>
        </w:rPr>
        <w:footnoteRef/>
      </w:r>
      <w:r w:rsidRPr="0033066D">
        <w:rPr>
          <w:rFonts w:hAnsi="標楷體" w:hint="eastAsia"/>
        </w:rPr>
        <w:t>行政院核定國立高雄海洋科技大學、國立高雄第一科技大學及國立高雄應用科技大學自107年2月1日起正式合併為「國立高雄科技大學</w:t>
      </w:r>
      <w:r w:rsidRPr="0033066D">
        <w:rPr>
          <w:rFonts w:hint="eastAsia"/>
        </w:rPr>
        <w:t>」</w:t>
      </w:r>
      <w:r>
        <w:rPr>
          <w:rFonts w:hint="eastAsia"/>
        </w:rPr>
        <w:t>。</w:t>
      </w:r>
    </w:p>
  </w:footnote>
  <w:footnote w:id="5">
    <w:p w:rsidR="00FC27D7" w:rsidRDefault="00FC27D7" w:rsidP="006A0F49">
      <w:pPr>
        <w:pStyle w:val="afd"/>
        <w:wordWrap w:val="0"/>
      </w:pPr>
      <w:r>
        <w:rPr>
          <w:rStyle w:val="aff"/>
        </w:rPr>
        <w:footnoteRef/>
      </w:r>
      <w:r>
        <w:rPr>
          <w:rFonts w:hint="eastAsia"/>
        </w:rPr>
        <w:t>中央研究院(民102)。</w:t>
      </w:r>
      <w:r w:rsidRPr="00A10815">
        <w:rPr>
          <w:rFonts w:hAnsi="標楷體" w:hint="eastAsia"/>
          <w:b/>
        </w:rPr>
        <w:t>高等教育與科技政策建議書</w:t>
      </w:r>
      <w:r>
        <w:rPr>
          <w:rFonts w:hAnsi="標楷體" w:hint="eastAsia"/>
        </w:rPr>
        <w:t>。104年3月，取自</w:t>
      </w:r>
      <w:r w:rsidRPr="00E50F23">
        <w:t>http://www.sinica.edu.tw/advice/advice_edu2.pdf</w:t>
      </w:r>
    </w:p>
  </w:footnote>
  <w:footnote w:id="6">
    <w:p w:rsidR="00FC27D7" w:rsidRPr="00DD7E38" w:rsidRDefault="00FC27D7">
      <w:pPr>
        <w:pStyle w:val="afd"/>
      </w:pPr>
      <w:r>
        <w:rPr>
          <w:rStyle w:val="aff"/>
        </w:rPr>
        <w:footnoteRef/>
      </w:r>
      <w:r w:rsidRPr="00EB1C3D">
        <w:rPr>
          <w:rFonts w:hint="eastAsia"/>
        </w:rPr>
        <w:t>林宜玄、林俊彥等</w:t>
      </w:r>
      <w:r>
        <w:rPr>
          <w:rFonts w:hint="eastAsia"/>
        </w:rPr>
        <w:t>（民97年）。</w:t>
      </w:r>
      <w:r w:rsidRPr="00EB1C3D">
        <w:rPr>
          <w:rFonts w:hint="eastAsia"/>
          <w:b/>
        </w:rPr>
        <w:t>推動高等教育實習制度強化專業人才培育</w:t>
      </w:r>
      <w:r>
        <w:rPr>
          <w:rFonts w:hint="eastAsia"/>
        </w:rPr>
        <w:t>。</w:t>
      </w:r>
      <w:r w:rsidRPr="00F03FDC">
        <w:rPr>
          <w:rFonts w:hint="eastAsia"/>
        </w:rPr>
        <w:t>行政院經濟建設委員會</w:t>
      </w:r>
      <w:r>
        <w:rPr>
          <w:rFonts w:hint="eastAsia"/>
        </w:rPr>
        <w:t>委託</w:t>
      </w:r>
      <w:r w:rsidRPr="00EB1C3D">
        <w:rPr>
          <w:rFonts w:hint="eastAsia"/>
        </w:rPr>
        <w:t>國立</w:t>
      </w:r>
      <w:r>
        <w:rPr>
          <w:rFonts w:hint="eastAsia"/>
        </w:rPr>
        <w:t>臺</w:t>
      </w:r>
      <w:r w:rsidRPr="00EB1C3D">
        <w:rPr>
          <w:rFonts w:hint="eastAsia"/>
        </w:rPr>
        <w:t>北科技大學技術及職業教育研究所</w:t>
      </w:r>
      <w:r>
        <w:rPr>
          <w:rFonts w:hint="eastAsia"/>
        </w:rPr>
        <w:t>研究。</w:t>
      </w:r>
    </w:p>
  </w:footnote>
  <w:footnote w:id="7">
    <w:p w:rsidR="00FC27D7" w:rsidRDefault="00FC27D7" w:rsidP="00A62E5B">
      <w:pPr>
        <w:pStyle w:val="afd"/>
        <w:jc w:val="both"/>
      </w:pPr>
      <w:r>
        <w:rPr>
          <w:rStyle w:val="aff"/>
        </w:rPr>
        <w:footnoteRef/>
      </w:r>
      <w:r>
        <w:rPr>
          <w:rFonts w:hint="eastAsia"/>
        </w:rPr>
        <w:t>校外實習：可視為是校內實習的延伸，實施方式係由各科主任及實習輔導教師配合學校相關單位（如：實習就業組、實習就業輔導組等）選定國內優良企業、產業界，經協商簽約後，分發學生前往實習。實際實習時間依各校與實習單位協議而定，一般約為半年（4至6個月）。在校外實習制度下，學生可透過業界實際工作的操作，印證校內課堂所學、吸取實務經驗，藉由實習過程調和自身對理論與實務的認知，並減少對兩者間的認知差距，以奠定日後就業之基礎。此外學生於校外實習期間，師長會前往訪視，除瞭解學生的學習狀況外，亦可瞭解業界需求的變化，做為更新課程設計的基礎，以有效結合學界與業界，協助學生進行學習。</w:t>
      </w:r>
    </w:p>
    <w:p w:rsidR="00FC27D7" w:rsidRPr="003963FE" w:rsidRDefault="00FC27D7" w:rsidP="00A62E5B">
      <w:pPr>
        <w:pStyle w:val="afd"/>
        <w:jc w:val="both"/>
      </w:pPr>
      <w:r>
        <w:rPr>
          <w:rFonts w:hint="eastAsia"/>
        </w:rPr>
        <w:t>資料來源：同上註。</w:t>
      </w:r>
    </w:p>
  </w:footnote>
  <w:footnote w:id="8">
    <w:p w:rsidR="00FC27D7" w:rsidRPr="000004CA" w:rsidRDefault="00FC27D7" w:rsidP="007E7593">
      <w:pPr>
        <w:pStyle w:val="afd"/>
      </w:pPr>
      <w:r>
        <w:rPr>
          <w:rStyle w:val="aff"/>
        </w:rPr>
        <w:footnoteRef/>
      </w:r>
      <w:r w:rsidRPr="000004CA">
        <w:rPr>
          <w:rFonts w:hint="eastAsia"/>
        </w:rPr>
        <w:t>行政院105年8月2日院臺教字第1050172091號核定</w:t>
      </w:r>
      <w:r>
        <w:rPr>
          <w:rFonts w:hint="eastAsia"/>
        </w:rPr>
        <w:t>。</w:t>
      </w:r>
    </w:p>
  </w:footnote>
  <w:footnote w:id="9">
    <w:p w:rsidR="00FC27D7" w:rsidRPr="000004CA" w:rsidRDefault="00FC27D7" w:rsidP="00310219">
      <w:pPr>
        <w:pStyle w:val="afd"/>
      </w:pPr>
      <w:r>
        <w:rPr>
          <w:rStyle w:val="aff"/>
        </w:rPr>
        <w:footnoteRef/>
      </w:r>
      <w:r w:rsidRPr="000004CA">
        <w:rPr>
          <w:rFonts w:hint="eastAsia"/>
        </w:rPr>
        <w:t>行政院105年8月2日院臺教字第1050172091號核定</w:t>
      </w:r>
      <w:r>
        <w:rPr>
          <w:rFonts w:hint="eastAsia"/>
        </w:rPr>
        <w:t>。</w:t>
      </w:r>
    </w:p>
  </w:footnote>
  <w:footnote w:id="10">
    <w:p w:rsidR="00FC27D7" w:rsidRPr="00354A8B" w:rsidRDefault="00FC27D7" w:rsidP="003C2C8F">
      <w:pPr>
        <w:pStyle w:val="afd"/>
      </w:pPr>
      <w:r>
        <w:rPr>
          <w:rStyle w:val="aff"/>
        </w:rPr>
        <w:footnoteRef/>
      </w:r>
      <w:r>
        <w:rPr>
          <w:rFonts w:hAnsi="標楷體" w:hint="eastAsia"/>
        </w:rPr>
        <w:t>審計部</w:t>
      </w:r>
      <w:r w:rsidRPr="00E3330D">
        <w:rPr>
          <w:rFonts w:hAnsi="標楷體" w:hint="eastAsia"/>
          <w:spacing w:val="-20"/>
        </w:rPr>
        <w:t>1</w:t>
      </w:r>
      <w:r w:rsidRPr="00E3330D">
        <w:rPr>
          <w:rFonts w:hAnsi="標楷體" w:cs="AdobeMingStd-Light" w:hint="eastAsia"/>
          <w:kern w:val="0"/>
        </w:rPr>
        <w:t>03年1月23日台審部教字第1038500171號</w:t>
      </w:r>
      <w:r>
        <w:rPr>
          <w:rFonts w:hAnsi="標楷體" w:hint="eastAsia"/>
          <w:spacing w:val="-20"/>
        </w:rPr>
        <w:t>函</w:t>
      </w:r>
      <w:r>
        <w:rPr>
          <w:rFonts w:hAnsi="標楷體" w:hint="eastAsia"/>
        </w:rPr>
        <w:t>審核意見。</w:t>
      </w:r>
    </w:p>
  </w:footnote>
  <w:footnote w:id="11">
    <w:p w:rsidR="00FC27D7" w:rsidRPr="0050696D" w:rsidRDefault="00FC27D7" w:rsidP="00890FE7">
      <w:pPr>
        <w:pStyle w:val="afd"/>
        <w:ind w:left="141" w:hangingChars="64" w:hanging="141"/>
      </w:pPr>
      <w:r>
        <w:rPr>
          <w:rStyle w:val="aff"/>
        </w:rPr>
        <w:footnoteRef/>
      </w:r>
      <w:r w:rsidRPr="0050696D">
        <w:rPr>
          <w:rFonts w:hint="eastAsia"/>
        </w:rPr>
        <w:t>部分學校101年度成果報告所列績效指標預計目標值，較101年度計畫書之預計目標值為低；部分學校101年度計畫書所列績效指標，未於101年度成果報告敘明實際達成情形。</w:t>
      </w:r>
    </w:p>
  </w:footnote>
  <w:footnote w:id="12">
    <w:p w:rsidR="00FC27D7" w:rsidRPr="00354A8B" w:rsidRDefault="00FC27D7" w:rsidP="003C2C8F">
      <w:pPr>
        <w:pStyle w:val="afd"/>
      </w:pPr>
      <w:r>
        <w:rPr>
          <w:rStyle w:val="aff"/>
        </w:rPr>
        <w:footnoteRef/>
      </w:r>
      <w:r>
        <w:rPr>
          <w:rFonts w:hAnsi="標楷體" w:hint="eastAsia"/>
        </w:rPr>
        <w:t>審計部</w:t>
      </w:r>
      <w:r w:rsidRPr="006569EF">
        <w:rPr>
          <w:rFonts w:hAnsi="標楷體" w:hint="eastAsia"/>
        </w:rPr>
        <w:t>104年6月8日台審部教字第1048502047</w:t>
      </w:r>
      <w:r w:rsidRPr="00E3330D">
        <w:rPr>
          <w:rFonts w:hAnsi="標楷體" w:cs="AdobeMingStd-Light" w:hint="eastAsia"/>
          <w:kern w:val="0"/>
        </w:rPr>
        <w:t>號</w:t>
      </w:r>
      <w:r>
        <w:rPr>
          <w:rFonts w:hAnsi="標楷體" w:hint="eastAsia"/>
          <w:spacing w:val="-20"/>
        </w:rPr>
        <w:t>函</w:t>
      </w:r>
      <w:r>
        <w:rPr>
          <w:rFonts w:hAnsi="標楷體" w:hint="eastAsia"/>
        </w:rPr>
        <w:t>審核意見。</w:t>
      </w:r>
    </w:p>
  </w:footnote>
  <w:footnote w:id="13">
    <w:p w:rsidR="00FC27D7" w:rsidRPr="00354A8B" w:rsidRDefault="00FC27D7" w:rsidP="004940AE">
      <w:pPr>
        <w:pStyle w:val="afd"/>
      </w:pPr>
      <w:r>
        <w:rPr>
          <w:rStyle w:val="aff"/>
        </w:rPr>
        <w:footnoteRef/>
      </w:r>
      <w:r>
        <w:rPr>
          <w:rFonts w:hAnsi="標楷體" w:hint="eastAsia"/>
        </w:rPr>
        <w:t>審計部</w:t>
      </w:r>
      <w:r>
        <w:rPr>
          <w:rFonts w:hAnsi="標楷體" w:hint="eastAsia"/>
          <w:spacing w:val="-20"/>
        </w:rPr>
        <w:t>1</w:t>
      </w:r>
      <w:r w:rsidRPr="00163BD3">
        <w:rPr>
          <w:rFonts w:hAnsi="標楷體" w:cs="AdobeMingStd-Light" w:hint="eastAsia"/>
          <w:kern w:val="0"/>
        </w:rPr>
        <w:t>06年2月16日台審部教字第1068500437號</w:t>
      </w:r>
      <w:r w:rsidRPr="00943A5F">
        <w:rPr>
          <w:rFonts w:hAnsi="標楷體" w:hint="eastAsia"/>
          <w:spacing w:val="-20"/>
        </w:rPr>
        <w:t>函</w:t>
      </w:r>
      <w:r w:rsidRPr="00C87CF3">
        <w:rPr>
          <w:rFonts w:hAnsi="標楷體" w:hint="eastAsia"/>
        </w:rPr>
        <w:t>審核</w:t>
      </w:r>
      <w:r>
        <w:rPr>
          <w:rFonts w:hAnsi="標楷體" w:hint="eastAsia"/>
        </w:rPr>
        <w:t>意見。</w:t>
      </w:r>
    </w:p>
  </w:footnote>
  <w:footnote w:id="14">
    <w:p w:rsidR="00FC27D7" w:rsidRPr="00D41C68" w:rsidRDefault="00FC27D7" w:rsidP="0098065A">
      <w:pPr>
        <w:pStyle w:val="afd"/>
      </w:pPr>
      <w:r>
        <w:rPr>
          <w:rStyle w:val="aff"/>
        </w:rPr>
        <w:footnoteRef/>
      </w:r>
      <w:r w:rsidRPr="00D41C68">
        <w:rPr>
          <w:rFonts w:hint="eastAsia"/>
        </w:rPr>
        <w:t>技術與職業教育法第4條規定：「為培育符合國家經濟及產業發展需求之人才，制定宏觀技職教育政策綱領，行政院應定期邀集教育部、勞動部、經濟部、國發會及其他相關部會首長，召開技職教育審議會；其委員之遴聘、組織及運作辦法，由行政院定之。」</w:t>
      </w:r>
      <w:r>
        <w:rPr>
          <w:rFonts w:hint="eastAsia"/>
        </w:rPr>
        <w:t>同法第5條規定：「</w:t>
      </w:r>
      <w:r w:rsidRPr="00D41C68">
        <w:rPr>
          <w:rFonts w:hint="eastAsia"/>
        </w:rPr>
        <w:t>中央目的事業主管機關應彙整所轄產業人才需求相關資料，並提供產業人才需求調查及推估報告，送中央主管機關</w:t>
      </w:r>
      <w:r>
        <w:rPr>
          <w:rFonts w:hint="eastAsia"/>
        </w:rPr>
        <w:t>。」</w:t>
      </w:r>
    </w:p>
  </w:footnote>
  <w:footnote w:id="15">
    <w:p w:rsidR="00FC27D7" w:rsidRDefault="00FC27D7" w:rsidP="0050788E">
      <w:pPr>
        <w:pStyle w:val="afd"/>
      </w:pPr>
      <w:r>
        <w:rPr>
          <w:rStyle w:val="aff"/>
        </w:rPr>
        <w:footnoteRef/>
      </w:r>
      <w:r w:rsidRPr="0050788E">
        <w:rPr>
          <w:rFonts w:hint="eastAsia"/>
        </w:rPr>
        <w:t>典範科大計畫於</w:t>
      </w:r>
      <w:r w:rsidRPr="0050788E">
        <w:t>106</w:t>
      </w:r>
      <w:r w:rsidRPr="0050788E">
        <w:rPr>
          <w:rFonts w:hint="eastAsia"/>
        </w:rPr>
        <w:t>年納入「教育部</w:t>
      </w:r>
      <w:r w:rsidRPr="0050788E">
        <w:t>106</w:t>
      </w:r>
      <w:r w:rsidRPr="0050788E">
        <w:rPr>
          <w:rFonts w:hint="eastAsia"/>
        </w:rPr>
        <w:t>年高等教育競爭性經費延續計畫」中辦理</w:t>
      </w:r>
      <w:r>
        <w:rPr>
          <w:rFonts w:hint="eastAsia"/>
        </w:rPr>
        <w:t>，經</w:t>
      </w:r>
      <w:r w:rsidRPr="0050788E">
        <w:rPr>
          <w:rFonts w:hint="eastAsia"/>
        </w:rPr>
        <w:t>行政院於</w:t>
      </w:r>
      <w:r w:rsidRPr="0050788E">
        <w:t>105</w:t>
      </w:r>
      <w:r w:rsidRPr="0050788E">
        <w:rPr>
          <w:rFonts w:hint="eastAsia"/>
        </w:rPr>
        <w:t>年</w:t>
      </w:r>
      <w:r w:rsidRPr="0050788E">
        <w:t>8</w:t>
      </w:r>
      <w:r w:rsidRPr="0050788E">
        <w:rPr>
          <w:rFonts w:hint="eastAsia"/>
        </w:rPr>
        <w:t>月</w:t>
      </w:r>
      <w:r w:rsidRPr="0050788E">
        <w:t>2</w:t>
      </w:r>
      <w:r w:rsidRPr="0050788E">
        <w:rPr>
          <w:rFonts w:hint="eastAsia"/>
        </w:rPr>
        <w:t>日以院臺教字第</w:t>
      </w:r>
      <w:r w:rsidRPr="0050788E">
        <w:t>1050172091</w:t>
      </w:r>
      <w:r w:rsidRPr="0050788E">
        <w:rPr>
          <w:rFonts w:hint="eastAsia"/>
        </w:rPr>
        <w:t>號函核定，辦理期程為</w:t>
      </w:r>
      <w:r w:rsidRPr="0050788E">
        <w:t>106</w:t>
      </w:r>
      <w:r w:rsidRPr="0050788E">
        <w:rPr>
          <w:rFonts w:hint="eastAsia"/>
        </w:rPr>
        <w:t>年</w:t>
      </w:r>
      <w:r w:rsidRPr="0050788E">
        <w:t>1</w:t>
      </w:r>
      <w:r w:rsidRPr="0050788E">
        <w:rPr>
          <w:rFonts w:hint="eastAsia"/>
        </w:rPr>
        <w:t>月</w:t>
      </w:r>
      <w:r w:rsidRPr="0050788E">
        <w:t>1</w:t>
      </w:r>
      <w:r w:rsidRPr="0050788E">
        <w:rPr>
          <w:rFonts w:hint="eastAsia"/>
        </w:rPr>
        <w:t>日至</w:t>
      </w:r>
      <w:r w:rsidRPr="0050788E">
        <w:t>106</w:t>
      </w:r>
      <w:r w:rsidRPr="0050788E">
        <w:rPr>
          <w:rFonts w:hint="eastAsia"/>
        </w:rPr>
        <w:t>年</w:t>
      </w:r>
      <w:r w:rsidRPr="0050788E">
        <w:t>12</w:t>
      </w:r>
      <w:r w:rsidRPr="0050788E">
        <w:rPr>
          <w:rFonts w:hint="eastAsia"/>
        </w:rPr>
        <w:t>月</w:t>
      </w:r>
      <w:r w:rsidRPr="0050788E">
        <w:t>31</w:t>
      </w:r>
      <w:r w:rsidRPr="0050788E">
        <w:rPr>
          <w:rFonts w:hint="eastAsia"/>
        </w:rPr>
        <w:t>日止</w:t>
      </w:r>
      <w:r>
        <w:rPr>
          <w:rFonts w:hint="eastAsia"/>
        </w:rPr>
        <w:t>。</w:t>
      </w:r>
    </w:p>
  </w:footnote>
  <w:footnote w:id="16">
    <w:p w:rsidR="00FC27D7" w:rsidRDefault="00FC27D7">
      <w:pPr>
        <w:pStyle w:val="afd"/>
      </w:pPr>
      <w:r>
        <w:rPr>
          <w:rStyle w:val="aff"/>
        </w:rPr>
        <w:footnoteRef/>
      </w:r>
      <w:r>
        <w:t xml:space="preserve"> </w:t>
      </w:r>
      <w:r>
        <w:rPr>
          <w:rFonts w:hint="eastAsia"/>
        </w:rPr>
        <w:t>「技職再造方案」</w:t>
      </w:r>
      <w:r w:rsidRPr="004B594F">
        <w:rPr>
          <w:rFonts w:hint="eastAsia"/>
        </w:rPr>
        <w:t>係教育部自99年1月1日起編列經費，實施為期3年「第一期技職教育再造方案技職再造」，冀藉由「強化教師實務教學能力」、「引進業界師資」以及「落實學生校外實習課程」等策略，確實強化技專校院的實務能力，增加產學合作機會與規模，以及有效落實學生實作能力，將列入各個技專校院將來向教育部申請私校獎補助的重要參考指標之一。</w:t>
      </w:r>
      <w:r>
        <w:rPr>
          <w:rFonts w:hint="eastAsia"/>
        </w:rPr>
        <w:t>教育</w:t>
      </w:r>
      <w:r w:rsidRPr="004B594F">
        <w:rPr>
          <w:rFonts w:hint="eastAsia"/>
        </w:rPr>
        <w:t>部並於102年推動「第二期技職教育再造計畫」，總經費達202億元。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C535D2"/>
    <w:multiLevelType w:val="hybridMultilevel"/>
    <w:tmpl w:val="11426D44"/>
    <w:lvl w:ilvl="0" w:tplc="EEFE41A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C654BF"/>
    <w:multiLevelType w:val="hybridMultilevel"/>
    <w:tmpl w:val="F4F4D04E"/>
    <w:lvl w:ilvl="0" w:tplc="57D0295C">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805F9"/>
    <w:multiLevelType w:val="hybridMultilevel"/>
    <w:tmpl w:val="C0FAAA70"/>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4" w15:restartNumberingAfterBreak="0">
    <w:nsid w:val="10E84BEE"/>
    <w:multiLevelType w:val="hybridMultilevel"/>
    <w:tmpl w:val="C0FAAA70"/>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abstractNum w:abstractNumId="5" w15:restartNumberingAfterBreak="0">
    <w:nsid w:val="11CF5E07"/>
    <w:multiLevelType w:val="multilevel"/>
    <w:tmpl w:val="94BEBC54"/>
    <w:lvl w:ilvl="0">
      <w:start w:val="1"/>
      <w:numFmt w:val="ideographLegalTraditional"/>
      <w:suff w:val="nothing"/>
      <w:lvlText w:val="%1、"/>
      <w:lvlJc w:val="left"/>
      <w:pPr>
        <w:ind w:left="2381" w:hanging="2381"/>
      </w:pPr>
      <w:rPr>
        <w:rFonts w:ascii="標楷體" w:eastAsia="標楷體" w:hint="eastAsia"/>
        <w:b w:val="0"/>
        <w:i w:val="0"/>
        <w:iCs w:val="0"/>
        <w:caps w:val="0"/>
        <w:smallCaps w:val="0"/>
        <w:strike w:val="0"/>
        <w:dstrike w:val="0"/>
        <w:noProof w:val="0"/>
        <w:snapToGrid/>
        <w:vanish w:val="0"/>
        <w:color w:val="000000"/>
        <w:spacing w:val="0"/>
        <w:w w:val="100"/>
        <w:kern w:val="32"/>
        <w:position w:val="0"/>
        <w:sz w:val="32"/>
        <w:u w:val="none"/>
        <w:effect w:val="none"/>
        <w:vertAlign w:val="baseline"/>
        <w:em w:val="none"/>
        <w:lang w:val="en-US"/>
        <w:specVanish w:val="0"/>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15:restartNumberingAfterBreak="0">
    <w:nsid w:val="140E010C"/>
    <w:multiLevelType w:val="multilevel"/>
    <w:tmpl w:val="2B164BE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7" w15:restartNumberingAfterBreak="0">
    <w:nsid w:val="19532EFC"/>
    <w:multiLevelType w:val="hybridMultilevel"/>
    <w:tmpl w:val="BB346402"/>
    <w:lvl w:ilvl="0" w:tplc="0616CE56">
      <w:start w:val="1"/>
      <w:numFmt w:val="decimal"/>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CCF1A54"/>
    <w:multiLevelType w:val="multilevel"/>
    <w:tmpl w:val="D398F9F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19DA0FFC"/>
    <w:lvl w:ilvl="0" w:tplc="FCE43E6C">
      <w:start w:val="1"/>
      <w:numFmt w:val="taiwaneseCountingThousand"/>
      <w:pStyle w:val="a2"/>
      <w:lvlText w:val="附表%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0CEE42B2"/>
    <w:lvl w:ilvl="0" w:tplc="1E3072BA">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937881"/>
    <w:multiLevelType w:val="hybridMultilevel"/>
    <w:tmpl w:val="C0FAAA70"/>
    <w:lvl w:ilvl="0" w:tplc="D460E542">
      <w:start w:val="1"/>
      <w:numFmt w:val="decimal"/>
      <w:lvlText w:val="(%1)"/>
      <w:lvlJc w:val="left"/>
      <w:pPr>
        <w:ind w:left="1112" w:hanging="720"/>
      </w:pPr>
      <w:rPr>
        <w:rFonts w:hint="default"/>
      </w:rPr>
    </w:lvl>
    <w:lvl w:ilvl="1" w:tplc="04090019" w:tentative="1">
      <w:start w:val="1"/>
      <w:numFmt w:val="ideographTraditional"/>
      <w:lvlText w:val="%2、"/>
      <w:lvlJc w:val="left"/>
      <w:pPr>
        <w:ind w:left="1352" w:hanging="480"/>
      </w:pPr>
    </w:lvl>
    <w:lvl w:ilvl="2" w:tplc="0409001B" w:tentative="1">
      <w:start w:val="1"/>
      <w:numFmt w:val="lowerRoman"/>
      <w:lvlText w:val="%3."/>
      <w:lvlJc w:val="right"/>
      <w:pPr>
        <w:ind w:left="1832" w:hanging="480"/>
      </w:pPr>
    </w:lvl>
    <w:lvl w:ilvl="3" w:tplc="0409000F" w:tentative="1">
      <w:start w:val="1"/>
      <w:numFmt w:val="decimal"/>
      <w:lvlText w:val="%4."/>
      <w:lvlJc w:val="left"/>
      <w:pPr>
        <w:ind w:left="2312" w:hanging="480"/>
      </w:pPr>
    </w:lvl>
    <w:lvl w:ilvl="4" w:tplc="04090019" w:tentative="1">
      <w:start w:val="1"/>
      <w:numFmt w:val="ideographTraditional"/>
      <w:lvlText w:val="%5、"/>
      <w:lvlJc w:val="left"/>
      <w:pPr>
        <w:ind w:left="2792" w:hanging="480"/>
      </w:pPr>
    </w:lvl>
    <w:lvl w:ilvl="5" w:tplc="0409001B" w:tentative="1">
      <w:start w:val="1"/>
      <w:numFmt w:val="lowerRoman"/>
      <w:lvlText w:val="%6."/>
      <w:lvlJc w:val="right"/>
      <w:pPr>
        <w:ind w:left="3272" w:hanging="480"/>
      </w:pPr>
    </w:lvl>
    <w:lvl w:ilvl="6" w:tplc="0409000F" w:tentative="1">
      <w:start w:val="1"/>
      <w:numFmt w:val="decimal"/>
      <w:lvlText w:val="%7."/>
      <w:lvlJc w:val="left"/>
      <w:pPr>
        <w:ind w:left="3752" w:hanging="480"/>
      </w:pPr>
    </w:lvl>
    <w:lvl w:ilvl="7" w:tplc="04090019" w:tentative="1">
      <w:start w:val="1"/>
      <w:numFmt w:val="ideographTraditional"/>
      <w:lvlText w:val="%8、"/>
      <w:lvlJc w:val="left"/>
      <w:pPr>
        <w:ind w:left="4232" w:hanging="480"/>
      </w:pPr>
    </w:lvl>
    <w:lvl w:ilvl="8" w:tplc="0409001B" w:tentative="1">
      <w:start w:val="1"/>
      <w:numFmt w:val="lowerRoman"/>
      <w:lvlText w:val="%9."/>
      <w:lvlJc w:val="right"/>
      <w:pPr>
        <w:ind w:left="4712" w:hanging="480"/>
      </w:pPr>
    </w:lvl>
  </w:abstractNum>
  <w:num w:numId="1">
    <w:abstractNumId w:val="6"/>
  </w:num>
  <w:num w:numId="2">
    <w:abstractNumId w:val="0"/>
  </w:num>
  <w:num w:numId="3">
    <w:abstractNumId w:val="7"/>
  </w:num>
  <w:num w:numId="4">
    <w:abstractNumId w:val="11"/>
  </w:num>
  <w:num w:numId="5">
    <w:abstractNumId w:val="9"/>
  </w:num>
  <w:num w:numId="6">
    <w:abstractNumId w:val="12"/>
  </w:num>
  <w:num w:numId="7">
    <w:abstractNumId w:val="6"/>
  </w:num>
  <w:num w:numId="8">
    <w:abstractNumId w:val="13"/>
  </w:num>
  <w:num w:numId="9">
    <w:abstractNumId w:val="10"/>
  </w:num>
  <w:num w:numId="10">
    <w:abstractNumId w:val="2"/>
  </w:num>
  <w:num w:numId="11">
    <w:abstractNumId w:val="1"/>
  </w:num>
  <w:num w:numId="12">
    <w:abstractNumId w:val="8"/>
  </w:num>
  <w:num w:numId="13">
    <w:abstractNumId w:val="14"/>
  </w:num>
  <w:num w:numId="14">
    <w:abstractNumId w:val="4"/>
  </w:num>
  <w:num w:numId="15">
    <w:abstractNumId w:val="3"/>
  </w:num>
  <w:num w:numId="16">
    <w:abstractNumId w:val="5"/>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63"/>
    <w:rsid w:val="00000076"/>
    <w:rsid w:val="000000A9"/>
    <w:rsid w:val="0000037A"/>
    <w:rsid w:val="000004CA"/>
    <w:rsid w:val="00000D10"/>
    <w:rsid w:val="00000E23"/>
    <w:rsid w:val="00001137"/>
    <w:rsid w:val="00001138"/>
    <w:rsid w:val="0000121C"/>
    <w:rsid w:val="000015E5"/>
    <w:rsid w:val="00001C01"/>
    <w:rsid w:val="000024F6"/>
    <w:rsid w:val="00002F24"/>
    <w:rsid w:val="00004111"/>
    <w:rsid w:val="00004280"/>
    <w:rsid w:val="00004C91"/>
    <w:rsid w:val="00005200"/>
    <w:rsid w:val="00005A30"/>
    <w:rsid w:val="00005EB8"/>
    <w:rsid w:val="000062AD"/>
    <w:rsid w:val="00006570"/>
    <w:rsid w:val="000065CE"/>
    <w:rsid w:val="00006961"/>
    <w:rsid w:val="00006C4E"/>
    <w:rsid w:val="00006D1D"/>
    <w:rsid w:val="00010389"/>
    <w:rsid w:val="000103E0"/>
    <w:rsid w:val="00010E1A"/>
    <w:rsid w:val="000112BF"/>
    <w:rsid w:val="00012233"/>
    <w:rsid w:val="00012CE2"/>
    <w:rsid w:val="000145BE"/>
    <w:rsid w:val="000147ED"/>
    <w:rsid w:val="00014B84"/>
    <w:rsid w:val="00016E71"/>
    <w:rsid w:val="00017318"/>
    <w:rsid w:val="0001754C"/>
    <w:rsid w:val="00017783"/>
    <w:rsid w:val="00017B88"/>
    <w:rsid w:val="00017DB5"/>
    <w:rsid w:val="00020A70"/>
    <w:rsid w:val="00020CE3"/>
    <w:rsid w:val="00022753"/>
    <w:rsid w:val="0002304B"/>
    <w:rsid w:val="000230BB"/>
    <w:rsid w:val="00023197"/>
    <w:rsid w:val="00023199"/>
    <w:rsid w:val="000246F7"/>
    <w:rsid w:val="00024890"/>
    <w:rsid w:val="000267CD"/>
    <w:rsid w:val="00026A09"/>
    <w:rsid w:val="0002707C"/>
    <w:rsid w:val="0003019F"/>
    <w:rsid w:val="0003114D"/>
    <w:rsid w:val="000324F0"/>
    <w:rsid w:val="0003324E"/>
    <w:rsid w:val="00034165"/>
    <w:rsid w:val="00035F9E"/>
    <w:rsid w:val="000361A3"/>
    <w:rsid w:val="000363E5"/>
    <w:rsid w:val="0003671C"/>
    <w:rsid w:val="00036D76"/>
    <w:rsid w:val="00036E22"/>
    <w:rsid w:val="00036F94"/>
    <w:rsid w:val="00037EBC"/>
    <w:rsid w:val="000403F7"/>
    <w:rsid w:val="0004268A"/>
    <w:rsid w:val="00044866"/>
    <w:rsid w:val="00044F77"/>
    <w:rsid w:val="00046918"/>
    <w:rsid w:val="00046F7B"/>
    <w:rsid w:val="00050429"/>
    <w:rsid w:val="00050787"/>
    <w:rsid w:val="00050C52"/>
    <w:rsid w:val="00050ECA"/>
    <w:rsid w:val="00051CEC"/>
    <w:rsid w:val="00051F4A"/>
    <w:rsid w:val="000523E5"/>
    <w:rsid w:val="00052444"/>
    <w:rsid w:val="00052549"/>
    <w:rsid w:val="0005257E"/>
    <w:rsid w:val="00053538"/>
    <w:rsid w:val="00053618"/>
    <w:rsid w:val="00054437"/>
    <w:rsid w:val="00054829"/>
    <w:rsid w:val="00056BC3"/>
    <w:rsid w:val="00057BD5"/>
    <w:rsid w:val="00057F32"/>
    <w:rsid w:val="0006026F"/>
    <w:rsid w:val="00060E31"/>
    <w:rsid w:val="00060EB7"/>
    <w:rsid w:val="00060F2F"/>
    <w:rsid w:val="00060FE5"/>
    <w:rsid w:val="00061C8E"/>
    <w:rsid w:val="000627F0"/>
    <w:rsid w:val="00062A25"/>
    <w:rsid w:val="00062B6D"/>
    <w:rsid w:val="00062F5E"/>
    <w:rsid w:val="000702EE"/>
    <w:rsid w:val="00070979"/>
    <w:rsid w:val="00070F2C"/>
    <w:rsid w:val="0007194B"/>
    <w:rsid w:val="00071B29"/>
    <w:rsid w:val="00071C6E"/>
    <w:rsid w:val="000720F3"/>
    <w:rsid w:val="000728C3"/>
    <w:rsid w:val="00072A93"/>
    <w:rsid w:val="00073CB5"/>
    <w:rsid w:val="0007425C"/>
    <w:rsid w:val="000745B6"/>
    <w:rsid w:val="00074B24"/>
    <w:rsid w:val="00075928"/>
    <w:rsid w:val="000770A1"/>
    <w:rsid w:val="00077553"/>
    <w:rsid w:val="00077B7E"/>
    <w:rsid w:val="0008023F"/>
    <w:rsid w:val="00080BE1"/>
    <w:rsid w:val="000811A6"/>
    <w:rsid w:val="00081296"/>
    <w:rsid w:val="00081E88"/>
    <w:rsid w:val="00082245"/>
    <w:rsid w:val="00083C4D"/>
    <w:rsid w:val="00083C89"/>
    <w:rsid w:val="00084026"/>
    <w:rsid w:val="0008431D"/>
    <w:rsid w:val="00084F49"/>
    <w:rsid w:val="000851A2"/>
    <w:rsid w:val="00086934"/>
    <w:rsid w:val="00086E8F"/>
    <w:rsid w:val="000900C0"/>
    <w:rsid w:val="00090CB7"/>
    <w:rsid w:val="000921CD"/>
    <w:rsid w:val="00093053"/>
    <w:rsid w:val="0009352E"/>
    <w:rsid w:val="00093FB3"/>
    <w:rsid w:val="0009462A"/>
    <w:rsid w:val="000946A1"/>
    <w:rsid w:val="00094F5D"/>
    <w:rsid w:val="00095018"/>
    <w:rsid w:val="00096B96"/>
    <w:rsid w:val="000972BF"/>
    <w:rsid w:val="00097A21"/>
    <w:rsid w:val="000A1055"/>
    <w:rsid w:val="000A1128"/>
    <w:rsid w:val="000A1721"/>
    <w:rsid w:val="000A2A85"/>
    <w:rsid w:val="000A2F3F"/>
    <w:rsid w:val="000A39AA"/>
    <w:rsid w:val="000A3AD6"/>
    <w:rsid w:val="000A3B39"/>
    <w:rsid w:val="000A40D7"/>
    <w:rsid w:val="000A4213"/>
    <w:rsid w:val="000A5CE2"/>
    <w:rsid w:val="000A5D3E"/>
    <w:rsid w:val="000A6390"/>
    <w:rsid w:val="000A6765"/>
    <w:rsid w:val="000A6ADA"/>
    <w:rsid w:val="000A6B41"/>
    <w:rsid w:val="000A6BF6"/>
    <w:rsid w:val="000A6E28"/>
    <w:rsid w:val="000A7E79"/>
    <w:rsid w:val="000B038D"/>
    <w:rsid w:val="000B054A"/>
    <w:rsid w:val="000B0B4A"/>
    <w:rsid w:val="000B16A6"/>
    <w:rsid w:val="000B20B4"/>
    <w:rsid w:val="000B279A"/>
    <w:rsid w:val="000B2F00"/>
    <w:rsid w:val="000B33C5"/>
    <w:rsid w:val="000B3D2E"/>
    <w:rsid w:val="000B4EC2"/>
    <w:rsid w:val="000B5D0C"/>
    <w:rsid w:val="000B61D2"/>
    <w:rsid w:val="000B678A"/>
    <w:rsid w:val="000B6894"/>
    <w:rsid w:val="000B6A40"/>
    <w:rsid w:val="000B6DF3"/>
    <w:rsid w:val="000B7044"/>
    <w:rsid w:val="000B70A7"/>
    <w:rsid w:val="000B7A0C"/>
    <w:rsid w:val="000C0AE4"/>
    <w:rsid w:val="000C127F"/>
    <w:rsid w:val="000C223E"/>
    <w:rsid w:val="000C34B8"/>
    <w:rsid w:val="000C3896"/>
    <w:rsid w:val="000C3B81"/>
    <w:rsid w:val="000C4730"/>
    <w:rsid w:val="000C495F"/>
    <w:rsid w:val="000D099B"/>
    <w:rsid w:val="000D0CBD"/>
    <w:rsid w:val="000D26A1"/>
    <w:rsid w:val="000D291B"/>
    <w:rsid w:val="000D5E2F"/>
    <w:rsid w:val="000D5EDD"/>
    <w:rsid w:val="000D704C"/>
    <w:rsid w:val="000D741A"/>
    <w:rsid w:val="000D7A8F"/>
    <w:rsid w:val="000D7E88"/>
    <w:rsid w:val="000E10CD"/>
    <w:rsid w:val="000E1ABA"/>
    <w:rsid w:val="000E3044"/>
    <w:rsid w:val="000E3253"/>
    <w:rsid w:val="000E41BC"/>
    <w:rsid w:val="000E4522"/>
    <w:rsid w:val="000E5641"/>
    <w:rsid w:val="000E6431"/>
    <w:rsid w:val="000E7CAB"/>
    <w:rsid w:val="000F108F"/>
    <w:rsid w:val="000F109B"/>
    <w:rsid w:val="000F1D13"/>
    <w:rsid w:val="000F21A5"/>
    <w:rsid w:val="000F2AE3"/>
    <w:rsid w:val="000F4502"/>
    <w:rsid w:val="000F4AF8"/>
    <w:rsid w:val="000F5380"/>
    <w:rsid w:val="000F5917"/>
    <w:rsid w:val="000F5F33"/>
    <w:rsid w:val="00100750"/>
    <w:rsid w:val="00100AEF"/>
    <w:rsid w:val="00101341"/>
    <w:rsid w:val="00101D7B"/>
    <w:rsid w:val="00102B9F"/>
    <w:rsid w:val="001030D4"/>
    <w:rsid w:val="00103B73"/>
    <w:rsid w:val="00104424"/>
    <w:rsid w:val="00104E17"/>
    <w:rsid w:val="00104FAC"/>
    <w:rsid w:val="001050A8"/>
    <w:rsid w:val="00105572"/>
    <w:rsid w:val="0011000E"/>
    <w:rsid w:val="001106CD"/>
    <w:rsid w:val="00110F7E"/>
    <w:rsid w:val="00111601"/>
    <w:rsid w:val="00111A70"/>
    <w:rsid w:val="00112637"/>
    <w:rsid w:val="00112ABC"/>
    <w:rsid w:val="00113A3D"/>
    <w:rsid w:val="0011509B"/>
    <w:rsid w:val="0012001E"/>
    <w:rsid w:val="001200E5"/>
    <w:rsid w:val="00121BCC"/>
    <w:rsid w:val="00121F8C"/>
    <w:rsid w:val="00123481"/>
    <w:rsid w:val="00123D68"/>
    <w:rsid w:val="001268B1"/>
    <w:rsid w:val="00126A55"/>
    <w:rsid w:val="0012721D"/>
    <w:rsid w:val="0012754C"/>
    <w:rsid w:val="001311B8"/>
    <w:rsid w:val="0013197B"/>
    <w:rsid w:val="00132182"/>
    <w:rsid w:val="00133847"/>
    <w:rsid w:val="00133B44"/>
    <w:rsid w:val="00133E85"/>
    <w:rsid w:val="00133F08"/>
    <w:rsid w:val="0013411C"/>
    <w:rsid w:val="001345E6"/>
    <w:rsid w:val="00135079"/>
    <w:rsid w:val="0013694F"/>
    <w:rsid w:val="0013761E"/>
    <w:rsid w:val="001378B0"/>
    <w:rsid w:val="00137D60"/>
    <w:rsid w:val="0014020E"/>
    <w:rsid w:val="001429D7"/>
    <w:rsid w:val="00142A4D"/>
    <w:rsid w:val="00142E00"/>
    <w:rsid w:val="0014316C"/>
    <w:rsid w:val="00144068"/>
    <w:rsid w:val="001441D4"/>
    <w:rsid w:val="00144868"/>
    <w:rsid w:val="00144BD5"/>
    <w:rsid w:val="00144ED8"/>
    <w:rsid w:val="00145799"/>
    <w:rsid w:val="00145CFD"/>
    <w:rsid w:val="0014739E"/>
    <w:rsid w:val="00147ADF"/>
    <w:rsid w:val="00151130"/>
    <w:rsid w:val="001523C7"/>
    <w:rsid w:val="00152793"/>
    <w:rsid w:val="001527DB"/>
    <w:rsid w:val="00153B7E"/>
    <w:rsid w:val="00153EE2"/>
    <w:rsid w:val="001545A9"/>
    <w:rsid w:val="00154A9F"/>
    <w:rsid w:val="00154B2E"/>
    <w:rsid w:val="00154DA6"/>
    <w:rsid w:val="00155371"/>
    <w:rsid w:val="00155875"/>
    <w:rsid w:val="00157C67"/>
    <w:rsid w:val="00162F45"/>
    <w:rsid w:val="001637C7"/>
    <w:rsid w:val="00163A64"/>
    <w:rsid w:val="0016480E"/>
    <w:rsid w:val="00165668"/>
    <w:rsid w:val="00166141"/>
    <w:rsid w:val="00166F54"/>
    <w:rsid w:val="00167B3F"/>
    <w:rsid w:val="001703F1"/>
    <w:rsid w:val="00170C1D"/>
    <w:rsid w:val="00171FB8"/>
    <w:rsid w:val="00172783"/>
    <w:rsid w:val="00174297"/>
    <w:rsid w:val="0017675B"/>
    <w:rsid w:val="00177A73"/>
    <w:rsid w:val="00180BC5"/>
    <w:rsid w:val="00180E06"/>
    <w:rsid w:val="001811C4"/>
    <w:rsid w:val="001817B3"/>
    <w:rsid w:val="00181979"/>
    <w:rsid w:val="00181E41"/>
    <w:rsid w:val="00181FB2"/>
    <w:rsid w:val="00183014"/>
    <w:rsid w:val="00183494"/>
    <w:rsid w:val="0018353C"/>
    <w:rsid w:val="001835EB"/>
    <w:rsid w:val="001848E6"/>
    <w:rsid w:val="00184921"/>
    <w:rsid w:val="00185E4B"/>
    <w:rsid w:val="001865FC"/>
    <w:rsid w:val="00190570"/>
    <w:rsid w:val="001916CB"/>
    <w:rsid w:val="00192EB7"/>
    <w:rsid w:val="001935DE"/>
    <w:rsid w:val="001959C2"/>
    <w:rsid w:val="00196304"/>
    <w:rsid w:val="0019722A"/>
    <w:rsid w:val="001A0079"/>
    <w:rsid w:val="001A129A"/>
    <w:rsid w:val="001A12CC"/>
    <w:rsid w:val="001A2505"/>
    <w:rsid w:val="001A2523"/>
    <w:rsid w:val="001A279B"/>
    <w:rsid w:val="001A2EFB"/>
    <w:rsid w:val="001A3F38"/>
    <w:rsid w:val="001A51E3"/>
    <w:rsid w:val="001A5BCE"/>
    <w:rsid w:val="001A5DB6"/>
    <w:rsid w:val="001A7968"/>
    <w:rsid w:val="001A7A90"/>
    <w:rsid w:val="001B0E2C"/>
    <w:rsid w:val="001B14D2"/>
    <w:rsid w:val="001B15DF"/>
    <w:rsid w:val="001B1BD8"/>
    <w:rsid w:val="001B2E98"/>
    <w:rsid w:val="001B32E8"/>
    <w:rsid w:val="001B3483"/>
    <w:rsid w:val="001B3C1E"/>
    <w:rsid w:val="001B42AE"/>
    <w:rsid w:val="001B4494"/>
    <w:rsid w:val="001B44C0"/>
    <w:rsid w:val="001B47A7"/>
    <w:rsid w:val="001B4BB5"/>
    <w:rsid w:val="001B6D70"/>
    <w:rsid w:val="001B77A2"/>
    <w:rsid w:val="001C06EF"/>
    <w:rsid w:val="001C0D8B"/>
    <w:rsid w:val="001C0DA8"/>
    <w:rsid w:val="001C16BA"/>
    <w:rsid w:val="001C19BB"/>
    <w:rsid w:val="001C1AC5"/>
    <w:rsid w:val="001C1E5D"/>
    <w:rsid w:val="001C2D41"/>
    <w:rsid w:val="001C37F8"/>
    <w:rsid w:val="001C46FE"/>
    <w:rsid w:val="001C483D"/>
    <w:rsid w:val="001C4A52"/>
    <w:rsid w:val="001C4A98"/>
    <w:rsid w:val="001C4D5A"/>
    <w:rsid w:val="001C65DA"/>
    <w:rsid w:val="001C684A"/>
    <w:rsid w:val="001C6EBF"/>
    <w:rsid w:val="001D0690"/>
    <w:rsid w:val="001D0FB9"/>
    <w:rsid w:val="001D10A8"/>
    <w:rsid w:val="001D1369"/>
    <w:rsid w:val="001D148F"/>
    <w:rsid w:val="001D1643"/>
    <w:rsid w:val="001D183F"/>
    <w:rsid w:val="001D1B83"/>
    <w:rsid w:val="001D1CC2"/>
    <w:rsid w:val="001D327A"/>
    <w:rsid w:val="001D4A18"/>
    <w:rsid w:val="001D4A83"/>
    <w:rsid w:val="001D4AD7"/>
    <w:rsid w:val="001D5200"/>
    <w:rsid w:val="001D53C4"/>
    <w:rsid w:val="001D5534"/>
    <w:rsid w:val="001D5646"/>
    <w:rsid w:val="001E0673"/>
    <w:rsid w:val="001E0974"/>
    <w:rsid w:val="001E0A99"/>
    <w:rsid w:val="001E0D8A"/>
    <w:rsid w:val="001E127C"/>
    <w:rsid w:val="001E1A3B"/>
    <w:rsid w:val="001E2A65"/>
    <w:rsid w:val="001E2FAF"/>
    <w:rsid w:val="001E3392"/>
    <w:rsid w:val="001E36D1"/>
    <w:rsid w:val="001E4262"/>
    <w:rsid w:val="001E57B0"/>
    <w:rsid w:val="001E60E1"/>
    <w:rsid w:val="001E61DB"/>
    <w:rsid w:val="001E67BA"/>
    <w:rsid w:val="001E6F74"/>
    <w:rsid w:val="001E71A3"/>
    <w:rsid w:val="001E74C2"/>
    <w:rsid w:val="001E78C2"/>
    <w:rsid w:val="001F07D8"/>
    <w:rsid w:val="001F19A6"/>
    <w:rsid w:val="001F2647"/>
    <w:rsid w:val="001F2B5E"/>
    <w:rsid w:val="001F4138"/>
    <w:rsid w:val="001F4863"/>
    <w:rsid w:val="001F4BCA"/>
    <w:rsid w:val="001F4F7F"/>
    <w:rsid w:val="001F587C"/>
    <w:rsid w:val="001F5A48"/>
    <w:rsid w:val="001F6260"/>
    <w:rsid w:val="001F7B74"/>
    <w:rsid w:val="00200007"/>
    <w:rsid w:val="00201DE7"/>
    <w:rsid w:val="0020218C"/>
    <w:rsid w:val="00202989"/>
    <w:rsid w:val="002030A5"/>
    <w:rsid w:val="00203131"/>
    <w:rsid w:val="002038DC"/>
    <w:rsid w:val="00203A7E"/>
    <w:rsid w:val="00203E52"/>
    <w:rsid w:val="002066E1"/>
    <w:rsid w:val="0020748E"/>
    <w:rsid w:val="0021076A"/>
    <w:rsid w:val="00210CB8"/>
    <w:rsid w:val="00210F78"/>
    <w:rsid w:val="0021152B"/>
    <w:rsid w:val="0021188A"/>
    <w:rsid w:val="00212734"/>
    <w:rsid w:val="00212E88"/>
    <w:rsid w:val="00212F87"/>
    <w:rsid w:val="00213C9C"/>
    <w:rsid w:val="002140C9"/>
    <w:rsid w:val="00215E6E"/>
    <w:rsid w:val="0021764E"/>
    <w:rsid w:val="002179D5"/>
    <w:rsid w:val="0022009E"/>
    <w:rsid w:val="002205AF"/>
    <w:rsid w:val="00220F58"/>
    <w:rsid w:val="002219C8"/>
    <w:rsid w:val="00221E04"/>
    <w:rsid w:val="002224D5"/>
    <w:rsid w:val="002227C1"/>
    <w:rsid w:val="00223241"/>
    <w:rsid w:val="00223DAD"/>
    <w:rsid w:val="0022425C"/>
    <w:rsid w:val="002246DE"/>
    <w:rsid w:val="00230028"/>
    <w:rsid w:val="002304A0"/>
    <w:rsid w:val="00230E24"/>
    <w:rsid w:val="00231E1E"/>
    <w:rsid w:val="00231E32"/>
    <w:rsid w:val="0023377C"/>
    <w:rsid w:val="002338FD"/>
    <w:rsid w:val="002377B2"/>
    <w:rsid w:val="00237E6C"/>
    <w:rsid w:val="00240E7E"/>
    <w:rsid w:val="00241F0A"/>
    <w:rsid w:val="00242B24"/>
    <w:rsid w:val="00242F8B"/>
    <w:rsid w:val="00243792"/>
    <w:rsid w:val="00244409"/>
    <w:rsid w:val="0024444B"/>
    <w:rsid w:val="0024630D"/>
    <w:rsid w:val="0024641C"/>
    <w:rsid w:val="00246A9B"/>
    <w:rsid w:val="00246D67"/>
    <w:rsid w:val="00246DCD"/>
    <w:rsid w:val="00246E8B"/>
    <w:rsid w:val="00247502"/>
    <w:rsid w:val="00250A5A"/>
    <w:rsid w:val="00250B12"/>
    <w:rsid w:val="002517AA"/>
    <w:rsid w:val="002517ED"/>
    <w:rsid w:val="00251952"/>
    <w:rsid w:val="0025284C"/>
    <w:rsid w:val="00252BC4"/>
    <w:rsid w:val="00254014"/>
    <w:rsid w:val="0025521E"/>
    <w:rsid w:val="002552BA"/>
    <w:rsid w:val="00257619"/>
    <w:rsid w:val="00257887"/>
    <w:rsid w:val="00261675"/>
    <w:rsid w:val="0026210A"/>
    <w:rsid w:val="0026282A"/>
    <w:rsid w:val="002637CD"/>
    <w:rsid w:val="0026504D"/>
    <w:rsid w:val="002652A8"/>
    <w:rsid w:val="00265413"/>
    <w:rsid w:val="002657E6"/>
    <w:rsid w:val="00265F9C"/>
    <w:rsid w:val="00266478"/>
    <w:rsid w:val="0026655C"/>
    <w:rsid w:val="00266A67"/>
    <w:rsid w:val="00267047"/>
    <w:rsid w:val="00267FE8"/>
    <w:rsid w:val="00270204"/>
    <w:rsid w:val="002709F6"/>
    <w:rsid w:val="00270E7B"/>
    <w:rsid w:val="002728AD"/>
    <w:rsid w:val="00273A2F"/>
    <w:rsid w:val="00273EA7"/>
    <w:rsid w:val="00274068"/>
    <w:rsid w:val="0027430D"/>
    <w:rsid w:val="00274375"/>
    <w:rsid w:val="00275BBE"/>
    <w:rsid w:val="00276754"/>
    <w:rsid w:val="00276ADC"/>
    <w:rsid w:val="002802A6"/>
    <w:rsid w:val="00280986"/>
    <w:rsid w:val="00281ECE"/>
    <w:rsid w:val="00281FBB"/>
    <w:rsid w:val="002831C7"/>
    <w:rsid w:val="002840C6"/>
    <w:rsid w:val="002844C4"/>
    <w:rsid w:val="002845A7"/>
    <w:rsid w:val="002859C8"/>
    <w:rsid w:val="002863E4"/>
    <w:rsid w:val="00286803"/>
    <w:rsid w:val="00287545"/>
    <w:rsid w:val="00291F61"/>
    <w:rsid w:val="00294007"/>
    <w:rsid w:val="00295174"/>
    <w:rsid w:val="002951AC"/>
    <w:rsid w:val="00296172"/>
    <w:rsid w:val="00296B92"/>
    <w:rsid w:val="002978F2"/>
    <w:rsid w:val="00297E69"/>
    <w:rsid w:val="002A0AD8"/>
    <w:rsid w:val="002A0F4C"/>
    <w:rsid w:val="002A205C"/>
    <w:rsid w:val="002A2C22"/>
    <w:rsid w:val="002A61FF"/>
    <w:rsid w:val="002A655F"/>
    <w:rsid w:val="002A6A3B"/>
    <w:rsid w:val="002A6ED9"/>
    <w:rsid w:val="002A7952"/>
    <w:rsid w:val="002A7E12"/>
    <w:rsid w:val="002B02EB"/>
    <w:rsid w:val="002B0B38"/>
    <w:rsid w:val="002B10FD"/>
    <w:rsid w:val="002B11D0"/>
    <w:rsid w:val="002B13A4"/>
    <w:rsid w:val="002B180A"/>
    <w:rsid w:val="002B2E65"/>
    <w:rsid w:val="002B5146"/>
    <w:rsid w:val="002B54ED"/>
    <w:rsid w:val="002B5AD6"/>
    <w:rsid w:val="002B74B7"/>
    <w:rsid w:val="002C0602"/>
    <w:rsid w:val="002C0B8C"/>
    <w:rsid w:val="002C1926"/>
    <w:rsid w:val="002C19DA"/>
    <w:rsid w:val="002C1B08"/>
    <w:rsid w:val="002C31CF"/>
    <w:rsid w:val="002C3FBE"/>
    <w:rsid w:val="002C483B"/>
    <w:rsid w:val="002C5492"/>
    <w:rsid w:val="002C595E"/>
    <w:rsid w:val="002C5D73"/>
    <w:rsid w:val="002C69DC"/>
    <w:rsid w:val="002C75B4"/>
    <w:rsid w:val="002C789A"/>
    <w:rsid w:val="002D05E9"/>
    <w:rsid w:val="002D07A2"/>
    <w:rsid w:val="002D10BF"/>
    <w:rsid w:val="002D2C72"/>
    <w:rsid w:val="002D358C"/>
    <w:rsid w:val="002D3D5E"/>
    <w:rsid w:val="002D47B1"/>
    <w:rsid w:val="002D4C5E"/>
    <w:rsid w:val="002D51CD"/>
    <w:rsid w:val="002D52D1"/>
    <w:rsid w:val="002D560A"/>
    <w:rsid w:val="002D5C16"/>
    <w:rsid w:val="002E1E6D"/>
    <w:rsid w:val="002E2660"/>
    <w:rsid w:val="002E4756"/>
    <w:rsid w:val="002E48A1"/>
    <w:rsid w:val="002E4C54"/>
    <w:rsid w:val="002E56AF"/>
    <w:rsid w:val="002E6749"/>
    <w:rsid w:val="002E6C59"/>
    <w:rsid w:val="002E6C9E"/>
    <w:rsid w:val="002E7F4C"/>
    <w:rsid w:val="002E7FD3"/>
    <w:rsid w:val="002F01E4"/>
    <w:rsid w:val="002F07EF"/>
    <w:rsid w:val="002F1508"/>
    <w:rsid w:val="002F1727"/>
    <w:rsid w:val="002F24D3"/>
    <w:rsid w:val="002F3026"/>
    <w:rsid w:val="002F3756"/>
    <w:rsid w:val="002F3DFF"/>
    <w:rsid w:val="002F554E"/>
    <w:rsid w:val="002F5E05"/>
    <w:rsid w:val="002F6432"/>
    <w:rsid w:val="002F70E1"/>
    <w:rsid w:val="002F7452"/>
    <w:rsid w:val="002F7E81"/>
    <w:rsid w:val="00300CEB"/>
    <w:rsid w:val="00301C1D"/>
    <w:rsid w:val="00302151"/>
    <w:rsid w:val="003023D0"/>
    <w:rsid w:val="003035AF"/>
    <w:rsid w:val="003040A7"/>
    <w:rsid w:val="0030555E"/>
    <w:rsid w:val="00306082"/>
    <w:rsid w:val="003063C0"/>
    <w:rsid w:val="00310219"/>
    <w:rsid w:val="00310FFA"/>
    <w:rsid w:val="00311A2B"/>
    <w:rsid w:val="003135E1"/>
    <w:rsid w:val="00313775"/>
    <w:rsid w:val="00314561"/>
    <w:rsid w:val="00315A16"/>
    <w:rsid w:val="00317053"/>
    <w:rsid w:val="0031760B"/>
    <w:rsid w:val="003179D1"/>
    <w:rsid w:val="00317C63"/>
    <w:rsid w:val="00320478"/>
    <w:rsid w:val="00320ACE"/>
    <w:rsid w:val="00320B17"/>
    <w:rsid w:val="00320F5F"/>
    <w:rsid w:val="0032109C"/>
    <w:rsid w:val="00321985"/>
    <w:rsid w:val="00321F94"/>
    <w:rsid w:val="00322A28"/>
    <w:rsid w:val="00322B45"/>
    <w:rsid w:val="00323809"/>
    <w:rsid w:val="00323D41"/>
    <w:rsid w:val="00323EE9"/>
    <w:rsid w:val="0032497A"/>
    <w:rsid w:val="00324C63"/>
    <w:rsid w:val="00325414"/>
    <w:rsid w:val="00326210"/>
    <w:rsid w:val="00326FD5"/>
    <w:rsid w:val="0032784D"/>
    <w:rsid w:val="003302F1"/>
    <w:rsid w:val="00330E00"/>
    <w:rsid w:val="00330E83"/>
    <w:rsid w:val="00331266"/>
    <w:rsid w:val="00332408"/>
    <w:rsid w:val="00333C89"/>
    <w:rsid w:val="00333D00"/>
    <w:rsid w:val="00334EEF"/>
    <w:rsid w:val="00335C16"/>
    <w:rsid w:val="00335FAE"/>
    <w:rsid w:val="003364C3"/>
    <w:rsid w:val="003364FC"/>
    <w:rsid w:val="00337FBD"/>
    <w:rsid w:val="00340813"/>
    <w:rsid w:val="003411EE"/>
    <w:rsid w:val="0034211E"/>
    <w:rsid w:val="00342F74"/>
    <w:rsid w:val="00344109"/>
    <w:rsid w:val="0034468C"/>
    <w:rsid w:val="0034470E"/>
    <w:rsid w:val="003447B1"/>
    <w:rsid w:val="003452B6"/>
    <w:rsid w:val="003453B0"/>
    <w:rsid w:val="00345652"/>
    <w:rsid w:val="003462E1"/>
    <w:rsid w:val="0034665B"/>
    <w:rsid w:val="00346A17"/>
    <w:rsid w:val="00346C94"/>
    <w:rsid w:val="00347A48"/>
    <w:rsid w:val="00347F6A"/>
    <w:rsid w:val="003502EF"/>
    <w:rsid w:val="00351681"/>
    <w:rsid w:val="00352BFA"/>
    <w:rsid w:val="00352DB0"/>
    <w:rsid w:val="00352ED9"/>
    <w:rsid w:val="00354A8B"/>
    <w:rsid w:val="00357042"/>
    <w:rsid w:val="00360861"/>
    <w:rsid w:val="00361063"/>
    <w:rsid w:val="003632CF"/>
    <w:rsid w:val="003653AA"/>
    <w:rsid w:val="003667D9"/>
    <w:rsid w:val="00366B3E"/>
    <w:rsid w:val="0036756C"/>
    <w:rsid w:val="0037094A"/>
    <w:rsid w:val="00371867"/>
    <w:rsid w:val="00371ED3"/>
    <w:rsid w:val="00372687"/>
    <w:rsid w:val="00372C58"/>
    <w:rsid w:val="00372FFC"/>
    <w:rsid w:val="003739C3"/>
    <w:rsid w:val="003741BB"/>
    <w:rsid w:val="00375042"/>
    <w:rsid w:val="00376C70"/>
    <w:rsid w:val="00376F40"/>
    <w:rsid w:val="0037728A"/>
    <w:rsid w:val="00380B7D"/>
    <w:rsid w:val="00380CBD"/>
    <w:rsid w:val="00380EB9"/>
    <w:rsid w:val="00381A99"/>
    <w:rsid w:val="00382321"/>
    <w:rsid w:val="0038250C"/>
    <w:rsid w:val="0038297B"/>
    <w:rsid w:val="003829C2"/>
    <w:rsid w:val="003830B2"/>
    <w:rsid w:val="00384388"/>
    <w:rsid w:val="00384724"/>
    <w:rsid w:val="00384C17"/>
    <w:rsid w:val="00385DA7"/>
    <w:rsid w:val="0038618D"/>
    <w:rsid w:val="00386638"/>
    <w:rsid w:val="003878CB"/>
    <w:rsid w:val="00387A9C"/>
    <w:rsid w:val="0039019A"/>
    <w:rsid w:val="003902B4"/>
    <w:rsid w:val="0039169D"/>
    <w:rsid w:val="003916F2"/>
    <w:rsid w:val="003919B7"/>
    <w:rsid w:val="00391D57"/>
    <w:rsid w:val="00392292"/>
    <w:rsid w:val="003922C6"/>
    <w:rsid w:val="00393520"/>
    <w:rsid w:val="00393706"/>
    <w:rsid w:val="00393CAA"/>
    <w:rsid w:val="003956ED"/>
    <w:rsid w:val="0039628E"/>
    <w:rsid w:val="003963FE"/>
    <w:rsid w:val="0039721E"/>
    <w:rsid w:val="00397E30"/>
    <w:rsid w:val="003A0141"/>
    <w:rsid w:val="003A1283"/>
    <w:rsid w:val="003A15F8"/>
    <w:rsid w:val="003A2212"/>
    <w:rsid w:val="003A3859"/>
    <w:rsid w:val="003A5F4D"/>
    <w:rsid w:val="003A5FE4"/>
    <w:rsid w:val="003A627F"/>
    <w:rsid w:val="003A7697"/>
    <w:rsid w:val="003B1017"/>
    <w:rsid w:val="003B1927"/>
    <w:rsid w:val="003B2732"/>
    <w:rsid w:val="003B2808"/>
    <w:rsid w:val="003B2A8F"/>
    <w:rsid w:val="003B31D7"/>
    <w:rsid w:val="003B3C07"/>
    <w:rsid w:val="003B474A"/>
    <w:rsid w:val="003B5344"/>
    <w:rsid w:val="003B6775"/>
    <w:rsid w:val="003B7194"/>
    <w:rsid w:val="003B7B78"/>
    <w:rsid w:val="003C0514"/>
    <w:rsid w:val="003C0C22"/>
    <w:rsid w:val="003C2914"/>
    <w:rsid w:val="003C2C8F"/>
    <w:rsid w:val="003C3382"/>
    <w:rsid w:val="003C3585"/>
    <w:rsid w:val="003C385D"/>
    <w:rsid w:val="003C3F52"/>
    <w:rsid w:val="003C49B2"/>
    <w:rsid w:val="003C4D98"/>
    <w:rsid w:val="003C4E2C"/>
    <w:rsid w:val="003C5066"/>
    <w:rsid w:val="003C5239"/>
    <w:rsid w:val="003C564B"/>
    <w:rsid w:val="003C5A58"/>
    <w:rsid w:val="003C5FE2"/>
    <w:rsid w:val="003C7529"/>
    <w:rsid w:val="003D03B5"/>
    <w:rsid w:val="003D05FB"/>
    <w:rsid w:val="003D1B16"/>
    <w:rsid w:val="003D338C"/>
    <w:rsid w:val="003D35F4"/>
    <w:rsid w:val="003D45BF"/>
    <w:rsid w:val="003D508A"/>
    <w:rsid w:val="003D537F"/>
    <w:rsid w:val="003D58A2"/>
    <w:rsid w:val="003D61BB"/>
    <w:rsid w:val="003D6A55"/>
    <w:rsid w:val="003D749E"/>
    <w:rsid w:val="003D76F5"/>
    <w:rsid w:val="003D7B75"/>
    <w:rsid w:val="003D7DA3"/>
    <w:rsid w:val="003E0208"/>
    <w:rsid w:val="003E1479"/>
    <w:rsid w:val="003E1594"/>
    <w:rsid w:val="003E183F"/>
    <w:rsid w:val="003E4B57"/>
    <w:rsid w:val="003E713F"/>
    <w:rsid w:val="003F0118"/>
    <w:rsid w:val="003F1A7D"/>
    <w:rsid w:val="003F27E1"/>
    <w:rsid w:val="003F2EFF"/>
    <w:rsid w:val="003F389A"/>
    <w:rsid w:val="003F3A10"/>
    <w:rsid w:val="003F437A"/>
    <w:rsid w:val="003F43D8"/>
    <w:rsid w:val="003F50CB"/>
    <w:rsid w:val="003F523E"/>
    <w:rsid w:val="003F5C2B"/>
    <w:rsid w:val="003F621B"/>
    <w:rsid w:val="003F6CAD"/>
    <w:rsid w:val="0040074D"/>
    <w:rsid w:val="0040231B"/>
    <w:rsid w:val="004023E9"/>
    <w:rsid w:val="00402D66"/>
    <w:rsid w:val="00403953"/>
    <w:rsid w:val="0040454A"/>
    <w:rsid w:val="00404DCD"/>
    <w:rsid w:val="00405E24"/>
    <w:rsid w:val="004071C4"/>
    <w:rsid w:val="0040760C"/>
    <w:rsid w:val="004079A8"/>
    <w:rsid w:val="00407EBE"/>
    <w:rsid w:val="00410182"/>
    <w:rsid w:val="00410652"/>
    <w:rsid w:val="00410693"/>
    <w:rsid w:val="004115BD"/>
    <w:rsid w:val="00412F95"/>
    <w:rsid w:val="004134DB"/>
    <w:rsid w:val="00413F83"/>
    <w:rsid w:val="00414189"/>
    <w:rsid w:val="0041490C"/>
    <w:rsid w:val="0041542E"/>
    <w:rsid w:val="00416191"/>
    <w:rsid w:val="00416721"/>
    <w:rsid w:val="004176B2"/>
    <w:rsid w:val="004217D2"/>
    <w:rsid w:val="00421EF0"/>
    <w:rsid w:val="004224FA"/>
    <w:rsid w:val="004226F2"/>
    <w:rsid w:val="00423D07"/>
    <w:rsid w:val="0042760C"/>
    <w:rsid w:val="00427EA6"/>
    <w:rsid w:val="004305A0"/>
    <w:rsid w:val="004306D4"/>
    <w:rsid w:val="00431AA8"/>
    <w:rsid w:val="00432096"/>
    <w:rsid w:val="00433047"/>
    <w:rsid w:val="004331BC"/>
    <w:rsid w:val="0043377F"/>
    <w:rsid w:val="004359C9"/>
    <w:rsid w:val="004371A6"/>
    <w:rsid w:val="00441869"/>
    <w:rsid w:val="004418CE"/>
    <w:rsid w:val="00441A56"/>
    <w:rsid w:val="004425B6"/>
    <w:rsid w:val="00442A5B"/>
    <w:rsid w:val="00443036"/>
    <w:rsid w:val="00443158"/>
    <w:rsid w:val="0044346F"/>
    <w:rsid w:val="00443831"/>
    <w:rsid w:val="00444865"/>
    <w:rsid w:val="0044497E"/>
    <w:rsid w:val="00444F9D"/>
    <w:rsid w:val="00445032"/>
    <w:rsid w:val="00445320"/>
    <w:rsid w:val="004462EC"/>
    <w:rsid w:val="004470C5"/>
    <w:rsid w:val="00447346"/>
    <w:rsid w:val="004479E1"/>
    <w:rsid w:val="00450844"/>
    <w:rsid w:val="004508DD"/>
    <w:rsid w:val="004509F2"/>
    <w:rsid w:val="00451844"/>
    <w:rsid w:val="0045364D"/>
    <w:rsid w:val="004545F0"/>
    <w:rsid w:val="004556CE"/>
    <w:rsid w:val="00456534"/>
    <w:rsid w:val="00456707"/>
    <w:rsid w:val="004567BA"/>
    <w:rsid w:val="00456856"/>
    <w:rsid w:val="00457951"/>
    <w:rsid w:val="00457D7A"/>
    <w:rsid w:val="00460743"/>
    <w:rsid w:val="00460892"/>
    <w:rsid w:val="004614F0"/>
    <w:rsid w:val="00461544"/>
    <w:rsid w:val="004618DD"/>
    <w:rsid w:val="0046256C"/>
    <w:rsid w:val="0046272A"/>
    <w:rsid w:val="004627ED"/>
    <w:rsid w:val="00463683"/>
    <w:rsid w:val="004640C4"/>
    <w:rsid w:val="00464205"/>
    <w:rsid w:val="0046520A"/>
    <w:rsid w:val="00466D90"/>
    <w:rsid w:val="0046726A"/>
    <w:rsid w:val="004672AB"/>
    <w:rsid w:val="00467926"/>
    <w:rsid w:val="00467A80"/>
    <w:rsid w:val="00470137"/>
    <w:rsid w:val="004714FE"/>
    <w:rsid w:val="004724FF"/>
    <w:rsid w:val="004730BD"/>
    <w:rsid w:val="004738D7"/>
    <w:rsid w:val="00474657"/>
    <w:rsid w:val="00474793"/>
    <w:rsid w:val="00474A09"/>
    <w:rsid w:val="004761D6"/>
    <w:rsid w:val="00477260"/>
    <w:rsid w:val="004772E6"/>
    <w:rsid w:val="00477BAA"/>
    <w:rsid w:val="00480ADE"/>
    <w:rsid w:val="00481906"/>
    <w:rsid w:val="004821A4"/>
    <w:rsid w:val="0048320E"/>
    <w:rsid w:val="00483731"/>
    <w:rsid w:val="0048394E"/>
    <w:rsid w:val="00483C39"/>
    <w:rsid w:val="0048424E"/>
    <w:rsid w:val="004856AF"/>
    <w:rsid w:val="004868B4"/>
    <w:rsid w:val="00486CC6"/>
    <w:rsid w:val="00487537"/>
    <w:rsid w:val="0048764C"/>
    <w:rsid w:val="00487F8E"/>
    <w:rsid w:val="00490727"/>
    <w:rsid w:val="00491171"/>
    <w:rsid w:val="00493454"/>
    <w:rsid w:val="0049400F"/>
    <w:rsid w:val="004940AE"/>
    <w:rsid w:val="00495053"/>
    <w:rsid w:val="00495150"/>
    <w:rsid w:val="004A06A8"/>
    <w:rsid w:val="004A0A19"/>
    <w:rsid w:val="004A14AC"/>
    <w:rsid w:val="004A1F59"/>
    <w:rsid w:val="004A2044"/>
    <w:rsid w:val="004A29BE"/>
    <w:rsid w:val="004A3225"/>
    <w:rsid w:val="004A33EE"/>
    <w:rsid w:val="004A36C2"/>
    <w:rsid w:val="004A3AA8"/>
    <w:rsid w:val="004A5162"/>
    <w:rsid w:val="004A596F"/>
    <w:rsid w:val="004A6751"/>
    <w:rsid w:val="004A7C72"/>
    <w:rsid w:val="004A7D77"/>
    <w:rsid w:val="004B0914"/>
    <w:rsid w:val="004B13C7"/>
    <w:rsid w:val="004B38CD"/>
    <w:rsid w:val="004B3B98"/>
    <w:rsid w:val="004B3D4A"/>
    <w:rsid w:val="004B43B1"/>
    <w:rsid w:val="004B4A9E"/>
    <w:rsid w:val="004B55FF"/>
    <w:rsid w:val="004B594F"/>
    <w:rsid w:val="004B73B2"/>
    <w:rsid w:val="004B778F"/>
    <w:rsid w:val="004B77C8"/>
    <w:rsid w:val="004B7B1E"/>
    <w:rsid w:val="004C0621"/>
    <w:rsid w:val="004C1DBA"/>
    <w:rsid w:val="004C2E9A"/>
    <w:rsid w:val="004C5A1D"/>
    <w:rsid w:val="004C60DF"/>
    <w:rsid w:val="004C6378"/>
    <w:rsid w:val="004C6460"/>
    <w:rsid w:val="004C659E"/>
    <w:rsid w:val="004C65E9"/>
    <w:rsid w:val="004C7DC6"/>
    <w:rsid w:val="004D08D9"/>
    <w:rsid w:val="004D0DE1"/>
    <w:rsid w:val="004D0E9E"/>
    <w:rsid w:val="004D141F"/>
    <w:rsid w:val="004D144D"/>
    <w:rsid w:val="004D1A4D"/>
    <w:rsid w:val="004D2185"/>
    <w:rsid w:val="004D2742"/>
    <w:rsid w:val="004D2A58"/>
    <w:rsid w:val="004D49D0"/>
    <w:rsid w:val="004D583C"/>
    <w:rsid w:val="004D6310"/>
    <w:rsid w:val="004D6E6F"/>
    <w:rsid w:val="004D7606"/>
    <w:rsid w:val="004E0062"/>
    <w:rsid w:val="004E05A1"/>
    <w:rsid w:val="004E0609"/>
    <w:rsid w:val="004E0D98"/>
    <w:rsid w:val="004E0FC2"/>
    <w:rsid w:val="004E1067"/>
    <w:rsid w:val="004E14FC"/>
    <w:rsid w:val="004E1EDD"/>
    <w:rsid w:val="004E2AC2"/>
    <w:rsid w:val="004E3006"/>
    <w:rsid w:val="004E32EC"/>
    <w:rsid w:val="004E4274"/>
    <w:rsid w:val="004E44CD"/>
    <w:rsid w:val="004E452B"/>
    <w:rsid w:val="004E5982"/>
    <w:rsid w:val="004E5DFF"/>
    <w:rsid w:val="004E6564"/>
    <w:rsid w:val="004F1355"/>
    <w:rsid w:val="004F548E"/>
    <w:rsid w:val="004F5E57"/>
    <w:rsid w:val="004F6710"/>
    <w:rsid w:val="004F7F83"/>
    <w:rsid w:val="00500204"/>
    <w:rsid w:val="0050048D"/>
    <w:rsid w:val="00500535"/>
    <w:rsid w:val="00500C3E"/>
    <w:rsid w:val="00500E4E"/>
    <w:rsid w:val="00501181"/>
    <w:rsid w:val="00502849"/>
    <w:rsid w:val="00502CD1"/>
    <w:rsid w:val="005032CB"/>
    <w:rsid w:val="00503442"/>
    <w:rsid w:val="005038A9"/>
    <w:rsid w:val="00503AB5"/>
    <w:rsid w:val="00504334"/>
    <w:rsid w:val="005043FB"/>
    <w:rsid w:val="0050498D"/>
    <w:rsid w:val="0050696D"/>
    <w:rsid w:val="00506B79"/>
    <w:rsid w:val="0050788E"/>
    <w:rsid w:val="00507A5C"/>
    <w:rsid w:val="00507A72"/>
    <w:rsid w:val="005102B3"/>
    <w:rsid w:val="005104D7"/>
    <w:rsid w:val="00510B9E"/>
    <w:rsid w:val="00510C9B"/>
    <w:rsid w:val="005123F4"/>
    <w:rsid w:val="00514276"/>
    <w:rsid w:val="00515266"/>
    <w:rsid w:val="00515669"/>
    <w:rsid w:val="00515DE5"/>
    <w:rsid w:val="00520FEC"/>
    <w:rsid w:val="00521A25"/>
    <w:rsid w:val="0052224D"/>
    <w:rsid w:val="00525A09"/>
    <w:rsid w:val="00525C22"/>
    <w:rsid w:val="00527343"/>
    <w:rsid w:val="005320FE"/>
    <w:rsid w:val="00534597"/>
    <w:rsid w:val="00534662"/>
    <w:rsid w:val="00535735"/>
    <w:rsid w:val="00536BC2"/>
    <w:rsid w:val="00537785"/>
    <w:rsid w:val="0054058A"/>
    <w:rsid w:val="005425E1"/>
    <w:rsid w:val="005427C5"/>
    <w:rsid w:val="00542CF6"/>
    <w:rsid w:val="0054302E"/>
    <w:rsid w:val="00544643"/>
    <w:rsid w:val="0054480F"/>
    <w:rsid w:val="0054485D"/>
    <w:rsid w:val="00544ECD"/>
    <w:rsid w:val="00545AD8"/>
    <w:rsid w:val="00545F73"/>
    <w:rsid w:val="005470DB"/>
    <w:rsid w:val="00547A5C"/>
    <w:rsid w:val="005527C5"/>
    <w:rsid w:val="00553C03"/>
    <w:rsid w:val="00555B12"/>
    <w:rsid w:val="00555CDF"/>
    <w:rsid w:val="00556186"/>
    <w:rsid w:val="00557E99"/>
    <w:rsid w:val="005624A0"/>
    <w:rsid w:val="005631DE"/>
    <w:rsid w:val="00563483"/>
    <w:rsid w:val="00563692"/>
    <w:rsid w:val="00563B16"/>
    <w:rsid w:val="00564B02"/>
    <w:rsid w:val="00565CB1"/>
    <w:rsid w:val="005665B4"/>
    <w:rsid w:val="00567EAE"/>
    <w:rsid w:val="005704DD"/>
    <w:rsid w:val="0057082C"/>
    <w:rsid w:val="00571679"/>
    <w:rsid w:val="005717D0"/>
    <w:rsid w:val="00572AA8"/>
    <w:rsid w:val="0057485E"/>
    <w:rsid w:val="00574B33"/>
    <w:rsid w:val="00575851"/>
    <w:rsid w:val="0057590E"/>
    <w:rsid w:val="0057621D"/>
    <w:rsid w:val="005770B0"/>
    <w:rsid w:val="00577305"/>
    <w:rsid w:val="00580038"/>
    <w:rsid w:val="0058017A"/>
    <w:rsid w:val="005803A7"/>
    <w:rsid w:val="005809C0"/>
    <w:rsid w:val="00581E66"/>
    <w:rsid w:val="005832F3"/>
    <w:rsid w:val="00583CE7"/>
    <w:rsid w:val="005844E7"/>
    <w:rsid w:val="005845A2"/>
    <w:rsid w:val="005848A8"/>
    <w:rsid w:val="00585C05"/>
    <w:rsid w:val="005866E2"/>
    <w:rsid w:val="00587056"/>
    <w:rsid w:val="005870D7"/>
    <w:rsid w:val="0058775C"/>
    <w:rsid w:val="005908B8"/>
    <w:rsid w:val="00590F54"/>
    <w:rsid w:val="00591D20"/>
    <w:rsid w:val="00591E1D"/>
    <w:rsid w:val="0059512E"/>
    <w:rsid w:val="0059601A"/>
    <w:rsid w:val="005975A7"/>
    <w:rsid w:val="0059798F"/>
    <w:rsid w:val="00597ED5"/>
    <w:rsid w:val="005A0A6C"/>
    <w:rsid w:val="005A0EFA"/>
    <w:rsid w:val="005A1E45"/>
    <w:rsid w:val="005A25F9"/>
    <w:rsid w:val="005A30B3"/>
    <w:rsid w:val="005A42B2"/>
    <w:rsid w:val="005A4E09"/>
    <w:rsid w:val="005A6DD2"/>
    <w:rsid w:val="005B0D8D"/>
    <w:rsid w:val="005B2525"/>
    <w:rsid w:val="005B3A76"/>
    <w:rsid w:val="005B3CBE"/>
    <w:rsid w:val="005B457D"/>
    <w:rsid w:val="005B488F"/>
    <w:rsid w:val="005B5653"/>
    <w:rsid w:val="005B5CCF"/>
    <w:rsid w:val="005B604B"/>
    <w:rsid w:val="005B6A30"/>
    <w:rsid w:val="005B6ADD"/>
    <w:rsid w:val="005B6B1C"/>
    <w:rsid w:val="005C0495"/>
    <w:rsid w:val="005C0EE8"/>
    <w:rsid w:val="005C1E70"/>
    <w:rsid w:val="005C2B25"/>
    <w:rsid w:val="005C385D"/>
    <w:rsid w:val="005C39F7"/>
    <w:rsid w:val="005C4E2F"/>
    <w:rsid w:val="005C5126"/>
    <w:rsid w:val="005C527C"/>
    <w:rsid w:val="005C5BCD"/>
    <w:rsid w:val="005C5F53"/>
    <w:rsid w:val="005C7130"/>
    <w:rsid w:val="005C750D"/>
    <w:rsid w:val="005C765E"/>
    <w:rsid w:val="005C7BE3"/>
    <w:rsid w:val="005D0107"/>
    <w:rsid w:val="005D0EB4"/>
    <w:rsid w:val="005D1874"/>
    <w:rsid w:val="005D20C4"/>
    <w:rsid w:val="005D28E6"/>
    <w:rsid w:val="005D2F9C"/>
    <w:rsid w:val="005D3734"/>
    <w:rsid w:val="005D3B20"/>
    <w:rsid w:val="005D3E0A"/>
    <w:rsid w:val="005D4579"/>
    <w:rsid w:val="005D4962"/>
    <w:rsid w:val="005D540E"/>
    <w:rsid w:val="005D6510"/>
    <w:rsid w:val="005D65B6"/>
    <w:rsid w:val="005E4759"/>
    <w:rsid w:val="005E5823"/>
    <w:rsid w:val="005E5C68"/>
    <w:rsid w:val="005E64E8"/>
    <w:rsid w:val="005E65C0"/>
    <w:rsid w:val="005E72A7"/>
    <w:rsid w:val="005E7EE0"/>
    <w:rsid w:val="005F0390"/>
    <w:rsid w:val="005F136E"/>
    <w:rsid w:val="005F1606"/>
    <w:rsid w:val="005F20B5"/>
    <w:rsid w:val="005F31DC"/>
    <w:rsid w:val="005F3484"/>
    <w:rsid w:val="005F3775"/>
    <w:rsid w:val="005F4627"/>
    <w:rsid w:val="00600DFE"/>
    <w:rsid w:val="006013C9"/>
    <w:rsid w:val="00601B64"/>
    <w:rsid w:val="00602B26"/>
    <w:rsid w:val="00603083"/>
    <w:rsid w:val="006032F8"/>
    <w:rsid w:val="0060430F"/>
    <w:rsid w:val="00604D14"/>
    <w:rsid w:val="006070C1"/>
    <w:rsid w:val="006072CD"/>
    <w:rsid w:val="0060744B"/>
    <w:rsid w:val="006108F3"/>
    <w:rsid w:val="00611A7E"/>
    <w:rsid w:val="00611DAC"/>
    <w:rsid w:val="00612023"/>
    <w:rsid w:val="00614190"/>
    <w:rsid w:val="00615439"/>
    <w:rsid w:val="00616DEE"/>
    <w:rsid w:val="00617340"/>
    <w:rsid w:val="00617C47"/>
    <w:rsid w:val="0062024C"/>
    <w:rsid w:val="006219A3"/>
    <w:rsid w:val="006225C4"/>
    <w:rsid w:val="006229D2"/>
    <w:rsid w:val="00622A99"/>
    <w:rsid w:val="00622E67"/>
    <w:rsid w:val="00623539"/>
    <w:rsid w:val="0062393A"/>
    <w:rsid w:val="00624312"/>
    <w:rsid w:val="00624680"/>
    <w:rsid w:val="006246EB"/>
    <w:rsid w:val="006253CC"/>
    <w:rsid w:val="00625E99"/>
    <w:rsid w:val="0062659C"/>
    <w:rsid w:val="00626CBA"/>
    <w:rsid w:val="00626EDC"/>
    <w:rsid w:val="00626F2B"/>
    <w:rsid w:val="00626FED"/>
    <w:rsid w:val="006270EE"/>
    <w:rsid w:val="006273AD"/>
    <w:rsid w:val="00627763"/>
    <w:rsid w:val="00627F7A"/>
    <w:rsid w:val="00630C25"/>
    <w:rsid w:val="00630F96"/>
    <w:rsid w:val="006314B0"/>
    <w:rsid w:val="00631832"/>
    <w:rsid w:val="00631AEF"/>
    <w:rsid w:val="00633521"/>
    <w:rsid w:val="00634B93"/>
    <w:rsid w:val="00635774"/>
    <w:rsid w:val="0063642E"/>
    <w:rsid w:val="0063788E"/>
    <w:rsid w:val="00640154"/>
    <w:rsid w:val="00640D78"/>
    <w:rsid w:val="00641911"/>
    <w:rsid w:val="00642C4B"/>
    <w:rsid w:val="006460DC"/>
    <w:rsid w:val="00646C03"/>
    <w:rsid w:val="00646D4F"/>
    <w:rsid w:val="006470EC"/>
    <w:rsid w:val="0065205C"/>
    <w:rsid w:val="006542D6"/>
    <w:rsid w:val="006545E6"/>
    <w:rsid w:val="006547E8"/>
    <w:rsid w:val="00654EBA"/>
    <w:rsid w:val="0065598E"/>
    <w:rsid w:val="00655AF2"/>
    <w:rsid w:val="00655BC5"/>
    <w:rsid w:val="0065617F"/>
    <w:rsid w:val="006568BE"/>
    <w:rsid w:val="006569EF"/>
    <w:rsid w:val="00657174"/>
    <w:rsid w:val="006571D8"/>
    <w:rsid w:val="00657664"/>
    <w:rsid w:val="00660099"/>
    <w:rsid w:val="0066025D"/>
    <w:rsid w:val="006606C0"/>
    <w:rsid w:val="0066070C"/>
    <w:rsid w:val="0066074F"/>
    <w:rsid w:val="0066091A"/>
    <w:rsid w:val="00661E5D"/>
    <w:rsid w:val="00662485"/>
    <w:rsid w:val="00663DE5"/>
    <w:rsid w:val="0066404C"/>
    <w:rsid w:val="00665909"/>
    <w:rsid w:val="00665D39"/>
    <w:rsid w:val="00665FCB"/>
    <w:rsid w:val="00671452"/>
    <w:rsid w:val="0067154B"/>
    <w:rsid w:val="00673644"/>
    <w:rsid w:val="00674418"/>
    <w:rsid w:val="006773EC"/>
    <w:rsid w:val="00680072"/>
    <w:rsid w:val="00680504"/>
    <w:rsid w:val="00680EEE"/>
    <w:rsid w:val="00681B91"/>
    <w:rsid w:val="00681CD9"/>
    <w:rsid w:val="00682C57"/>
    <w:rsid w:val="00683E30"/>
    <w:rsid w:val="00683E42"/>
    <w:rsid w:val="00686673"/>
    <w:rsid w:val="00687024"/>
    <w:rsid w:val="0069040D"/>
    <w:rsid w:val="006909F8"/>
    <w:rsid w:val="00691B13"/>
    <w:rsid w:val="0069254C"/>
    <w:rsid w:val="006929D5"/>
    <w:rsid w:val="006936E9"/>
    <w:rsid w:val="00693706"/>
    <w:rsid w:val="00694BE9"/>
    <w:rsid w:val="006954E9"/>
    <w:rsid w:val="00695876"/>
    <w:rsid w:val="00695E22"/>
    <w:rsid w:val="00695E27"/>
    <w:rsid w:val="0069666A"/>
    <w:rsid w:val="0069714A"/>
    <w:rsid w:val="006A0F49"/>
    <w:rsid w:val="006A27F3"/>
    <w:rsid w:val="006A41B3"/>
    <w:rsid w:val="006A42DD"/>
    <w:rsid w:val="006A5CC9"/>
    <w:rsid w:val="006B0246"/>
    <w:rsid w:val="006B1F79"/>
    <w:rsid w:val="006B239D"/>
    <w:rsid w:val="006B2AC5"/>
    <w:rsid w:val="006B2DA3"/>
    <w:rsid w:val="006B3113"/>
    <w:rsid w:val="006B37EC"/>
    <w:rsid w:val="006B39BF"/>
    <w:rsid w:val="006B3B34"/>
    <w:rsid w:val="006B3E89"/>
    <w:rsid w:val="006B5FA2"/>
    <w:rsid w:val="006B6A31"/>
    <w:rsid w:val="006B6C25"/>
    <w:rsid w:val="006B7093"/>
    <w:rsid w:val="006B7417"/>
    <w:rsid w:val="006B7845"/>
    <w:rsid w:val="006B7A9F"/>
    <w:rsid w:val="006C0021"/>
    <w:rsid w:val="006C20FA"/>
    <w:rsid w:val="006C37DB"/>
    <w:rsid w:val="006C432D"/>
    <w:rsid w:val="006C4508"/>
    <w:rsid w:val="006C5F97"/>
    <w:rsid w:val="006C7271"/>
    <w:rsid w:val="006C7309"/>
    <w:rsid w:val="006C7F9F"/>
    <w:rsid w:val="006D08AC"/>
    <w:rsid w:val="006D2DB0"/>
    <w:rsid w:val="006D35DF"/>
    <w:rsid w:val="006D3691"/>
    <w:rsid w:val="006D4E2F"/>
    <w:rsid w:val="006D51E7"/>
    <w:rsid w:val="006E0ED6"/>
    <w:rsid w:val="006E0F2A"/>
    <w:rsid w:val="006E1907"/>
    <w:rsid w:val="006E445F"/>
    <w:rsid w:val="006E5896"/>
    <w:rsid w:val="006E5EF0"/>
    <w:rsid w:val="006E6C88"/>
    <w:rsid w:val="006E7202"/>
    <w:rsid w:val="006F17DC"/>
    <w:rsid w:val="006F2100"/>
    <w:rsid w:val="006F2DF2"/>
    <w:rsid w:val="006F338B"/>
    <w:rsid w:val="006F3563"/>
    <w:rsid w:val="006F3DE1"/>
    <w:rsid w:val="006F42B9"/>
    <w:rsid w:val="006F4528"/>
    <w:rsid w:val="006F499B"/>
    <w:rsid w:val="006F541B"/>
    <w:rsid w:val="006F6103"/>
    <w:rsid w:val="00700AA5"/>
    <w:rsid w:val="00700BA1"/>
    <w:rsid w:val="0070136D"/>
    <w:rsid w:val="00701D0F"/>
    <w:rsid w:val="0070249A"/>
    <w:rsid w:val="007038C7"/>
    <w:rsid w:val="00703B01"/>
    <w:rsid w:val="00704E00"/>
    <w:rsid w:val="007050EA"/>
    <w:rsid w:val="00706FDC"/>
    <w:rsid w:val="0071235F"/>
    <w:rsid w:val="00712A75"/>
    <w:rsid w:val="00714BE1"/>
    <w:rsid w:val="007159AF"/>
    <w:rsid w:val="00716F54"/>
    <w:rsid w:val="00720200"/>
    <w:rsid w:val="007209DB"/>
    <w:rsid w:val="007209E7"/>
    <w:rsid w:val="00721E13"/>
    <w:rsid w:val="00722FA6"/>
    <w:rsid w:val="007231B5"/>
    <w:rsid w:val="007231FE"/>
    <w:rsid w:val="007246FF"/>
    <w:rsid w:val="00724C01"/>
    <w:rsid w:val="00725F88"/>
    <w:rsid w:val="007260F1"/>
    <w:rsid w:val="00726182"/>
    <w:rsid w:val="00727635"/>
    <w:rsid w:val="007277C5"/>
    <w:rsid w:val="00727F35"/>
    <w:rsid w:val="00730B23"/>
    <w:rsid w:val="00731ED6"/>
    <w:rsid w:val="007320C4"/>
    <w:rsid w:val="00732329"/>
    <w:rsid w:val="00732762"/>
    <w:rsid w:val="0073282F"/>
    <w:rsid w:val="0073298B"/>
    <w:rsid w:val="00732EC8"/>
    <w:rsid w:val="007337CA"/>
    <w:rsid w:val="00733971"/>
    <w:rsid w:val="00734CE4"/>
    <w:rsid w:val="00735123"/>
    <w:rsid w:val="00740050"/>
    <w:rsid w:val="007407D5"/>
    <w:rsid w:val="00740F7A"/>
    <w:rsid w:val="00741318"/>
    <w:rsid w:val="00741549"/>
    <w:rsid w:val="00741837"/>
    <w:rsid w:val="00742EF9"/>
    <w:rsid w:val="00744166"/>
    <w:rsid w:val="00744ADB"/>
    <w:rsid w:val="007453E6"/>
    <w:rsid w:val="00745658"/>
    <w:rsid w:val="00745B5E"/>
    <w:rsid w:val="007465BA"/>
    <w:rsid w:val="00746810"/>
    <w:rsid w:val="00747A1B"/>
    <w:rsid w:val="00747CAD"/>
    <w:rsid w:val="00750DB5"/>
    <w:rsid w:val="00751CF5"/>
    <w:rsid w:val="00751D25"/>
    <w:rsid w:val="00752229"/>
    <w:rsid w:val="00753A6A"/>
    <w:rsid w:val="00755CCB"/>
    <w:rsid w:val="007562DE"/>
    <w:rsid w:val="007569A9"/>
    <w:rsid w:val="00757074"/>
    <w:rsid w:val="00757864"/>
    <w:rsid w:val="00757AC4"/>
    <w:rsid w:val="00763190"/>
    <w:rsid w:val="007636A7"/>
    <w:rsid w:val="007644C9"/>
    <w:rsid w:val="007655C5"/>
    <w:rsid w:val="00766D86"/>
    <w:rsid w:val="007703FC"/>
    <w:rsid w:val="00770716"/>
    <w:rsid w:val="0077309D"/>
    <w:rsid w:val="0077329F"/>
    <w:rsid w:val="00773825"/>
    <w:rsid w:val="00773E3D"/>
    <w:rsid w:val="0077425F"/>
    <w:rsid w:val="00774317"/>
    <w:rsid w:val="00774661"/>
    <w:rsid w:val="00775A9D"/>
    <w:rsid w:val="0077706F"/>
    <w:rsid w:val="007774EE"/>
    <w:rsid w:val="00781527"/>
    <w:rsid w:val="00781822"/>
    <w:rsid w:val="00782A00"/>
    <w:rsid w:val="00782BBF"/>
    <w:rsid w:val="00782F83"/>
    <w:rsid w:val="0078379B"/>
    <w:rsid w:val="00783F21"/>
    <w:rsid w:val="007855E0"/>
    <w:rsid w:val="00785817"/>
    <w:rsid w:val="00787159"/>
    <w:rsid w:val="0078734E"/>
    <w:rsid w:val="00787450"/>
    <w:rsid w:val="00787623"/>
    <w:rsid w:val="00787D23"/>
    <w:rsid w:val="00787FFC"/>
    <w:rsid w:val="0079043A"/>
    <w:rsid w:val="00790F2D"/>
    <w:rsid w:val="00791668"/>
    <w:rsid w:val="00791AA1"/>
    <w:rsid w:val="00793C01"/>
    <w:rsid w:val="00794ADF"/>
    <w:rsid w:val="0079534B"/>
    <w:rsid w:val="00795D01"/>
    <w:rsid w:val="00795FFB"/>
    <w:rsid w:val="00796948"/>
    <w:rsid w:val="00796AC8"/>
    <w:rsid w:val="00797087"/>
    <w:rsid w:val="00797EA4"/>
    <w:rsid w:val="007A1506"/>
    <w:rsid w:val="007A330E"/>
    <w:rsid w:val="007A3793"/>
    <w:rsid w:val="007A43D9"/>
    <w:rsid w:val="007A455A"/>
    <w:rsid w:val="007A63ED"/>
    <w:rsid w:val="007A6864"/>
    <w:rsid w:val="007B1172"/>
    <w:rsid w:val="007B43F8"/>
    <w:rsid w:val="007B5358"/>
    <w:rsid w:val="007B567A"/>
    <w:rsid w:val="007B5E9E"/>
    <w:rsid w:val="007B6ED0"/>
    <w:rsid w:val="007B75BD"/>
    <w:rsid w:val="007C154C"/>
    <w:rsid w:val="007C1BA2"/>
    <w:rsid w:val="007C204D"/>
    <w:rsid w:val="007C28C7"/>
    <w:rsid w:val="007C2AF6"/>
    <w:rsid w:val="007C2B48"/>
    <w:rsid w:val="007C3B26"/>
    <w:rsid w:val="007C4DA2"/>
    <w:rsid w:val="007C60A2"/>
    <w:rsid w:val="007C6939"/>
    <w:rsid w:val="007D1475"/>
    <w:rsid w:val="007D1B23"/>
    <w:rsid w:val="007D1E69"/>
    <w:rsid w:val="007D20E9"/>
    <w:rsid w:val="007D3431"/>
    <w:rsid w:val="007D3CA9"/>
    <w:rsid w:val="007D54B1"/>
    <w:rsid w:val="007D5B6B"/>
    <w:rsid w:val="007D731F"/>
    <w:rsid w:val="007D7881"/>
    <w:rsid w:val="007D7E3A"/>
    <w:rsid w:val="007E0136"/>
    <w:rsid w:val="007E02D6"/>
    <w:rsid w:val="007E0E10"/>
    <w:rsid w:val="007E1B13"/>
    <w:rsid w:val="007E1E5C"/>
    <w:rsid w:val="007E2663"/>
    <w:rsid w:val="007E2749"/>
    <w:rsid w:val="007E3CE6"/>
    <w:rsid w:val="007E4768"/>
    <w:rsid w:val="007E6199"/>
    <w:rsid w:val="007E7593"/>
    <w:rsid w:val="007E7608"/>
    <w:rsid w:val="007E776D"/>
    <w:rsid w:val="007E777B"/>
    <w:rsid w:val="007E7C24"/>
    <w:rsid w:val="007F05DE"/>
    <w:rsid w:val="007F0DEF"/>
    <w:rsid w:val="007F116A"/>
    <w:rsid w:val="007F1441"/>
    <w:rsid w:val="007F1696"/>
    <w:rsid w:val="007F1D5A"/>
    <w:rsid w:val="007F2070"/>
    <w:rsid w:val="007F4359"/>
    <w:rsid w:val="007F50E1"/>
    <w:rsid w:val="007F5E2A"/>
    <w:rsid w:val="007F65C9"/>
    <w:rsid w:val="007F766F"/>
    <w:rsid w:val="0080089F"/>
    <w:rsid w:val="0080323B"/>
    <w:rsid w:val="00804457"/>
    <w:rsid w:val="008053F5"/>
    <w:rsid w:val="0080778B"/>
    <w:rsid w:val="00807AF7"/>
    <w:rsid w:val="00807B15"/>
    <w:rsid w:val="00810198"/>
    <w:rsid w:val="00810F62"/>
    <w:rsid w:val="00811C4C"/>
    <w:rsid w:val="00813A94"/>
    <w:rsid w:val="00815886"/>
    <w:rsid w:val="00815DA8"/>
    <w:rsid w:val="008161D1"/>
    <w:rsid w:val="0081657D"/>
    <w:rsid w:val="00817AEC"/>
    <w:rsid w:val="008208B4"/>
    <w:rsid w:val="0082194D"/>
    <w:rsid w:val="0082294A"/>
    <w:rsid w:val="00824F53"/>
    <w:rsid w:val="00825E8C"/>
    <w:rsid w:val="00825F7B"/>
    <w:rsid w:val="00826EF5"/>
    <w:rsid w:val="00827663"/>
    <w:rsid w:val="00827A74"/>
    <w:rsid w:val="00830891"/>
    <w:rsid w:val="008313B1"/>
    <w:rsid w:val="00831693"/>
    <w:rsid w:val="008318C2"/>
    <w:rsid w:val="00831A6B"/>
    <w:rsid w:val="00831D22"/>
    <w:rsid w:val="00832251"/>
    <w:rsid w:val="008335B4"/>
    <w:rsid w:val="00833EC4"/>
    <w:rsid w:val="008348A8"/>
    <w:rsid w:val="00834D46"/>
    <w:rsid w:val="00835419"/>
    <w:rsid w:val="0083555C"/>
    <w:rsid w:val="00835A3F"/>
    <w:rsid w:val="00835B3E"/>
    <w:rsid w:val="008364DD"/>
    <w:rsid w:val="008367CD"/>
    <w:rsid w:val="00836C6D"/>
    <w:rsid w:val="00836EF3"/>
    <w:rsid w:val="00836F23"/>
    <w:rsid w:val="00840104"/>
    <w:rsid w:val="00840A77"/>
    <w:rsid w:val="00840C1F"/>
    <w:rsid w:val="00840CCE"/>
    <w:rsid w:val="00840D34"/>
    <w:rsid w:val="00841FC5"/>
    <w:rsid w:val="00842BA7"/>
    <w:rsid w:val="00842CED"/>
    <w:rsid w:val="00843285"/>
    <w:rsid w:val="008438D3"/>
    <w:rsid w:val="00844C43"/>
    <w:rsid w:val="00845709"/>
    <w:rsid w:val="0084730D"/>
    <w:rsid w:val="00847C31"/>
    <w:rsid w:val="00847C45"/>
    <w:rsid w:val="00851331"/>
    <w:rsid w:val="008522BE"/>
    <w:rsid w:val="0085257C"/>
    <w:rsid w:val="00854E2C"/>
    <w:rsid w:val="00854ECB"/>
    <w:rsid w:val="008554CE"/>
    <w:rsid w:val="0085681E"/>
    <w:rsid w:val="008576BD"/>
    <w:rsid w:val="0086008A"/>
    <w:rsid w:val="0086042D"/>
    <w:rsid w:val="00860463"/>
    <w:rsid w:val="0086293E"/>
    <w:rsid w:val="00862B2F"/>
    <w:rsid w:val="00862D0D"/>
    <w:rsid w:val="00863EE5"/>
    <w:rsid w:val="00864270"/>
    <w:rsid w:val="00864B7E"/>
    <w:rsid w:val="00866594"/>
    <w:rsid w:val="00866BC7"/>
    <w:rsid w:val="00866D38"/>
    <w:rsid w:val="008674C2"/>
    <w:rsid w:val="00867606"/>
    <w:rsid w:val="008702C2"/>
    <w:rsid w:val="00870774"/>
    <w:rsid w:val="008708D7"/>
    <w:rsid w:val="00872557"/>
    <w:rsid w:val="008727E4"/>
    <w:rsid w:val="00872831"/>
    <w:rsid w:val="008733DA"/>
    <w:rsid w:val="008738B5"/>
    <w:rsid w:val="00873AF0"/>
    <w:rsid w:val="008752B2"/>
    <w:rsid w:val="008755B1"/>
    <w:rsid w:val="008768DC"/>
    <w:rsid w:val="008779E8"/>
    <w:rsid w:val="00881080"/>
    <w:rsid w:val="00881283"/>
    <w:rsid w:val="00881627"/>
    <w:rsid w:val="00881674"/>
    <w:rsid w:val="0088218F"/>
    <w:rsid w:val="00882D75"/>
    <w:rsid w:val="00882FCB"/>
    <w:rsid w:val="008830D8"/>
    <w:rsid w:val="00883515"/>
    <w:rsid w:val="00883A6E"/>
    <w:rsid w:val="008844F8"/>
    <w:rsid w:val="008850E4"/>
    <w:rsid w:val="00885528"/>
    <w:rsid w:val="00885A0B"/>
    <w:rsid w:val="00886211"/>
    <w:rsid w:val="008863B6"/>
    <w:rsid w:val="00887CB4"/>
    <w:rsid w:val="008904A4"/>
    <w:rsid w:val="00890AD8"/>
    <w:rsid w:val="00890DB9"/>
    <w:rsid w:val="00890EF3"/>
    <w:rsid w:val="00890FE7"/>
    <w:rsid w:val="008911E8"/>
    <w:rsid w:val="00891A71"/>
    <w:rsid w:val="00891BC2"/>
    <w:rsid w:val="00892484"/>
    <w:rsid w:val="00892B58"/>
    <w:rsid w:val="008939AB"/>
    <w:rsid w:val="00894CD0"/>
    <w:rsid w:val="00895FE4"/>
    <w:rsid w:val="008960A3"/>
    <w:rsid w:val="00896D68"/>
    <w:rsid w:val="00897063"/>
    <w:rsid w:val="00897A4D"/>
    <w:rsid w:val="008A0F75"/>
    <w:rsid w:val="008A12F5"/>
    <w:rsid w:val="008A13A0"/>
    <w:rsid w:val="008A1BC8"/>
    <w:rsid w:val="008A266A"/>
    <w:rsid w:val="008A4C7F"/>
    <w:rsid w:val="008A64F2"/>
    <w:rsid w:val="008A7542"/>
    <w:rsid w:val="008B1587"/>
    <w:rsid w:val="008B1B01"/>
    <w:rsid w:val="008B278D"/>
    <w:rsid w:val="008B2B89"/>
    <w:rsid w:val="008B3235"/>
    <w:rsid w:val="008B3BCD"/>
    <w:rsid w:val="008B46D6"/>
    <w:rsid w:val="008B48C0"/>
    <w:rsid w:val="008B4DED"/>
    <w:rsid w:val="008B5090"/>
    <w:rsid w:val="008B53F6"/>
    <w:rsid w:val="008B5840"/>
    <w:rsid w:val="008B59E8"/>
    <w:rsid w:val="008B5BDE"/>
    <w:rsid w:val="008B6DF8"/>
    <w:rsid w:val="008B6EB8"/>
    <w:rsid w:val="008B743F"/>
    <w:rsid w:val="008B7695"/>
    <w:rsid w:val="008B7958"/>
    <w:rsid w:val="008B79D9"/>
    <w:rsid w:val="008C0059"/>
    <w:rsid w:val="008C05BD"/>
    <w:rsid w:val="008C0BC3"/>
    <w:rsid w:val="008C0C47"/>
    <w:rsid w:val="008C106C"/>
    <w:rsid w:val="008C10F1"/>
    <w:rsid w:val="008C1926"/>
    <w:rsid w:val="008C1E99"/>
    <w:rsid w:val="008C3592"/>
    <w:rsid w:val="008C3868"/>
    <w:rsid w:val="008C69AE"/>
    <w:rsid w:val="008C786E"/>
    <w:rsid w:val="008D1AA4"/>
    <w:rsid w:val="008D3381"/>
    <w:rsid w:val="008D4408"/>
    <w:rsid w:val="008D48A2"/>
    <w:rsid w:val="008D4BFA"/>
    <w:rsid w:val="008D5CD1"/>
    <w:rsid w:val="008D66A9"/>
    <w:rsid w:val="008D6B0C"/>
    <w:rsid w:val="008D6EDC"/>
    <w:rsid w:val="008E0085"/>
    <w:rsid w:val="008E0594"/>
    <w:rsid w:val="008E2AA6"/>
    <w:rsid w:val="008E2C87"/>
    <w:rsid w:val="008E311B"/>
    <w:rsid w:val="008E45F3"/>
    <w:rsid w:val="008E47F4"/>
    <w:rsid w:val="008E62AC"/>
    <w:rsid w:val="008E672C"/>
    <w:rsid w:val="008E6901"/>
    <w:rsid w:val="008E6DA3"/>
    <w:rsid w:val="008F10BF"/>
    <w:rsid w:val="008F2C3B"/>
    <w:rsid w:val="008F431E"/>
    <w:rsid w:val="008F46E7"/>
    <w:rsid w:val="008F59D7"/>
    <w:rsid w:val="008F6F0B"/>
    <w:rsid w:val="008F7C96"/>
    <w:rsid w:val="009008CE"/>
    <w:rsid w:val="009015B3"/>
    <w:rsid w:val="00902E78"/>
    <w:rsid w:val="00905964"/>
    <w:rsid w:val="009060D1"/>
    <w:rsid w:val="009066EF"/>
    <w:rsid w:val="00906BE4"/>
    <w:rsid w:val="00907BA7"/>
    <w:rsid w:val="0091024B"/>
    <w:rsid w:val="0091064E"/>
    <w:rsid w:val="00910963"/>
    <w:rsid w:val="009109AB"/>
    <w:rsid w:val="00911FC5"/>
    <w:rsid w:val="00912763"/>
    <w:rsid w:val="00912914"/>
    <w:rsid w:val="009141D3"/>
    <w:rsid w:val="00914746"/>
    <w:rsid w:val="009158D7"/>
    <w:rsid w:val="00916053"/>
    <w:rsid w:val="009161A2"/>
    <w:rsid w:val="009206DE"/>
    <w:rsid w:val="00920F10"/>
    <w:rsid w:val="0092119D"/>
    <w:rsid w:val="00922F8F"/>
    <w:rsid w:val="00925289"/>
    <w:rsid w:val="009253FA"/>
    <w:rsid w:val="00925A6E"/>
    <w:rsid w:val="0092611F"/>
    <w:rsid w:val="009262C0"/>
    <w:rsid w:val="0092731C"/>
    <w:rsid w:val="00927F92"/>
    <w:rsid w:val="009305ED"/>
    <w:rsid w:val="00931A10"/>
    <w:rsid w:val="00932137"/>
    <w:rsid w:val="00933207"/>
    <w:rsid w:val="0093344D"/>
    <w:rsid w:val="009355D8"/>
    <w:rsid w:val="009361AB"/>
    <w:rsid w:val="00940EA4"/>
    <w:rsid w:val="009414DB"/>
    <w:rsid w:val="00941C92"/>
    <w:rsid w:val="00941E92"/>
    <w:rsid w:val="0094216B"/>
    <w:rsid w:val="00942D6F"/>
    <w:rsid w:val="00943CB2"/>
    <w:rsid w:val="00944010"/>
    <w:rsid w:val="009442A0"/>
    <w:rsid w:val="00944702"/>
    <w:rsid w:val="0094501A"/>
    <w:rsid w:val="00947967"/>
    <w:rsid w:val="00947DDB"/>
    <w:rsid w:val="00950D9B"/>
    <w:rsid w:val="0095230E"/>
    <w:rsid w:val="009531D4"/>
    <w:rsid w:val="0095371C"/>
    <w:rsid w:val="0095394B"/>
    <w:rsid w:val="00954B3D"/>
    <w:rsid w:val="00955201"/>
    <w:rsid w:val="00957686"/>
    <w:rsid w:val="00957707"/>
    <w:rsid w:val="0096125C"/>
    <w:rsid w:val="009615ED"/>
    <w:rsid w:val="00961A8C"/>
    <w:rsid w:val="00962970"/>
    <w:rsid w:val="009631D9"/>
    <w:rsid w:val="0096381D"/>
    <w:rsid w:val="00964270"/>
    <w:rsid w:val="00965200"/>
    <w:rsid w:val="00966771"/>
    <w:rsid w:val="009668B3"/>
    <w:rsid w:val="00966D10"/>
    <w:rsid w:val="009675AC"/>
    <w:rsid w:val="0096789B"/>
    <w:rsid w:val="00967949"/>
    <w:rsid w:val="00970390"/>
    <w:rsid w:val="00971471"/>
    <w:rsid w:val="00971680"/>
    <w:rsid w:val="00971C5E"/>
    <w:rsid w:val="009739C4"/>
    <w:rsid w:val="0097468C"/>
    <w:rsid w:val="00974E86"/>
    <w:rsid w:val="00975656"/>
    <w:rsid w:val="00975CB2"/>
    <w:rsid w:val="00976248"/>
    <w:rsid w:val="0097740B"/>
    <w:rsid w:val="009776C9"/>
    <w:rsid w:val="00980638"/>
    <w:rsid w:val="0098065A"/>
    <w:rsid w:val="009813BA"/>
    <w:rsid w:val="009813C6"/>
    <w:rsid w:val="00983560"/>
    <w:rsid w:val="0098394F"/>
    <w:rsid w:val="00984970"/>
    <w:rsid w:val="009849C2"/>
    <w:rsid w:val="00984D24"/>
    <w:rsid w:val="00984DDE"/>
    <w:rsid w:val="009858EB"/>
    <w:rsid w:val="009861C6"/>
    <w:rsid w:val="00986D16"/>
    <w:rsid w:val="00986FAE"/>
    <w:rsid w:val="00990447"/>
    <w:rsid w:val="00991000"/>
    <w:rsid w:val="00991BF7"/>
    <w:rsid w:val="009921A9"/>
    <w:rsid w:val="0099307D"/>
    <w:rsid w:val="00993F86"/>
    <w:rsid w:val="00994F39"/>
    <w:rsid w:val="00995C0E"/>
    <w:rsid w:val="00996EDF"/>
    <w:rsid w:val="009A2721"/>
    <w:rsid w:val="009A3590"/>
    <w:rsid w:val="009A37DD"/>
    <w:rsid w:val="009A39DE"/>
    <w:rsid w:val="009A3E2F"/>
    <w:rsid w:val="009A41B7"/>
    <w:rsid w:val="009A4CFB"/>
    <w:rsid w:val="009A5E1B"/>
    <w:rsid w:val="009A6485"/>
    <w:rsid w:val="009B0046"/>
    <w:rsid w:val="009B2A36"/>
    <w:rsid w:val="009B2AAC"/>
    <w:rsid w:val="009B2D52"/>
    <w:rsid w:val="009B3DD5"/>
    <w:rsid w:val="009B3E84"/>
    <w:rsid w:val="009B566E"/>
    <w:rsid w:val="009B6770"/>
    <w:rsid w:val="009B68BB"/>
    <w:rsid w:val="009B7004"/>
    <w:rsid w:val="009B79F2"/>
    <w:rsid w:val="009C1440"/>
    <w:rsid w:val="009C2107"/>
    <w:rsid w:val="009C33EC"/>
    <w:rsid w:val="009C3967"/>
    <w:rsid w:val="009C3C23"/>
    <w:rsid w:val="009C3E0B"/>
    <w:rsid w:val="009C5D9E"/>
    <w:rsid w:val="009C6246"/>
    <w:rsid w:val="009C7C03"/>
    <w:rsid w:val="009C7F0C"/>
    <w:rsid w:val="009D2C3E"/>
    <w:rsid w:val="009D3EC0"/>
    <w:rsid w:val="009D4480"/>
    <w:rsid w:val="009D4DB1"/>
    <w:rsid w:val="009D5367"/>
    <w:rsid w:val="009D55FD"/>
    <w:rsid w:val="009D69CB"/>
    <w:rsid w:val="009D7EC7"/>
    <w:rsid w:val="009E0625"/>
    <w:rsid w:val="009E0D6C"/>
    <w:rsid w:val="009E1586"/>
    <w:rsid w:val="009E184E"/>
    <w:rsid w:val="009E18B8"/>
    <w:rsid w:val="009E1E9A"/>
    <w:rsid w:val="009E25BB"/>
    <w:rsid w:val="009E3034"/>
    <w:rsid w:val="009E4BB2"/>
    <w:rsid w:val="009E549F"/>
    <w:rsid w:val="009E5A91"/>
    <w:rsid w:val="009E626C"/>
    <w:rsid w:val="009E633E"/>
    <w:rsid w:val="009E6609"/>
    <w:rsid w:val="009F0475"/>
    <w:rsid w:val="009F0C0C"/>
    <w:rsid w:val="009F0EEE"/>
    <w:rsid w:val="009F18FE"/>
    <w:rsid w:val="009F1B1D"/>
    <w:rsid w:val="009F28A8"/>
    <w:rsid w:val="009F3CF8"/>
    <w:rsid w:val="009F3F61"/>
    <w:rsid w:val="009F40EA"/>
    <w:rsid w:val="009F473E"/>
    <w:rsid w:val="009F682A"/>
    <w:rsid w:val="009F7453"/>
    <w:rsid w:val="009F7708"/>
    <w:rsid w:val="00A022BE"/>
    <w:rsid w:val="00A02F24"/>
    <w:rsid w:val="00A0392D"/>
    <w:rsid w:val="00A04C1C"/>
    <w:rsid w:val="00A05308"/>
    <w:rsid w:val="00A053F4"/>
    <w:rsid w:val="00A05812"/>
    <w:rsid w:val="00A06CEC"/>
    <w:rsid w:val="00A1098F"/>
    <w:rsid w:val="00A122FE"/>
    <w:rsid w:val="00A12A95"/>
    <w:rsid w:val="00A1308C"/>
    <w:rsid w:val="00A132A5"/>
    <w:rsid w:val="00A14195"/>
    <w:rsid w:val="00A144D4"/>
    <w:rsid w:val="00A14805"/>
    <w:rsid w:val="00A14D67"/>
    <w:rsid w:val="00A153C4"/>
    <w:rsid w:val="00A1689A"/>
    <w:rsid w:val="00A17130"/>
    <w:rsid w:val="00A17973"/>
    <w:rsid w:val="00A17A82"/>
    <w:rsid w:val="00A20498"/>
    <w:rsid w:val="00A20FB1"/>
    <w:rsid w:val="00A2113C"/>
    <w:rsid w:val="00A21298"/>
    <w:rsid w:val="00A23653"/>
    <w:rsid w:val="00A23A0A"/>
    <w:rsid w:val="00A24484"/>
    <w:rsid w:val="00A24C95"/>
    <w:rsid w:val="00A2594E"/>
    <w:rsid w:val="00A2599A"/>
    <w:rsid w:val="00A25F88"/>
    <w:rsid w:val="00A26094"/>
    <w:rsid w:val="00A26259"/>
    <w:rsid w:val="00A27073"/>
    <w:rsid w:val="00A27233"/>
    <w:rsid w:val="00A301BF"/>
    <w:rsid w:val="00A302B2"/>
    <w:rsid w:val="00A31277"/>
    <w:rsid w:val="00A319DF"/>
    <w:rsid w:val="00A331B4"/>
    <w:rsid w:val="00A3484E"/>
    <w:rsid w:val="00A3502E"/>
    <w:rsid w:val="00A356D3"/>
    <w:rsid w:val="00A35E3F"/>
    <w:rsid w:val="00A3609A"/>
    <w:rsid w:val="00A36ADA"/>
    <w:rsid w:val="00A36B24"/>
    <w:rsid w:val="00A37091"/>
    <w:rsid w:val="00A37AB5"/>
    <w:rsid w:val="00A404DB"/>
    <w:rsid w:val="00A415FC"/>
    <w:rsid w:val="00A417E0"/>
    <w:rsid w:val="00A418A5"/>
    <w:rsid w:val="00A438D8"/>
    <w:rsid w:val="00A45DDB"/>
    <w:rsid w:val="00A473F5"/>
    <w:rsid w:val="00A50449"/>
    <w:rsid w:val="00A50870"/>
    <w:rsid w:val="00A50F05"/>
    <w:rsid w:val="00A5105C"/>
    <w:rsid w:val="00A51B36"/>
    <w:rsid w:val="00A51F9D"/>
    <w:rsid w:val="00A5262A"/>
    <w:rsid w:val="00A5416A"/>
    <w:rsid w:val="00A56355"/>
    <w:rsid w:val="00A56A26"/>
    <w:rsid w:val="00A56E06"/>
    <w:rsid w:val="00A57C54"/>
    <w:rsid w:val="00A605FC"/>
    <w:rsid w:val="00A60CD6"/>
    <w:rsid w:val="00A61987"/>
    <w:rsid w:val="00A62E5B"/>
    <w:rsid w:val="00A63028"/>
    <w:rsid w:val="00A639F4"/>
    <w:rsid w:val="00A648AD"/>
    <w:rsid w:val="00A64D64"/>
    <w:rsid w:val="00A65A86"/>
    <w:rsid w:val="00A662EF"/>
    <w:rsid w:val="00A663A1"/>
    <w:rsid w:val="00A7182E"/>
    <w:rsid w:val="00A71B65"/>
    <w:rsid w:val="00A73047"/>
    <w:rsid w:val="00A73609"/>
    <w:rsid w:val="00A736C6"/>
    <w:rsid w:val="00A73929"/>
    <w:rsid w:val="00A74694"/>
    <w:rsid w:val="00A75FF6"/>
    <w:rsid w:val="00A80698"/>
    <w:rsid w:val="00A80F7B"/>
    <w:rsid w:val="00A80F83"/>
    <w:rsid w:val="00A81A32"/>
    <w:rsid w:val="00A81E78"/>
    <w:rsid w:val="00A8308F"/>
    <w:rsid w:val="00A835BD"/>
    <w:rsid w:val="00A83A15"/>
    <w:rsid w:val="00A8597B"/>
    <w:rsid w:val="00A869A2"/>
    <w:rsid w:val="00A87767"/>
    <w:rsid w:val="00A87898"/>
    <w:rsid w:val="00A87B8A"/>
    <w:rsid w:val="00A92751"/>
    <w:rsid w:val="00A936D5"/>
    <w:rsid w:val="00A958C6"/>
    <w:rsid w:val="00A9667B"/>
    <w:rsid w:val="00A97B15"/>
    <w:rsid w:val="00AA17E1"/>
    <w:rsid w:val="00AA20F7"/>
    <w:rsid w:val="00AA27B5"/>
    <w:rsid w:val="00AA2AD7"/>
    <w:rsid w:val="00AA35A9"/>
    <w:rsid w:val="00AA360C"/>
    <w:rsid w:val="00AA42D5"/>
    <w:rsid w:val="00AA45EB"/>
    <w:rsid w:val="00AA4B05"/>
    <w:rsid w:val="00AA5252"/>
    <w:rsid w:val="00AA556C"/>
    <w:rsid w:val="00AA6833"/>
    <w:rsid w:val="00AA6C82"/>
    <w:rsid w:val="00AB0C0F"/>
    <w:rsid w:val="00AB1670"/>
    <w:rsid w:val="00AB1D0A"/>
    <w:rsid w:val="00AB2416"/>
    <w:rsid w:val="00AB2FAB"/>
    <w:rsid w:val="00AB3405"/>
    <w:rsid w:val="00AB4A1B"/>
    <w:rsid w:val="00AB535E"/>
    <w:rsid w:val="00AB56B4"/>
    <w:rsid w:val="00AB5C14"/>
    <w:rsid w:val="00AB5CFC"/>
    <w:rsid w:val="00AB7538"/>
    <w:rsid w:val="00AB77F7"/>
    <w:rsid w:val="00AC0ABA"/>
    <w:rsid w:val="00AC164F"/>
    <w:rsid w:val="00AC1EE7"/>
    <w:rsid w:val="00AC201A"/>
    <w:rsid w:val="00AC29D2"/>
    <w:rsid w:val="00AC2F65"/>
    <w:rsid w:val="00AC333F"/>
    <w:rsid w:val="00AC392E"/>
    <w:rsid w:val="00AC5529"/>
    <w:rsid w:val="00AC585C"/>
    <w:rsid w:val="00AC72D4"/>
    <w:rsid w:val="00AD0446"/>
    <w:rsid w:val="00AD051D"/>
    <w:rsid w:val="00AD09A5"/>
    <w:rsid w:val="00AD162B"/>
    <w:rsid w:val="00AD1925"/>
    <w:rsid w:val="00AD2F98"/>
    <w:rsid w:val="00AD3CB5"/>
    <w:rsid w:val="00AD4E7B"/>
    <w:rsid w:val="00AD615C"/>
    <w:rsid w:val="00AD6C2E"/>
    <w:rsid w:val="00AD6F60"/>
    <w:rsid w:val="00AD6FFA"/>
    <w:rsid w:val="00AD73BD"/>
    <w:rsid w:val="00AD7C74"/>
    <w:rsid w:val="00AE02C1"/>
    <w:rsid w:val="00AE067D"/>
    <w:rsid w:val="00AE19AA"/>
    <w:rsid w:val="00AE1E09"/>
    <w:rsid w:val="00AE2584"/>
    <w:rsid w:val="00AE3757"/>
    <w:rsid w:val="00AE5950"/>
    <w:rsid w:val="00AE7764"/>
    <w:rsid w:val="00AE787E"/>
    <w:rsid w:val="00AF0472"/>
    <w:rsid w:val="00AF1181"/>
    <w:rsid w:val="00AF2F79"/>
    <w:rsid w:val="00AF330B"/>
    <w:rsid w:val="00AF404A"/>
    <w:rsid w:val="00AF4653"/>
    <w:rsid w:val="00AF5A92"/>
    <w:rsid w:val="00AF5CE1"/>
    <w:rsid w:val="00AF6139"/>
    <w:rsid w:val="00AF679B"/>
    <w:rsid w:val="00AF6F1B"/>
    <w:rsid w:val="00AF75FF"/>
    <w:rsid w:val="00AF7DB7"/>
    <w:rsid w:val="00B0070E"/>
    <w:rsid w:val="00B007F0"/>
    <w:rsid w:val="00B0098B"/>
    <w:rsid w:val="00B020A1"/>
    <w:rsid w:val="00B04082"/>
    <w:rsid w:val="00B066E6"/>
    <w:rsid w:val="00B06AED"/>
    <w:rsid w:val="00B079F3"/>
    <w:rsid w:val="00B07E7C"/>
    <w:rsid w:val="00B1024E"/>
    <w:rsid w:val="00B1061E"/>
    <w:rsid w:val="00B11587"/>
    <w:rsid w:val="00B11E61"/>
    <w:rsid w:val="00B12178"/>
    <w:rsid w:val="00B12530"/>
    <w:rsid w:val="00B12B86"/>
    <w:rsid w:val="00B130EE"/>
    <w:rsid w:val="00B1431F"/>
    <w:rsid w:val="00B14495"/>
    <w:rsid w:val="00B154C2"/>
    <w:rsid w:val="00B16365"/>
    <w:rsid w:val="00B16F02"/>
    <w:rsid w:val="00B17E46"/>
    <w:rsid w:val="00B201E2"/>
    <w:rsid w:val="00B2109F"/>
    <w:rsid w:val="00B21210"/>
    <w:rsid w:val="00B21E96"/>
    <w:rsid w:val="00B23A5A"/>
    <w:rsid w:val="00B23D41"/>
    <w:rsid w:val="00B23FA1"/>
    <w:rsid w:val="00B242DC"/>
    <w:rsid w:val="00B27A05"/>
    <w:rsid w:val="00B303D2"/>
    <w:rsid w:val="00B32CE4"/>
    <w:rsid w:val="00B36ECB"/>
    <w:rsid w:val="00B370FD"/>
    <w:rsid w:val="00B40593"/>
    <w:rsid w:val="00B40FAE"/>
    <w:rsid w:val="00B432FD"/>
    <w:rsid w:val="00B43B5C"/>
    <w:rsid w:val="00B441EF"/>
    <w:rsid w:val="00B4426D"/>
    <w:rsid w:val="00B44273"/>
    <w:rsid w:val="00B443E4"/>
    <w:rsid w:val="00B4441C"/>
    <w:rsid w:val="00B45F72"/>
    <w:rsid w:val="00B46EAE"/>
    <w:rsid w:val="00B47613"/>
    <w:rsid w:val="00B47EF7"/>
    <w:rsid w:val="00B47FA6"/>
    <w:rsid w:val="00B51C01"/>
    <w:rsid w:val="00B5221C"/>
    <w:rsid w:val="00B53F60"/>
    <w:rsid w:val="00B54282"/>
    <w:rsid w:val="00B5456A"/>
    <w:rsid w:val="00B54A33"/>
    <w:rsid w:val="00B563EA"/>
    <w:rsid w:val="00B56427"/>
    <w:rsid w:val="00B571CE"/>
    <w:rsid w:val="00B60E51"/>
    <w:rsid w:val="00B63A54"/>
    <w:rsid w:val="00B6406D"/>
    <w:rsid w:val="00B644C0"/>
    <w:rsid w:val="00B64758"/>
    <w:rsid w:val="00B64C74"/>
    <w:rsid w:val="00B65F2A"/>
    <w:rsid w:val="00B67904"/>
    <w:rsid w:val="00B70069"/>
    <w:rsid w:val="00B70454"/>
    <w:rsid w:val="00B704FE"/>
    <w:rsid w:val="00B70B49"/>
    <w:rsid w:val="00B72785"/>
    <w:rsid w:val="00B729F1"/>
    <w:rsid w:val="00B72E3C"/>
    <w:rsid w:val="00B732CF"/>
    <w:rsid w:val="00B73D31"/>
    <w:rsid w:val="00B76532"/>
    <w:rsid w:val="00B7690A"/>
    <w:rsid w:val="00B77D18"/>
    <w:rsid w:val="00B805F5"/>
    <w:rsid w:val="00B81947"/>
    <w:rsid w:val="00B8311F"/>
    <w:rsid w:val="00B8313A"/>
    <w:rsid w:val="00B83217"/>
    <w:rsid w:val="00B832AD"/>
    <w:rsid w:val="00B83318"/>
    <w:rsid w:val="00B84A8C"/>
    <w:rsid w:val="00B85520"/>
    <w:rsid w:val="00B85FCE"/>
    <w:rsid w:val="00B86255"/>
    <w:rsid w:val="00B874C6"/>
    <w:rsid w:val="00B90E24"/>
    <w:rsid w:val="00B910C3"/>
    <w:rsid w:val="00B92382"/>
    <w:rsid w:val="00B93176"/>
    <w:rsid w:val="00B93503"/>
    <w:rsid w:val="00B94159"/>
    <w:rsid w:val="00B94B43"/>
    <w:rsid w:val="00B95066"/>
    <w:rsid w:val="00B95E49"/>
    <w:rsid w:val="00B9756B"/>
    <w:rsid w:val="00BA0F44"/>
    <w:rsid w:val="00BA1201"/>
    <w:rsid w:val="00BA127B"/>
    <w:rsid w:val="00BA2490"/>
    <w:rsid w:val="00BA2DD1"/>
    <w:rsid w:val="00BA31E8"/>
    <w:rsid w:val="00BA396B"/>
    <w:rsid w:val="00BA3AA9"/>
    <w:rsid w:val="00BA3BC6"/>
    <w:rsid w:val="00BA55E0"/>
    <w:rsid w:val="00BA6068"/>
    <w:rsid w:val="00BA6863"/>
    <w:rsid w:val="00BA6A00"/>
    <w:rsid w:val="00BA6BD4"/>
    <w:rsid w:val="00BA6C7A"/>
    <w:rsid w:val="00BB050C"/>
    <w:rsid w:val="00BB0E3B"/>
    <w:rsid w:val="00BB3342"/>
    <w:rsid w:val="00BB367D"/>
    <w:rsid w:val="00BB3752"/>
    <w:rsid w:val="00BB38DF"/>
    <w:rsid w:val="00BB408C"/>
    <w:rsid w:val="00BB5E5A"/>
    <w:rsid w:val="00BB5F0E"/>
    <w:rsid w:val="00BB6688"/>
    <w:rsid w:val="00BB6A7C"/>
    <w:rsid w:val="00BB72DA"/>
    <w:rsid w:val="00BC07FF"/>
    <w:rsid w:val="00BC1820"/>
    <w:rsid w:val="00BC185E"/>
    <w:rsid w:val="00BC1C36"/>
    <w:rsid w:val="00BC26D4"/>
    <w:rsid w:val="00BC27F8"/>
    <w:rsid w:val="00BC2A1F"/>
    <w:rsid w:val="00BC2FFF"/>
    <w:rsid w:val="00BC3DAB"/>
    <w:rsid w:val="00BC4066"/>
    <w:rsid w:val="00BC40DF"/>
    <w:rsid w:val="00BC4C29"/>
    <w:rsid w:val="00BC65E6"/>
    <w:rsid w:val="00BC6D4B"/>
    <w:rsid w:val="00BC78D7"/>
    <w:rsid w:val="00BD0B13"/>
    <w:rsid w:val="00BD2290"/>
    <w:rsid w:val="00BD2EC6"/>
    <w:rsid w:val="00BD4A49"/>
    <w:rsid w:val="00BD550E"/>
    <w:rsid w:val="00BD5CEC"/>
    <w:rsid w:val="00BE0C80"/>
    <w:rsid w:val="00BE1104"/>
    <w:rsid w:val="00BE1388"/>
    <w:rsid w:val="00BE1BBC"/>
    <w:rsid w:val="00BE2336"/>
    <w:rsid w:val="00BE2599"/>
    <w:rsid w:val="00BE2634"/>
    <w:rsid w:val="00BE3140"/>
    <w:rsid w:val="00BE38BA"/>
    <w:rsid w:val="00BE4D78"/>
    <w:rsid w:val="00BE5F3C"/>
    <w:rsid w:val="00BE5F99"/>
    <w:rsid w:val="00BE62FE"/>
    <w:rsid w:val="00BE7CE6"/>
    <w:rsid w:val="00BF002D"/>
    <w:rsid w:val="00BF02BC"/>
    <w:rsid w:val="00BF1B1C"/>
    <w:rsid w:val="00BF24CB"/>
    <w:rsid w:val="00BF2A42"/>
    <w:rsid w:val="00BF31CB"/>
    <w:rsid w:val="00BF3510"/>
    <w:rsid w:val="00BF3D92"/>
    <w:rsid w:val="00BF4FD7"/>
    <w:rsid w:val="00BF5175"/>
    <w:rsid w:val="00BF55C0"/>
    <w:rsid w:val="00BF6434"/>
    <w:rsid w:val="00BF76C9"/>
    <w:rsid w:val="00BF79FE"/>
    <w:rsid w:val="00C0094A"/>
    <w:rsid w:val="00C00B9B"/>
    <w:rsid w:val="00C011FC"/>
    <w:rsid w:val="00C03D8C"/>
    <w:rsid w:val="00C055EC"/>
    <w:rsid w:val="00C05FC6"/>
    <w:rsid w:val="00C06E4F"/>
    <w:rsid w:val="00C0754B"/>
    <w:rsid w:val="00C10B21"/>
    <w:rsid w:val="00C10DC9"/>
    <w:rsid w:val="00C11361"/>
    <w:rsid w:val="00C1235A"/>
    <w:rsid w:val="00C12379"/>
    <w:rsid w:val="00C12FB3"/>
    <w:rsid w:val="00C13F70"/>
    <w:rsid w:val="00C141C4"/>
    <w:rsid w:val="00C1544D"/>
    <w:rsid w:val="00C15805"/>
    <w:rsid w:val="00C1677D"/>
    <w:rsid w:val="00C17341"/>
    <w:rsid w:val="00C17C65"/>
    <w:rsid w:val="00C2155D"/>
    <w:rsid w:val="00C21F2A"/>
    <w:rsid w:val="00C2438D"/>
    <w:rsid w:val="00C249F8"/>
    <w:rsid w:val="00C24EEF"/>
    <w:rsid w:val="00C25CF6"/>
    <w:rsid w:val="00C2606E"/>
    <w:rsid w:val="00C26C36"/>
    <w:rsid w:val="00C27165"/>
    <w:rsid w:val="00C27EBF"/>
    <w:rsid w:val="00C31000"/>
    <w:rsid w:val="00C32768"/>
    <w:rsid w:val="00C3409E"/>
    <w:rsid w:val="00C35927"/>
    <w:rsid w:val="00C40D6D"/>
    <w:rsid w:val="00C431DF"/>
    <w:rsid w:val="00C43E1D"/>
    <w:rsid w:val="00C44973"/>
    <w:rsid w:val="00C44FC7"/>
    <w:rsid w:val="00C45526"/>
    <w:rsid w:val="00C456BD"/>
    <w:rsid w:val="00C46360"/>
    <w:rsid w:val="00C475B2"/>
    <w:rsid w:val="00C50001"/>
    <w:rsid w:val="00C530DC"/>
    <w:rsid w:val="00C5350D"/>
    <w:rsid w:val="00C54C96"/>
    <w:rsid w:val="00C567A2"/>
    <w:rsid w:val="00C568D2"/>
    <w:rsid w:val="00C6123C"/>
    <w:rsid w:val="00C62140"/>
    <w:rsid w:val="00C6311A"/>
    <w:rsid w:val="00C64A7E"/>
    <w:rsid w:val="00C659CB"/>
    <w:rsid w:val="00C65BC9"/>
    <w:rsid w:val="00C65C13"/>
    <w:rsid w:val="00C70666"/>
    <w:rsid w:val="00C70739"/>
    <w:rsid w:val="00C7084D"/>
    <w:rsid w:val="00C70B47"/>
    <w:rsid w:val="00C7315E"/>
    <w:rsid w:val="00C735EC"/>
    <w:rsid w:val="00C7369B"/>
    <w:rsid w:val="00C74B00"/>
    <w:rsid w:val="00C75895"/>
    <w:rsid w:val="00C76621"/>
    <w:rsid w:val="00C76F41"/>
    <w:rsid w:val="00C77071"/>
    <w:rsid w:val="00C7783E"/>
    <w:rsid w:val="00C77EE6"/>
    <w:rsid w:val="00C8036A"/>
    <w:rsid w:val="00C8077E"/>
    <w:rsid w:val="00C8177A"/>
    <w:rsid w:val="00C82FA5"/>
    <w:rsid w:val="00C83B8F"/>
    <w:rsid w:val="00C83C9F"/>
    <w:rsid w:val="00C84F41"/>
    <w:rsid w:val="00C85024"/>
    <w:rsid w:val="00C866F3"/>
    <w:rsid w:val="00C872B6"/>
    <w:rsid w:val="00C87399"/>
    <w:rsid w:val="00C87C7E"/>
    <w:rsid w:val="00C87CF1"/>
    <w:rsid w:val="00C91DBB"/>
    <w:rsid w:val="00C92F91"/>
    <w:rsid w:val="00C935DC"/>
    <w:rsid w:val="00C936C7"/>
    <w:rsid w:val="00C94840"/>
    <w:rsid w:val="00C9563A"/>
    <w:rsid w:val="00C95D26"/>
    <w:rsid w:val="00C97480"/>
    <w:rsid w:val="00CA01EA"/>
    <w:rsid w:val="00CA0C16"/>
    <w:rsid w:val="00CA0C18"/>
    <w:rsid w:val="00CA1079"/>
    <w:rsid w:val="00CA129E"/>
    <w:rsid w:val="00CA169E"/>
    <w:rsid w:val="00CA22B5"/>
    <w:rsid w:val="00CA23FC"/>
    <w:rsid w:val="00CA2F68"/>
    <w:rsid w:val="00CA347F"/>
    <w:rsid w:val="00CA3D7C"/>
    <w:rsid w:val="00CA4CEF"/>
    <w:rsid w:val="00CA4EE3"/>
    <w:rsid w:val="00CA5890"/>
    <w:rsid w:val="00CA6540"/>
    <w:rsid w:val="00CA6EBD"/>
    <w:rsid w:val="00CA7E15"/>
    <w:rsid w:val="00CB027F"/>
    <w:rsid w:val="00CB05B0"/>
    <w:rsid w:val="00CB09AC"/>
    <w:rsid w:val="00CB0B94"/>
    <w:rsid w:val="00CB11DB"/>
    <w:rsid w:val="00CB1217"/>
    <w:rsid w:val="00CB2B06"/>
    <w:rsid w:val="00CB6739"/>
    <w:rsid w:val="00CC0948"/>
    <w:rsid w:val="00CC0DA3"/>
    <w:rsid w:val="00CC0EBB"/>
    <w:rsid w:val="00CC1B05"/>
    <w:rsid w:val="00CC2166"/>
    <w:rsid w:val="00CC381A"/>
    <w:rsid w:val="00CC476A"/>
    <w:rsid w:val="00CC53D6"/>
    <w:rsid w:val="00CC5F40"/>
    <w:rsid w:val="00CC6297"/>
    <w:rsid w:val="00CC6A9A"/>
    <w:rsid w:val="00CC6E43"/>
    <w:rsid w:val="00CC7690"/>
    <w:rsid w:val="00CD0F9A"/>
    <w:rsid w:val="00CD102B"/>
    <w:rsid w:val="00CD1238"/>
    <w:rsid w:val="00CD1986"/>
    <w:rsid w:val="00CD1AE5"/>
    <w:rsid w:val="00CD1C80"/>
    <w:rsid w:val="00CD3789"/>
    <w:rsid w:val="00CD467C"/>
    <w:rsid w:val="00CD4CB5"/>
    <w:rsid w:val="00CD4E40"/>
    <w:rsid w:val="00CD4FF8"/>
    <w:rsid w:val="00CD54BF"/>
    <w:rsid w:val="00CD7371"/>
    <w:rsid w:val="00CD7807"/>
    <w:rsid w:val="00CE075C"/>
    <w:rsid w:val="00CE0EB2"/>
    <w:rsid w:val="00CE1694"/>
    <w:rsid w:val="00CE3DAA"/>
    <w:rsid w:val="00CE4B35"/>
    <w:rsid w:val="00CE4B85"/>
    <w:rsid w:val="00CE4D5C"/>
    <w:rsid w:val="00CE5E63"/>
    <w:rsid w:val="00CE60D0"/>
    <w:rsid w:val="00CE6150"/>
    <w:rsid w:val="00CE62F0"/>
    <w:rsid w:val="00CE6AB6"/>
    <w:rsid w:val="00CE6F13"/>
    <w:rsid w:val="00CE74C3"/>
    <w:rsid w:val="00CE7862"/>
    <w:rsid w:val="00CE79F2"/>
    <w:rsid w:val="00CF05DA"/>
    <w:rsid w:val="00CF1315"/>
    <w:rsid w:val="00CF1AD6"/>
    <w:rsid w:val="00CF2AED"/>
    <w:rsid w:val="00CF30F6"/>
    <w:rsid w:val="00CF3392"/>
    <w:rsid w:val="00CF39BB"/>
    <w:rsid w:val="00CF3D43"/>
    <w:rsid w:val="00CF4D1F"/>
    <w:rsid w:val="00CF4EBA"/>
    <w:rsid w:val="00CF5269"/>
    <w:rsid w:val="00CF57D6"/>
    <w:rsid w:val="00CF58EB"/>
    <w:rsid w:val="00CF6C7C"/>
    <w:rsid w:val="00CF6CE7"/>
    <w:rsid w:val="00CF6E6D"/>
    <w:rsid w:val="00CF6FEC"/>
    <w:rsid w:val="00CF7D92"/>
    <w:rsid w:val="00D00929"/>
    <w:rsid w:val="00D00D8C"/>
    <w:rsid w:val="00D0106E"/>
    <w:rsid w:val="00D02097"/>
    <w:rsid w:val="00D0244F"/>
    <w:rsid w:val="00D04067"/>
    <w:rsid w:val="00D04A43"/>
    <w:rsid w:val="00D04D8C"/>
    <w:rsid w:val="00D04EC7"/>
    <w:rsid w:val="00D050FE"/>
    <w:rsid w:val="00D06383"/>
    <w:rsid w:val="00D0666D"/>
    <w:rsid w:val="00D06691"/>
    <w:rsid w:val="00D07DBD"/>
    <w:rsid w:val="00D10AEA"/>
    <w:rsid w:val="00D10AF7"/>
    <w:rsid w:val="00D11B34"/>
    <w:rsid w:val="00D122B2"/>
    <w:rsid w:val="00D133CF"/>
    <w:rsid w:val="00D13774"/>
    <w:rsid w:val="00D13CD2"/>
    <w:rsid w:val="00D1491A"/>
    <w:rsid w:val="00D15385"/>
    <w:rsid w:val="00D157E3"/>
    <w:rsid w:val="00D15A45"/>
    <w:rsid w:val="00D165E4"/>
    <w:rsid w:val="00D20208"/>
    <w:rsid w:val="00D20E85"/>
    <w:rsid w:val="00D21F37"/>
    <w:rsid w:val="00D2302B"/>
    <w:rsid w:val="00D24615"/>
    <w:rsid w:val="00D24ADD"/>
    <w:rsid w:val="00D2531C"/>
    <w:rsid w:val="00D266B7"/>
    <w:rsid w:val="00D3028D"/>
    <w:rsid w:val="00D302EE"/>
    <w:rsid w:val="00D30D8D"/>
    <w:rsid w:val="00D311EC"/>
    <w:rsid w:val="00D31DD0"/>
    <w:rsid w:val="00D33842"/>
    <w:rsid w:val="00D3392D"/>
    <w:rsid w:val="00D34DCF"/>
    <w:rsid w:val="00D35365"/>
    <w:rsid w:val="00D35637"/>
    <w:rsid w:val="00D369E3"/>
    <w:rsid w:val="00D373A2"/>
    <w:rsid w:val="00D37842"/>
    <w:rsid w:val="00D40A56"/>
    <w:rsid w:val="00D414D9"/>
    <w:rsid w:val="00D415DF"/>
    <w:rsid w:val="00D41C44"/>
    <w:rsid w:val="00D41C68"/>
    <w:rsid w:val="00D41EA0"/>
    <w:rsid w:val="00D42DC2"/>
    <w:rsid w:val="00D444AC"/>
    <w:rsid w:val="00D44A99"/>
    <w:rsid w:val="00D45191"/>
    <w:rsid w:val="00D45270"/>
    <w:rsid w:val="00D45CFF"/>
    <w:rsid w:val="00D46123"/>
    <w:rsid w:val="00D46418"/>
    <w:rsid w:val="00D47436"/>
    <w:rsid w:val="00D47CF1"/>
    <w:rsid w:val="00D515C4"/>
    <w:rsid w:val="00D53777"/>
    <w:rsid w:val="00D537E1"/>
    <w:rsid w:val="00D53D02"/>
    <w:rsid w:val="00D53EAB"/>
    <w:rsid w:val="00D5410D"/>
    <w:rsid w:val="00D544AE"/>
    <w:rsid w:val="00D545F0"/>
    <w:rsid w:val="00D54779"/>
    <w:rsid w:val="00D551B3"/>
    <w:rsid w:val="00D5566B"/>
    <w:rsid w:val="00D55BB2"/>
    <w:rsid w:val="00D6091A"/>
    <w:rsid w:val="00D619D6"/>
    <w:rsid w:val="00D626AE"/>
    <w:rsid w:val="00D6376B"/>
    <w:rsid w:val="00D64831"/>
    <w:rsid w:val="00D65AEA"/>
    <w:rsid w:val="00D6605A"/>
    <w:rsid w:val="00D6695F"/>
    <w:rsid w:val="00D67017"/>
    <w:rsid w:val="00D7005A"/>
    <w:rsid w:val="00D70BAD"/>
    <w:rsid w:val="00D70D60"/>
    <w:rsid w:val="00D710F6"/>
    <w:rsid w:val="00D712C6"/>
    <w:rsid w:val="00D71933"/>
    <w:rsid w:val="00D722F7"/>
    <w:rsid w:val="00D72514"/>
    <w:rsid w:val="00D72849"/>
    <w:rsid w:val="00D74CEE"/>
    <w:rsid w:val="00D754A8"/>
    <w:rsid w:val="00D75644"/>
    <w:rsid w:val="00D75C45"/>
    <w:rsid w:val="00D77396"/>
    <w:rsid w:val="00D77FC6"/>
    <w:rsid w:val="00D80A70"/>
    <w:rsid w:val="00D80B70"/>
    <w:rsid w:val="00D81190"/>
    <w:rsid w:val="00D8119F"/>
    <w:rsid w:val="00D812BC"/>
    <w:rsid w:val="00D81656"/>
    <w:rsid w:val="00D81A2B"/>
    <w:rsid w:val="00D82B99"/>
    <w:rsid w:val="00D83138"/>
    <w:rsid w:val="00D834EA"/>
    <w:rsid w:val="00D835EF"/>
    <w:rsid w:val="00D83D5C"/>
    <w:rsid w:val="00D83D87"/>
    <w:rsid w:val="00D845D1"/>
    <w:rsid w:val="00D84A6D"/>
    <w:rsid w:val="00D84EFE"/>
    <w:rsid w:val="00D852F7"/>
    <w:rsid w:val="00D85CCD"/>
    <w:rsid w:val="00D868B7"/>
    <w:rsid w:val="00D86A30"/>
    <w:rsid w:val="00D8746B"/>
    <w:rsid w:val="00D912BA"/>
    <w:rsid w:val="00D91963"/>
    <w:rsid w:val="00D92FDD"/>
    <w:rsid w:val="00D959EA"/>
    <w:rsid w:val="00D97CB4"/>
    <w:rsid w:val="00D97DD4"/>
    <w:rsid w:val="00DA183D"/>
    <w:rsid w:val="00DA192A"/>
    <w:rsid w:val="00DA2367"/>
    <w:rsid w:val="00DA2AB2"/>
    <w:rsid w:val="00DA2B74"/>
    <w:rsid w:val="00DA2B8B"/>
    <w:rsid w:val="00DA32EB"/>
    <w:rsid w:val="00DA3F7B"/>
    <w:rsid w:val="00DA5A8A"/>
    <w:rsid w:val="00DA6339"/>
    <w:rsid w:val="00DA6411"/>
    <w:rsid w:val="00DA75CB"/>
    <w:rsid w:val="00DA7A01"/>
    <w:rsid w:val="00DA7EFC"/>
    <w:rsid w:val="00DB0841"/>
    <w:rsid w:val="00DB0BF1"/>
    <w:rsid w:val="00DB26CD"/>
    <w:rsid w:val="00DB37AB"/>
    <w:rsid w:val="00DB4227"/>
    <w:rsid w:val="00DB441C"/>
    <w:rsid w:val="00DB44AF"/>
    <w:rsid w:val="00DB47FD"/>
    <w:rsid w:val="00DB52AC"/>
    <w:rsid w:val="00DB54FE"/>
    <w:rsid w:val="00DB5B21"/>
    <w:rsid w:val="00DB5D7C"/>
    <w:rsid w:val="00DC0330"/>
    <w:rsid w:val="00DC039E"/>
    <w:rsid w:val="00DC0FBC"/>
    <w:rsid w:val="00DC1B28"/>
    <w:rsid w:val="00DC1F58"/>
    <w:rsid w:val="00DC339B"/>
    <w:rsid w:val="00DC33A8"/>
    <w:rsid w:val="00DC3B78"/>
    <w:rsid w:val="00DC5D40"/>
    <w:rsid w:val="00DC69A7"/>
    <w:rsid w:val="00DC6C03"/>
    <w:rsid w:val="00DC7102"/>
    <w:rsid w:val="00DC73AF"/>
    <w:rsid w:val="00DD0393"/>
    <w:rsid w:val="00DD09F5"/>
    <w:rsid w:val="00DD14B6"/>
    <w:rsid w:val="00DD28D0"/>
    <w:rsid w:val="00DD30E9"/>
    <w:rsid w:val="00DD4A12"/>
    <w:rsid w:val="00DD4CC9"/>
    <w:rsid w:val="00DD4F47"/>
    <w:rsid w:val="00DD5B1E"/>
    <w:rsid w:val="00DD5DF0"/>
    <w:rsid w:val="00DD5F5C"/>
    <w:rsid w:val="00DD70C3"/>
    <w:rsid w:val="00DD7E38"/>
    <w:rsid w:val="00DD7F92"/>
    <w:rsid w:val="00DD7FBB"/>
    <w:rsid w:val="00DE006D"/>
    <w:rsid w:val="00DE006E"/>
    <w:rsid w:val="00DE0B9F"/>
    <w:rsid w:val="00DE112E"/>
    <w:rsid w:val="00DE1B38"/>
    <w:rsid w:val="00DE36F9"/>
    <w:rsid w:val="00DE4238"/>
    <w:rsid w:val="00DE4A0B"/>
    <w:rsid w:val="00DE5CA7"/>
    <w:rsid w:val="00DE657F"/>
    <w:rsid w:val="00DE6B62"/>
    <w:rsid w:val="00DE6BE4"/>
    <w:rsid w:val="00DF0A35"/>
    <w:rsid w:val="00DF1218"/>
    <w:rsid w:val="00DF1437"/>
    <w:rsid w:val="00DF1B5D"/>
    <w:rsid w:val="00DF1BA3"/>
    <w:rsid w:val="00DF20F2"/>
    <w:rsid w:val="00DF223C"/>
    <w:rsid w:val="00DF4F46"/>
    <w:rsid w:val="00DF4F78"/>
    <w:rsid w:val="00DF6462"/>
    <w:rsid w:val="00DF64D2"/>
    <w:rsid w:val="00DF6D70"/>
    <w:rsid w:val="00DF6D8B"/>
    <w:rsid w:val="00DF79EC"/>
    <w:rsid w:val="00DF7F44"/>
    <w:rsid w:val="00E02FA0"/>
    <w:rsid w:val="00E036DC"/>
    <w:rsid w:val="00E045BC"/>
    <w:rsid w:val="00E049DB"/>
    <w:rsid w:val="00E06327"/>
    <w:rsid w:val="00E07537"/>
    <w:rsid w:val="00E0771A"/>
    <w:rsid w:val="00E07D63"/>
    <w:rsid w:val="00E10454"/>
    <w:rsid w:val="00E112E5"/>
    <w:rsid w:val="00E1214A"/>
    <w:rsid w:val="00E129D6"/>
    <w:rsid w:val="00E12CC8"/>
    <w:rsid w:val="00E13887"/>
    <w:rsid w:val="00E14655"/>
    <w:rsid w:val="00E147F7"/>
    <w:rsid w:val="00E15352"/>
    <w:rsid w:val="00E16528"/>
    <w:rsid w:val="00E1726C"/>
    <w:rsid w:val="00E17601"/>
    <w:rsid w:val="00E17962"/>
    <w:rsid w:val="00E20014"/>
    <w:rsid w:val="00E20BB3"/>
    <w:rsid w:val="00E21CC7"/>
    <w:rsid w:val="00E21E7E"/>
    <w:rsid w:val="00E23043"/>
    <w:rsid w:val="00E23B7E"/>
    <w:rsid w:val="00E24D9E"/>
    <w:rsid w:val="00E25849"/>
    <w:rsid w:val="00E258E0"/>
    <w:rsid w:val="00E25986"/>
    <w:rsid w:val="00E26CBC"/>
    <w:rsid w:val="00E273B1"/>
    <w:rsid w:val="00E279A0"/>
    <w:rsid w:val="00E30044"/>
    <w:rsid w:val="00E311D3"/>
    <w:rsid w:val="00E31897"/>
    <w:rsid w:val="00E3197E"/>
    <w:rsid w:val="00E342F8"/>
    <w:rsid w:val="00E351ED"/>
    <w:rsid w:val="00E3555D"/>
    <w:rsid w:val="00E3707A"/>
    <w:rsid w:val="00E405AF"/>
    <w:rsid w:val="00E409C0"/>
    <w:rsid w:val="00E40C4C"/>
    <w:rsid w:val="00E415AF"/>
    <w:rsid w:val="00E41BD0"/>
    <w:rsid w:val="00E43228"/>
    <w:rsid w:val="00E46300"/>
    <w:rsid w:val="00E471EA"/>
    <w:rsid w:val="00E47827"/>
    <w:rsid w:val="00E47903"/>
    <w:rsid w:val="00E50247"/>
    <w:rsid w:val="00E50F84"/>
    <w:rsid w:val="00E52022"/>
    <w:rsid w:val="00E52D2D"/>
    <w:rsid w:val="00E53FEA"/>
    <w:rsid w:val="00E54A15"/>
    <w:rsid w:val="00E553AF"/>
    <w:rsid w:val="00E567F3"/>
    <w:rsid w:val="00E56B79"/>
    <w:rsid w:val="00E57200"/>
    <w:rsid w:val="00E577EA"/>
    <w:rsid w:val="00E57B5B"/>
    <w:rsid w:val="00E60324"/>
    <w:rsid w:val="00E6034B"/>
    <w:rsid w:val="00E60BC7"/>
    <w:rsid w:val="00E60F40"/>
    <w:rsid w:val="00E62D2F"/>
    <w:rsid w:val="00E645BD"/>
    <w:rsid w:val="00E64D7D"/>
    <w:rsid w:val="00E6549E"/>
    <w:rsid w:val="00E65EDE"/>
    <w:rsid w:val="00E66953"/>
    <w:rsid w:val="00E6746C"/>
    <w:rsid w:val="00E674F9"/>
    <w:rsid w:val="00E67836"/>
    <w:rsid w:val="00E7017A"/>
    <w:rsid w:val="00E70A25"/>
    <w:rsid w:val="00E70F81"/>
    <w:rsid w:val="00E73B5B"/>
    <w:rsid w:val="00E74359"/>
    <w:rsid w:val="00E76946"/>
    <w:rsid w:val="00E77055"/>
    <w:rsid w:val="00E77460"/>
    <w:rsid w:val="00E80790"/>
    <w:rsid w:val="00E80C52"/>
    <w:rsid w:val="00E819C8"/>
    <w:rsid w:val="00E834CA"/>
    <w:rsid w:val="00E83ABC"/>
    <w:rsid w:val="00E844F2"/>
    <w:rsid w:val="00E84E2E"/>
    <w:rsid w:val="00E84FA7"/>
    <w:rsid w:val="00E85784"/>
    <w:rsid w:val="00E85B4D"/>
    <w:rsid w:val="00E8730A"/>
    <w:rsid w:val="00E9097C"/>
    <w:rsid w:val="00E90AD0"/>
    <w:rsid w:val="00E91911"/>
    <w:rsid w:val="00E92716"/>
    <w:rsid w:val="00E92FCB"/>
    <w:rsid w:val="00E94606"/>
    <w:rsid w:val="00E94A3C"/>
    <w:rsid w:val="00E94D1C"/>
    <w:rsid w:val="00E954D5"/>
    <w:rsid w:val="00E95D38"/>
    <w:rsid w:val="00E96B71"/>
    <w:rsid w:val="00EA147F"/>
    <w:rsid w:val="00EA2AC4"/>
    <w:rsid w:val="00EA4A27"/>
    <w:rsid w:val="00EA4B07"/>
    <w:rsid w:val="00EA4C11"/>
    <w:rsid w:val="00EA4FA6"/>
    <w:rsid w:val="00EA6DF1"/>
    <w:rsid w:val="00EA72C5"/>
    <w:rsid w:val="00EB0FFB"/>
    <w:rsid w:val="00EB186B"/>
    <w:rsid w:val="00EB1A25"/>
    <w:rsid w:val="00EB1BBB"/>
    <w:rsid w:val="00EB1C3D"/>
    <w:rsid w:val="00EB359E"/>
    <w:rsid w:val="00EB3AB4"/>
    <w:rsid w:val="00EB4498"/>
    <w:rsid w:val="00EC0CD8"/>
    <w:rsid w:val="00EC19CD"/>
    <w:rsid w:val="00EC1EBB"/>
    <w:rsid w:val="00EC21E2"/>
    <w:rsid w:val="00EC2551"/>
    <w:rsid w:val="00EC3D92"/>
    <w:rsid w:val="00EC3E1B"/>
    <w:rsid w:val="00EC5855"/>
    <w:rsid w:val="00EC606B"/>
    <w:rsid w:val="00EC7126"/>
    <w:rsid w:val="00ED03AB"/>
    <w:rsid w:val="00ED07A9"/>
    <w:rsid w:val="00ED0CE5"/>
    <w:rsid w:val="00ED16BC"/>
    <w:rsid w:val="00ED18C2"/>
    <w:rsid w:val="00ED1CD4"/>
    <w:rsid w:val="00ED1D2B"/>
    <w:rsid w:val="00ED1D98"/>
    <w:rsid w:val="00ED309D"/>
    <w:rsid w:val="00ED31A8"/>
    <w:rsid w:val="00ED43B2"/>
    <w:rsid w:val="00ED4F76"/>
    <w:rsid w:val="00ED6244"/>
    <w:rsid w:val="00ED64B5"/>
    <w:rsid w:val="00EE1708"/>
    <w:rsid w:val="00EE3116"/>
    <w:rsid w:val="00EE3A89"/>
    <w:rsid w:val="00EE40ED"/>
    <w:rsid w:val="00EE6491"/>
    <w:rsid w:val="00EE64E1"/>
    <w:rsid w:val="00EE69C1"/>
    <w:rsid w:val="00EE6AFC"/>
    <w:rsid w:val="00EE7760"/>
    <w:rsid w:val="00EE7853"/>
    <w:rsid w:val="00EE7CCA"/>
    <w:rsid w:val="00EF134E"/>
    <w:rsid w:val="00EF2470"/>
    <w:rsid w:val="00EF3909"/>
    <w:rsid w:val="00EF41EA"/>
    <w:rsid w:val="00EF5497"/>
    <w:rsid w:val="00EF57B7"/>
    <w:rsid w:val="00EF5897"/>
    <w:rsid w:val="00EF5C18"/>
    <w:rsid w:val="00EF62C3"/>
    <w:rsid w:val="00EF67A1"/>
    <w:rsid w:val="00EF6F75"/>
    <w:rsid w:val="00F00C97"/>
    <w:rsid w:val="00F018D5"/>
    <w:rsid w:val="00F03425"/>
    <w:rsid w:val="00F03A5D"/>
    <w:rsid w:val="00F03FDC"/>
    <w:rsid w:val="00F0450D"/>
    <w:rsid w:val="00F04A6F"/>
    <w:rsid w:val="00F04F7D"/>
    <w:rsid w:val="00F05E98"/>
    <w:rsid w:val="00F1063D"/>
    <w:rsid w:val="00F12332"/>
    <w:rsid w:val="00F12D2C"/>
    <w:rsid w:val="00F13C85"/>
    <w:rsid w:val="00F14DEB"/>
    <w:rsid w:val="00F14E2F"/>
    <w:rsid w:val="00F15F82"/>
    <w:rsid w:val="00F16213"/>
    <w:rsid w:val="00F169DA"/>
    <w:rsid w:val="00F16A14"/>
    <w:rsid w:val="00F16A1F"/>
    <w:rsid w:val="00F175EA"/>
    <w:rsid w:val="00F2101E"/>
    <w:rsid w:val="00F21305"/>
    <w:rsid w:val="00F21C70"/>
    <w:rsid w:val="00F226E6"/>
    <w:rsid w:val="00F22A8F"/>
    <w:rsid w:val="00F22E76"/>
    <w:rsid w:val="00F23347"/>
    <w:rsid w:val="00F24630"/>
    <w:rsid w:val="00F24743"/>
    <w:rsid w:val="00F24E03"/>
    <w:rsid w:val="00F25375"/>
    <w:rsid w:val="00F264E9"/>
    <w:rsid w:val="00F2658B"/>
    <w:rsid w:val="00F265A6"/>
    <w:rsid w:val="00F27452"/>
    <w:rsid w:val="00F32CF7"/>
    <w:rsid w:val="00F33714"/>
    <w:rsid w:val="00F34383"/>
    <w:rsid w:val="00F35D07"/>
    <w:rsid w:val="00F362D7"/>
    <w:rsid w:val="00F3659D"/>
    <w:rsid w:val="00F36B16"/>
    <w:rsid w:val="00F371CA"/>
    <w:rsid w:val="00F37D18"/>
    <w:rsid w:val="00F37D7B"/>
    <w:rsid w:val="00F41CF7"/>
    <w:rsid w:val="00F41E24"/>
    <w:rsid w:val="00F43707"/>
    <w:rsid w:val="00F43CBA"/>
    <w:rsid w:val="00F44A85"/>
    <w:rsid w:val="00F44B60"/>
    <w:rsid w:val="00F454BA"/>
    <w:rsid w:val="00F45D82"/>
    <w:rsid w:val="00F45F75"/>
    <w:rsid w:val="00F4618C"/>
    <w:rsid w:val="00F46698"/>
    <w:rsid w:val="00F46C9C"/>
    <w:rsid w:val="00F46FED"/>
    <w:rsid w:val="00F50060"/>
    <w:rsid w:val="00F503F3"/>
    <w:rsid w:val="00F519C0"/>
    <w:rsid w:val="00F51BBB"/>
    <w:rsid w:val="00F5241E"/>
    <w:rsid w:val="00F52754"/>
    <w:rsid w:val="00F52D1C"/>
    <w:rsid w:val="00F5314C"/>
    <w:rsid w:val="00F5365A"/>
    <w:rsid w:val="00F537C2"/>
    <w:rsid w:val="00F53D13"/>
    <w:rsid w:val="00F54A6C"/>
    <w:rsid w:val="00F54CEA"/>
    <w:rsid w:val="00F564F7"/>
    <w:rsid w:val="00F5688C"/>
    <w:rsid w:val="00F56A5D"/>
    <w:rsid w:val="00F56B3A"/>
    <w:rsid w:val="00F56D33"/>
    <w:rsid w:val="00F56DF6"/>
    <w:rsid w:val="00F56ED6"/>
    <w:rsid w:val="00F571AF"/>
    <w:rsid w:val="00F57884"/>
    <w:rsid w:val="00F57F83"/>
    <w:rsid w:val="00F60B5C"/>
    <w:rsid w:val="00F61B57"/>
    <w:rsid w:val="00F61F5D"/>
    <w:rsid w:val="00F6211E"/>
    <w:rsid w:val="00F626A7"/>
    <w:rsid w:val="00F62A70"/>
    <w:rsid w:val="00F635DD"/>
    <w:rsid w:val="00F63628"/>
    <w:rsid w:val="00F64D76"/>
    <w:rsid w:val="00F6573A"/>
    <w:rsid w:val="00F6627B"/>
    <w:rsid w:val="00F664C4"/>
    <w:rsid w:val="00F66564"/>
    <w:rsid w:val="00F7161C"/>
    <w:rsid w:val="00F71E95"/>
    <w:rsid w:val="00F7239D"/>
    <w:rsid w:val="00F729F2"/>
    <w:rsid w:val="00F72EF1"/>
    <w:rsid w:val="00F7334D"/>
    <w:rsid w:val="00F7336E"/>
    <w:rsid w:val="00F733AE"/>
    <w:rsid w:val="00F734F2"/>
    <w:rsid w:val="00F73DDB"/>
    <w:rsid w:val="00F73F6B"/>
    <w:rsid w:val="00F7483D"/>
    <w:rsid w:val="00F74AFA"/>
    <w:rsid w:val="00F74BD5"/>
    <w:rsid w:val="00F75052"/>
    <w:rsid w:val="00F76380"/>
    <w:rsid w:val="00F804D3"/>
    <w:rsid w:val="00F80B88"/>
    <w:rsid w:val="00F80D3E"/>
    <w:rsid w:val="00F8154E"/>
    <w:rsid w:val="00F81CD2"/>
    <w:rsid w:val="00F82219"/>
    <w:rsid w:val="00F822C6"/>
    <w:rsid w:val="00F82641"/>
    <w:rsid w:val="00F82EA5"/>
    <w:rsid w:val="00F82ED1"/>
    <w:rsid w:val="00F84982"/>
    <w:rsid w:val="00F85540"/>
    <w:rsid w:val="00F8567A"/>
    <w:rsid w:val="00F856CF"/>
    <w:rsid w:val="00F85B0B"/>
    <w:rsid w:val="00F86269"/>
    <w:rsid w:val="00F86500"/>
    <w:rsid w:val="00F87381"/>
    <w:rsid w:val="00F901B7"/>
    <w:rsid w:val="00F90353"/>
    <w:rsid w:val="00F90CDE"/>
    <w:rsid w:val="00F90F18"/>
    <w:rsid w:val="00F9219E"/>
    <w:rsid w:val="00F937E4"/>
    <w:rsid w:val="00F94F21"/>
    <w:rsid w:val="00F95EE7"/>
    <w:rsid w:val="00F964D7"/>
    <w:rsid w:val="00F96E05"/>
    <w:rsid w:val="00F96F26"/>
    <w:rsid w:val="00F9720F"/>
    <w:rsid w:val="00FA203C"/>
    <w:rsid w:val="00FA2C83"/>
    <w:rsid w:val="00FA39AF"/>
    <w:rsid w:val="00FA39E6"/>
    <w:rsid w:val="00FA4E0B"/>
    <w:rsid w:val="00FA5BBE"/>
    <w:rsid w:val="00FA5FD1"/>
    <w:rsid w:val="00FA7BC9"/>
    <w:rsid w:val="00FB16EF"/>
    <w:rsid w:val="00FB1D06"/>
    <w:rsid w:val="00FB2023"/>
    <w:rsid w:val="00FB23BB"/>
    <w:rsid w:val="00FB378E"/>
    <w:rsid w:val="00FB37F1"/>
    <w:rsid w:val="00FB39DC"/>
    <w:rsid w:val="00FB47C0"/>
    <w:rsid w:val="00FB501B"/>
    <w:rsid w:val="00FB5813"/>
    <w:rsid w:val="00FB59F2"/>
    <w:rsid w:val="00FB6D23"/>
    <w:rsid w:val="00FB73E1"/>
    <w:rsid w:val="00FB7770"/>
    <w:rsid w:val="00FB782D"/>
    <w:rsid w:val="00FC135C"/>
    <w:rsid w:val="00FC14C7"/>
    <w:rsid w:val="00FC14FC"/>
    <w:rsid w:val="00FC26AC"/>
    <w:rsid w:val="00FC27D7"/>
    <w:rsid w:val="00FC2AAC"/>
    <w:rsid w:val="00FC2B60"/>
    <w:rsid w:val="00FC312F"/>
    <w:rsid w:val="00FC359C"/>
    <w:rsid w:val="00FC4AB1"/>
    <w:rsid w:val="00FC76C9"/>
    <w:rsid w:val="00FD0BFB"/>
    <w:rsid w:val="00FD0D7C"/>
    <w:rsid w:val="00FD3493"/>
    <w:rsid w:val="00FD3B91"/>
    <w:rsid w:val="00FD47ED"/>
    <w:rsid w:val="00FD5400"/>
    <w:rsid w:val="00FD56E6"/>
    <w:rsid w:val="00FD576B"/>
    <w:rsid w:val="00FD579E"/>
    <w:rsid w:val="00FD5DE6"/>
    <w:rsid w:val="00FD6845"/>
    <w:rsid w:val="00FE11FD"/>
    <w:rsid w:val="00FE1B53"/>
    <w:rsid w:val="00FE1C79"/>
    <w:rsid w:val="00FE3499"/>
    <w:rsid w:val="00FE4516"/>
    <w:rsid w:val="00FE479E"/>
    <w:rsid w:val="00FE4809"/>
    <w:rsid w:val="00FE4973"/>
    <w:rsid w:val="00FE63E9"/>
    <w:rsid w:val="00FE64C8"/>
    <w:rsid w:val="00FE6E22"/>
    <w:rsid w:val="00FE6E71"/>
    <w:rsid w:val="00FE79FF"/>
    <w:rsid w:val="00FF0E7F"/>
    <w:rsid w:val="00FF1118"/>
    <w:rsid w:val="00FF1CF3"/>
    <w:rsid w:val="00FF70B4"/>
    <w:rsid w:val="00FF7261"/>
    <w:rsid w:val="00FF73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5958DAD-2858-48B5-A745-8298992D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324C63"/>
    <w:pPr>
      <w:tabs>
        <w:tab w:val="right" w:leader="hyphen" w:pos="8834"/>
      </w:tabs>
      <w:kinsoku w:val="0"/>
      <w:ind w:left="1361" w:rightChars="100" w:right="340" w:hangingChars="400" w:hanging="1361"/>
      <w:jc w:val="left"/>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3"/>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semiHidden/>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aliases w:val="List Paragraph"/>
    <w:basedOn w:val="a6"/>
    <w:link w:val="afa"/>
    <w:uiPriority w:val="34"/>
    <w:qFormat/>
    <w:rsid w:val="00687024"/>
    <w:pPr>
      <w:ind w:leftChars="200" w:left="480"/>
    </w:pPr>
  </w:style>
  <w:style w:type="character" w:customStyle="1" w:styleId="afa">
    <w:name w:val="清單段落 字元"/>
    <w:aliases w:val="List Paragraph 字元"/>
    <w:link w:val="af9"/>
    <w:uiPriority w:val="99"/>
    <w:rsid w:val="00447346"/>
    <w:rPr>
      <w:rFonts w:ascii="標楷體" w:eastAsia="標楷體"/>
      <w:kern w:val="2"/>
      <w:sz w:val="32"/>
    </w:r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paragraph" w:customStyle="1" w:styleId="92">
    <w:name w:val="段落樣式9"/>
    <w:basedOn w:val="81"/>
    <w:qFormat/>
    <w:rsid w:val="00831693"/>
    <w:pPr>
      <w:ind w:leftChars="1000" w:left="1000"/>
    </w:pPr>
  </w:style>
  <w:style w:type="paragraph" w:styleId="afd">
    <w:name w:val="footnote text"/>
    <w:basedOn w:val="a6"/>
    <w:link w:val="afe"/>
    <w:uiPriority w:val="99"/>
    <w:unhideWhenUsed/>
    <w:rsid w:val="00460892"/>
    <w:pPr>
      <w:snapToGrid w:val="0"/>
      <w:jc w:val="left"/>
    </w:pPr>
    <w:rPr>
      <w:sz w:val="20"/>
    </w:rPr>
  </w:style>
  <w:style w:type="character" w:customStyle="1" w:styleId="afe">
    <w:name w:val="註腳文字 字元"/>
    <w:basedOn w:val="a7"/>
    <w:link w:val="afd"/>
    <w:uiPriority w:val="99"/>
    <w:rsid w:val="00460892"/>
    <w:rPr>
      <w:rFonts w:ascii="標楷體" w:eastAsia="標楷體"/>
      <w:kern w:val="2"/>
    </w:rPr>
  </w:style>
  <w:style w:type="character" w:styleId="aff">
    <w:name w:val="footnote reference"/>
    <w:basedOn w:val="a7"/>
    <w:uiPriority w:val="99"/>
    <w:unhideWhenUsed/>
    <w:rsid w:val="00460892"/>
    <w:rPr>
      <w:vertAlign w:val="superscript"/>
    </w:rPr>
  </w:style>
  <w:style w:type="character" w:customStyle="1" w:styleId="aff0">
    <w:name w:val="典_內文 字元"/>
    <w:link w:val="aff1"/>
    <w:locked/>
    <w:rsid w:val="00447346"/>
    <w:rPr>
      <w:rFonts w:ascii="標楷體" w:eastAsia="標楷體" w:hAnsi="標楷體"/>
      <w:bCs/>
      <w:color w:val="000000"/>
      <w:sz w:val="28"/>
      <w:szCs w:val="28"/>
    </w:rPr>
  </w:style>
  <w:style w:type="paragraph" w:customStyle="1" w:styleId="aff1">
    <w:name w:val="典_內文"/>
    <w:basedOn w:val="af9"/>
    <w:link w:val="aff0"/>
    <w:qFormat/>
    <w:rsid w:val="00447346"/>
    <w:pPr>
      <w:overflowPunct/>
      <w:autoSpaceDE/>
      <w:autoSpaceDN/>
      <w:spacing w:beforeLines="30" w:line="360" w:lineRule="exact"/>
      <w:ind w:leftChars="0" w:left="0" w:firstLineChars="202" w:firstLine="566"/>
      <w:jc w:val="left"/>
    </w:pPr>
    <w:rPr>
      <w:rFonts w:hAnsi="標楷體"/>
      <w:bCs/>
      <w:color w:val="000000"/>
      <w:kern w:val="0"/>
      <w:sz w:val="28"/>
      <w:szCs w:val="28"/>
    </w:rPr>
  </w:style>
  <w:style w:type="paragraph" w:customStyle="1" w:styleId="aff2">
    <w:name w:val="典_一"/>
    <w:basedOn w:val="af9"/>
    <w:link w:val="aff3"/>
    <w:qFormat/>
    <w:rsid w:val="00447346"/>
    <w:pPr>
      <w:overflowPunct/>
      <w:autoSpaceDE/>
      <w:autoSpaceDN/>
      <w:spacing w:beforeLines="30" w:line="360" w:lineRule="exact"/>
      <w:ind w:leftChars="0" w:left="0"/>
    </w:pPr>
    <w:rPr>
      <w:rFonts w:hAnsi="標楷體"/>
      <w:b/>
      <w:bCs/>
      <w:color w:val="000000"/>
      <w:kern w:val="0"/>
      <w:sz w:val="28"/>
      <w:szCs w:val="28"/>
    </w:rPr>
  </w:style>
  <w:style w:type="character" w:customStyle="1" w:styleId="aff3">
    <w:name w:val="典_一 字元"/>
    <w:link w:val="aff2"/>
    <w:rsid w:val="00447346"/>
    <w:rPr>
      <w:rFonts w:ascii="標楷體" w:eastAsia="標楷體" w:hAnsi="標楷體"/>
      <w:b/>
      <w:bCs/>
      <w:color w:val="000000"/>
      <w:sz w:val="28"/>
      <w:szCs w:val="28"/>
    </w:rPr>
  </w:style>
  <w:style w:type="paragraph" w:customStyle="1" w:styleId="aff4">
    <w:name w:val="計畫書標題"/>
    <w:basedOn w:val="a6"/>
    <w:link w:val="aff5"/>
    <w:qFormat/>
    <w:rsid w:val="00447346"/>
    <w:pPr>
      <w:autoSpaceDE/>
      <w:autoSpaceDN/>
      <w:jc w:val="center"/>
    </w:pPr>
    <w:rPr>
      <w:rFonts w:ascii="Calibri" w:eastAsia="微軟正黑體" w:hAnsi="Calibri"/>
      <w:b/>
      <w:bCs/>
      <w:color w:val="0070C0"/>
      <w:kern w:val="52"/>
      <w:szCs w:val="24"/>
    </w:rPr>
  </w:style>
  <w:style w:type="character" w:customStyle="1" w:styleId="aff5">
    <w:name w:val="計畫書標題 字元"/>
    <w:link w:val="aff4"/>
    <w:rsid w:val="00447346"/>
    <w:rPr>
      <w:rFonts w:ascii="Calibri" w:eastAsia="微軟正黑體" w:hAnsi="Calibri"/>
      <w:b/>
      <w:bCs/>
      <w:color w:val="0070C0"/>
      <w:kern w:val="52"/>
      <w:sz w:val="32"/>
      <w:szCs w:val="24"/>
    </w:rPr>
  </w:style>
  <w:style w:type="paragraph" w:customStyle="1" w:styleId="aff6">
    <w:name w:val="(一)"/>
    <w:basedOn w:val="a6"/>
    <w:link w:val="aff7"/>
    <w:qFormat/>
    <w:rsid w:val="00CE7862"/>
    <w:pPr>
      <w:overflowPunct/>
      <w:adjustRightInd w:val="0"/>
      <w:ind w:leftChars="18" w:left="523" w:hangingChars="200" w:hanging="480"/>
    </w:pPr>
    <w:rPr>
      <w:rFonts w:hAnsi="標楷體"/>
      <w:sz w:val="24"/>
      <w:szCs w:val="24"/>
    </w:rPr>
  </w:style>
  <w:style w:type="character" w:customStyle="1" w:styleId="aff7">
    <w:name w:val="(一) 字元"/>
    <w:link w:val="aff6"/>
    <w:rsid w:val="00CE7862"/>
    <w:rPr>
      <w:rFonts w:ascii="標楷體" w:eastAsia="標楷體" w:hAnsi="標楷體"/>
      <w:kern w:val="2"/>
      <w:sz w:val="24"/>
      <w:szCs w:val="24"/>
    </w:rPr>
  </w:style>
  <w:style w:type="paragraph" w:customStyle="1" w:styleId="aff8">
    <w:name w:val="一"/>
    <w:basedOn w:val="a6"/>
    <w:link w:val="aff9"/>
    <w:qFormat/>
    <w:rsid w:val="00747A1B"/>
    <w:pPr>
      <w:overflowPunct/>
      <w:adjustRightInd w:val="0"/>
      <w:ind w:leftChars="18" w:left="516" w:hangingChars="197" w:hanging="473"/>
    </w:pPr>
    <w:rPr>
      <w:rFonts w:hAnsi="標楷體"/>
      <w:sz w:val="24"/>
      <w:szCs w:val="24"/>
    </w:rPr>
  </w:style>
  <w:style w:type="character" w:customStyle="1" w:styleId="aff9">
    <w:name w:val="一 字元"/>
    <w:link w:val="aff8"/>
    <w:rsid w:val="00747A1B"/>
    <w:rPr>
      <w:rFonts w:ascii="標楷體" w:eastAsia="標楷體" w:hAnsi="標楷體"/>
      <w:kern w:val="2"/>
      <w:sz w:val="24"/>
      <w:szCs w:val="24"/>
    </w:rPr>
  </w:style>
  <w:style w:type="paragraph" w:customStyle="1" w:styleId="affa">
    <w:name w:val="分項段落"/>
    <w:basedOn w:val="a6"/>
    <w:rsid w:val="00B43B5C"/>
    <w:pPr>
      <w:overflowPunct/>
      <w:autoSpaceDE/>
      <w:autoSpaceDN/>
      <w:jc w:val="left"/>
    </w:pPr>
    <w:rPr>
      <w:rFonts w:ascii="Times New Roman" w:eastAsia="新細明體"/>
      <w:sz w:val="24"/>
    </w:rPr>
  </w:style>
  <w:style w:type="paragraph" w:customStyle="1" w:styleId="affb">
    <w:name w:val="主旨"/>
    <w:basedOn w:val="a6"/>
    <w:rsid w:val="00B43B5C"/>
    <w:pPr>
      <w:overflowPunct/>
      <w:autoSpaceDE/>
      <w:autoSpaceDN/>
      <w:snapToGrid w:val="0"/>
      <w:ind w:left="964" w:hanging="964"/>
      <w:jc w:val="left"/>
    </w:pPr>
    <w:rPr>
      <w:rFonts w:ascii="Times New Roman"/>
    </w:rPr>
  </w:style>
  <w:style w:type="paragraph" w:customStyle="1" w:styleId="affc">
    <w:name w:val="說明辦法首行"/>
    <w:basedOn w:val="a6"/>
    <w:rsid w:val="00B43B5C"/>
    <w:pPr>
      <w:overflowPunct/>
      <w:autoSpaceDE/>
      <w:autoSpaceDN/>
      <w:snapToGrid w:val="0"/>
      <w:spacing w:line="500" w:lineRule="exact"/>
      <w:ind w:left="964" w:hanging="964"/>
      <w:jc w:val="left"/>
    </w:pPr>
    <w:rPr>
      <w:rFonts w:ascii="Times New Roman"/>
    </w:rPr>
  </w:style>
  <w:style w:type="character" w:customStyle="1" w:styleId="affd">
    <w:name w:val="註解文字 字元"/>
    <w:basedOn w:val="a7"/>
    <w:link w:val="affe"/>
    <w:uiPriority w:val="99"/>
    <w:semiHidden/>
    <w:rsid w:val="00B43B5C"/>
    <w:rPr>
      <w:kern w:val="2"/>
      <w:sz w:val="24"/>
      <w:szCs w:val="24"/>
    </w:rPr>
  </w:style>
  <w:style w:type="paragraph" w:styleId="affe">
    <w:name w:val="annotation text"/>
    <w:basedOn w:val="a6"/>
    <w:link w:val="affd"/>
    <w:uiPriority w:val="99"/>
    <w:semiHidden/>
    <w:unhideWhenUsed/>
    <w:rsid w:val="00B43B5C"/>
    <w:pPr>
      <w:overflowPunct/>
      <w:autoSpaceDE/>
      <w:autoSpaceDN/>
      <w:jc w:val="left"/>
    </w:pPr>
    <w:rPr>
      <w:rFonts w:ascii="Times New Roman" w:eastAsia="新細明體"/>
      <w:sz w:val="24"/>
      <w:szCs w:val="24"/>
    </w:rPr>
  </w:style>
  <w:style w:type="character" w:customStyle="1" w:styleId="afff">
    <w:name w:val="註解主旨 字元"/>
    <w:basedOn w:val="affd"/>
    <w:link w:val="afff0"/>
    <w:uiPriority w:val="99"/>
    <w:semiHidden/>
    <w:rsid w:val="00B43B5C"/>
    <w:rPr>
      <w:b/>
      <w:bCs/>
      <w:kern w:val="2"/>
      <w:sz w:val="24"/>
      <w:szCs w:val="24"/>
    </w:rPr>
  </w:style>
  <w:style w:type="paragraph" w:styleId="afff0">
    <w:name w:val="annotation subject"/>
    <w:basedOn w:val="affe"/>
    <w:next w:val="affe"/>
    <w:link w:val="afff"/>
    <w:uiPriority w:val="99"/>
    <w:semiHidden/>
    <w:unhideWhenUsed/>
    <w:rsid w:val="00B43B5C"/>
    <w:rPr>
      <w:b/>
      <w:bCs/>
    </w:rPr>
  </w:style>
  <w:style w:type="numbering" w:customStyle="1" w:styleId="13">
    <w:name w:val="無清單1"/>
    <w:next w:val="a9"/>
    <w:uiPriority w:val="99"/>
    <w:semiHidden/>
    <w:unhideWhenUsed/>
    <w:rsid w:val="008B4DED"/>
  </w:style>
  <w:style w:type="character" w:customStyle="1" w:styleId="ae">
    <w:name w:val="頁首 字元"/>
    <w:basedOn w:val="a7"/>
    <w:link w:val="ad"/>
    <w:semiHidden/>
    <w:rsid w:val="008B4DED"/>
    <w:rPr>
      <w:rFonts w:ascii="標楷體" w:eastAsia="標楷體"/>
      <w:kern w:val="2"/>
    </w:rPr>
  </w:style>
  <w:style w:type="character" w:customStyle="1" w:styleId="af5">
    <w:name w:val="頁尾 字元"/>
    <w:basedOn w:val="a7"/>
    <w:link w:val="af4"/>
    <w:semiHidden/>
    <w:rsid w:val="008B4DED"/>
    <w:rPr>
      <w:rFonts w:ascii="標楷體" w:eastAsia="標楷體"/>
      <w:kern w:val="2"/>
    </w:rPr>
  </w:style>
  <w:style w:type="character" w:styleId="afff1">
    <w:name w:val="annotation reference"/>
    <w:basedOn w:val="a7"/>
    <w:uiPriority w:val="99"/>
    <w:semiHidden/>
    <w:unhideWhenUsed/>
    <w:rsid w:val="008B4DED"/>
    <w:rPr>
      <w:sz w:val="18"/>
      <w:szCs w:val="18"/>
    </w:rPr>
  </w:style>
  <w:style w:type="table" w:styleId="1-5">
    <w:name w:val="Medium Shading 1 Accent 5"/>
    <w:basedOn w:val="a8"/>
    <w:uiPriority w:val="63"/>
    <w:rsid w:val="00491171"/>
    <w:rPr>
      <w:rFonts w:asciiTheme="minorHAnsi" w:eastAsiaTheme="minorEastAsia" w:hAnsiTheme="minorHAnsi" w:cstheme="minorBidi"/>
      <w:kern w:val="2"/>
      <w:sz w:val="24"/>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ListParagraph11">
    <w:name w:val="List Paragraph11"/>
    <w:basedOn w:val="a6"/>
    <w:uiPriority w:val="99"/>
    <w:rsid w:val="00491171"/>
    <w:pPr>
      <w:overflowPunct/>
      <w:autoSpaceDE/>
      <w:autoSpaceDN/>
      <w:ind w:leftChars="200" w:left="480"/>
      <w:jc w:val="left"/>
    </w:pPr>
    <w:rPr>
      <w:rFonts w:ascii="Times New Roman" w:eastAsia="新細明體"/>
      <w:sz w:val="24"/>
      <w:szCs w:val="24"/>
    </w:rPr>
  </w:style>
  <w:style w:type="paragraph" w:styleId="Web">
    <w:name w:val="Normal (Web)"/>
    <w:basedOn w:val="a6"/>
    <w:uiPriority w:val="99"/>
    <w:unhideWhenUsed/>
    <w:rsid w:val="005C39F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20">
    <w:name w:val="標題 2 字元"/>
    <w:basedOn w:val="a7"/>
    <w:link w:val="2"/>
    <w:rsid w:val="00881283"/>
    <w:rPr>
      <w:rFonts w:ascii="標楷體" w:eastAsia="標楷體" w:hAnsi="Arial"/>
      <w:bCs/>
      <w:kern w:val="32"/>
      <w:sz w:val="32"/>
      <w:szCs w:val="48"/>
    </w:rPr>
  </w:style>
  <w:style w:type="character" w:customStyle="1" w:styleId="30">
    <w:name w:val="標題 3 字元"/>
    <w:basedOn w:val="a7"/>
    <w:link w:val="3"/>
    <w:rsid w:val="00881283"/>
    <w:rPr>
      <w:rFonts w:ascii="標楷體" w:eastAsia="標楷體" w:hAnsi="Arial"/>
      <w:bCs/>
      <w:kern w:val="32"/>
      <w:sz w:val="32"/>
      <w:szCs w:val="36"/>
    </w:rPr>
  </w:style>
  <w:style w:type="character" w:customStyle="1" w:styleId="40">
    <w:name w:val="標題 4 字元"/>
    <w:basedOn w:val="a7"/>
    <w:link w:val="4"/>
    <w:rsid w:val="00881283"/>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7950">
      <w:bodyDiv w:val="1"/>
      <w:marLeft w:val="0"/>
      <w:marRight w:val="0"/>
      <w:marTop w:val="0"/>
      <w:marBottom w:val="0"/>
      <w:divBdr>
        <w:top w:val="none" w:sz="0" w:space="0" w:color="auto"/>
        <w:left w:val="none" w:sz="0" w:space="0" w:color="auto"/>
        <w:bottom w:val="none" w:sz="0" w:space="0" w:color="auto"/>
        <w:right w:val="none" w:sz="0" w:space="0" w:color="auto"/>
      </w:divBdr>
    </w:div>
    <w:div w:id="105128068">
      <w:bodyDiv w:val="1"/>
      <w:marLeft w:val="0"/>
      <w:marRight w:val="0"/>
      <w:marTop w:val="0"/>
      <w:marBottom w:val="0"/>
      <w:divBdr>
        <w:top w:val="none" w:sz="0" w:space="0" w:color="auto"/>
        <w:left w:val="none" w:sz="0" w:space="0" w:color="auto"/>
        <w:bottom w:val="none" w:sz="0" w:space="0" w:color="auto"/>
        <w:right w:val="none" w:sz="0" w:space="0" w:color="auto"/>
      </w:divBdr>
    </w:div>
    <w:div w:id="119227559">
      <w:bodyDiv w:val="1"/>
      <w:marLeft w:val="0"/>
      <w:marRight w:val="0"/>
      <w:marTop w:val="0"/>
      <w:marBottom w:val="0"/>
      <w:divBdr>
        <w:top w:val="none" w:sz="0" w:space="0" w:color="auto"/>
        <w:left w:val="none" w:sz="0" w:space="0" w:color="auto"/>
        <w:bottom w:val="none" w:sz="0" w:space="0" w:color="auto"/>
        <w:right w:val="none" w:sz="0" w:space="0" w:color="auto"/>
      </w:divBdr>
    </w:div>
    <w:div w:id="475688665">
      <w:bodyDiv w:val="1"/>
      <w:marLeft w:val="0"/>
      <w:marRight w:val="0"/>
      <w:marTop w:val="0"/>
      <w:marBottom w:val="0"/>
      <w:divBdr>
        <w:top w:val="none" w:sz="0" w:space="0" w:color="auto"/>
        <w:left w:val="none" w:sz="0" w:space="0" w:color="auto"/>
        <w:bottom w:val="none" w:sz="0" w:space="0" w:color="auto"/>
        <w:right w:val="none" w:sz="0" w:space="0" w:color="auto"/>
      </w:divBdr>
    </w:div>
    <w:div w:id="507059992">
      <w:bodyDiv w:val="1"/>
      <w:marLeft w:val="0"/>
      <w:marRight w:val="0"/>
      <w:marTop w:val="0"/>
      <w:marBottom w:val="0"/>
      <w:divBdr>
        <w:top w:val="none" w:sz="0" w:space="0" w:color="auto"/>
        <w:left w:val="none" w:sz="0" w:space="0" w:color="auto"/>
        <w:bottom w:val="none" w:sz="0" w:space="0" w:color="auto"/>
        <w:right w:val="none" w:sz="0" w:space="0" w:color="auto"/>
      </w:divBdr>
    </w:div>
    <w:div w:id="519512127">
      <w:bodyDiv w:val="1"/>
      <w:marLeft w:val="0"/>
      <w:marRight w:val="0"/>
      <w:marTop w:val="0"/>
      <w:marBottom w:val="0"/>
      <w:divBdr>
        <w:top w:val="none" w:sz="0" w:space="0" w:color="auto"/>
        <w:left w:val="none" w:sz="0" w:space="0" w:color="auto"/>
        <w:bottom w:val="none" w:sz="0" w:space="0" w:color="auto"/>
        <w:right w:val="none" w:sz="0" w:space="0" w:color="auto"/>
      </w:divBdr>
    </w:div>
    <w:div w:id="598410370">
      <w:bodyDiv w:val="1"/>
      <w:marLeft w:val="0"/>
      <w:marRight w:val="0"/>
      <w:marTop w:val="0"/>
      <w:marBottom w:val="0"/>
      <w:divBdr>
        <w:top w:val="none" w:sz="0" w:space="0" w:color="auto"/>
        <w:left w:val="none" w:sz="0" w:space="0" w:color="auto"/>
        <w:bottom w:val="none" w:sz="0" w:space="0" w:color="auto"/>
        <w:right w:val="none" w:sz="0" w:space="0" w:color="auto"/>
      </w:divBdr>
    </w:div>
    <w:div w:id="727652103">
      <w:bodyDiv w:val="1"/>
      <w:marLeft w:val="0"/>
      <w:marRight w:val="0"/>
      <w:marTop w:val="0"/>
      <w:marBottom w:val="0"/>
      <w:divBdr>
        <w:top w:val="none" w:sz="0" w:space="0" w:color="auto"/>
        <w:left w:val="none" w:sz="0" w:space="0" w:color="auto"/>
        <w:bottom w:val="none" w:sz="0" w:space="0" w:color="auto"/>
        <w:right w:val="none" w:sz="0" w:space="0" w:color="auto"/>
      </w:divBdr>
    </w:div>
    <w:div w:id="788550556">
      <w:bodyDiv w:val="1"/>
      <w:marLeft w:val="0"/>
      <w:marRight w:val="0"/>
      <w:marTop w:val="0"/>
      <w:marBottom w:val="0"/>
      <w:divBdr>
        <w:top w:val="none" w:sz="0" w:space="0" w:color="auto"/>
        <w:left w:val="none" w:sz="0" w:space="0" w:color="auto"/>
        <w:bottom w:val="none" w:sz="0" w:space="0" w:color="auto"/>
        <w:right w:val="none" w:sz="0" w:space="0" w:color="auto"/>
      </w:divBdr>
    </w:div>
    <w:div w:id="882257491">
      <w:bodyDiv w:val="1"/>
      <w:marLeft w:val="0"/>
      <w:marRight w:val="0"/>
      <w:marTop w:val="0"/>
      <w:marBottom w:val="0"/>
      <w:divBdr>
        <w:top w:val="none" w:sz="0" w:space="0" w:color="auto"/>
        <w:left w:val="none" w:sz="0" w:space="0" w:color="auto"/>
        <w:bottom w:val="none" w:sz="0" w:space="0" w:color="auto"/>
        <w:right w:val="none" w:sz="0" w:space="0" w:color="auto"/>
      </w:divBdr>
    </w:div>
    <w:div w:id="921992392">
      <w:bodyDiv w:val="1"/>
      <w:marLeft w:val="0"/>
      <w:marRight w:val="0"/>
      <w:marTop w:val="0"/>
      <w:marBottom w:val="0"/>
      <w:divBdr>
        <w:top w:val="none" w:sz="0" w:space="0" w:color="auto"/>
        <w:left w:val="none" w:sz="0" w:space="0" w:color="auto"/>
        <w:bottom w:val="none" w:sz="0" w:space="0" w:color="auto"/>
        <w:right w:val="none" w:sz="0" w:space="0" w:color="auto"/>
      </w:divBdr>
    </w:div>
    <w:div w:id="1009988257">
      <w:bodyDiv w:val="1"/>
      <w:marLeft w:val="0"/>
      <w:marRight w:val="0"/>
      <w:marTop w:val="0"/>
      <w:marBottom w:val="0"/>
      <w:divBdr>
        <w:top w:val="none" w:sz="0" w:space="0" w:color="auto"/>
        <w:left w:val="none" w:sz="0" w:space="0" w:color="auto"/>
        <w:bottom w:val="none" w:sz="0" w:space="0" w:color="auto"/>
        <w:right w:val="none" w:sz="0" w:space="0" w:color="auto"/>
      </w:divBdr>
    </w:div>
    <w:div w:id="1026637001">
      <w:bodyDiv w:val="1"/>
      <w:marLeft w:val="0"/>
      <w:marRight w:val="0"/>
      <w:marTop w:val="0"/>
      <w:marBottom w:val="0"/>
      <w:divBdr>
        <w:top w:val="none" w:sz="0" w:space="0" w:color="auto"/>
        <w:left w:val="none" w:sz="0" w:space="0" w:color="auto"/>
        <w:bottom w:val="none" w:sz="0" w:space="0" w:color="auto"/>
        <w:right w:val="none" w:sz="0" w:space="0" w:color="auto"/>
      </w:divBdr>
    </w:div>
    <w:div w:id="1071536323">
      <w:bodyDiv w:val="1"/>
      <w:marLeft w:val="0"/>
      <w:marRight w:val="0"/>
      <w:marTop w:val="0"/>
      <w:marBottom w:val="0"/>
      <w:divBdr>
        <w:top w:val="none" w:sz="0" w:space="0" w:color="auto"/>
        <w:left w:val="none" w:sz="0" w:space="0" w:color="auto"/>
        <w:bottom w:val="none" w:sz="0" w:space="0" w:color="auto"/>
        <w:right w:val="none" w:sz="0" w:space="0" w:color="auto"/>
      </w:divBdr>
    </w:div>
    <w:div w:id="1107233635">
      <w:bodyDiv w:val="1"/>
      <w:marLeft w:val="0"/>
      <w:marRight w:val="0"/>
      <w:marTop w:val="0"/>
      <w:marBottom w:val="0"/>
      <w:divBdr>
        <w:top w:val="none" w:sz="0" w:space="0" w:color="auto"/>
        <w:left w:val="none" w:sz="0" w:space="0" w:color="auto"/>
        <w:bottom w:val="none" w:sz="0" w:space="0" w:color="auto"/>
        <w:right w:val="none" w:sz="0" w:space="0" w:color="auto"/>
      </w:divBdr>
    </w:div>
    <w:div w:id="1280453356">
      <w:bodyDiv w:val="1"/>
      <w:marLeft w:val="0"/>
      <w:marRight w:val="0"/>
      <w:marTop w:val="0"/>
      <w:marBottom w:val="0"/>
      <w:divBdr>
        <w:top w:val="none" w:sz="0" w:space="0" w:color="auto"/>
        <w:left w:val="none" w:sz="0" w:space="0" w:color="auto"/>
        <w:bottom w:val="none" w:sz="0" w:space="0" w:color="auto"/>
        <w:right w:val="none" w:sz="0" w:space="0" w:color="auto"/>
      </w:divBdr>
    </w:div>
    <w:div w:id="1340547987">
      <w:bodyDiv w:val="1"/>
      <w:marLeft w:val="0"/>
      <w:marRight w:val="0"/>
      <w:marTop w:val="0"/>
      <w:marBottom w:val="0"/>
      <w:divBdr>
        <w:top w:val="none" w:sz="0" w:space="0" w:color="auto"/>
        <w:left w:val="none" w:sz="0" w:space="0" w:color="auto"/>
        <w:bottom w:val="none" w:sz="0" w:space="0" w:color="auto"/>
        <w:right w:val="none" w:sz="0" w:space="0" w:color="auto"/>
      </w:divBdr>
    </w:div>
    <w:div w:id="1355500869">
      <w:bodyDiv w:val="1"/>
      <w:marLeft w:val="0"/>
      <w:marRight w:val="0"/>
      <w:marTop w:val="0"/>
      <w:marBottom w:val="0"/>
      <w:divBdr>
        <w:top w:val="none" w:sz="0" w:space="0" w:color="auto"/>
        <w:left w:val="none" w:sz="0" w:space="0" w:color="auto"/>
        <w:bottom w:val="none" w:sz="0" w:space="0" w:color="auto"/>
        <w:right w:val="none" w:sz="0" w:space="0" w:color="auto"/>
      </w:divBdr>
    </w:div>
    <w:div w:id="1435438670">
      <w:bodyDiv w:val="1"/>
      <w:marLeft w:val="0"/>
      <w:marRight w:val="0"/>
      <w:marTop w:val="0"/>
      <w:marBottom w:val="0"/>
      <w:divBdr>
        <w:top w:val="none" w:sz="0" w:space="0" w:color="auto"/>
        <w:left w:val="none" w:sz="0" w:space="0" w:color="auto"/>
        <w:bottom w:val="none" w:sz="0" w:space="0" w:color="auto"/>
        <w:right w:val="none" w:sz="0" w:space="0" w:color="auto"/>
      </w:divBdr>
    </w:div>
    <w:div w:id="1462502845">
      <w:bodyDiv w:val="1"/>
      <w:marLeft w:val="0"/>
      <w:marRight w:val="0"/>
      <w:marTop w:val="0"/>
      <w:marBottom w:val="0"/>
      <w:divBdr>
        <w:top w:val="none" w:sz="0" w:space="0" w:color="auto"/>
        <w:left w:val="none" w:sz="0" w:space="0" w:color="auto"/>
        <w:bottom w:val="none" w:sz="0" w:space="0" w:color="auto"/>
        <w:right w:val="none" w:sz="0" w:space="0" w:color="auto"/>
      </w:divBdr>
    </w:div>
    <w:div w:id="1519927551">
      <w:bodyDiv w:val="1"/>
      <w:marLeft w:val="0"/>
      <w:marRight w:val="0"/>
      <w:marTop w:val="0"/>
      <w:marBottom w:val="0"/>
      <w:divBdr>
        <w:top w:val="none" w:sz="0" w:space="0" w:color="auto"/>
        <w:left w:val="none" w:sz="0" w:space="0" w:color="auto"/>
        <w:bottom w:val="none" w:sz="0" w:space="0" w:color="auto"/>
        <w:right w:val="none" w:sz="0" w:space="0" w:color="auto"/>
      </w:divBdr>
    </w:div>
    <w:div w:id="1583905206">
      <w:bodyDiv w:val="1"/>
      <w:marLeft w:val="0"/>
      <w:marRight w:val="0"/>
      <w:marTop w:val="0"/>
      <w:marBottom w:val="0"/>
      <w:divBdr>
        <w:top w:val="none" w:sz="0" w:space="0" w:color="auto"/>
        <w:left w:val="none" w:sz="0" w:space="0" w:color="auto"/>
        <w:bottom w:val="none" w:sz="0" w:space="0" w:color="auto"/>
        <w:right w:val="none" w:sz="0" w:space="0" w:color="auto"/>
      </w:divBdr>
    </w:div>
    <w:div w:id="1616331726">
      <w:bodyDiv w:val="1"/>
      <w:marLeft w:val="0"/>
      <w:marRight w:val="0"/>
      <w:marTop w:val="0"/>
      <w:marBottom w:val="0"/>
      <w:divBdr>
        <w:top w:val="none" w:sz="0" w:space="0" w:color="auto"/>
        <w:left w:val="none" w:sz="0" w:space="0" w:color="auto"/>
        <w:bottom w:val="none" w:sz="0" w:space="0" w:color="auto"/>
        <w:right w:val="none" w:sz="0" w:space="0" w:color="auto"/>
      </w:divBdr>
    </w:div>
    <w:div w:id="1783914743">
      <w:bodyDiv w:val="1"/>
      <w:marLeft w:val="0"/>
      <w:marRight w:val="0"/>
      <w:marTop w:val="0"/>
      <w:marBottom w:val="0"/>
      <w:divBdr>
        <w:top w:val="none" w:sz="0" w:space="0" w:color="auto"/>
        <w:left w:val="none" w:sz="0" w:space="0" w:color="auto"/>
        <w:bottom w:val="none" w:sz="0" w:space="0" w:color="auto"/>
        <w:right w:val="none" w:sz="0" w:space="0" w:color="auto"/>
      </w:divBdr>
      <w:divsChild>
        <w:div w:id="1089305704">
          <w:marLeft w:val="0"/>
          <w:marRight w:val="0"/>
          <w:marTop w:val="0"/>
          <w:marBottom w:val="0"/>
          <w:divBdr>
            <w:top w:val="none" w:sz="0" w:space="0" w:color="auto"/>
            <w:left w:val="none" w:sz="0" w:space="0" w:color="auto"/>
            <w:bottom w:val="none" w:sz="0" w:space="0" w:color="auto"/>
            <w:right w:val="none" w:sz="0" w:space="0" w:color="auto"/>
          </w:divBdr>
        </w:div>
        <w:div w:id="1635792592">
          <w:marLeft w:val="0"/>
          <w:marRight w:val="0"/>
          <w:marTop w:val="0"/>
          <w:marBottom w:val="0"/>
          <w:divBdr>
            <w:top w:val="none" w:sz="0" w:space="0" w:color="auto"/>
            <w:left w:val="none" w:sz="0" w:space="0" w:color="auto"/>
            <w:bottom w:val="none" w:sz="0" w:space="0" w:color="auto"/>
            <w:right w:val="none" w:sz="0" w:space="0" w:color="auto"/>
          </w:divBdr>
        </w:div>
      </w:divsChild>
    </w:div>
    <w:div w:id="1865820827">
      <w:bodyDiv w:val="1"/>
      <w:marLeft w:val="0"/>
      <w:marRight w:val="0"/>
      <w:marTop w:val="0"/>
      <w:marBottom w:val="0"/>
      <w:divBdr>
        <w:top w:val="none" w:sz="0" w:space="0" w:color="auto"/>
        <w:left w:val="none" w:sz="0" w:space="0" w:color="auto"/>
        <w:bottom w:val="none" w:sz="0" w:space="0" w:color="auto"/>
        <w:right w:val="none" w:sz="0" w:space="0" w:color="auto"/>
      </w:divBdr>
    </w:div>
    <w:div w:id="18660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lai\AppData\Roaming\Microsoft\Templates\&#27243;&#24335;&#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82BB1-16F2-474F-BA87-B620D38FC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0</TotalTime>
  <Pages>21</Pages>
  <Words>1850</Words>
  <Characters>10551</Characters>
  <Application>Microsoft Office Word</Application>
  <DocSecurity>0</DocSecurity>
  <Lines>87</Lines>
  <Paragraphs>24</Paragraphs>
  <ScaleCrop>false</ScaleCrop>
  <Company>cy</Company>
  <LinksUpToDate>false</LinksUpToDate>
  <CharactersWithSpaces>12377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江明潔</cp:lastModifiedBy>
  <cp:revision>2</cp:revision>
  <cp:lastPrinted>2018-09-07T01:00:00Z</cp:lastPrinted>
  <dcterms:created xsi:type="dcterms:W3CDTF">2019-04-08T07:12:00Z</dcterms:created>
  <dcterms:modified xsi:type="dcterms:W3CDTF">2019-04-08T07:12:00Z</dcterms:modified>
</cp:coreProperties>
</file>