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1E8" w:rsidRDefault="00EC01E8" w:rsidP="004B15EE">
      <w:pPr>
        <w:pStyle w:val="a6"/>
        <w:kinsoku w:val="0"/>
        <w:overflowPunct w:val="0"/>
        <w:spacing w:before="0"/>
        <w:ind w:left="1014" w:hangingChars="130" w:hanging="1014"/>
        <w:jc w:val="center"/>
        <w:rPr>
          <w:rFonts w:ascii="Times New Roman"/>
          <w:bCs/>
          <w:snapToGrid/>
          <w:spacing w:val="200"/>
          <w:kern w:val="0"/>
          <w:sz w:val="36"/>
        </w:rPr>
      </w:pPr>
      <w:r>
        <w:rPr>
          <w:rFonts w:ascii="Times New Roman" w:hint="eastAsia"/>
          <w:bCs/>
          <w:snapToGrid/>
          <w:spacing w:val="200"/>
          <w:kern w:val="0"/>
          <w:sz w:val="36"/>
        </w:rPr>
        <w:t>糾正案文</w:t>
      </w:r>
    </w:p>
    <w:p w:rsidR="00EC01E8" w:rsidRDefault="00EC01E8" w:rsidP="004B15EE">
      <w:pPr>
        <w:pStyle w:val="1"/>
        <w:overflowPunct w:val="0"/>
        <w:ind w:left="2534" w:hanging="2534"/>
        <w:rPr>
          <w:rFonts w:ascii="Times New Roman" w:hAnsi="Times New Roman"/>
        </w:rPr>
      </w:pPr>
      <w:r>
        <w:rPr>
          <w:rFonts w:ascii="Times New Roman" w:hAnsi="Times New Roman" w:hint="eastAsia"/>
        </w:rPr>
        <w:t>被糾正機關：</w:t>
      </w:r>
      <w:r>
        <w:rPr>
          <w:rFonts w:hint="eastAsia"/>
        </w:rPr>
        <w:t>衛生福利部及所屬</w:t>
      </w:r>
      <w:r w:rsidRPr="00CD0732">
        <w:rPr>
          <w:rFonts w:hint="eastAsia"/>
        </w:rPr>
        <w:t>食品藥物管理</w:t>
      </w:r>
      <w:r>
        <w:rPr>
          <w:rFonts w:hint="eastAsia"/>
        </w:rPr>
        <w:t>署</w:t>
      </w:r>
      <w:r>
        <w:rPr>
          <w:rFonts w:ascii="Times New Roman" w:hAnsi="Times New Roman" w:hint="eastAsia"/>
          <w:noProof/>
        </w:rPr>
        <w:t>。</w:t>
      </w:r>
    </w:p>
    <w:p w:rsidR="00EC01E8" w:rsidRDefault="00EC01E8" w:rsidP="004B15EE">
      <w:pPr>
        <w:pStyle w:val="1"/>
        <w:overflowPunct w:val="0"/>
        <w:ind w:left="2520" w:hanging="2520"/>
        <w:rPr>
          <w:rFonts w:ascii="Times New Roman" w:hAnsi="Times New Roman"/>
        </w:rPr>
      </w:pPr>
      <w:r>
        <w:rPr>
          <w:rFonts w:ascii="Times New Roman" w:hAnsi="Times New Roman" w:hint="eastAsia"/>
        </w:rPr>
        <w:t xml:space="preserve">案　　</w:t>
      </w:r>
      <w:r>
        <w:rPr>
          <w:rFonts w:ascii="Times New Roman" w:hAnsi="Times New Roman" w:hint="eastAsia"/>
        </w:rPr>
        <w:t xml:space="preserve">  </w:t>
      </w:r>
      <w:r>
        <w:rPr>
          <w:rFonts w:ascii="Times New Roman" w:hAnsi="Times New Roman" w:hint="eastAsia"/>
        </w:rPr>
        <w:t>由：</w:t>
      </w:r>
      <w:r>
        <w:rPr>
          <w:rFonts w:hint="eastAsia"/>
        </w:rPr>
        <w:t>衛生福利部</w:t>
      </w:r>
      <w:r w:rsidRPr="00EC01E8">
        <w:rPr>
          <w:rFonts w:hint="eastAsia"/>
        </w:rPr>
        <w:t>罔顧</w:t>
      </w:r>
      <w:r w:rsidR="0078710E">
        <w:rPr>
          <w:rFonts w:hint="eastAsia"/>
        </w:rPr>
        <w:t>食品</w:t>
      </w:r>
      <w:r w:rsidRPr="00EC01E8">
        <w:rPr>
          <w:rFonts w:hint="eastAsia"/>
        </w:rPr>
        <w:t>主管機關之法定權責，推諉塞責</w:t>
      </w:r>
      <w:r>
        <w:rPr>
          <w:rFonts w:hint="eastAsia"/>
        </w:rPr>
        <w:t>；</w:t>
      </w:r>
      <w:r w:rsidR="0078710E">
        <w:rPr>
          <w:rFonts w:hint="eastAsia"/>
        </w:rPr>
        <w:t>而</w:t>
      </w:r>
      <w:r w:rsidRPr="00CD0732">
        <w:rPr>
          <w:rFonts w:hint="eastAsia"/>
        </w:rPr>
        <w:t>食品藥物管理</w:t>
      </w:r>
      <w:r>
        <w:rPr>
          <w:rFonts w:hint="eastAsia"/>
        </w:rPr>
        <w:t>署</w:t>
      </w:r>
      <w:r w:rsidR="0078710E">
        <w:rPr>
          <w:rFonts w:hint="eastAsia"/>
        </w:rPr>
        <w:t>明</w:t>
      </w:r>
      <w:r w:rsidRPr="00EC01E8">
        <w:rPr>
          <w:rFonts w:hint="eastAsia"/>
        </w:rPr>
        <w:t>知食鹽含鉀-40輻射量偏高，</w:t>
      </w:r>
      <w:r w:rsidR="0078710E">
        <w:rPr>
          <w:rFonts w:hint="eastAsia"/>
        </w:rPr>
        <w:t>竟</w:t>
      </w:r>
      <w:r w:rsidRPr="00EC01E8">
        <w:rPr>
          <w:rFonts w:hint="eastAsia"/>
        </w:rPr>
        <w:t>未迅即</w:t>
      </w:r>
      <w:r w:rsidR="0078710E">
        <w:rPr>
          <w:rFonts w:hint="eastAsia"/>
        </w:rPr>
        <w:t>處理</w:t>
      </w:r>
      <w:r w:rsidRPr="00EC01E8">
        <w:rPr>
          <w:rFonts w:hint="eastAsia"/>
        </w:rPr>
        <w:t>，亦未進行風險評估作業</w:t>
      </w:r>
      <w:r w:rsidR="0078710E">
        <w:rPr>
          <w:rFonts w:hint="eastAsia"/>
        </w:rPr>
        <w:t>；且</w:t>
      </w:r>
      <w:r w:rsidR="002011AF">
        <w:rPr>
          <w:rFonts w:hint="eastAsia"/>
        </w:rPr>
        <w:t>該署</w:t>
      </w:r>
      <w:r w:rsidR="0078710E" w:rsidRPr="0078710E">
        <w:rPr>
          <w:rFonts w:hint="eastAsia"/>
        </w:rPr>
        <w:t>就</w:t>
      </w:r>
      <w:r w:rsidR="002011AF">
        <w:rPr>
          <w:rFonts w:hint="eastAsia"/>
        </w:rPr>
        <w:t>市售</w:t>
      </w:r>
      <w:r w:rsidR="0078710E" w:rsidRPr="0078710E">
        <w:rPr>
          <w:rFonts w:hint="eastAsia"/>
        </w:rPr>
        <w:t>產品名稱標示「健康」2字之非認證健康食品，卻為偏袒廠商之有利解釋</w:t>
      </w:r>
      <w:r>
        <w:rPr>
          <w:rFonts w:ascii="Times New Roman" w:hAnsi="Times New Roman" w:hint="eastAsia"/>
          <w:noProof/>
        </w:rPr>
        <w:t>等情</w:t>
      </w:r>
      <w:r w:rsidRPr="00662F26">
        <w:rPr>
          <w:rFonts w:hint="eastAsia"/>
        </w:rPr>
        <w:t>，</w:t>
      </w:r>
      <w:r>
        <w:rPr>
          <w:rFonts w:ascii="Times New Roman" w:hAnsi="Times New Roman" w:hint="eastAsia"/>
          <w:noProof/>
        </w:rPr>
        <w:t>經核均有疏</w:t>
      </w:r>
      <w:r w:rsidRPr="001A6734">
        <w:rPr>
          <w:rFonts w:ascii="Times New Roman" w:hAnsi="Times New Roman" w:hint="eastAsia"/>
          <w:noProof/>
        </w:rPr>
        <w:t>失</w:t>
      </w:r>
      <w:r>
        <w:rPr>
          <w:rFonts w:ascii="Times New Roman" w:hAnsi="Times New Roman" w:hint="eastAsia"/>
          <w:color w:val="000000"/>
        </w:rPr>
        <w:t>，爰依法提案糾正</w:t>
      </w:r>
      <w:r>
        <w:rPr>
          <w:rFonts w:ascii="Times New Roman" w:hAnsi="Times New Roman" w:hint="eastAsia"/>
        </w:rPr>
        <w:t>。</w:t>
      </w:r>
    </w:p>
    <w:p w:rsidR="00EC01E8" w:rsidRDefault="00EC01E8" w:rsidP="004B15EE">
      <w:pPr>
        <w:pStyle w:val="1"/>
        <w:overflowPunct w:val="0"/>
        <w:ind w:left="2381" w:hanging="2381"/>
        <w:rPr>
          <w:rFonts w:ascii="Times New Roman" w:hAnsi="Times New Roman"/>
        </w:rPr>
      </w:pPr>
      <w:r>
        <w:rPr>
          <w:rFonts w:ascii="Times New Roman" w:hAnsi="Times New Roman" w:hint="eastAsia"/>
        </w:rPr>
        <w:t>事實與理由：</w:t>
      </w:r>
      <w:r>
        <w:rPr>
          <w:rFonts w:ascii="Times New Roman" w:hAnsi="Times New Roman" w:hint="eastAsia"/>
        </w:rPr>
        <w:t xml:space="preserve"> </w:t>
      </w:r>
    </w:p>
    <w:p w:rsidR="00255E08" w:rsidRDefault="00996FA6" w:rsidP="004B15EE">
      <w:pPr>
        <w:pStyle w:val="10"/>
        <w:overflowPunct w:val="0"/>
        <w:ind w:left="680" w:firstLine="680"/>
        <w:rPr>
          <w:bCs/>
        </w:rPr>
      </w:pPr>
      <w:bookmarkStart w:id="0" w:name="_Toc524902730"/>
      <w:r w:rsidRPr="00996FA6">
        <w:rPr>
          <w:rFonts w:hint="eastAsia"/>
          <w:bCs/>
        </w:rPr>
        <w:t>據訴，臺鹽實業股份有限公司</w:t>
      </w:r>
      <w:r w:rsidR="008168F2" w:rsidRPr="000C4F09">
        <w:rPr>
          <w:rFonts w:hint="eastAsia"/>
        </w:rPr>
        <w:t>(下稱</w:t>
      </w:r>
      <w:r w:rsidR="008168F2" w:rsidRPr="00996FA6">
        <w:rPr>
          <w:rFonts w:hint="eastAsia"/>
          <w:bCs/>
        </w:rPr>
        <w:t>臺鹽公司</w:t>
      </w:r>
      <w:r w:rsidR="008168F2" w:rsidRPr="000C4F09">
        <w:rPr>
          <w:rFonts w:hint="eastAsia"/>
        </w:rPr>
        <w:t>)</w:t>
      </w:r>
      <w:r w:rsidRPr="00996FA6">
        <w:rPr>
          <w:rFonts w:hint="eastAsia"/>
          <w:bCs/>
        </w:rPr>
        <w:t>生產的「健康減鈉鹽」，非衛生福利部</w:t>
      </w:r>
      <w:r w:rsidR="008168F2" w:rsidRPr="000C4F09">
        <w:rPr>
          <w:rFonts w:hint="eastAsia"/>
        </w:rPr>
        <w:t>(下稱衛福部)</w:t>
      </w:r>
      <w:r w:rsidRPr="00996FA6">
        <w:rPr>
          <w:rFonts w:hint="eastAsia"/>
          <w:bCs/>
        </w:rPr>
        <w:t>核准在案之「健康食品」，其高鉀含量對腎病變者可能造成健康風險。該產品使用「健康」二字作為產品名稱是否有誤導消費者之虞？衛福部食品藥物管理署</w:t>
      </w:r>
      <w:r w:rsidR="008168F2" w:rsidRPr="000C4F09">
        <w:rPr>
          <w:rFonts w:hint="eastAsia"/>
        </w:rPr>
        <w:t>(下稱食藥署)</w:t>
      </w:r>
      <w:r w:rsidRPr="00996FA6">
        <w:rPr>
          <w:rFonts w:hint="eastAsia"/>
          <w:bCs/>
        </w:rPr>
        <w:t>對於一般食品，容許廠商自行使用「健康」二字為產品名稱，以吸引消費者購買，是否有過於寬鬆致食安漏洞，而使民眾權益受損者？此外，針對飲食中人為添加及濃縮的天然放射性物質如何管制，實有詳究之必要。</w:t>
      </w:r>
      <w:r w:rsidRPr="000C4F09">
        <w:rPr>
          <w:rFonts w:hint="eastAsia"/>
          <w:bCs/>
        </w:rPr>
        <w:t>案經</w:t>
      </w:r>
      <w:r w:rsidRPr="000C4F09">
        <w:rPr>
          <w:rFonts w:hint="eastAsia"/>
        </w:rPr>
        <w:t>本院向</w:t>
      </w:r>
      <w:r w:rsidR="008168F2">
        <w:rPr>
          <w:rFonts w:hint="eastAsia"/>
        </w:rPr>
        <w:t>行政院原子能</w:t>
      </w:r>
      <w:r w:rsidRPr="000C4F09">
        <w:rPr>
          <w:rFonts w:hint="eastAsia"/>
        </w:rPr>
        <w:t>委員會(下稱</w:t>
      </w:r>
      <w:r w:rsidR="008168F2">
        <w:rPr>
          <w:rFonts w:hint="eastAsia"/>
        </w:rPr>
        <w:t>原能</w:t>
      </w:r>
      <w:r w:rsidRPr="000C4F09">
        <w:rPr>
          <w:rFonts w:hint="eastAsia"/>
        </w:rPr>
        <w:t>會)、衛福部食藥署</w:t>
      </w:r>
      <w:r w:rsidRPr="000C4F09">
        <w:rPr>
          <w:rFonts w:hint="eastAsia"/>
          <w:bCs/>
        </w:rPr>
        <w:t>、</w:t>
      </w:r>
      <w:r w:rsidR="008168F2">
        <w:rPr>
          <w:rFonts w:hint="eastAsia"/>
          <w:bCs/>
        </w:rPr>
        <w:t>經濟部(含</w:t>
      </w:r>
      <w:r w:rsidRPr="000C4F09">
        <w:rPr>
          <w:rFonts w:hint="eastAsia"/>
          <w:bCs/>
        </w:rPr>
        <w:t>臺</w:t>
      </w:r>
      <w:r w:rsidR="008168F2" w:rsidRPr="00996FA6">
        <w:rPr>
          <w:rFonts w:hint="eastAsia"/>
          <w:bCs/>
        </w:rPr>
        <w:t>鹽公司</w:t>
      </w:r>
      <w:r w:rsidR="008168F2">
        <w:rPr>
          <w:rFonts w:hint="eastAsia"/>
          <w:bCs/>
        </w:rPr>
        <w:t>)</w:t>
      </w:r>
      <w:r w:rsidRPr="000C4F09">
        <w:rPr>
          <w:rFonts w:hint="eastAsia"/>
        </w:rPr>
        <w:t>調閱相關卷證資料，並於民國(下同)</w:t>
      </w:r>
      <w:r w:rsidR="003D7760" w:rsidRPr="003D7760">
        <w:rPr>
          <w:rFonts w:hint="eastAsia"/>
        </w:rPr>
        <w:t xml:space="preserve"> </w:t>
      </w:r>
      <w:r w:rsidR="003D7760" w:rsidRPr="000C4F09">
        <w:rPr>
          <w:rFonts w:hint="eastAsia"/>
        </w:rPr>
        <w:t>107年</w:t>
      </w:r>
      <w:r w:rsidR="003D7760">
        <w:rPr>
          <w:rFonts w:hint="eastAsia"/>
        </w:rPr>
        <w:t>6</w:t>
      </w:r>
      <w:r w:rsidR="003D7760" w:rsidRPr="000C4F09">
        <w:rPr>
          <w:rFonts w:hint="eastAsia"/>
        </w:rPr>
        <w:t>月</w:t>
      </w:r>
      <w:r w:rsidR="003D7760">
        <w:rPr>
          <w:rFonts w:hint="eastAsia"/>
        </w:rPr>
        <w:t>6</w:t>
      </w:r>
      <w:r w:rsidR="003D7760" w:rsidRPr="000C4F09">
        <w:rPr>
          <w:rFonts w:hint="eastAsia"/>
        </w:rPr>
        <w:t>日</w:t>
      </w:r>
      <w:r w:rsidR="003D7760">
        <w:rPr>
          <w:rFonts w:hint="eastAsia"/>
        </w:rPr>
        <w:t>召開本案專家學者諮詢會議，嗣於</w:t>
      </w:r>
      <w:r w:rsidRPr="000C4F09">
        <w:rPr>
          <w:rFonts w:hint="eastAsia"/>
        </w:rPr>
        <w:t>107年</w:t>
      </w:r>
      <w:r w:rsidR="008168F2">
        <w:rPr>
          <w:rFonts w:hint="eastAsia"/>
        </w:rPr>
        <w:t>7</w:t>
      </w:r>
      <w:r w:rsidRPr="000C4F09">
        <w:rPr>
          <w:rFonts w:hint="eastAsia"/>
        </w:rPr>
        <w:t>月</w:t>
      </w:r>
      <w:r w:rsidR="008168F2">
        <w:rPr>
          <w:rFonts w:hint="eastAsia"/>
        </w:rPr>
        <w:t>5</w:t>
      </w:r>
      <w:r w:rsidRPr="000C4F09">
        <w:rPr>
          <w:rFonts w:hint="eastAsia"/>
        </w:rPr>
        <w:t>日詢問</w:t>
      </w:r>
      <w:r w:rsidR="00CD3023">
        <w:rPr>
          <w:rFonts w:hint="eastAsia"/>
        </w:rPr>
        <w:t>原能</w:t>
      </w:r>
      <w:r w:rsidRPr="000C4F09">
        <w:rPr>
          <w:rFonts w:hint="eastAsia"/>
        </w:rPr>
        <w:t>會</w:t>
      </w:r>
      <w:r w:rsidR="00A76EA3">
        <w:rPr>
          <w:rFonts w:hint="eastAsia"/>
        </w:rPr>
        <w:t>邱副主任委員</w:t>
      </w:r>
      <w:r w:rsidR="00A76EA3" w:rsidRPr="000C4F09">
        <w:rPr>
          <w:rFonts w:hint="eastAsia"/>
        </w:rPr>
        <w:t>、食藥署</w:t>
      </w:r>
      <w:r w:rsidR="00A76EA3">
        <w:rPr>
          <w:rFonts w:hint="eastAsia"/>
        </w:rPr>
        <w:t>吳署長，復於</w:t>
      </w:r>
      <w:r w:rsidR="00A76EA3" w:rsidRPr="000C4F09">
        <w:rPr>
          <w:rFonts w:hint="eastAsia"/>
        </w:rPr>
        <w:t>107年</w:t>
      </w:r>
      <w:r w:rsidR="00A76EA3">
        <w:rPr>
          <w:rFonts w:hint="eastAsia"/>
        </w:rPr>
        <w:t>8</w:t>
      </w:r>
      <w:r w:rsidR="00A76EA3" w:rsidRPr="000C4F09">
        <w:rPr>
          <w:rFonts w:hint="eastAsia"/>
        </w:rPr>
        <w:t>月</w:t>
      </w:r>
      <w:r w:rsidR="00A76EA3">
        <w:rPr>
          <w:rFonts w:hint="eastAsia"/>
        </w:rPr>
        <w:t>2</w:t>
      </w:r>
      <w:r w:rsidR="00A76EA3" w:rsidRPr="000C4F09">
        <w:rPr>
          <w:rFonts w:hint="eastAsia"/>
        </w:rPr>
        <w:t>日詢問</w:t>
      </w:r>
      <w:r w:rsidR="00A76EA3">
        <w:rPr>
          <w:rFonts w:hint="eastAsia"/>
        </w:rPr>
        <w:t>行政院食品安全辦公室許主任</w:t>
      </w:r>
      <w:r w:rsidRPr="000C4F09">
        <w:rPr>
          <w:rFonts w:hint="eastAsia"/>
        </w:rPr>
        <w:t>等相關主管人員，茲已調查竣事，爰綜整</w:t>
      </w:r>
      <w:r w:rsidR="00CA54F1" w:rsidRPr="000C4F09">
        <w:rPr>
          <w:rFonts w:hint="eastAsia"/>
        </w:rPr>
        <w:t>衛福部</w:t>
      </w:r>
      <w:r w:rsidR="00CA54F1">
        <w:rPr>
          <w:rFonts w:hint="eastAsia"/>
        </w:rPr>
        <w:t>及</w:t>
      </w:r>
      <w:r w:rsidR="00CA54F1" w:rsidRPr="000C4F09">
        <w:rPr>
          <w:rFonts w:hint="eastAsia"/>
        </w:rPr>
        <w:t>食藥署</w:t>
      </w:r>
      <w:r w:rsidR="00CA54F1">
        <w:rPr>
          <w:rFonts w:hint="eastAsia"/>
        </w:rPr>
        <w:t>涉有疏失部分</w:t>
      </w:r>
      <w:r w:rsidRPr="000C4F09">
        <w:rPr>
          <w:rFonts w:hint="eastAsia"/>
        </w:rPr>
        <w:t>如下</w:t>
      </w:r>
      <w:r w:rsidR="00CD3023">
        <w:rPr>
          <w:rFonts w:hint="eastAsia"/>
        </w:rPr>
        <w:t>：</w:t>
      </w:r>
    </w:p>
    <w:p w:rsidR="003A2896" w:rsidRPr="00974E6C" w:rsidRDefault="003A2896" w:rsidP="003A2896">
      <w:pPr>
        <w:pStyle w:val="2"/>
        <w:overflowPunct w:val="0"/>
        <w:rPr>
          <w:b/>
        </w:rPr>
      </w:pPr>
      <w:bookmarkStart w:id="1" w:name="_Toc524895648"/>
      <w:bookmarkStart w:id="2" w:name="_Toc524896194"/>
      <w:bookmarkStart w:id="3" w:name="_Toc524896224"/>
      <w:bookmarkStart w:id="4" w:name="_Toc524902734"/>
      <w:bookmarkStart w:id="5" w:name="_Toc525066148"/>
      <w:bookmarkStart w:id="6" w:name="_Toc525070839"/>
      <w:bookmarkStart w:id="7" w:name="_Toc525938379"/>
      <w:bookmarkStart w:id="8" w:name="_Toc525939227"/>
      <w:bookmarkStart w:id="9" w:name="_Toc525939732"/>
      <w:bookmarkStart w:id="10" w:name="_Toc529218272"/>
      <w:bookmarkStart w:id="11" w:name="_Toc529222689"/>
      <w:bookmarkStart w:id="12" w:name="_Toc529223111"/>
      <w:bookmarkStart w:id="13" w:name="_Toc529223862"/>
      <w:bookmarkStart w:id="14" w:name="_Toc529228265"/>
      <w:bookmarkStart w:id="15" w:name="_Toc2400395"/>
      <w:bookmarkStart w:id="16" w:name="_Toc4316189"/>
      <w:bookmarkStart w:id="17" w:name="_Toc4473330"/>
      <w:bookmarkStart w:id="18" w:name="_Toc69556897"/>
      <w:bookmarkStart w:id="19" w:name="_Toc69556946"/>
      <w:bookmarkStart w:id="20" w:name="_Toc69609820"/>
      <w:bookmarkStart w:id="21" w:name="_Toc70241816"/>
      <w:bookmarkStart w:id="22" w:name="_Toc70242205"/>
      <w:bookmarkEnd w:id="0"/>
      <w:r w:rsidRPr="00432D2A">
        <w:rPr>
          <w:rFonts w:hint="eastAsia"/>
          <w:b/>
        </w:rPr>
        <w:t>衛福部</w:t>
      </w:r>
      <w:r>
        <w:rPr>
          <w:rFonts w:hint="eastAsia"/>
          <w:b/>
        </w:rPr>
        <w:t>囿於狹隘之本位主義，罔顧</w:t>
      </w:r>
      <w:r w:rsidRPr="006B119D">
        <w:rPr>
          <w:rFonts w:hint="eastAsia"/>
          <w:b/>
        </w:rPr>
        <w:t>主管機關之</w:t>
      </w:r>
      <w:r>
        <w:rPr>
          <w:rFonts w:hint="eastAsia"/>
          <w:b/>
        </w:rPr>
        <w:t>法定</w:t>
      </w:r>
      <w:r w:rsidRPr="006B119D">
        <w:rPr>
          <w:rFonts w:hint="eastAsia"/>
          <w:b/>
        </w:rPr>
        <w:t>權責</w:t>
      </w:r>
      <w:r>
        <w:rPr>
          <w:rFonts w:hint="eastAsia"/>
          <w:b/>
        </w:rPr>
        <w:t>，就食鹽添加物中含</w:t>
      </w:r>
      <w:r w:rsidRPr="00474B30">
        <w:rPr>
          <w:rFonts w:hint="eastAsia"/>
          <w:b/>
        </w:rPr>
        <w:t>天然放射性物質</w:t>
      </w:r>
      <w:r>
        <w:rPr>
          <w:rFonts w:hint="eastAsia"/>
          <w:b/>
        </w:rPr>
        <w:t>鉀-40之管理，推諉塞責，殊有欠當。</w:t>
      </w:r>
    </w:p>
    <w:p w:rsidR="003A2896" w:rsidRDefault="003A2896" w:rsidP="003A2896">
      <w:pPr>
        <w:pStyle w:val="3"/>
        <w:overflowPunct w:val="0"/>
        <w:ind w:left="1360" w:hanging="680"/>
      </w:pPr>
      <w:r w:rsidRPr="0063019B">
        <w:rPr>
          <w:rFonts w:hint="eastAsia"/>
        </w:rPr>
        <w:lastRenderedPageBreak/>
        <w:tab/>
        <w:t>按食品安全衛生管理法</w:t>
      </w:r>
      <w:r>
        <w:rPr>
          <w:rFonts w:hint="eastAsia"/>
        </w:rPr>
        <w:t>(下稱食安法)</w:t>
      </w:r>
      <w:r w:rsidRPr="00683ADB">
        <w:rPr>
          <w:rFonts w:hAnsi="標楷體" w:hint="eastAsia"/>
          <w:color w:val="000000"/>
          <w:szCs w:val="32"/>
        </w:rPr>
        <w:t>第2條規定：</w:t>
      </w:r>
      <w:r>
        <w:rPr>
          <w:rFonts w:hAnsi="標楷體" w:hint="eastAsia"/>
          <w:color w:val="000000"/>
          <w:szCs w:val="32"/>
        </w:rPr>
        <w:t>「</w:t>
      </w:r>
      <w:r w:rsidRPr="00683ADB">
        <w:rPr>
          <w:rFonts w:hAnsi="標楷體" w:hint="eastAsia"/>
          <w:color w:val="000000"/>
          <w:szCs w:val="32"/>
        </w:rPr>
        <w:t>本法所稱主管機關：在中央為衛生福利主管機關；在直轄市為直轄市政府；在縣（市）為縣（市）政府。</w:t>
      </w:r>
      <w:r>
        <w:rPr>
          <w:rFonts w:hAnsi="標楷體" w:hint="eastAsia"/>
          <w:color w:val="000000"/>
          <w:szCs w:val="32"/>
        </w:rPr>
        <w:t>」同法</w:t>
      </w:r>
      <w:r w:rsidRPr="0063019B">
        <w:rPr>
          <w:rFonts w:hint="eastAsia"/>
        </w:rPr>
        <w:t>第15條</w:t>
      </w:r>
      <w:r w:rsidRPr="00641107">
        <w:rPr>
          <w:rFonts w:hAnsi="標楷體" w:hint="eastAsia"/>
          <w:color w:val="000000"/>
          <w:szCs w:val="32"/>
        </w:rPr>
        <w:t>第1項第6款</w:t>
      </w:r>
      <w:r>
        <w:rPr>
          <w:rFonts w:hAnsi="標楷體" w:hint="eastAsia"/>
          <w:color w:val="000000"/>
          <w:szCs w:val="32"/>
        </w:rPr>
        <w:t>亦</w:t>
      </w:r>
      <w:r w:rsidRPr="0063019B">
        <w:rPr>
          <w:rFonts w:hint="eastAsia"/>
        </w:rPr>
        <w:t>規定，食品或食品添加物中有毒或含有害人體健康之物質或異物、或受原子塵或放射性污染而含量超過安全容許量、或添加未經中央主管機關許可之添加物者，不得製造、加工、調配、包裝、運送、貯存、販賣、輸入、輸出、作為贈品或公開陳列。</w:t>
      </w:r>
    </w:p>
    <w:p w:rsidR="003A2896" w:rsidRDefault="003A2896" w:rsidP="003A2896">
      <w:pPr>
        <w:pStyle w:val="3"/>
        <w:overflowPunct w:val="0"/>
        <w:ind w:left="1360" w:hanging="680"/>
      </w:pPr>
      <w:r>
        <w:rPr>
          <w:rFonts w:hint="eastAsia"/>
        </w:rPr>
        <w:t>查食藥署</w:t>
      </w:r>
      <w:r w:rsidRPr="00D63BFF">
        <w:rPr>
          <w:rFonts w:hint="eastAsia"/>
        </w:rPr>
        <w:t>就含天然放射性物質食品之管理</w:t>
      </w:r>
      <w:r>
        <w:rPr>
          <w:rFonts w:hint="eastAsia"/>
        </w:rPr>
        <w:t>權責</w:t>
      </w:r>
      <w:r w:rsidRPr="00D63BFF">
        <w:rPr>
          <w:rFonts w:hint="eastAsia"/>
        </w:rPr>
        <w:t>，</w:t>
      </w:r>
      <w:r>
        <w:rPr>
          <w:rFonts w:hint="eastAsia"/>
        </w:rPr>
        <w:t>兩度查復本院，略以：</w:t>
      </w:r>
    </w:p>
    <w:p w:rsidR="003A2896" w:rsidRDefault="003A2896" w:rsidP="003A2896">
      <w:pPr>
        <w:pStyle w:val="4"/>
        <w:overflowPunct w:val="0"/>
        <w:ind w:left="1700" w:hanging="680"/>
      </w:pPr>
      <w:r w:rsidRPr="00483E3D">
        <w:rPr>
          <w:rFonts w:hint="eastAsia"/>
        </w:rPr>
        <w:t>107年4月26日</w:t>
      </w:r>
      <w:r>
        <w:rPr>
          <w:rFonts w:hint="eastAsia"/>
        </w:rPr>
        <w:t>查復本院之函文</w:t>
      </w:r>
      <w:r>
        <w:rPr>
          <w:rStyle w:val="af2"/>
        </w:rPr>
        <w:footnoteReference w:id="1"/>
      </w:r>
      <w:r>
        <w:rPr>
          <w:rFonts w:hint="eastAsia"/>
        </w:rPr>
        <w:t>指出：有關</w:t>
      </w:r>
      <w:r w:rsidRPr="00F13B05">
        <w:rPr>
          <w:rFonts w:hint="eastAsia"/>
        </w:rPr>
        <w:t>「食品中原子塵或放射能污染容許量標準」係針對來源可控制之人工放射性核種訂定限制，與國際</w:t>
      </w:r>
      <w:r>
        <w:rPr>
          <w:rFonts w:hint="eastAsia"/>
        </w:rPr>
        <w:t>間</w:t>
      </w:r>
      <w:r w:rsidRPr="00F13B05">
        <w:rPr>
          <w:rFonts w:hint="eastAsia"/>
        </w:rPr>
        <w:t>針對食品之管理原則及管制對象相同;而</w:t>
      </w:r>
      <w:r w:rsidRPr="00FF23B6">
        <w:rPr>
          <w:rFonts w:hint="eastAsia"/>
          <w:b/>
        </w:rPr>
        <w:t>天然放射性物質，本為「游離輻射防護法」所轄範疇</w:t>
      </w:r>
      <w:r w:rsidRPr="00F13B05">
        <w:rPr>
          <w:rFonts w:hint="eastAsia"/>
        </w:rPr>
        <w:t>，</w:t>
      </w:r>
      <w:r>
        <w:rPr>
          <w:rFonts w:hint="eastAsia"/>
        </w:rPr>
        <w:t>該等物質非屬核污染或輻射污染事件所致，國際間亦未納入食品污染物管理，故不在該署所訂標準之範疇。</w:t>
      </w:r>
    </w:p>
    <w:p w:rsidR="003A2896" w:rsidRPr="00432D2A" w:rsidRDefault="003A2896" w:rsidP="003A2896">
      <w:pPr>
        <w:pStyle w:val="4"/>
        <w:overflowPunct w:val="0"/>
        <w:ind w:left="1700" w:hanging="680"/>
        <w:rPr>
          <w:b/>
        </w:rPr>
      </w:pPr>
      <w:r w:rsidRPr="00483E3D">
        <w:rPr>
          <w:rFonts w:hint="eastAsia"/>
        </w:rPr>
        <w:t>107年5月16日</w:t>
      </w:r>
      <w:r>
        <w:rPr>
          <w:rFonts w:hint="eastAsia"/>
        </w:rPr>
        <w:t>查復本院之函文</w:t>
      </w:r>
      <w:r>
        <w:rPr>
          <w:rStyle w:val="af2"/>
        </w:rPr>
        <w:footnoteReference w:id="2"/>
      </w:r>
      <w:r>
        <w:rPr>
          <w:rFonts w:hint="eastAsia"/>
        </w:rPr>
        <w:t>亦指出：有關食品放射性物質之管理， 食安法為特別法，應優先適用，惟於食安法未規定之事項，仍應回歸適用游離輻射防護法之規定。原能會主管職責包括環境中天然輻射之偵測事項，且</w:t>
      </w:r>
      <w:r w:rsidRPr="00A2024D">
        <w:rPr>
          <w:rFonts w:hint="eastAsia"/>
        </w:rPr>
        <w:t>「天然放射性物質管理辦法」規範對象中，即已包含「商品」且未明文排除「食品」</w:t>
      </w:r>
      <w:r>
        <w:rPr>
          <w:rFonts w:hint="eastAsia"/>
        </w:rPr>
        <w:t>，</w:t>
      </w:r>
      <w:r w:rsidRPr="00A2024D">
        <w:rPr>
          <w:rFonts w:hint="eastAsia"/>
        </w:rPr>
        <w:t>是</w:t>
      </w:r>
      <w:r>
        <w:rPr>
          <w:rFonts w:hint="eastAsia"/>
        </w:rPr>
        <w:t>以</w:t>
      </w:r>
      <w:r w:rsidRPr="00A2024D">
        <w:rPr>
          <w:rFonts w:hint="eastAsia"/>
        </w:rPr>
        <w:t>食品中天然放射性物質之管理，如逕行適用前開辦法有關商品之規定，並無窒礙</w:t>
      </w:r>
      <w:r>
        <w:rPr>
          <w:rFonts w:hint="eastAsia"/>
        </w:rPr>
        <w:t>。</w:t>
      </w:r>
    </w:p>
    <w:p w:rsidR="003A2896" w:rsidRPr="00D54DC5" w:rsidRDefault="003A2896" w:rsidP="003A2896">
      <w:pPr>
        <w:pStyle w:val="3"/>
        <w:overflowPunct w:val="0"/>
        <w:ind w:left="1360" w:hanging="680"/>
        <w:rPr>
          <w:b/>
        </w:rPr>
      </w:pPr>
      <w:r>
        <w:rPr>
          <w:rFonts w:hint="eastAsia"/>
        </w:rPr>
        <w:lastRenderedPageBreak/>
        <w:t>惟查行政院食品安全辦公室回復本院詢問指出：</w:t>
      </w:r>
      <w:r w:rsidRPr="003C1640">
        <w:rPr>
          <w:rFonts w:ascii="Times New Roman" w:hAnsi="Times New Roman"/>
          <w:szCs w:val="32"/>
        </w:rPr>
        <w:t>依據食安法，衛福部負責管理食品衛生安全及品質，並維護國民健康，對於</w:t>
      </w:r>
      <w:r w:rsidRPr="003C1640">
        <w:rPr>
          <w:rFonts w:ascii="Times New Roman" w:hAnsi="Times New Roman" w:hint="eastAsia"/>
          <w:szCs w:val="32"/>
        </w:rPr>
        <w:t>減鈉鹽</w:t>
      </w:r>
      <w:r>
        <w:rPr>
          <w:rFonts w:ascii="Times New Roman" w:hAnsi="Times New Roman" w:hint="eastAsia"/>
          <w:szCs w:val="32"/>
        </w:rPr>
        <w:t>中所添加之氯化鉀屬該部所核准供作營養添加劑及調味劑之食品添加物，爰</w:t>
      </w:r>
      <w:r w:rsidRPr="003C1640">
        <w:rPr>
          <w:rFonts w:ascii="Times New Roman" w:hAnsi="Times New Roman" w:hint="eastAsia"/>
          <w:szCs w:val="32"/>
        </w:rPr>
        <w:t>食品中</w:t>
      </w:r>
      <w:r>
        <w:rPr>
          <w:rFonts w:ascii="Times New Roman" w:hAnsi="Times New Roman" w:hint="eastAsia"/>
          <w:szCs w:val="32"/>
        </w:rPr>
        <w:t>含</w:t>
      </w:r>
      <w:r w:rsidRPr="003C1640">
        <w:rPr>
          <w:rFonts w:ascii="Times New Roman" w:hAnsi="Times New Roman" w:hint="eastAsia"/>
          <w:szCs w:val="32"/>
        </w:rPr>
        <w:t>天然</w:t>
      </w:r>
      <w:r w:rsidRPr="00D63BFF">
        <w:rPr>
          <w:rFonts w:hint="eastAsia"/>
        </w:rPr>
        <w:t>放射性物質</w:t>
      </w:r>
      <w:r w:rsidRPr="003C1640">
        <w:rPr>
          <w:rFonts w:ascii="Times New Roman" w:hAnsi="Times New Roman" w:hint="eastAsia"/>
          <w:szCs w:val="32"/>
        </w:rPr>
        <w:t>鉀</w:t>
      </w:r>
      <w:r w:rsidRPr="003C1640">
        <w:rPr>
          <w:rFonts w:ascii="Times New Roman" w:hAnsi="Times New Roman" w:hint="eastAsia"/>
          <w:szCs w:val="32"/>
        </w:rPr>
        <w:t>-40</w:t>
      </w:r>
      <w:r w:rsidRPr="003C1640">
        <w:rPr>
          <w:rFonts w:ascii="Times New Roman" w:hAnsi="Times New Roman" w:hint="eastAsia"/>
          <w:szCs w:val="32"/>
        </w:rPr>
        <w:t>之管理應屬衛福部權責</w:t>
      </w:r>
      <w:r>
        <w:rPr>
          <w:rFonts w:ascii="Times New Roman" w:hAnsi="Times New Roman" w:hint="eastAsia"/>
          <w:szCs w:val="32"/>
        </w:rPr>
        <w:t>。</w:t>
      </w:r>
    </w:p>
    <w:p w:rsidR="003A2896" w:rsidRPr="00D54DC5" w:rsidRDefault="003A2896" w:rsidP="003A2896">
      <w:pPr>
        <w:pStyle w:val="3"/>
        <w:overflowPunct w:val="0"/>
        <w:ind w:left="1360" w:hanging="680"/>
        <w:rPr>
          <w:b/>
        </w:rPr>
      </w:pPr>
      <w:r>
        <w:rPr>
          <w:rFonts w:hint="eastAsia"/>
        </w:rPr>
        <w:t>再者，依據游離輻射防護法第4條規定：「</w:t>
      </w:r>
      <w:r w:rsidRPr="00FF23B6">
        <w:rPr>
          <w:rFonts w:hint="eastAsia"/>
          <w:b/>
        </w:rPr>
        <w:t>天然放射性物質</w:t>
      </w:r>
      <w:r>
        <w:rPr>
          <w:rFonts w:hint="eastAsia"/>
        </w:rPr>
        <w:t>、背景輻射及其所造成之曝露，</w:t>
      </w:r>
      <w:r w:rsidRPr="00FF23B6">
        <w:rPr>
          <w:rFonts w:hint="eastAsia"/>
          <w:b/>
        </w:rPr>
        <w:t>不適用本法之規定</w:t>
      </w:r>
      <w:r>
        <w:rPr>
          <w:rFonts w:hint="eastAsia"/>
        </w:rPr>
        <w:t>。</w:t>
      </w:r>
      <w:r w:rsidRPr="00FF23B6">
        <w:rPr>
          <w:rFonts w:hint="eastAsia"/>
          <w:b/>
        </w:rPr>
        <w:t>但有影響公眾安全之虞者，主管機關得經公告之程序，將其納入管理</w:t>
      </w:r>
      <w:r>
        <w:rPr>
          <w:rFonts w:hint="eastAsia"/>
        </w:rPr>
        <w:t>；其辦法，由主管機關定之。」</w:t>
      </w:r>
      <w:r w:rsidRPr="0063019B">
        <w:rPr>
          <w:rFonts w:hint="eastAsia"/>
        </w:rPr>
        <w:t>而</w:t>
      </w:r>
      <w:r w:rsidRPr="004A57F1">
        <w:rPr>
          <w:rFonts w:hint="eastAsia"/>
        </w:rPr>
        <w:t>原能會</w:t>
      </w:r>
      <w:r>
        <w:rPr>
          <w:rFonts w:hint="eastAsia"/>
        </w:rPr>
        <w:t>另行訂定之</w:t>
      </w:r>
      <w:r w:rsidRPr="004A57F1">
        <w:rPr>
          <w:rFonts w:hint="eastAsia"/>
        </w:rPr>
        <w:t>「天然放射性物質管理辦法」係為管理含有天然放射性核種之消費性用品或建材的輻射安全，並不包含農漁產品及食品</w:t>
      </w:r>
      <w:r>
        <w:rPr>
          <w:rFonts w:hint="eastAsia"/>
        </w:rPr>
        <w:t>；是以</w:t>
      </w:r>
      <w:r w:rsidRPr="003C1640">
        <w:rPr>
          <w:rFonts w:ascii="Times New Roman" w:hAnsi="Times New Roman" w:hint="eastAsia"/>
          <w:szCs w:val="32"/>
        </w:rPr>
        <w:t>衛福部</w:t>
      </w:r>
      <w:r>
        <w:rPr>
          <w:rFonts w:ascii="Times New Roman" w:hAnsi="Times New Roman" w:hint="eastAsia"/>
          <w:szCs w:val="32"/>
        </w:rPr>
        <w:t>就</w:t>
      </w:r>
      <w:r w:rsidRPr="003C1640">
        <w:rPr>
          <w:rFonts w:ascii="Times New Roman" w:hAnsi="Times New Roman" w:hint="eastAsia"/>
          <w:szCs w:val="32"/>
        </w:rPr>
        <w:t>食</w:t>
      </w:r>
      <w:r w:rsidRPr="002E00CC">
        <w:rPr>
          <w:rFonts w:hint="eastAsia"/>
        </w:rPr>
        <w:t>鹽添加物</w:t>
      </w:r>
      <w:r w:rsidRPr="003C1640">
        <w:rPr>
          <w:rFonts w:ascii="Times New Roman" w:hAnsi="Times New Roman" w:hint="eastAsia"/>
          <w:szCs w:val="32"/>
        </w:rPr>
        <w:t>中</w:t>
      </w:r>
      <w:r>
        <w:rPr>
          <w:rFonts w:ascii="Times New Roman" w:hAnsi="Times New Roman" w:hint="eastAsia"/>
          <w:szCs w:val="32"/>
        </w:rPr>
        <w:t>含</w:t>
      </w:r>
      <w:r w:rsidRPr="003C1640">
        <w:rPr>
          <w:rFonts w:ascii="Times New Roman" w:hAnsi="Times New Roman" w:hint="eastAsia"/>
          <w:szCs w:val="32"/>
        </w:rPr>
        <w:t>天然</w:t>
      </w:r>
      <w:r w:rsidRPr="00D63BFF">
        <w:rPr>
          <w:rFonts w:hint="eastAsia"/>
        </w:rPr>
        <w:t>放射性物質</w:t>
      </w:r>
      <w:r w:rsidRPr="003C1640">
        <w:rPr>
          <w:rFonts w:ascii="Times New Roman" w:hAnsi="Times New Roman" w:hint="eastAsia"/>
          <w:szCs w:val="32"/>
        </w:rPr>
        <w:t>鉀</w:t>
      </w:r>
      <w:r w:rsidRPr="003C1640">
        <w:rPr>
          <w:rFonts w:ascii="Times New Roman" w:hAnsi="Times New Roman" w:hint="eastAsia"/>
          <w:szCs w:val="32"/>
        </w:rPr>
        <w:t>-40</w:t>
      </w:r>
      <w:r w:rsidRPr="003C1640">
        <w:rPr>
          <w:rFonts w:ascii="Times New Roman" w:hAnsi="Times New Roman" w:hint="eastAsia"/>
          <w:szCs w:val="32"/>
        </w:rPr>
        <w:t>之管理</w:t>
      </w:r>
      <w:r>
        <w:rPr>
          <w:rFonts w:ascii="Times New Roman" w:hAnsi="Times New Roman" w:hint="eastAsia"/>
          <w:szCs w:val="32"/>
        </w:rPr>
        <w:t>，責無旁貸，殆無疑義。</w:t>
      </w:r>
    </w:p>
    <w:p w:rsidR="003A2896" w:rsidRDefault="003A2896" w:rsidP="003A2896">
      <w:pPr>
        <w:pStyle w:val="3"/>
        <w:overflowPunct w:val="0"/>
        <w:ind w:left="1360" w:hanging="680"/>
        <w:rPr>
          <w:b/>
        </w:rPr>
      </w:pPr>
      <w:r>
        <w:rPr>
          <w:rFonts w:hint="eastAsia"/>
        </w:rPr>
        <w:t>綜上，</w:t>
      </w:r>
      <w:r w:rsidRPr="0063019B">
        <w:rPr>
          <w:rFonts w:hint="eastAsia"/>
        </w:rPr>
        <w:t>食品安全管理之權責主管機關為衛福部，</w:t>
      </w:r>
      <w:r>
        <w:rPr>
          <w:rFonts w:hint="eastAsia"/>
        </w:rPr>
        <w:t>然該</w:t>
      </w:r>
      <w:r w:rsidRPr="00735402">
        <w:rPr>
          <w:rFonts w:hint="eastAsia"/>
        </w:rPr>
        <w:t>部</w:t>
      </w:r>
      <w:r w:rsidRPr="00513ABD">
        <w:rPr>
          <w:rFonts w:hint="eastAsia"/>
        </w:rPr>
        <w:t>囿於狹隘之本位主義，</w:t>
      </w:r>
      <w:r>
        <w:rPr>
          <w:rFonts w:hint="eastAsia"/>
        </w:rPr>
        <w:t>徒以曲解之「</w:t>
      </w:r>
      <w:r w:rsidRPr="00D3406C">
        <w:rPr>
          <w:rFonts w:hint="eastAsia"/>
        </w:rPr>
        <w:t>天然放射性物質，本為游離輻射防護法所轄範疇</w:t>
      </w:r>
      <w:r>
        <w:rPr>
          <w:rFonts w:hint="eastAsia"/>
        </w:rPr>
        <w:t>」為由，明知食安法優於</w:t>
      </w:r>
      <w:r w:rsidRPr="00F13B05">
        <w:rPr>
          <w:rFonts w:hint="eastAsia"/>
        </w:rPr>
        <w:t>游離輻射防護</w:t>
      </w:r>
      <w:r>
        <w:rPr>
          <w:rFonts w:hint="eastAsia"/>
        </w:rPr>
        <w:t>法，卻仍</w:t>
      </w:r>
      <w:r w:rsidRPr="008338D2">
        <w:rPr>
          <w:rFonts w:hint="eastAsia"/>
        </w:rPr>
        <w:t>推諉塞責</w:t>
      </w:r>
      <w:r>
        <w:rPr>
          <w:rFonts w:hint="eastAsia"/>
        </w:rPr>
        <w:t>給原能會</w:t>
      </w:r>
      <w:r w:rsidRPr="008338D2">
        <w:rPr>
          <w:rFonts w:hint="eastAsia"/>
        </w:rPr>
        <w:t>，</w:t>
      </w:r>
      <w:r>
        <w:rPr>
          <w:rFonts w:hint="eastAsia"/>
        </w:rPr>
        <w:t>規避其關於</w:t>
      </w:r>
      <w:r w:rsidRPr="003C1640">
        <w:rPr>
          <w:rFonts w:ascii="Times New Roman" w:hAnsi="Times New Roman" w:hint="eastAsia"/>
          <w:szCs w:val="32"/>
        </w:rPr>
        <w:t>食</w:t>
      </w:r>
      <w:r w:rsidRPr="002E00CC">
        <w:rPr>
          <w:rFonts w:hint="eastAsia"/>
        </w:rPr>
        <w:t>鹽添加物</w:t>
      </w:r>
      <w:r w:rsidRPr="003C1640">
        <w:rPr>
          <w:rFonts w:ascii="Times New Roman" w:hAnsi="Times New Roman" w:hint="eastAsia"/>
          <w:szCs w:val="32"/>
        </w:rPr>
        <w:t>中</w:t>
      </w:r>
      <w:r>
        <w:rPr>
          <w:rFonts w:ascii="Times New Roman" w:hAnsi="Times New Roman" w:hint="eastAsia"/>
          <w:szCs w:val="32"/>
        </w:rPr>
        <w:t>含</w:t>
      </w:r>
      <w:r w:rsidRPr="003C1640">
        <w:rPr>
          <w:rFonts w:ascii="Times New Roman" w:hAnsi="Times New Roman" w:hint="eastAsia"/>
          <w:szCs w:val="32"/>
        </w:rPr>
        <w:t>天然</w:t>
      </w:r>
      <w:r w:rsidRPr="00D63BFF">
        <w:rPr>
          <w:rFonts w:hint="eastAsia"/>
        </w:rPr>
        <w:t>放射性物質</w:t>
      </w:r>
      <w:r w:rsidRPr="003C1640">
        <w:rPr>
          <w:rFonts w:ascii="Times New Roman" w:hAnsi="Times New Roman" w:hint="eastAsia"/>
          <w:szCs w:val="32"/>
        </w:rPr>
        <w:t>鉀</w:t>
      </w:r>
      <w:r w:rsidRPr="003C1640">
        <w:rPr>
          <w:rFonts w:ascii="Times New Roman" w:hAnsi="Times New Roman" w:hint="eastAsia"/>
          <w:szCs w:val="32"/>
        </w:rPr>
        <w:t>-40</w:t>
      </w:r>
      <w:r w:rsidRPr="003C1640">
        <w:rPr>
          <w:rFonts w:ascii="Times New Roman" w:hAnsi="Times New Roman" w:hint="eastAsia"/>
          <w:szCs w:val="32"/>
        </w:rPr>
        <w:t>之</w:t>
      </w:r>
      <w:r>
        <w:rPr>
          <w:rFonts w:ascii="Times New Roman" w:hAnsi="Times New Roman" w:hint="eastAsia"/>
          <w:szCs w:val="32"/>
        </w:rPr>
        <w:t>法定</w:t>
      </w:r>
      <w:r w:rsidRPr="003C1640">
        <w:rPr>
          <w:rFonts w:ascii="Times New Roman" w:hAnsi="Times New Roman" w:hint="eastAsia"/>
          <w:szCs w:val="32"/>
        </w:rPr>
        <w:t>管理權責</w:t>
      </w:r>
      <w:r>
        <w:rPr>
          <w:rFonts w:ascii="Times New Roman" w:hAnsi="Times New Roman" w:hint="eastAsia"/>
          <w:szCs w:val="32"/>
        </w:rPr>
        <w:t>，</w:t>
      </w:r>
      <w:r w:rsidRPr="008338D2">
        <w:rPr>
          <w:rFonts w:hint="eastAsia"/>
        </w:rPr>
        <w:t>殊有欠當</w:t>
      </w:r>
      <w:r>
        <w:rPr>
          <w:rFonts w:hint="eastAsia"/>
        </w:rPr>
        <w:t>。</w:t>
      </w:r>
    </w:p>
    <w:p w:rsidR="003A2896" w:rsidRPr="004647A9" w:rsidRDefault="003A2896" w:rsidP="003A2896">
      <w:pPr>
        <w:pStyle w:val="2"/>
        <w:overflowPunct w:val="0"/>
        <w:rPr>
          <w:b/>
        </w:rPr>
      </w:pPr>
      <w:r>
        <w:rPr>
          <w:rFonts w:hint="eastAsia"/>
          <w:b/>
        </w:rPr>
        <w:t>衛福部</w:t>
      </w:r>
      <w:r w:rsidRPr="004647A9">
        <w:rPr>
          <w:rFonts w:hint="eastAsia"/>
          <w:b/>
        </w:rPr>
        <w:t>食藥署</w:t>
      </w:r>
      <w:r>
        <w:rPr>
          <w:rFonts w:hint="eastAsia"/>
          <w:b/>
        </w:rPr>
        <w:t>於知悉食</w:t>
      </w:r>
      <w:r w:rsidRPr="0090304E">
        <w:rPr>
          <w:rFonts w:hint="eastAsia"/>
          <w:b/>
        </w:rPr>
        <w:t>鹽</w:t>
      </w:r>
      <w:r>
        <w:rPr>
          <w:rFonts w:hint="eastAsia"/>
          <w:b/>
        </w:rPr>
        <w:t>添加物</w:t>
      </w:r>
      <w:r w:rsidRPr="0090304E">
        <w:rPr>
          <w:rFonts w:hint="eastAsia"/>
          <w:b/>
        </w:rPr>
        <w:t>含鉀-40</w:t>
      </w:r>
      <w:r>
        <w:rPr>
          <w:rFonts w:hint="eastAsia"/>
          <w:b/>
        </w:rPr>
        <w:t>輻射量偏高事件後，</w:t>
      </w:r>
      <w:r w:rsidRPr="004647A9">
        <w:rPr>
          <w:rFonts w:hint="eastAsia"/>
          <w:b/>
        </w:rPr>
        <w:t>未就原能會</w:t>
      </w:r>
      <w:r>
        <w:rPr>
          <w:rFonts w:hint="eastAsia"/>
          <w:b/>
        </w:rPr>
        <w:t>所提3項具體建議事項</w:t>
      </w:r>
      <w:r w:rsidRPr="004647A9">
        <w:rPr>
          <w:rFonts w:hint="eastAsia"/>
          <w:b/>
        </w:rPr>
        <w:t>，</w:t>
      </w:r>
      <w:r>
        <w:rPr>
          <w:rFonts w:hint="eastAsia"/>
          <w:b/>
        </w:rPr>
        <w:t>迅即</w:t>
      </w:r>
      <w:r w:rsidRPr="004647A9">
        <w:rPr>
          <w:rFonts w:hint="eastAsia"/>
          <w:b/>
        </w:rPr>
        <w:t>行文轉知臺鹽公司配合</w:t>
      </w:r>
      <w:r>
        <w:rPr>
          <w:rFonts w:hint="eastAsia"/>
          <w:b/>
        </w:rPr>
        <w:t>改善</w:t>
      </w:r>
      <w:r w:rsidRPr="004647A9">
        <w:rPr>
          <w:rFonts w:hint="eastAsia"/>
          <w:b/>
        </w:rPr>
        <w:t>，</w:t>
      </w:r>
      <w:r>
        <w:rPr>
          <w:rFonts w:hint="eastAsia"/>
          <w:b/>
        </w:rPr>
        <w:t>亦未依法進行必要</w:t>
      </w:r>
      <w:r w:rsidRPr="0090304E">
        <w:rPr>
          <w:rFonts w:hint="eastAsia"/>
          <w:b/>
        </w:rPr>
        <w:t>之</w:t>
      </w:r>
      <w:r>
        <w:rPr>
          <w:rFonts w:hint="eastAsia"/>
          <w:b/>
        </w:rPr>
        <w:t>健康風險評估作業，</w:t>
      </w:r>
      <w:r w:rsidRPr="004647A9">
        <w:rPr>
          <w:rFonts w:hint="eastAsia"/>
          <w:b/>
        </w:rPr>
        <w:t>核有</w:t>
      </w:r>
      <w:r>
        <w:rPr>
          <w:rFonts w:hint="eastAsia"/>
          <w:b/>
        </w:rPr>
        <w:t>消極不作為之</w:t>
      </w:r>
      <w:r w:rsidRPr="004647A9">
        <w:rPr>
          <w:rFonts w:hint="eastAsia"/>
          <w:b/>
        </w:rPr>
        <w:t>怠失</w:t>
      </w:r>
      <w:r>
        <w:rPr>
          <w:rFonts w:hint="eastAsia"/>
          <w:b/>
        </w:rPr>
        <w:t>。</w:t>
      </w:r>
    </w:p>
    <w:p w:rsidR="003A2896" w:rsidRDefault="003A2896" w:rsidP="003A2896">
      <w:pPr>
        <w:pStyle w:val="3"/>
        <w:overflowPunct w:val="0"/>
        <w:ind w:left="1360" w:hanging="680"/>
      </w:pPr>
      <w:r>
        <w:rPr>
          <w:rFonts w:hint="eastAsia"/>
        </w:rPr>
        <w:t>按原能</w:t>
      </w:r>
      <w:r w:rsidRPr="00FC6900">
        <w:rPr>
          <w:rFonts w:hint="eastAsia"/>
        </w:rPr>
        <w:t>會輻射偵測中心</w:t>
      </w:r>
      <w:r>
        <w:rPr>
          <w:rFonts w:hint="eastAsia"/>
        </w:rPr>
        <w:t>於</w:t>
      </w:r>
      <w:r w:rsidRPr="001F7D15">
        <w:rPr>
          <w:rFonts w:hint="eastAsia"/>
        </w:rPr>
        <w:t>106年9月</w:t>
      </w:r>
      <w:r w:rsidRPr="00FC6900">
        <w:rPr>
          <w:rFonts w:hint="eastAsia"/>
        </w:rPr>
        <w:t>自市面上購得 22 件食鹽產品</w:t>
      </w:r>
      <w:r>
        <w:rPr>
          <w:rFonts w:hint="eastAsia"/>
        </w:rPr>
        <w:t>，而</w:t>
      </w:r>
      <w:r w:rsidRPr="00FC6900">
        <w:rPr>
          <w:rFonts w:hint="eastAsia"/>
        </w:rPr>
        <w:t>臺鹽公司</w:t>
      </w:r>
      <w:r>
        <w:rPr>
          <w:rFonts w:hint="eastAsia"/>
        </w:rPr>
        <w:t>同時亦檢</w:t>
      </w:r>
      <w:r w:rsidRPr="00FC6900">
        <w:rPr>
          <w:rFonts w:hint="eastAsia"/>
        </w:rPr>
        <w:t>送</w:t>
      </w:r>
      <w:r>
        <w:rPr>
          <w:rFonts w:hint="eastAsia"/>
        </w:rPr>
        <w:t>其他市售</w:t>
      </w:r>
      <w:r w:rsidRPr="00FC6900">
        <w:rPr>
          <w:rFonts w:hint="eastAsia"/>
        </w:rPr>
        <w:t>產品 6 件</w:t>
      </w:r>
      <w:r>
        <w:rPr>
          <w:rFonts w:hint="eastAsia"/>
        </w:rPr>
        <w:t>(</w:t>
      </w:r>
      <w:r w:rsidRPr="0073316B">
        <w:rPr>
          <w:rFonts w:hint="eastAsia"/>
        </w:rPr>
        <w:t>樣品編號23~28</w:t>
      </w:r>
      <w:r>
        <w:rPr>
          <w:rFonts w:hint="eastAsia"/>
        </w:rPr>
        <w:t>)，共計</w:t>
      </w:r>
      <w:r w:rsidRPr="00FC6900">
        <w:rPr>
          <w:rFonts w:hint="eastAsia"/>
        </w:rPr>
        <w:t>2</w:t>
      </w:r>
      <w:r>
        <w:rPr>
          <w:rFonts w:hint="eastAsia"/>
        </w:rPr>
        <w:t>8</w:t>
      </w:r>
      <w:r w:rsidRPr="00FC6900">
        <w:rPr>
          <w:rFonts w:hint="eastAsia"/>
        </w:rPr>
        <w:t xml:space="preserve"> 件食鹽產品</w:t>
      </w:r>
      <w:r>
        <w:rPr>
          <w:rFonts w:hint="eastAsia"/>
        </w:rPr>
        <w:t>併同檢測</w:t>
      </w:r>
      <w:r w:rsidRPr="00FC6900">
        <w:rPr>
          <w:rFonts w:hint="eastAsia"/>
        </w:rPr>
        <w:t>，其中 7 件為臺鹽公司產品</w:t>
      </w:r>
      <w:r>
        <w:rPr>
          <w:rFonts w:hint="eastAsia"/>
        </w:rPr>
        <w:t>(</w:t>
      </w:r>
      <w:r w:rsidRPr="0073316B">
        <w:rPr>
          <w:rFonts w:hint="eastAsia"/>
        </w:rPr>
        <w:t>樣品編號</w:t>
      </w:r>
      <w:r>
        <w:rPr>
          <w:rFonts w:hint="eastAsia"/>
        </w:rPr>
        <w:t>1</w:t>
      </w:r>
      <w:r w:rsidRPr="0073316B">
        <w:rPr>
          <w:rFonts w:hint="eastAsia"/>
        </w:rPr>
        <w:t>~</w:t>
      </w:r>
      <w:r>
        <w:rPr>
          <w:rFonts w:hint="eastAsia"/>
        </w:rPr>
        <w:t>7)</w:t>
      </w:r>
      <w:r w:rsidRPr="00FC6900">
        <w:rPr>
          <w:rFonts w:hint="eastAsia"/>
        </w:rPr>
        <w:t>，臺鹽公司產品均無測得人工放射性核種，惟</w:t>
      </w:r>
      <w:r w:rsidRPr="00FC6900">
        <w:rPr>
          <w:rFonts w:hint="eastAsia"/>
        </w:rPr>
        <w:lastRenderedPageBreak/>
        <w:t>測得天然放射性核種鉀-40</w:t>
      </w:r>
      <w:r>
        <w:rPr>
          <w:rFonts w:hint="eastAsia"/>
        </w:rPr>
        <w:t>之</w:t>
      </w:r>
      <w:r w:rsidRPr="00FC6900">
        <w:rPr>
          <w:rFonts w:hint="eastAsia"/>
        </w:rPr>
        <w:t>含量為 40~8,860 貝克/公斤</w:t>
      </w:r>
      <w:r>
        <w:rPr>
          <w:rFonts w:hint="eastAsia"/>
        </w:rPr>
        <w:t>(如附表1</w:t>
      </w:r>
      <w:r w:rsidRPr="00FC6900">
        <w:rPr>
          <w:rFonts w:hint="eastAsia"/>
        </w:rPr>
        <w:t>）。</w:t>
      </w:r>
      <w:r>
        <w:rPr>
          <w:rFonts w:hint="eastAsia"/>
        </w:rPr>
        <w:t>另</w:t>
      </w:r>
      <w:r w:rsidRPr="006C74AE">
        <w:rPr>
          <w:rFonts w:hint="eastAsia"/>
        </w:rPr>
        <w:t>衛福部食藥署</w:t>
      </w:r>
      <w:r>
        <w:rPr>
          <w:rFonts w:hint="eastAsia"/>
        </w:rPr>
        <w:t>亦於</w:t>
      </w:r>
      <w:r w:rsidRPr="001F7D15">
        <w:rPr>
          <w:rFonts w:hint="eastAsia"/>
        </w:rPr>
        <w:t>106年9月</w:t>
      </w:r>
      <w:r w:rsidRPr="006C74AE">
        <w:rPr>
          <w:rFonts w:hint="eastAsia"/>
        </w:rPr>
        <w:t>委託</w:t>
      </w:r>
      <w:r w:rsidRPr="001F7D15">
        <w:rPr>
          <w:rFonts w:hint="eastAsia"/>
        </w:rPr>
        <w:t>原能</w:t>
      </w:r>
      <w:r w:rsidRPr="006C74AE">
        <w:rPr>
          <w:rFonts w:hint="eastAsia"/>
        </w:rPr>
        <w:t>會核能研究所執行 33 件食鹽樣品（含產品及原料）之放射性含量分析，其中 11 件為臺鹽公司產品</w:t>
      </w:r>
      <w:r>
        <w:rPr>
          <w:rFonts w:hint="eastAsia"/>
        </w:rPr>
        <w:t>(</w:t>
      </w:r>
      <w:r w:rsidRPr="0073316B">
        <w:rPr>
          <w:rFonts w:hint="eastAsia"/>
        </w:rPr>
        <w:t>樣品編號</w:t>
      </w:r>
      <w:r>
        <w:rPr>
          <w:rFonts w:hint="eastAsia"/>
        </w:rPr>
        <w:t>1</w:t>
      </w:r>
      <w:r w:rsidRPr="0073316B">
        <w:rPr>
          <w:rFonts w:hint="eastAsia"/>
        </w:rPr>
        <w:t>~</w:t>
      </w:r>
      <w:r>
        <w:rPr>
          <w:rFonts w:hint="eastAsia"/>
        </w:rPr>
        <w:t>11)</w:t>
      </w:r>
      <w:r w:rsidRPr="006C74AE">
        <w:rPr>
          <w:rFonts w:hint="eastAsia"/>
        </w:rPr>
        <w:t>，臺鹽公司產品均無測得人工放射性核種，惟其中 9 件測得天然放射性核種鉀-40</w:t>
      </w:r>
      <w:r>
        <w:rPr>
          <w:rFonts w:hint="eastAsia"/>
        </w:rPr>
        <w:t xml:space="preserve"> 之</w:t>
      </w:r>
      <w:r w:rsidRPr="006C74AE">
        <w:rPr>
          <w:rFonts w:hint="eastAsia"/>
        </w:rPr>
        <w:t>含量為 41~8,610 貝克/公斤</w:t>
      </w:r>
      <w:r>
        <w:rPr>
          <w:rFonts w:hint="eastAsia"/>
        </w:rPr>
        <w:t>(如附表2)。足見本案</w:t>
      </w:r>
      <w:r w:rsidRPr="00FC6900">
        <w:rPr>
          <w:rFonts w:hint="eastAsia"/>
        </w:rPr>
        <w:t>臺鹽公司</w:t>
      </w:r>
      <w:r>
        <w:rPr>
          <w:rFonts w:hint="eastAsia"/>
        </w:rPr>
        <w:t>改變食鹽配方，添加含鉀元素的原料氯化鉀，導致成品中所含人為添加天然放射性核種鉀-40含量偏高，確實會增加食用者的額外輻射劑量。而上開</w:t>
      </w:r>
      <w:r w:rsidRPr="00E218E2">
        <w:rPr>
          <w:rFonts w:hint="eastAsia"/>
        </w:rPr>
        <w:t>食鹽添加物</w:t>
      </w:r>
      <w:r w:rsidRPr="00FC6900">
        <w:rPr>
          <w:rFonts w:hint="eastAsia"/>
        </w:rPr>
        <w:t>天然放射性核種鉀-40</w:t>
      </w:r>
      <w:r>
        <w:rPr>
          <w:rFonts w:hint="eastAsia"/>
        </w:rPr>
        <w:t>之檢測結果，</w:t>
      </w:r>
      <w:r w:rsidRPr="006C74AE">
        <w:rPr>
          <w:rFonts w:hint="eastAsia"/>
        </w:rPr>
        <w:t>食藥署</w:t>
      </w:r>
      <w:r>
        <w:rPr>
          <w:rFonts w:hint="eastAsia"/>
        </w:rPr>
        <w:t>均知悉甚詳，合先敘明。</w:t>
      </w:r>
    </w:p>
    <w:p w:rsidR="003A2896" w:rsidRDefault="003A2896" w:rsidP="003A2896">
      <w:pPr>
        <w:pStyle w:val="3"/>
        <w:overflowPunct w:val="0"/>
        <w:ind w:left="1360" w:hanging="680"/>
      </w:pPr>
      <w:r>
        <w:rPr>
          <w:rFonts w:hint="eastAsia"/>
        </w:rPr>
        <w:t>查原能會旋於106年9月30日行文衛福部</w:t>
      </w:r>
      <w:r>
        <w:rPr>
          <w:rStyle w:val="af2"/>
        </w:rPr>
        <w:footnoteReference w:id="3"/>
      </w:r>
      <w:r>
        <w:rPr>
          <w:rFonts w:hint="eastAsia"/>
        </w:rPr>
        <w:t>(副本亦給</w:t>
      </w:r>
      <w:r w:rsidRPr="006C74AE">
        <w:rPr>
          <w:rFonts w:hint="eastAsia"/>
        </w:rPr>
        <w:t>食藥署</w:t>
      </w:r>
      <w:r>
        <w:rPr>
          <w:rFonts w:hint="eastAsia"/>
        </w:rPr>
        <w:t>、行政院食品安全辦公室)在卷可稽，其具體建議事項如下：</w:t>
      </w:r>
    </w:p>
    <w:p w:rsidR="003A2896" w:rsidRDefault="003A2896" w:rsidP="003A2896">
      <w:pPr>
        <w:pStyle w:val="4"/>
        <w:overflowPunct w:val="0"/>
        <w:ind w:left="1700" w:hanging="680"/>
      </w:pPr>
      <w:r>
        <w:rPr>
          <w:rFonts w:hint="eastAsia"/>
        </w:rPr>
        <w:t>本案之</w:t>
      </w:r>
      <w:r w:rsidR="00F628D3">
        <w:rPr>
          <w:rFonts w:hint="eastAsia"/>
        </w:rPr>
        <w:t>減鈉鹽</w:t>
      </w:r>
      <w:r>
        <w:rPr>
          <w:rFonts w:hint="eastAsia"/>
        </w:rPr>
        <w:t>係於食鹽中添加氯化鉀，併同有天然放射性核種鉀-40，建議貴部研議於類似添加含有天然放射性核種之食品或食品添加物之標示內容，增加所含放射性核種種類、活度濃度等說明或警示文字，以達資訊公開目的。</w:t>
      </w:r>
    </w:p>
    <w:p w:rsidR="003A2896" w:rsidRDefault="003A2896" w:rsidP="003A2896">
      <w:pPr>
        <w:pStyle w:val="4"/>
        <w:overflowPunct w:val="0"/>
        <w:ind w:left="1700" w:hanging="680"/>
      </w:pPr>
      <w:r>
        <w:rPr>
          <w:rFonts w:hint="eastAsia"/>
        </w:rPr>
        <w:t>經查有關食鹽中添加氯化鉀，係假設一般人在食鹽攝取量不變的情況下，可減少鈉之攝取，以減低高血壓等心血管疾病之發生，而獲得健康上利益。惟減少鈉之攝取有其他途徑可達成，建議進一步釐清食用含鉀-40添加物之</w:t>
      </w:r>
      <w:r w:rsidR="00F628D3">
        <w:rPr>
          <w:rFonts w:hint="eastAsia"/>
        </w:rPr>
        <w:t>減鈉鹽</w:t>
      </w:r>
      <w:r>
        <w:rPr>
          <w:rFonts w:hint="eastAsia"/>
        </w:rPr>
        <w:t>是否具正當性。</w:t>
      </w:r>
    </w:p>
    <w:p w:rsidR="003A2896" w:rsidRDefault="003A2896" w:rsidP="003A2896">
      <w:pPr>
        <w:pStyle w:val="4"/>
        <w:overflowPunct w:val="0"/>
        <w:ind w:left="1700" w:hanging="680"/>
      </w:pPr>
      <w:r>
        <w:rPr>
          <w:rFonts w:hint="eastAsia"/>
        </w:rPr>
        <w:t>依目前雖各國對於食鹽中的鉀-40含量並沒有訂定管制標準，原能會建議仍可依據合理抑低輻射</w:t>
      </w:r>
      <w:r>
        <w:rPr>
          <w:rFonts w:hint="eastAsia"/>
        </w:rPr>
        <w:lastRenderedPageBreak/>
        <w:t>劑量的精神，廣泛蒐集國際間資訊與徵詢各界專業意見，探討採取適當的「干預」措施的可行性與必要性。</w:t>
      </w:r>
    </w:p>
    <w:p w:rsidR="003A2896" w:rsidRPr="003B6879" w:rsidRDefault="003A2896" w:rsidP="003A2896">
      <w:pPr>
        <w:pStyle w:val="3"/>
        <w:overflowPunct w:val="0"/>
        <w:ind w:left="1360" w:hanging="680"/>
      </w:pPr>
      <w:r>
        <w:rPr>
          <w:rFonts w:hint="eastAsia"/>
        </w:rPr>
        <w:t>惟查食藥署迨本院於107年7月5日詢問後，始警覺</w:t>
      </w:r>
      <w:r w:rsidRPr="0030654A">
        <w:rPr>
          <w:rFonts w:hint="eastAsia"/>
        </w:rPr>
        <w:t>臺鹽公司</w:t>
      </w:r>
      <w:r>
        <w:rPr>
          <w:rFonts w:hint="eastAsia"/>
        </w:rPr>
        <w:t>送檢之11項食</w:t>
      </w:r>
      <w:r w:rsidRPr="0030654A">
        <w:rPr>
          <w:rFonts w:hint="eastAsia"/>
        </w:rPr>
        <w:t>鹽</w:t>
      </w:r>
      <w:r>
        <w:rPr>
          <w:rFonts w:hint="eastAsia"/>
        </w:rPr>
        <w:t>產品中，竟有9項食</w:t>
      </w:r>
      <w:r w:rsidRPr="0030654A">
        <w:rPr>
          <w:rFonts w:hint="eastAsia"/>
        </w:rPr>
        <w:t>鹽</w:t>
      </w:r>
      <w:r>
        <w:rPr>
          <w:rFonts w:hint="eastAsia"/>
        </w:rPr>
        <w:t>產品含鉀-40，卻乏人管理之事態嚴重，旋於翌日</w:t>
      </w:r>
      <w:r w:rsidRPr="001E28D2">
        <w:rPr>
          <w:rFonts w:hint="eastAsia"/>
        </w:rPr>
        <w:t>行文轉知</w:t>
      </w:r>
      <w:r>
        <w:rPr>
          <w:rFonts w:hint="eastAsia"/>
        </w:rPr>
        <w:t>該</w:t>
      </w:r>
      <w:r w:rsidRPr="001E28D2">
        <w:rPr>
          <w:rFonts w:hint="eastAsia"/>
        </w:rPr>
        <w:t>公司</w:t>
      </w:r>
      <w:r>
        <w:rPr>
          <w:rFonts w:hint="eastAsia"/>
        </w:rPr>
        <w:t>本於「食品業者應自主管理」精神，</w:t>
      </w:r>
      <w:r w:rsidRPr="001E28D2">
        <w:rPr>
          <w:rFonts w:hint="eastAsia"/>
        </w:rPr>
        <w:t>配合</w:t>
      </w:r>
      <w:r>
        <w:rPr>
          <w:rFonts w:hint="eastAsia"/>
        </w:rPr>
        <w:t>研議相關改善措施</w:t>
      </w:r>
      <w:r>
        <w:rPr>
          <w:rStyle w:val="af2"/>
        </w:rPr>
        <w:footnoteReference w:id="4"/>
      </w:r>
      <w:r>
        <w:rPr>
          <w:rFonts w:hint="eastAsia"/>
        </w:rPr>
        <w:t>，耗時長達9個多月，核該署相關主(承)辦人員輕忽怠慢此潛藏輻射風險之心態，確有可議。</w:t>
      </w:r>
    </w:p>
    <w:p w:rsidR="003A2896" w:rsidRDefault="003A2896" w:rsidP="003A2896">
      <w:pPr>
        <w:pStyle w:val="3"/>
        <w:overflowPunct w:val="0"/>
        <w:ind w:left="1360" w:hanging="680"/>
      </w:pPr>
      <w:r>
        <w:rPr>
          <w:rFonts w:hAnsi="標楷體" w:hint="eastAsia"/>
          <w:color w:val="000000"/>
          <w:szCs w:val="32"/>
        </w:rPr>
        <w:t>又查食安法</w:t>
      </w:r>
      <w:r w:rsidRPr="00683ADB">
        <w:rPr>
          <w:rFonts w:hAnsi="標楷體" w:hint="eastAsia"/>
          <w:color w:val="000000"/>
          <w:szCs w:val="32"/>
        </w:rPr>
        <w:t>第4條第1項規定：主管機關採行之食品安全管理措施應以風險評估為基礎，符合滿足國民享有之健康、安全食品以及知的權利、科學證據原則、事先預防原則、資訊透明原則，建構風險評估以及諮議體系。</w:t>
      </w:r>
      <w:r>
        <w:rPr>
          <w:rFonts w:hAnsi="標楷體" w:hint="eastAsia"/>
          <w:color w:val="000000"/>
          <w:szCs w:val="32"/>
        </w:rPr>
        <w:t>詎料</w:t>
      </w:r>
      <w:r w:rsidRPr="00A12803">
        <w:rPr>
          <w:rFonts w:hint="eastAsia"/>
        </w:rPr>
        <w:t>食藥</w:t>
      </w:r>
      <w:r>
        <w:rPr>
          <w:rFonts w:hint="eastAsia"/>
        </w:rPr>
        <w:t>署對於上述關乎國人食安風險事件視若無睹，迄今仍未曾依法進行任何有關鉀-40影響人體健康之</w:t>
      </w:r>
      <w:r w:rsidRPr="00683ADB">
        <w:rPr>
          <w:rFonts w:hAnsi="標楷體" w:hint="eastAsia"/>
          <w:color w:val="000000"/>
          <w:szCs w:val="32"/>
        </w:rPr>
        <w:t>風險評估</w:t>
      </w:r>
      <w:r>
        <w:rPr>
          <w:rFonts w:hint="eastAsia"/>
        </w:rPr>
        <w:t>，焉能釐訂出如何</w:t>
      </w:r>
      <w:r w:rsidRPr="00683ADB">
        <w:rPr>
          <w:rFonts w:hAnsi="標楷體" w:hint="eastAsia"/>
          <w:color w:val="000000"/>
          <w:szCs w:val="32"/>
        </w:rPr>
        <w:t>採行</w:t>
      </w:r>
      <w:r>
        <w:rPr>
          <w:rFonts w:hint="eastAsia"/>
        </w:rPr>
        <w:t>有效</w:t>
      </w:r>
      <w:r>
        <w:rPr>
          <w:rFonts w:hAnsi="標楷體" w:hint="eastAsia"/>
          <w:color w:val="000000"/>
          <w:szCs w:val="32"/>
        </w:rPr>
        <w:t>之</w:t>
      </w:r>
      <w:r w:rsidRPr="00683ADB">
        <w:rPr>
          <w:rFonts w:hAnsi="標楷體" w:hint="eastAsia"/>
          <w:color w:val="000000"/>
          <w:szCs w:val="32"/>
        </w:rPr>
        <w:t>食品安全管理措施</w:t>
      </w:r>
      <w:r>
        <w:rPr>
          <w:rFonts w:hAnsi="標楷體" w:hint="eastAsia"/>
          <w:color w:val="000000"/>
          <w:szCs w:val="32"/>
        </w:rPr>
        <w:t>？</w:t>
      </w:r>
      <w:r w:rsidRPr="00A12803">
        <w:rPr>
          <w:rFonts w:hint="eastAsia"/>
        </w:rPr>
        <w:t>核</w:t>
      </w:r>
      <w:r>
        <w:rPr>
          <w:rFonts w:hint="eastAsia"/>
        </w:rPr>
        <w:t>該署相關單位主管及承辦人員，均難辭怠忽職守之咎。</w:t>
      </w:r>
    </w:p>
    <w:p w:rsidR="003A2896" w:rsidRPr="0090304E" w:rsidRDefault="003A2896" w:rsidP="003A2896">
      <w:pPr>
        <w:pStyle w:val="3"/>
        <w:overflowPunct w:val="0"/>
        <w:ind w:left="1360" w:hanging="680"/>
        <w:rPr>
          <w:b/>
        </w:rPr>
      </w:pPr>
      <w:r>
        <w:rPr>
          <w:rFonts w:hint="eastAsia"/>
        </w:rPr>
        <w:t>質言之，</w:t>
      </w:r>
      <w:r w:rsidRPr="00A12803">
        <w:rPr>
          <w:rFonts w:hint="eastAsia"/>
        </w:rPr>
        <w:t>衛福部食藥署</w:t>
      </w:r>
      <w:r w:rsidRPr="003E2763">
        <w:rPr>
          <w:rFonts w:hint="eastAsia"/>
        </w:rPr>
        <w:t>於知悉食鹽添加物含鉀-40輻射量偏高事件後，未就原能會所提3項具體建議事項，迅即行文轉知臺鹽公司</w:t>
      </w:r>
      <w:r>
        <w:rPr>
          <w:rFonts w:hint="eastAsia"/>
        </w:rPr>
        <w:t>要求</w:t>
      </w:r>
      <w:r w:rsidRPr="003E2763">
        <w:rPr>
          <w:rFonts w:hint="eastAsia"/>
        </w:rPr>
        <w:t>改善</w:t>
      </w:r>
      <w:r>
        <w:rPr>
          <w:rFonts w:hint="eastAsia"/>
        </w:rPr>
        <w:t>，迨本院詢問關切後，始亡羊補牢，著手採取部分「干預」措施，此「光說不練」之期間，延宕長達9個多月。又該署迄今仍未依法進行任何有關鉀-40影響人體健康之</w:t>
      </w:r>
      <w:r w:rsidRPr="00683ADB">
        <w:rPr>
          <w:rFonts w:hAnsi="標楷體" w:hint="eastAsia"/>
          <w:color w:val="000000"/>
          <w:szCs w:val="32"/>
        </w:rPr>
        <w:t>風險評估</w:t>
      </w:r>
      <w:r>
        <w:rPr>
          <w:rFonts w:hint="eastAsia"/>
        </w:rPr>
        <w:t>，</w:t>
      </w:r>
      <w:r w:rsidRPr="00A12803">
        <w:rPr>
          <w:rFonts w:hint="eastAsia"/>
        </w:rPr>
        <w:t>核</w:t>
      </w:r>
      <w:r>
        <w:rPr>
          <w:rFonts w:hint="eastAsia"/>
        </w:rPr>
        <w:t>其相關單位主管及承辦人員均</w:t>
      </w:r>
      <w:r w:rsidRPr="00A12803">
        <w:rPr>
          <w:rFonts w:hint="eastAsia"/>
        </w:rPr>
        <w:t>有</w:t>
      </w:r>
      <w:r>
        <w:rPr>
          <w:rFonts w:hint="eastAsia"/>
        </w:rPr>
        <w:t>上開</w:t>
      </w:r>
      <w:r w:rsidRPr="00293405">
        <w:rPr>
          <w:rFonts w:hint="eastAsia"/>
        </w:rPr>
        <w:t>消極不作為之</w:t>
      </w:r>
      <w:r w:rsidRPr="00A12803">
        <w:rPr>
          <w:rFonts w:hint="eastAsia"/>
        </w:rPr>
        <w:t>怠失</w:t>
      </w:r>
      <w:r>
        <w:rPr>
          <w:rFonts w:hint="eastAsia"/>
        </w:rPr>
        <w:t>，至為灼然。</w:t>
      </w:r>
    </w:p>
    <w:p w:rsidR="003A2896" w:rsidRDefault="003A2896" w:rsidP="003A2896">
      <w:pPr>
        <w:pStyle w:val="2"/>
        <w:overflowPunct w:val="0"/>
        <w:ind w:left="1020" w:hanging="680"/>
        <w:rPr>
          <w:b/>
        </w:rPr>
      </w:pPr>
      <w:r>
        <w:rPr>
          <w:rFonts w:hint="eastAsia"/>
          <w:b/>
        </w:rPr>
        <w:t>衛福部</w:t>
      </w:r>
      <w:r w:rsidRPr="00974E6C">
        <w:rPr>
          <w:rFonts w:hint="eastAsia"/>
          <w:b/>
        </w:rPr>
        <w:t>食藥署</w:t>
      </w:r>
      <w:r>
        <w:rPr>
          <w:rFonts w:hint="eastAsia"/>
          <w:b/>
        </w:rPr>
        <w:t>漠視</w:t>
      </w:r>
      <w:r w:rsidRPr="00307FB5">
        <w:rPr>
          <w:rFonts w:hint="eastAsia"/>
          <w:b/>
        </w:rPr>
        <w:t>健康食品管理</w:t>
      </w:r>
      <w:r>
        <w:rPr>
          <w:rFonts w:hint="eastAsia"/>
          <w:b/>
        </w:rPr>
        <w:t>法之立法意旨，跳脫</w:t>
      </w:r>
      <w:r>
        <w:rPr>
          <w:rFonts w:hint="eastAsia"/>
          <w:b/>
        </w:rPr>
        <w:lastRenderedPageBreak/>
        <w:t>消費者對於產品名稱之通常理解認知程度，就產品名稱明確標示「</w:t>
      </w:r>
      <w:r w:rsidRPr="00A27F42">
        <w:rPr>
          <w:rFonts w:hint="eastAsia"/>
          <w:b/>
        </w:rPr>
        <w:t>健康</w:t>
      </w:r>
      <w:r>
        <w:rPr>
          <w:rFonts w:hint="eastAsia"/>
          <w:b/>
        </w:rPr>
        <w:t>」2字之非認證</w:t>
      </w:r>
      <w:r w:rsidRPr="00A27F42">
        <w:rPr>
          <w:rFonts w:hint="eastAsia"/>
          <w:b/>
        </w:rPr>
        <w:t>健康食品</w:t>
      </w:r>
      <w:r>
        <w:rPr>
          <w:rFonts w:hint="eastAsia"/>
          <w:b/>
        </w:rPr>
        <w:t>，卻為偏袒廠商之有利解釋，顯未善盡替全民把關職責，洵有未當。</w:t>
      </w:r>
    </w:p>
    <w:p w:rsidR="003A2896" w:rsidRDefault="003A2896" w:rsidP="003A2896">
      <w:pPr>
        <w:pStyle w:val="3"/>
        <w:overflowPunct w:val="0"/>
        <w:ind w:left="1360" w:hanging="680"/>
      </w:pPr>
      <w:r>
        <w:rPr>
          <w:rFonts w:hint="eastAsia"/>
        </w:rPr>
        <w:t>按健康食品管理法第1條開宗明義揭櫫「為加強健康食品之管理與監督，維護國民健康，並保障消費者之權益，特制定本法。」同法第2條「健康食品」之定義為「具有保健功效，並標示或廣告其具該功效，且須具有實質科學證據，非屬治療、矯正人類疾病之醫療效能為目的之食品。」由於健康食品採產品自願性申請，食品若欲宣稱健康食品保健功效，應依健康食品管理法向衛福部申請辦理健康食品查驗登記，取得許可後始得為之。且依同法第6條，食品非依本法之規定，不得標示或廣告為健康食品；另依同法第13條，健康食品應於產品外包裝標示許可證字號、「健康食品」字樣、健康食品標準圖樣及核准之功效等資訊。</w:t>
      </w:r>
    </w:p>
    <w:p w:rsidR="003A2896" w:rsidRDefault="003A2896" w:rsidP="003A2896">
      <w:pPr>
        <w:pStyle w:val="3"/>
        <w:overflowPunct w:val="0"/>
        <w:ind w:left="1360" w:hanging="680"/>
      </w:pPr>
      <w:r w:rsidRPr="000C4F09">
        <w:rPr>
          <w:rFonts w:hint="eastAsia"/>
        </w:rPr>
        <w:t>由於「健康食品」是一個法定名詞，其產品必需經過保健功效與安全性評估、並受限於健康食品管理法的規範，這樣的保健產品才能廣告其許可範圍的保健效能並合法地稱之為健康食品</w:t>
      </w:r>
      <w:r w:rsidRPr="000C4F09">
        <w:rPr>
          <w:rStyle w:val="af2"/>
        </w:rPr>
        <w:footnoteReference w:id="5"/>
      </w:r>
      <w:r w:rsidRPr="000C4F09">
        <w:rPr>
          <w:rFonts w:hint="eastAsia"/>
        </w:rPr>
        <w:t>。但截至107年</w:t>
      </w:r>
      <w:r>
        <w:rPr>
          <w:rFonts w:hint="eastAsia"/>
        </w:rPr>
        <w:t>7</w:t>
      </w:r>
      <w:r w:rsidRPr="000C4F09">
        <w:rPr>
          <w:rFonts w:hint="eastAsia"/>
        </w:rPr>
        <w:t>月底止，衛福部審核通過之</w:t>
      </w:r>
      <w:r w:rsidRPr="000C4F09">
        <w:rPr>
          <w:rFonts w:hAnsi="標楷體" w:hint="eastAsia"/>
          <w:szCs w:val="32"/>
        </w:rPr>
        <w:t>健康</w:t>
      </w:r>
      <w:r w:rsidRPr="000C4F09">
        <w:rPr>
          <w:rFonts w:cs="標楷體" w:hint="eastAsia"/>
          <w:szCs w:val="32"/>
          <w:lang w:val="zh-TW"/>
        </w:rPr>
        <w:t>食品僅有41</w:t>
      </w:r>
      <w:r>
        <w:rPr>
          <w:rFonts w:cs="標楷體" w:hint="eastAsia"/>
          <w:szCs w:val="32"/>
          <w:lang w:val="zh-TW"/>
        </w:rPr>
        <w:t>7</w:t>
      </w:r>
      <w:r w:rsidRPr="000C4F09">
        <w:rPr>
          <w:rFonts w:cs="標楷體" w:hint="eastAsia"/>
          <w:szCs w:val="32"/>
          <w:lang w:val="zh-TW"/>
        </w:rPr>
        <w:t>件</w:t>
      </w:r>
      <w:r w:rsidRPr="000C4F09">
        <w:rPr>
          <w:rStyle w:val="af2"/>
          <w:rFonts w:cs="標楷體"/>
          <w:szCs w:val="32"/>
          <w:lang w:val="zh-TW"/>
        </w:rPr>
        <w:footnoteReference w:id="6"/>
      </w:r>
      <w:r w:rsidRPr="000C4F09">
        <w:rPr>
          <w:rFonts w:cs="標楷體" w:hint="eastAsia"/>
          <w:szCs w:val="32"/>
          <w:lang w:val="zh-TW"/>
        </w:rPr>
        <w:t>；而其他數以萬計未經嚴格把關</w:t>
      </w:r>
      <w:r w:rsidRPr="000C4F09">
        <w:rPr>
          <w:rFonts w:hAnsi="標楷體" w:hint="eastAsia"/>
          <w:szCs w:val="32"/>
        </w:rPr>
        <w:t>之保健食品，端賴原行政院衛生署於101年9月28日署授食字第1013000020號令發布，嗣經</w:t>
      </w:r>
      <w:r w:rsidRPr="000C4F09">
        <w:rPr>
          <w:rFonts w:hint="eastAsia"/>
        </w:rPr>
        <w:t>衛福部修正多次發布之「食品標示宣傳或廣告詞句涉及誇張易生誤解或醫療效能之認定基準」(如附件)作為認定規準</w:t>
      </w:r>
      <w:r w:rsidRPr="000C4F09">
        <w:rPr>
          <w:rFonts w:cs="標楷體" w:hint="eastAsia"/>
          <w:szCs w:val="32"/>
          <w:lang w:val="zh-TW"/>
        </w:rPr>
        <w:t>。</w:t>
      </w:r>
    </w:p>
    <w:p w:rsidR="003A2896" w:rsidRDefault="003A2896" w:rsidP="003A2896">
      <w:pPr>
        <w:pStyle w:val="3"/>
        <w:overflowPunct w:val="0"/>
        <w:ind w:left="1360" w:hanging="680"/>
      </w:pPr>
      <w:r>
        <w:rPr>
          <w:rFonts w:hint="eastAsia"/>
        </w:rPr>
        <w:t>又查本案「健康</w:t>
      </w:r>
      <w:r w:rsidR="00F628D3">
        <w:rPr>
          <w:rFonts w:hint="eastAsia"/>
        </w:rPr>
        <w:t>減鈉鹽</w:t>
      </w:r>
      <w:r>
        <w:rPr>
          <w:rFonts w:hint="eastAsia"/>
        </w:rPr>
        <w:t>」之食品，而電視廣告一再</w:t>
      </w:r>
      <w:r>
        <w:rPr>
          <w:rFonts w:hint="eastAsia"/>
        </w:rPr>
        <w:lastRenderedPageBreak/>
        <w:t>播放「吃健康的(</w:t>
      </w:r>
      <w:r w:rsidR="00F628D3">
        <w:rPr>
          <w:rFonts w:hint="eastAsia"/>
        </w:rPr>
        <w:t>減鈉鹽</w:t>
      </w:r>
      <w:r>
        <w:rPr>
          <w:rFonts w:hint="eastAsia"/>
        </w:rPr>
        <w:t>、超鮮鹽、美味鹽)，用高級的(精鹽)」，此與健康食品管理法上述定義之意涵十分雷同；又市售食品諸多以醒目「健康○○」為名稱，諸如健康酵素、健康醋、健康嬰兒寶、健康餅干……俯拾皆是，讓人因見到醒目之「健康」兩字的食品，而有該食品較為健康之想像，加上其廣告以明示或隱喻「具有保健功效」，卻可不受健康食品管理法之規範。揆諸食藥署查復本院之函文</w:t>
      </w:r>
      <w:r>
        <w:rPr>
          <w:rStyle w:val="af2"/>
        </w:rPr>
        <w:footnoteReference w:id="7"/>
      </w:r>
      <w:r>
        <w:rPr>
          <w:rFonts w:hint="eastAsia"/>
        </w:rPr>
        <w:t>指出，有關產品外包裝標示是否涉及違反健康食品管理法相關規定，</w:t>
      </w:r>
      <w:r w:rsidRPr="00FF23B6">
        <w:rPr>
          <w:rFonts w:hint="eastAsia"/>
          <w:b/>
        </w:rPr>
        <w:t>仍需視實際傳達消費者訊息之整體表現，包括文字敘述、產品品名、圖案、符號等，進行綜合研判</w:t>
      </w:r>
      <w:r>
        <w:rPr>
          <w:rFonts w:hint="eastAsia"/>
        </w:rPr>
        <w:t>。案內所詢臺鹽公司「健康減鈉鹽」等3項產品，倘僅品名含「健康」2字，外包裝標示整體表現尚不致違反大眾認知，造成誤解為健康食品，則尚無違反前述規定。如此實有鼓勵業者規避法令之嫌?否則豈有</w:t>
      </w:r>
      <w:r w:rsidRPr="00A2725B">
        <w:rPr>
          <w:rFonts w:hint="eastAsia"/>
        </w:rPr>
        <w:t>「食品標示宣傳或廣告詞句涉及誇張易生誤解或醫療效能之認定基準」許可</w:t>
      </w:r>
      <w:r>
        <w:rPr>
          <w:rFonts w:hint="eastAsia"/>
        </w:rPr>
        <w:t>使用「健康維持」4字，並</w:t>
      </w:r>
      <w:r w:rsidRPr="000D1E39">
        <w:rPr>
          <w:rFonts w:hint="eastAsia"/>
        </w:rPr>
        <w:t>應認定為未涉及誇張、易生誤解或醫療效能</w:t>
      </w:r>
      <w:r>
        <w:rPr>
          <w:rFonts w:hint="eastAsia"/>
        </w:rPr>
        <w:t>之詞句，甚至將其品名含「健康」2字當形容詞，解釋為「維持健康的食品」，藉以擺脫健康食品法之規範，更侈言為消費者不易誤解，而置大眾健康於不顧之理，足見食藥署此種</w:t>
      </w:r>
      <w:r w:rsidRPr="00D1185F">
        <w:rPr>
          <w:rFonts w:hint="eastAsia"/>
        </w:rPr>
        <w:t>偏袒廠商</w:t>
      </w:r>
      <w:r>
        <w:rPr>
          <w:rFonts w:hint="eastAsia"/>
        </w:rPr>
        <w:t>廣告用語適法性之認定，已然</w:t>
      </w:r>
      <w:r w:rsidRPr="00F475C7">
        <w:rPr>
          <w:rFonts w:hint="eastAsia"/>
        </w:rPr>
        <w:t>跳脫消費者對於產品名稱之通常理解認知程度</w:t>
      </w:r>
      <w:r>
        <w:rPr>
          <w:rFonts w:hint="eastAsia"/>
        </w:rPr>
        <w:t>，實在令人匪夷所思。</w:t>
      </w:r>
    </w:p>
    <w:p w:rsidR="003A2896" w:rsidRDefault="003A2896" w:rsidP="003A2896">
      <w:pPr>
        <w:pStyle w:val="3"/>
        <w:overflowPunct w:val="0"/>
        <w:ind w:left="1360" w:hanging="680"/>
      </w:pPr>
      <w:r>
        <w:rPr>
          <w:rFonts w:hint="eastAsia"/>
        </w:rPr>
        <w:t>再者，「鉀」吃太多、血鉀過高，醫學證明，均會產生嚴重心律不整或心跳過慢情形，甚至導致死亡，食藥署理應知之甚詳。然而本案「健康</w:t>
      </w:r>
      <w:r w:rsidR="00F628D3">
        <w:rPr>
          <w:rFonts w:hint="eastAsia"/>
        </w:rPr>
        <w:t>減鈉鹽</w:t>
      </w:r>
      <w:r>
        <w:rPr>
          <w:rFonts w:hint="eastAsia"/>
        </w:rPr>
        <w:t>」、「健康超鮮鹽」、「健康美味鹽」以鉀取代鈉，</w:t>
      </w:r>
      <w:r>
        <w:rPr>
          <w:rFonts w:hint="eastAsia"/>
        </w:rPr>
        <w:lastRenderedPageBreak/>
        <w:t>且每公斤分別含8,860貝克、5,063貝克、4,610貝克(同附表1)，此高輻射劑量的鉀-40，顯有危害國民健康之重大疑慮，</w:t>
      </w:r>
      <w:r w:rsidRPr="00735402">
        <w:rPr>
          <w:rFonts w:hint="eastAsia"/>
        </w:rPr>
        <w:t>食藥</w:t>
      </w:r>
      <w:r>
        <w:rPr>
          <w:rFonts w:hint="eastAsia"/>
        </w:rPr>
        <w:t>署竟仍置健康食品管理法開宗明義之立法精神於不顧，甚至想方設法替業者說詞，根本不足以維護消費者之權益。</w:t>
      </w:r>
    </w:p>
    <w:p w:rsidR="008E420E" w:rsidRDefault="003A2896" w:rsidP="003A2896">
      <w:pPr>
        <w:pStyle w:val="3"/>
        <w:widowControl/>
        <w:overflowPunct w:val="0"/>
        <w:ind w:leftChars="100" w:left="1020" w:hanging="680"/>
      </w:pPr>
      <w:r>
        <w:rPr>
          <w:rFonts w:hint="eastAsia"/>
        </w:rPr>
        <w:t>綜上，</w:t>
      </w:r>
      <w:r w:rsidRPr="00735402">
        <w:rPr>
          <w:rFonts w:hint="eastAsia"/>
        </w:rPr>
        <w:t>衛福部食藥署</w:t>
      </w:r>
      <w:r>
        <w:rPr>
          <w:rFonts w:hint="eastAsia"/>
        </w:rPr>
        <w:t>漠視</w:t>
      </w:r>
      <w:r w:rsidRPr="003406FC">
        <w:rPr>
          <w:rFonts w:hint="eastAsia"/>
        </w:rPr>
        <w:t>健康食品管理法之立法意旨，跳脫消費者對於產品名稱之通常理解認知程度，就</w:t>
      </w:r>
      <w:r>
        <w:rPr>
          <w:rFonts w:hint="eastAsia"/>
        </w:rPr>
        <w:t>產品名稱</w:t>
      </w:r>
      <w:r w:rsidRPr="003406FC">
        <w:rPr>
          <w:rFonts w:hint="eastAsia"/>
        </w:rPr>
        <w:t>已明確標示「健康」</w:t>
      </w:r>
      <w:r>
        <w:rPr>
          <w:rFonts w:hint="eastAsia"/>
        </w:rPr>
        <w:t>2</w:t>
      </w:r>
      <w:r w:rsidRPr="003406FC">
        <w:rPr>
          <w:rFonts w:hint="eastAsia"/>
        </w:rPr>
        <w:t>字之非認證健康食品，</w:t>
      </w:r>
      <w:r>
        <w:rPr>
          <w:rFonts w:hint="eastAsia"/>
        </w:rPr>
        <w:t>竟</w:t>
      </w:r>
      <w:r w:rsidRPr="003406FC">
        <w:rPr>
          <w:rFonts w:hint="eastAsia"/>
        </w:rPr>
        <w:t>為</w:t>
      </w:r>
      <w:r w:rsidRPr="00735402">
        <w:rPr>
          <w:rFonts w:hint="eastAsia"/>
        </w:rPr>
        <w:t>偏袒廠商之有利解釋，</w:t>
      </w:r>
      <w:r>
        <w:rPr>
          <w:rFonts w:hint="eastAsia"/>
        </w:rPr>
        <w:t>宛如玩「健康的食品」不等於「健康食品」法定專有名詞的腦筋急轉彎式文字遊戲，任由廠商自行宣稱為</w:t>
      </w:r>
      <w:r w:rsidRPr="003406FC">
        <w:rPr>
          <w:rFonts w:hint="eastAsia"/>
        </w:rPr>
        <w:t>「健康」</w:t>
      </w:r>
      <w:r>
        <w:rPr>
          <w:rFonts w:hint="eastAsia"/>
        </w:rPr>
        <w:t>的食品，誤導吸引消費者購買以賺取利潤；</w:t>
      </w:r>
      <w:r w:rsidRPr="00735402">
        <w:rPr>
          <w:rFonts w:hint="eastAsia"/>
        </w:rPr>
        <w:t>食藥署</w:t>
      </w:r>
      <w:r>
        <w:rPr>
          <w:rFonts w:hint="eastAsia"/>
        </w:rPr>
        <w:t>顯未善盡維護國民健康把關職責，遑論維護消費者之應有權益，洵</w:t>
      </w:r>
      <w:r w:rsidRPr="00735402">
        <w:rPr>
          <w:rFonts w:hint="eastAsia"/>
        </w:rPr>
        <w:t>有</w:t>
      </w:r>
      <w:r>
        <w:rPr>
          <w:rFonts w:hint="eastAsia"/>
        </w:rPr>
        <w:t>未</w:t>
      </w:r>
      <w:r w:rsidRPr="00735402">
        <w:rPr>
          <w:rFonts w:hint="eastAsia"/>
        </w:rPr>
        <w:t>當</w:t>
      </w:r>
      <w:r>
        <w:rPr>
          <w:rFonts w:hint="eastAsia"/>
        </w:rPr>
        <w:t>。</w:t>
      </w:r>
      <w:bookmarkStart w:id="23" w:name="_Toc524895649"/>
      <w:bookmarkStart w:id="24" w:name="_Toc524896195"/>
      <w:bookmarkStart w:id="25" w:name="_Toc52489622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C01E8" w:rsidRDefault="00CA54F1" w:rsidP="008E420E">
      <w:pPr>
        <w:pStyle w:val="3"/>
        <w:widowControl/>
        <w:numPr>
          <w:ilvl w:val="0"/>
          <w:numId w:val="0"/>
        </w:numPr>
        <w:overflowPunct w:val="0"/>
        <w:ind w:left="1020"/>
      </w:pPr>
      <w:r>
        <w:rPr>
          <w:rFonts w:hint="eastAsia"/>
        </w:rPr>
        <w:t xml:space="preserve">    綜</w:t>
      </w:r>
      <w:r w:rsidR="00EC01E8">
        <w:rPr>
          <w:rFonts w:hint="eastAsia"/>
        </w:rPr>
        <w:t>上所述，</w:t>
      </w:r>
      <w:r w:rsidRPr="00CA54F1">
        <w:rPr>
          <w:rFonts w:hint="eastAsia"/>
        </w:rPr>
        <w:t>衛福部囿於狹隘之本位主義，罔顧主管機關之法定權責，就食鹽添加物中含天然放射性物質鉀-40之管理，推諉塞責，殊有欠當</w:t>
      </w:r>
      <w:r>
        <w:rPr>
          <w:rFonts w:hint="eastAsia"/>
        </w:rPr>
        <w:t>；而</w:t>
      </w:r>
      <w:r w:rsidRPr="00CA54F1">
        <w:rPr>
          <w:rFonts w:hint="eastAsia"/>
        </w:rPr>
        <w:t>衛福部食藥署於知悉食鹽添加物含鉀-40輻射量偏高事件後，未就原能會所提3項具體建議事項，迅即行文轉知臺鹽公司配合改善，亦未依法進行必要之健康風險評估作業，核有消極不作為之怠失</w:t>
      </w:r>
      <w:r>
        <w:rPr>
          <w:rFonts w:hint="eastAsia"/>
        </w:rPr>
        <w:t>；又該署</w:t>
      </w:r>
      <w:r w:rsidRPr="00CA54F1">
        <w:rPr>
          <w:rFonts w:hint="eastAsia"/>
        </w:rPr>
        <w:t>漠視健康食品管理法之立法意旨，跳脫消費者對於產品名稱之通常理解認知程度，就產品名稱明確標示「健康」2字之非認證健康食品，卻為偏袒廠商之有利解釋，顯未善盡替全民把關職責，洵有未當</w:t>
      </w:r>
      <w:r w:rsidR="00EC01E8">
        <w:rPr>
          <w:rFonts w:hint="eastAsia"/>
        </w:rPr>
        <w:t>等情。爰依監察法第24條提案糾正，移送衛福部轉飭所屬確實檢討改進見復。</w:t>
      </w:r>
    </w:p>
    <w:p w:rsidR="00EC01E8" w:rsidRDefault="00EC01E8" w:rsidP="004B15EE">
      <w:pPr>
        <w:pStyle w:val="2"/>
        <w:numPr>
          <w:ilvl w:val="0"/>
          <w:numId w:val="0"/>
        </w:numPr>
        <w:overflowPunct w:val="0"/>
        <w:ind w:left="340"/>
        <w:rPr>
          <w:rFonts w:ascii="Times New Roman" w:hAnsi="Times New Roman"/>
        </w:rPr>
      </w:pPr>
    </w:p>
    <w:p w:rsidR="009B4B72" w:rsidRPr="00E30532" w:rsidRDefault="00E30532" w:rsidP="00E30532">
      <w:pPr>
        <w:pStyle w:val="2"/>
        <w:numPr>
          <w:ilvl w:val="0"/>
          <w:numId w:val="0"/>
        </w:numPr>
        <w:overflowPunct w:val="0"/>
        <w:ind w:left="1020"/>
        <w:jc w:val="right"/>
        <w:rPr>
          <w:rFonts w:hAnsi="標楷體"/>
          <w:sz w:val="36"/>
          <w:szCs w:val="36"/>
        </w:rPr>
      </w:pPr>
      <w:bookmarkStart w:id="26" w:name="_GoBack"/>
      <w:bookmarkEnd w:id="26"/>
      <w:r w:rsidRPr="00E30532">
        <w:rPr>
          <w:rFonts w:hAnsi="標楷體" w:hint="eastAsia"/>
          <w:sz w:val="36"/>
          <w:szCs w:val="36"/>
        </w:rPr>
        <w:t>調查委員：田秋堇、蔡崇義</w:t>
      </w:r>
    </w:p>
    <w:p w:rsidR="00EC01E8" w:rsidRDefault="00EC01E8" w:rsidP="004B15EE">
      <w:pPr>
        <w:widowControl/>
        <w:overflowPunct w:val="0"/>
        <w:rPr>
          <w:rFonts w:ascii="標楷體" w:hAnsi="標楷體" w:cs="Arial"/>
          <w:spacing w:val="12"/>
          <w:kern w:val="0"/>
          <w:szCs w:val="32"/>
        </w:rPr>
      </w:pPr>
      <w:r>
        <w:rPr>
          <w:rFonts w:ascii="標楷體" w:hAnsi="標楷體" w:cs="Arial"/>
          <w:spacing w:val="12"/>
          <w:kern w:val="0"/>
          <w:szCs w:val="32"/>
        </w:rPr>
        <w:lastRenderedPageBreak/>
        <w:br w:type="page"/>
      </w:r>
    </w:p>
    <w:p w:rsidR="00FE5B78" w:rsidRPr="00FE5B78" w:rsidRDefault="00FE5B78" w:rsidP="004B15EE">
      <w:pPr>
        <w:widowControl/>
        <w:shd w:val="clear" w:color="auto" w:fill="FFFFFF"/>
        <w:overflowPunct w:val="0"/>
        <w:spacing w:line="320" w:lineRule="exact"/>
        <w:jc w:val="both"/>
        <w:rPr>
          <w:rFonts w:ascii="標楷體" w:hAnsi="標楷體" w:cs="Arial"/>
          <w:spacing w:val="12"/>
          <w:kern w:val="0"/>
          <w:szCs w:val="32"/>
        </w:rPr>
      </w:pPr>
      <w:r w:rsidRPr="00FE5B78">
        <w:rPr>
          <w:rFonts w:ascii="標楷體" w:hAnsi="標楷體" w:cs="Arial" w:hint="eastAsia"/>
          <w:spacing w:val="12"/>
          <w:kern w:val="0"/>
          <w:szCs w:val="32"/>
        </w:rPr>
        <w:lastRenderedPageBreak/>
        <w:t>附表</w:t>
      </w:r>
      <w:r>
        <w:rPr>
          <w:rFonts w:ascii="標楷體" w:hAnsi="標楷體" w:cs="Arial" w:hint="eastAsia"/>
          <w:spacing w:val="12"/>
          <w:kern w:val="0"/>
          <w:szCs w:val="32"/>
        </w:rPr>
        <w:t>1</w:t>
      </w:r>
    </w:p>
    <w:p w:rsidR="00FE5B78" w:rsidRDefault="00FE5B78" w:rsidP="004B15EE">
      <w:pPr>
        <w:widowControl/>
        <w:overflowPunct w:val="0"/>
        <w:rPr>
          <w:rFonts w:ascii="標楷體" w:hAnsi="標楷體" w:cs="Arial"/>
          <w:spacing w:val="12"/>
          <w:kern w:val="0"/>
          <w:sz w:val="28"/>
          <w:szCs w:val="28"/>
        </w:rPr>
      </w:pPr>
      <w:r>
        <w:rPr>
          <w:rFonts w:ascii="標楷體" w:hAnsi="標楷體" w:cs="Arial" w:hint="eastAsia"/>
          <w:noProof/>
          <w:spacing w:val="12"/>
          <w:kern w:val="0"/>
          <w:sz w:val="28"/>
          <w:szCs w:val="28"/>
        </w:rPr>
        <w:drawing>
          <wp:inline distT="0" distB="0" distL="0" distR="0" wp14:anchorId="403A158C" wp14:editId="0F596EE2">
            <wp:extent cx="5615940" cy="7940675"/>
            <wp:effectExtent l="0" t="0" r="3810"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5_106年9月本會輻射偵測中心自市面購入食鹽樣品之分析結果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5940" cy="7940675"/>
                    </a:xfrm>
                    <a:prstGeom prst="rect">
                      <a:avLst/>
                    </a:prstGeom>
                  </pic:spPr>
                </pic:pic>
              </a:graphicData>
            </a:graphic>
          </wp:inline>
        </w:drawing>
      </w:r>
    </w:p>
    <w:p w:rsidR="00FE5B78" w:rsidRDefault="00FE5B78" w:rsidP="004B15EE">
      <w:pPr>
        <w:widowControl/>
        <w:overflowPunct w:val="0"/>
        <w:rPr>
          <w:rFonts w:ascii="標楷體" w:hAnsi="標楷體" w:cs="Arial"/>
          <w:spacing w:val="12"/>
          <w:kern w:val="0"/>
          <w:sz w:val="28"/>
          <w:szCs w:val="28"/>
        </w:rPr>
      </w:pPr>
    </w:p>
    <w:p w:rsidR="00FE5B78" w:rsidRDefault="00FE5B78" w:rsidP="004B15EE">
      <w:pPr>
        <w:widowControl/>
        <w:overflowPunct w:val="0"/>
        <w:rPr>
          <w:rFonts w:ascii="標楷體" w:hAnsi="標楷體" w:cs="Arial"/>
          <w:spacing w:val="12"/>
          <w:kern w:val="0"/>
          <w:sz w:val="28"/>
          <w:szCs w:val="28"/>
        </w:rPr>
      </w:pPr>
      <w:r>
        <w:rPr>
          <w:rFonts w:ascii="標楷體" w:hAnsi="標楷體" w:cs="Arial"/>
          <w:spacing w:val="12"/>
          <w:kern w:val="0"/>
          <w:sz w:val="28"/>
          <w:szCs w:val="28"/>
        </w:rPr>
        <w:br w:type="page"/>
      </w:r>
      <w:r>
        <w:rPr>
          <w:rFonts w:ascii="標楷體" w:hAnsi="標楷體" w:cs="Arial"/>
          <w:noProof/>
          <w:spacing w:val="12"/>
          <w:kern w:val="0"/>
          <w:sz w:val="28"/>
          <w:szCs w:val="28"/>
        </w:rPr>
        <w:lastRenderedPageBreak/>
        <w:drawing>
          <wp:inline distT="0" distB="0" distL="0" distR="0" wp14:anchorId="74FF9177" wp14:editId="0B7C795F">
            <wp:extent cx="5615940" cy="7940675"/>
            <wp:effectExtent l="0" t="0" r="3810" b="317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5_106年9月本會輻射偵測中心自市面購入食鹽樣品之分析結果_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7940675"/>
                    </a:xfrm>
                    <a:prstGeom prst="rect">
                      <a:avLst/>
                    </a:prstGeom>
                  </pic:spPr>
                </pic:pic>
              </a:graphicData>
            </a:graphic>
          </wp:inline>
        </w:drawing>
      </w:r>
    </w:p>
    <w:p w:rsidR="00FE5B78" w:rsidRDefault="00FE5B78" w:rsidP="004B15EE">
      <w:pPr>
        <w:widowControl/>
        <w:shd w:val="clear" w:color="auto" w:fill="FFFFFF"/>
        <w:overflowPunct w:val="0"/>
        <w:rPr>
          <w:rFonts w:ascii="標楷體" w:hAnsi="標楷體" w:cs="Arial"/>
          <w:spacing w:val="12"/>
          <w:kern w:val="0"/>
          <w:sz w:val="28"/>
          <w:szCs w:val="28"/>
        </w:rPr>
      </w:pPr>
    </w:p>
    <w:p w:rsidR="00FE5B78" w:rsidRDefault="00FE5B78" w:rsidP="004B15EE">
      <w:pPr>
        <w:widowControl/>
        <w:shd w:val="clear" w:color="auto" w:fill="FFFFFF"/>
        <w:overflowPunct w:val="0"/>
        <w:rPr>
          <w:rFonts w:ascii="標楷體" w:hAnsi="標楷體" w:cs="Arial"/>
          <w:spacing w:val="12"/>
          <w:kern w:val="0"/>
          <w:sz w:val="28"/>
          <w:szCs w:val="28"/>
        </w:rPr>
      </w:pPr>
    </w:p>
    <w:p w:rsidR="005E19B7" w:rsidRDefault="001F7D15" w:rsidP="004B15EE">
      <w:pPr>
        <w:widowControl/>
        <w:shd w:val="clear" w:color="auto" w:fill="FFFFFF"/>
        <w:overflowPunct w:val="0"/>
        <w:rPr>
          <w:rFonts w:ascii="標楷體" w:hAnsi="標楷體" w:cs="Arial"/>
          <w:spacing w:val="12"/>
          <w:kern w:val="0"/>
          <w:sz w:val="28"/>
          <w:szCs w:val="28"/>
        </w:rPr>
      </w:pPr>
      <w:r>
        <w:rPr>
          <w:rFonts w:ascii="標楷體" w:hAnsi="標楷體" w:cs="Arial" w:hint="eastAsia"/>
          <w:spacing w:val="12"/>
          <w:kern w:val="0"/>
          <w:sz w:val="28"/>
          <w:szCs w:val="28"/>
        </w:rPr>
        <w:lastRenderedPageBreak/>
        <w:t>附表</w:t>
      </w:r>
      <w:r w:rsidR="00FE5B78">
        <w:rPr>
          <w:rFonts w:ascii="標楷體" w:hAnsi="標楷體" w:cs="Arial" w:hint="eastAsia"/>
          <w:spacing w:val="12"/>
          <w:kern w:val="0"/>
          <w:sz w:val="28"/>
          <w:szCs w:val="28"/>
        </w:rPr>
        <w:t>2</w:t>
      </w:r>
    </w:p>
    <w:p w:rsidR="005E19B7" w:rsidRDefault="005E19B7" w:rsidP="004B15EE">
      <w:pPr>
        <w:widowControl/>
        <w:shd w:val="clear" w:color="auto" w:fill="FFFFFF"/>
        <w:overflowPunct w:val="0"/>
        <w:rPr>
          <w:rFonts w:ascii="標楷體" w:hAnsi="標楷體" w:cs="Arial"/>
          <w:spacing w:val="12"/>
          <w:kern w:val="0"/>
          <w:sz w:val="28"/>
          <w:szCs w:val="28"/>
        </w:rPr>
      </w:pPr>
      <w:r>
        <w:rPr>
          <w:rFonts w:ascii="標楷體" w:hAnsi="標楷體" w:cs="Arial" w:hint="eastAsia"/>
          <w:noProof/>
          <w:spacing w:val="12"/>
          <w:kern w:val="0"/>
          <w:sz w:val="28"/>
          <w:szCs w:val="28"/>
        </w:rPr>
        <w:drawing>
          <wp:inline distT="0" distB="0" distL="0" distR="0" wp14:anchorId="4148DDCB" wp14:editId="23719C00">
            <wp:extent cx="5596759" cy="8213834"/>
            <wp:effectExtent l="0" t="0" r="444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6_106年9月核研所接受 FDA 委託執行之食鹽放射性含量檢測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1239" cy="8235085"/>
                    </a:xfrm>
                    <a:prstGeom prst="rect">
                      <a:avLst/>
                    </a:prstGeom>
                  </pic:spPr>
                </pic:pic>
              </a:graphicData>
            </a:graphic>
          </wp:inline>
        </w:drawing>
      </w:r>
    </w:p>
    <w:p w:rsidR="005E19B7" w:rsidRDefault="005E19B7" w:rsidP="004B15EE">
      <w:pPr>
        <w:widowControl/>
        <w:shd w:val="clear" w:color="auto" w:fill="FFFFFF"/>
        <w:overflowPunct w:val="0"/>
        <w:rPr>
          <w:rFonts w:ascii="標楷體" w:hAnsi="標楷體" w:cs="Arial"/>
          <w:spacing w:val="12"/>
          <w:kern w:val="0"/>
          <w:sz w:val="28"/>
          <w:szCs w:val="28"/>
        </w:rPr>
      </w:pPr>
      <w:r>
        <w:rPr>
          <w:rFonts w:ascii="標楷體" w:hAnsi="標楷體" w:cs="Arial" w:hint="eastAsia"/>
          <w:noProof/>
          <w:spacing w:val="12"/>
          <w:kern w:val="0"/>
          <w:sz w:val="28"/>
          <w:szCs w:val="28"/>
        </w:rPr>
        <w:lastRenderedPageBreak/>
        <w:drawing>
          <wp:inline distT="0" distB="0" distL="0" distR="0" wp14:anchorId="587A6B03" wp14:editId="6B684913">
            <wp:extent cx="5615940" cy="7941310"/>
            <wp:effectExtent l="0" t="0" r="3810"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6_106年9月核研所接受 FDA 委託執行之食鹽放射性含量檢測_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5940" cy="7941310"/>
                    </a:xfrm>
                    <a:prstGeom prst="rect">
                      <a:avLst/>
                    </a:prstGeom>
                  </pic:spPr>
                </pic:pic>
              </a:graphicData>
            </a:graphic>
          </wp:inline>
        </w:drawing>
      </w:r>
    </w:p>
    <w:p w:rsidR="006F427B" w:rsidRDefault="006F427B" w:rsidP="004B15EE">
      <w:pPr>
        <w:widowControl/>
        <w:shd w:val="clear" w:color="auto" w:fill="FFFFFF"/>
        <w:overflowPunct w:val="0"/>
        <w:rPr>
          <w:bCs/>
        </w:rPr>
      </w:pPr>
    </w:p>
    <w:p w:rsidR="006F427B" w:rsidRDefault="006F427B" w:rsidP="004B15EE">
      <w:pPr>
        <w:widowControl/>
        <w:shd w:val="clear" w:color="auto" w:fill="FFFFFF"/>
        <w:overflowPunct w:val="0"/>
        <w:spacing w:line="320" w:lineRule="exact"/>
        <w:rPr>
          <w:bCs/>
        </w:rPr>
      </w:pPr>
    </w:p>
    <w:p w:rsidR="00CC546C" w:rsidRDefault="00CC546C" w:rsidP="004B15EE">
      <w:pPr>
        <w:widowControl/>
        <w:overflowPunct w:val="0"/>
        <w:ind w:left="1276" w:hangingChars="375" w:hanging="1276"/>
        <w:rPr>
          <w:bCs/>
        </w:rPr>
      </w:pPr>
      <w:r w:rsidRPr="000C4F09">
        <w:rPr>
          <w:rFonts w:hint="eastAsia"/>
          <w:bCs/>
        </w:rPr>
        <w:lastRenderedPageBreak/>
        <w:t>附件</w:t>
      </w:r>
    </w:p>
    <w:p w:rsidR="00CC546C" w:rsidRPr="00CC546C" w:rsidRDefault="00CC546C" w:rsidP="004B15EE">
      <w:pPr>
        <w:widowControl/>
        <w:overflowPunct w:val="0"/>
        <w:ind w:left="1127" w:hangingChars="375" w:hanging="1127"/>
        <w:rPr>
          <w:b/>
          <w:sz w:val="28"/>
          <w:szCs w:val="28"/>
        </w:rPr>
      </w:pPr>
      <w:r w:rsidRPr="00CC546C">
        <w:rPr>
          <w:b/>
          <w:sz w:val="28"/>
          <w:szCs w:val="28"/>
        </w:rPr>
        <w:t>食品標示宣傳或廣告詞句涉及誇張易生誤解或醫療效能之認定基準</w:t>
      </w:r>
    </w:p>
    <w:p w:rsidR="00CC546C" w:rsidRPr="000C4F09" w:rsidRDefault="00CC546C" w:rsidP="004B15EE">
      <w:pPr>
        <w:overflowPunct w:val="0"/>
        <w:spacing w:line="320" w:lineRule="exact"/>
        <w:jc w:val="right"/>
        <w:rPr>
          <w:sz w:val="24"/>
          <w:szCs w:val="24"/>
        </w:rPr>
      </w:pPr>
      <w:r w:rsidRPr="000C4F09">
        <w:rPr>
          <w:sz w:val="24"/>
          <w:szCs w:val="24"/>
        </w:rPr>
        <w:t>101</w:t>
      </w:r>
      <w:r w:rsidRPr="000C4F09">
        <w:rPr>
          <w:sz w:val="24"/>
          <w:szCs w:val="24"/>
        </w:rPr>
        <w:t>年</w:t>
      </w:r>
      <w:r w:rsidRPr="000C4F09">
        <w:rPr>
          <w:sz w:val="24"/>
          <w:szCs w:val="24"/>
        </w:rPr>
        <w:t>9</w:t>
      </w:r>
      <w:r w:rsidRPr="000C4F09">
        <w:rPr>
          <w:sz w:val="24"/>
          <w:szCs w:val="24"/>
        </w:rPr>
        <w:t>月</w:t>
      </w:r>
      <w:r w:rsidRPr="000C4F09">
        <w:rPr>
          <w:sz w:val="24"/>
          <w:szCs w:val="24"/>
        </w:rPr>
        <w:t>28</w:t>
      </w:r>
      <w:r w:rsidRPr="000C4F09">
        <w:rPr>
          <w:sz w:val="24"/>
          <w:szCs w:val="24"/>
        </w:rPr>
        <w:t>日署授食字第</w:t>
      </w:r>
      <w:r w:rsidRPr="000C4F09">
        <w:rPr>
          <w:sz w:val="24"/>
          <w:szCs w:val="24"/>
        </w:rPr>
        <w:t>1013000020</w:t>
      </w:r>
      <w:r w:rsidRPr="000C4F09">
        <w:rPr>
          <w:sz w:val="24"/>
          <w:szCs w:val="24"/>
        </w:rPr>
        <w:t>號令發布</w:t>
      </w:r>
    </w:p>
    <w:p w:rsidR="00CC546C" w:rsidRPr="000C4F09" w:rsidRDefault="00CC546C" w:rsidP="004B15EE">
      <w:pPr>
        <w:overflowPunct w:val="0"/>
        <w:spacing w:line="320" w:lineRule="exact"/>
        <w:jc w:val="right"/>
        <w:rPr>
          <w:sz w:val="24"/>
          <w:szCs w:val="24"/>
        </w:rPr>
      </w:pPr>
      <w:r w:rsidRPr="000C4F09">
        <w:rPr>
          <w:sz w:val="24"/>
          <w:szCs w:val="24"/>
        </w:rPr>
        <w:t>103</w:t>
      </w:r>
      <w:r w:rsidRPr="000C4F09">
        <w:rPr>
          <w:sz w:val="24"/>
          <w:szCs w:val="24"/>
        </w:rPr>
        <w:t>年</w:t>
      </w:r>
      <w:r w:rsidRPr="000C4F09">
        <w:rPr>
          <w:sz w:val="24"/>
          <w:szCs w:val="24"/>
        </w:rPr>
        <w:t>1</w:t>
      </w:r>
      <w:r w:rsidRPr="000C4F09">
        <w:rPr>
          <w:sz w:val="24"/>
          <w:szCs w:val="24"/>
        </w:rPr>
        <w:t>月</w:t>
      </w:r>
      <w:r w:rsidRPr="000C4F09">
        <w:rPr>
          <w:sz w:val="24"/>
          <w:szCs w:val="24"/>
        </w:rPr>
        <w:t>7</w:t>
      </w:r>
      <w:r w:rsidRPr="000C4F09">
        <w:rPr>
          <w:sz w:val="24"/>
          <w:szCs w:val="24"/>
        </w:rPr>
        <w:t>日部授食字第</w:t>
      </w:r>
      <w:r w:rsidRPr="000C4F09">
        <w:rPr>
          <w:sz w:val="24"/>
          <w:szCs w:val="24"/>
        </w:rPr>
        <w:t>1021250977</w:t>
      </w:r>
      <w:r w:rsidRPr="000C4F09">
        <w:rPr>
          <w:sz w:val="24"/>
          <w:szCs w:val="24"/>
        </w:rPr>
        <w:t>號令修正發布</w:t>
      </w:r>
    </w:p>
    <w:p w:rsidR="00CC546C" w:rsidRPr="000C4F09" w:rsidRDefault="00CC546C" w:rsidP="004B15EE">
      <w:pPr>
        <w:overflowPunct w:val="0"/>
        <w:spacing w:line="320" w:lineRule="exact"/>
        <w:jc w:val="right"/>
        <w:rPr>
          <w:sz w:val="24"/>
          <w:szCs w:val="24"/>
        </w:rPr>
      </w:pPr>
      <w:r w:rsidRPr="000C4F09">
        <w:rPr>
          <w:sz w:val="24"/>
          <w:szCs w:val="24"/>
        </w:rPr>
        <w:t>105</w:t>
      </w:r>
      <w:r w:rsidRPr="000C4F09">
        <w:rPr>
          <w:sz w:val="24"/>
          <w:szCs w:val="24"/>
        </w:rPr>
        <w:t>年</w:t>
      </w:r>
      <w:r w:rsidRPr="000C4F09">
        <w:rPr>
          <w:sz w:val="24"/>
          <w:szCs w:val="24"/>
        </w:rPr>
        <w:t>6</w:t>
      </w:r>
      <w:r w:rsidRPr="000C4F09">
        <w:rPr>
          <w:sz w:val="24"/>
          <w:szCs w:val="24"/>
        </w:rPr>
        <w:t>月</w:t>
      </w:r>
      <w:r w:rsidRPr="000C4F09">
        <w:rPr>
          <w:sz w:val="24"/>
          <w:szCs w:val="24"/>
        </w:rPr>
        <w:t>17</w:t>
      </w:r>
      <w:r w:rsidRPr="000C4F09">
        <w:rPr>
          <w:sz w:val="24"/>
          <w:szCs w:val="24"/>
        </w:rPr>
        <w:t>日部授食字第</w:t>
      </w:r>
      <w:r w:rsidRPr="000C4F09">
        <w:rPr>
          <w:sz w:val="24"/>
          <w:szCs w:val="24"/>
        </w:rPr>
        <w:t>1051201580</w:t>
      </w:r>
      <w:r w:rsidRPr="000C4F09">
        <w:rPr>
          <w:sz w:val="24"/>
          <w:szCs w:val="24"/>
        </w:rPr>
        <w:t>號令修正發布</w:t>
      </w:r>
    </w:p>
    <w:p w:rsidR="00CC546C" w:rsidRPr="000C4F09" w:rsidRDefault="00CC546C" w:rsidP="004B15EE">
      <w:pPr>
        <w:overflowPunct w:val="0"/>
        <w:spacing w:afterLines="50" w:after="228" w:line="320" w:lineRule="exact"/>
        <w:jc w:val="right"/>
        <w:rPr>
          <w:sz w:val="24"/>
          <w:szCs w:val="24"/>
        </w:rPr>
      </w:pPr>
      <w:r w:rsidRPr="000C4F09">
        <w:rPr>
          <w:sz w:val="24"/>
          <w:szCs w:val="24"/>
        </w:rPr>
        <w:t>106</w:t>
      </w:r>
      <w:r w:rsidRPr="000C4F09">
        <w:rPr>
          <w:sz w:val="24"/>
          <w:szCs w:val="24"/>
        </w:rPr>
        <w:t>年</w:t>
      </w:r>
      <w:r w:rsidRPr="000C4F09">
        <w:rPr>
          <w:sz w:val="24"/>
          <w:szCs w:val="24"/>
        </w:rPr>
        <w:t>3</w:t>
      </w:r>
      <w:r w:rsidRPr="000C4F09">
        <w:rPr>
          <w:sz w:val="24"/>
          <w:szCs w:val="24"/>
        </w:rPr>
        <w:t>月</w:t>
      </w:r>
      <w:r w:rsidRPr="000C4F09">
        <w:rPr>
          <w:sz w:val="24"/>
          <w:szCs w:val="24"/>
        </w:rPr>
        <w:t>16</w:t>
      </w:r>
      <w:r w:rsidRPr="000C4F09">
        <w:rPr>
          <w:sz w:val="24"/>
          <w:szCs w:val="24"/>
        </w:rPr>
        <w:t>日衛授食字第</w:t>
      </w:r>
      <w:r w:rsidRPr="000C4F09">
        <w:rPr>
          <w:sz w:val="24"/>
          <w:szCs w:val="24"/>
        </w:rPr>
        <w:t>1061200468</w:t>
      </w:r>
      <w:r w:rsidRPr="000C4F09">
        <w:rPr>
          <w:sz w:val="24"/>
          <w:szCs w:val="24"/>
        </w:rPr>
        <w:t>號令修正發布</w:t>
      </w:r>
    </w:p>
    <w:p w:rsidR="00CC546C" w:rsidRPr="000C4F09" w:rsidRDefault="00CC546C" w:rsidP="004B15EE">
      <w:pPr>
        <w:pStyle w:val="af3"/>
        <w:widowControl/>
        <w:numPr>
          <w:ilvl w:val="0"/>
          <w:numId w:val="4"/>
        </w:numPr>
        <w:shd w:val="clear" w:color="auto" w:fill="FFFFFF"/>
        <w:overflowPunct w:val="0"/>
        <w:spacing w:line="320" w:lineRule="exact"/>
        <w:ind w:leftChars="0" w:left="709" w:hanging="709"/>
        <w:jc w:val="both"/>
        <w:rPr>
          <w:rFonts w:ascii="標楷體" w:hAnsi="標楷體" w:cs="Arial"/>
          <w:spacing w:val="12"/>
          <w:kern w:val="0"/>
          <w:sz w:val="28"/>
          <w:szCs w:val="28"/>
        </w:rPr>
      </w:pPr>
      <w:r w:rsidRPr="000C4F09">
        <w:rPr>
          <w:rFonts w:ascii="標楷體" w:hAnsi="標楷體" w:cs="Arial"/>
          <w:spacing w:val="12"/>
          <w:kern w:val="0"/>
          <w:sz w:val="28"/>
          <w:szCs w:val="28"/>
        </w:rPr>
        <w:t>衛生福利部(以下稱本部)為維護國人健康，保障消費者權益，有效執行食品安全衛生管理法第二十八條，禁止食品標示、宣傳或廣告誇張、易生誤解或宣稱醫療效能，特訂定本基準。</w:t>
      </w:r>
    </w:p>
    <w:p w:rsidR="00CC546C" w:rsidRPr="000C4F09" w:rsidRDefault="00CC546C" w:rsidP="004B15EE">
      <w:pPr>
        <w:pStyle w:val="af3"/>
        <w:widowControl/>
        <w:numPr>
          <w:ilvl w:val="0"/>
          <w:numId w:val="4"/>
        </w:numPr>
        <w:shd w:val="clear" w:color="auto" w:fill="FFFFFF"/>
        <w:overflowPunct w:val="0"/>
        <w:spacing w:line="320" w:lineRule="exact"/>
        <w:ind w:leftChars="0" w:left="709" w:hanging="709"/>
        <w:jc w:val="both"/>
        <w:rPr>
          <w:rFonts w:ascii="標楷體" w:hAnsi="標楷體" w:cs="Arial"/>
          <w:spacing w:val="12"/>
          <w:kern w:val="0"/>
          <w:sz w:val="28"/>
          <w:szCs w:val="28"/>
        </w:rPr>
      </w:pPr>
      <w:r w:rsidRPr="000C4F09">
        <w:rPr>
          <w:rFonts w:ascii="標楷體" w:hAnsi="標楷體" w:cs="Arial"/>
          <w:spacing w:val="12"/>
          <w:kern w:val="0"/>
          <w:sz w:val="28"/>
          <w:szCs w:val="28"/>
        </w:rPr>
        <w:t>食品標示、宣傳或廣告如有誇張、易生誤解或宣稱醫療效能之情形，且涉及違反健康食品管理法第六條規定者，應依違反健康食品管理法論處。</w:t>
      </w:r>
    </w:p>
    <w:p w:rsidR="00CC546C" w:rsidRPr="000C4F09" w:rsidRDefault="00CC546C" w:rsidP="004B15EE">
      <w:pPr>
        <w:pStyle w:val="af3"/>
        <w:widowControl/>
        <w:numPr>
          <w:ilvl w:val="0"/>
          <w:numId w:val="4"/>
        </w:numPr>
        <w:shd w:val="clear" w:color="auto" w:fill="FFFFFF"/>
        <w:overflowPunct w:val="0"/>
        <w:spacing w:line="320" w:lineRule="exact"/>
        <w:ind w:leftChars="0" w:left="709" w:hanging="709"/>
        <w:jc w:val="both"/>
        <w:rPr>
          <w:rFonts w:ascii="標楷體" w:hAnsi="標楷體" w:cs="Arial"/>
          <w:spacing w:val="12"/>
          <w:kern w:val="0"/>
          <w:sz w:val="28"/>
          <w:szCs w:val="28"/>
        </w:rPr>
      </w:pPr>
      <w:r w:rsidRPr="000C4F09">
        <w:rPr>
          <w:rFonts w:ascii="標楷體" w:hAnsi="標楷體" w:cs="Arial"/>
          <w:spacing w:val="12"/>
          <w:kern w:val="0"/>
          <w:sz w:val="28"/>
          <w:szCs w:val="28"/>
        </w:rPr>
        <w:t>涉及誇張、易生誤解或醫療效能之認定基準如下</w:t>
      </w:r>
      <w:r>
        <w:rPr>
          <w:rFonts w:ascii="標楷體" w:hAnsi="標楷體" w:cs="Arial"/>
          <w:spacing w:val="12"/>
          <w:kern w:val="0"/>
          <w:sz w:val="28"/>
          <w:szCs w:val="28"/>
        </w:rPr>
        <w:t>：</w:t>
      </w:r>
      <w:r w:rsidRPr="000C4F09">
        <w:rPr>
          <w:rFonts w:ascii="標楷體" w:hAnsi="標楷體" w:cs="Arial"/>
          <w:spacing w:val="12"/>
          <w:kern w:val="0"/>
          <w:sz w:val="28"/>
          <w:szCs w:val="28"/>
        </w:rPr>
        <w:t xml:space="preserve"> </w:t>
      </w:r>
    </w:p>
    <w:p w:rsidR="00CC546C" w:rsidRPr="000C4F09" w:rsidRDefault="00CC546C" w:rsidP="004B15EE">
      <w:pPr>
        <w:pStyle w:val="af3"/>
        <w:widowControl/>
        <w:numPr>
          <w:ilvl w:val="1"/>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使用下列詞句者，應認定為涉及醫療效能</w:t>
      </w:r>
      <w:r>
        <w:rPr>
          <w:rFonts w:ascii="標楷體" w:hAnsi="標楷體" w:cs="Arial"/>
          <w:spacing w:val="12"/>
          <w:kern w:val="0"/>
          <w:sz w:val="28"/>
          <w:szCs w:val="28"/>
        </w:rPr>
        <w:t>：</w:t>
      </w:r>
    </w:p>
    <w:p w:rsidR="00CC546C" w:rsidRPr="000C4F09" w:rsidRDefault="00CC546C" w:rsidP="004B15EE">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宣稱預防、改善、減輕、診斷或治療疾病或特定生理情形</w:t>
      </w:r>
      <w:r>
        <w:rPr>
          <w:rFonts w:ascii="標楷體" w:hAnsi="標楷體" w:cs="Arial"/>
          <w:spacing w:val="12"/>
          <w:kern w:val="0"/>
          <w:sz w:val="28"/>
          <w:szCs w:val="28"/>
        </w:rPr>
        <w:t>：</w:t>
      </w:r>
    </w:p>
    <w:p w:rsidR="00CC546C" w:rsidRPr="000C4F09" w:rsidRDefault="00CC546C" w:rsidP="004B15EE">
      <w:pPr>
        <w:widowControl/>
        <w:shd w:val="clear" w:color="auto" w:fill="FFFFFF"/>
        <w:overflowPunct w:val="0"/>
        <w:spacing w:line="320" w:lineRule="exact"/>
        <w:ind w:leftChars="375" w:left="2125"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w:t>
      </w:r>
      <w:r>
        <w:rPr>
          <w:rFonts w:ascii="標楷體" w:hAnsi="標楷體" w:cs="Arial"/>
          <w:spacing w:val="12"/>
          <w:kern w:val="0"/>
          <w:sz w:val="28"/>
          <w:szCs w:val="28"/>
        </w:rPr>
        <w:t>：</w:t>
      </w:r>
      <w:r w:rsidRPr="000C4F09">
        <w:rPr>
          <w:rFonts w:ascii="標楷體" w:hAnsi="標楷體" w:cs="Arial"/>
          <w:spacing w:val="12"/>
          <w:kern w:val="0"/>
          <w:sz w:val="28"/>
          <w:szCs w:val="28"/>
        </w:rPr>
        <w:t>治療近視。恢復視力。防止便秘。利尿。改善過敏體質。壯陽。強精。減輕過敏性皮膚病。治失眠。防止貧血。降血壓。改善血濁。清血。調整內分泌。防止更年期的提早。</w:t>
      </w:r>
    </w:p>
    <w:p w:rsidR="00CC546C" w:rsidRPr="000C4F09" w:rsidRDefault="00CC546C" w:rsidP="004B15EE">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宣稱減輕或降低導致疾病有關之體內成分</w:t>
      </w:r>
      <w:r>
        <w:rPr>
          <w:rFonts w:ascii="標楷體" w:hAnsi="標楷體" w:cs="Arial"/>
          <w:spacing w:val="12"/>
          <w:kern w:val="0"/>
          <w:sz w:val="28"/>
          <w:szCs w:val="28"/>
        </w:rPr>
        <w:t>：</w:t>
      </w:r>
    </w:p>
    <w:p w:rsidR="00CC546C" w:rsidRPr="000C4F09" w:rsidRDefault="00CC546C" w:rsidP="004B15EE">
      <w:pPr>
        <w:pStyle w:val="af3"/>
        <w:widowControl/>
        <w:shd w:val="clear" w:color="auto" w:fill="FFFFFF"/>
        <w:overflowPunct w:val="0"/>
        <w:spacing w:line="320" w:lineRule="exact"/>
        <w:ind w:leftChars="374" w:left="2121"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w:t>
      </w:r>
      <w:r>
        <w:rPr>
          <w:rFonts w:ascii="標楷體" w:hAnsi="標楷體" w:cs="Arial"/>
          <w:spacing w:val="12"/>
          <w:kern w:val="0"/>
          <w:sz w:val="28"/>
          <w:szCs w:val="28"/>
        </w:rPr>
        <w:t>：</w:t>
      </w:r>
      <w:r w:rsidRPr="000C4F09">
        <w:rPr>
          <w:rFonts w:ascii="標楷體" w:hAnsi="標楷體" w:cs="Arial"/>
          <w:spacing w:val="12"/>
          <w:kern w:val="0"/>
          <w:sz w:val="28"/>
          <w:szCs w:val="28"/>
        </w:rPr>
        <w:t>解肝毒。降肝脂。</w:t>
      </w:r>
    </w:p>
    <w:p w:rsidR="00CC546C" w:rsidRPr="000C4F09" w:rsidRDefault="00CC546C" w:rsidP="004B15EE">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宣稱產品對疾病及疾病症候群或症狀有效</w:t>
      </w:r>
      <w:r>
        <w:rPr>
          <w:rFonts w:ascii="標楷體" w:hAnsi="標楷體" w:cs="Arial"/>
          <w:spacing w:val="12"/>
          <w:kern w:val="0"/>
          <w:sz w:val="28"/>
          <w:szCs w:val="28"/>
        </w:rPr>
        <w:t>：</w:t>
      </w:r>
    </w:p>
    <w:p w:rsidR="00CC546C" w:rsidRPr="000C4F09" w:rsidRDefault="00CC546C" w:rsidP="004B15EE">
      <w:pPr>
        <w:widowControl/>
        <w:shd w:val="clear" w:color="auto" w:fill="FFFFFF"/>
        <w:overflowPunct w:val="0"/>
        <w:spacing w:line="320" w:lineRule="exact"/>
        <w:ind w:leftChars="375" w:left="2125"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w:t>
      </w:r>
      <w:r>
        <w:rPr>
          <w:rFonts w:ascii="標楷體" w:hAnsi="標楷體" w:cs="Arial"/>
          <w:spacing w:val="12"/>
          <w:kern w:val="0"/>
          <w:sz w:val="28"/>
          <w:szCs w:val="28"/>
        </w:rPr>
        <w:t>：</w:t>
      </w:r>
      <w:r w:rsidRPr="000C4F09">
        <w:rPr>
          <w:rFonts w:ascii="標楷體" w:hAnsi="標楷體" w:cs="Arial"/>
          <w:spacing w:val="12"/>
          <w:kern w:val="0"/>
          <w:sz w:val="28"/>
          <w:szCs w:val="28"/>
        </w:rPr>
        <w:t>消滯。降肝火。改善喉嚨發炎。祛痰止喘。消腫止痛。消除心律不整。解毒。</w:t>
      </w:r>
    </w:p>
    <w:p w:rsidR="00CC546C" w:rsidRPr="000C4F09" w:rsidRDefault="00CC546C" w:rsidP="004B15EE">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涉及中藥材之效能者</w:t>
      </w:r>
      <w:r>
        <w:rPr>
          <w:rFonts w:ascii="標楷體" w:hAnsi="標楷體" w:cs="Arial"/>
          <w:spacing w:val="12"/>
          <w:kern w:val="0"/>
          <w:sz w:val="28"/>
          <w:szCs w:val="28"/>
        </w:rPr>
        <w:t>：</w:t>
      </w:r>
    </w:p>
    <w:p w:rsidR="00CC546C" w:rsidRPr="000C4F09" w:rsidRDefault="00CC546C" w:rsidP="004B15EE">
      <w:pPr>
        <w:widowControl/>
        <w:shd w:val="clear" w:color="auto" w:fill="FFFFFF"/>
        <w:overflowPunct w:val="0"/>
        <w:spacing w:line="320" w:lineRule="exact"/>
        <w:ind w:leftChars="374" w:left="2270" w:hangingChars="308" w:hanging="998"/>
        <w:jc w:val="both"/>
        <w:rPr>
          <w:rFonts w:ascii="標楷體" w:hAnsi="標楷體" w:cs="Arial"/>
          <w:spacing w:val="12"/>
          <w:kern w:val="0"/>
          <w:sz w:val="28"/>
          <w:szCs w:val="28"/>
        </w:rPr>
      </w:pPr>
      <w:r w:rsidRPr="000C4F09">
        <w:rPr>
          <w:rFonts w:ascii="標楷體" w:hAnsi="標楷體" w:cs="Arial"/>
          <w:spacing w:val="12"/>
          <w:kern w:val="0"/>
          <w:sz w:val="28"/>
          <w:szCs w:val="28"/>
        </w:rPr>
        <w:t>例句：補腎。溫腎（化氣）。滋腎。固腎。健脾。補脾。益脾。溫脾。和胃。養胃。補胃。益胃。溫胃（建中）。翻胃。養心。清心火。補心。寧心。瀉心。鎮心。強心。清肺。宣肺。潤肺。傷肺。溫肺（化痰）。補肺。瀉肺。疏肝。養肝。瀉肝。鎮肝（熄風）。澀腸。潤腸。活血。化瘀。</w:t>
      </w:r>
    </w:p>
    <w:p w:rsidR="00CC546C" w:rsidRPr="000C4F09" w:rsidRDefault="00CC546C" w:rsidP="004B15EE">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引用或摘錄出版品、典籍或以他人名義並述及醫藥效能</w:t>
      </w:r>
      <w:r>
        <w:rPr>
          <w:rFonts w:ascii="標楷體" w:hAnsi="標楷體" w:cs="Arial"/>
          <w:spacing w:val="12"/>
          <w:kern w:val="0"/>
          <w:sz w:val="28"/>
          <w:szCs w:val="28"/>
        </w:rPr>
        <w:t>：</w:t>
      </w:r>
    </w:p>
    <w:p w:rsidR="00CC546C" w:rsidRPr="000C4F09" w:rsidRDefault="00CC546C" w:rsidP="004B15EE">
      <w:pPr>
        <w:widowControl/>
        <w:shd w:val="clear" w:color="auto" w:fill="FFFFFF"/>
        <w:overflowPunct w:val="0"/>
        <w:spacing w:line="320" w:lineRule="exact"/>
        <w:ind w:leftChars="375" w:left="2268"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t>例句：「本草備要」記載：冬蟲夏草可止血化痰。「本草綱目」記載：黑豆可止痛。散五臟結積內寒。</w:t>
      </w:r>
    </w:p>
    <w:p w:rsidR="00CC546C" w:rsidRPr="000C4F09" w:rsidRDefault="00CC546C" w:rsidP="004B15EE">
      <w:pPr>
        <w:pStyle w:val="af3"/>
        <w:widowControl/>
        <w:numPr>
          <w:ilvl w:val="1"/>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使用下列詞句者，應認定為未涉及醫療效能，但涉及誇張或易生誤解</w:t>
      </w:r>
      <w:r>
        <w:rPr>
          <w:rFonts w:ascii="標楷體" w:hAnsi="標楷體" w:cs="Arial"/>
          <w:spacing w:val="12"/>
          <w:kern w:val="0"/>
          <w:sz w:val="28"/>
          <w:szCs w:val="28"/>
        </w:rPr>
        <w:t>：</w:t>
      </w:r>
    </w:p>
    <w:p w:rsidR="00CC546C" w:rsidRPr="000C4F09" w:rsidRDefault="00CC546C" w:rsidP="004B15EE">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涉及生理功能者</w:t>
      </w:r>
      <w:r>
        <w:rPr>
          <w:rFonts w:ascii="標楷體" w:hAnsi="標楷體" w:cs="Arial"/>
          <w:spacing w:val="12"/>
          <w:kern w:val="0"/>
          <w:sz w:val="28"/>
          <w:szCs w:val="28"/>
        </w:rPr>
        <w:t>：</w:t>
      </w:r>
    </w:p>
    <w:p w:rsidR="00CC546C" w:rsidRPr="000C4F09" w:rsidRDefault="00CC546C" w:rsidP="004B15EE">
      <w:pPr>
        <w:widowControl/>
        <w:shd w:val="clear" w:color="auto" w:fill="FFFFFF"/>
        <w:overflowPunct w:val="0"/>
        <w:spacing w:line="320" w:lineRule="exact"/>
        <w:ind w:leftChars="376" w:left="2271"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lastRenderedPageBreak/>
        <w:t>例句：增強抵抗力。強化細胞功能。增智。補腦。增強記憶力。改善體質。解酒。清除自由基。排毒素。分解有害物質。改善更年期障礙。平胃氣。防止口臭。</w:t>
      </w:r>
    </w:p>
    <w:p w:rsidR="00CC546C" w:rsidRPr="000C4F09" w:rsidRDefault="00CC546C" w:rsidP="004B15EE">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未涉及中藥材效能而涉及五官臟器者</w:t>
      </w:r>
      <w:r>
        <w:rPr>
          <w:rFonts w:ascii="標楷體" w:hAnsi="標楷體" w:cs="Arial"/>
          <w:spacing w:val="12"/>
          <w:kern w:val="0"/>
          <w:sz w:val="28"/>
          <w:szCs w:val="28"/>
        </w:rPr>
        <w:t>：</w:t>
      </w:r>
    </w:p>
    <w:p w:rsidR="00CC546C" w:rsidRPr="000C4F09" w:rsidRDefault="00CC546C" w:rsidP="004B15EE">
      <w:pPr>
        <w:widowControl/>
        <w:shd w:val="clear" w:color="auto" w:fill="FFFFFF"/>
        <w:overflowPunct w:val="0"/>
        <w:spacing w:line="320" w:lineRule="exact"/>
        <w:ind w:leftChars="375" w:left="2268"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t>例句：保護眼睛。增加血管彈性。</w:t>
      </w:r>
    </w:p>
    <w:p w:rsidR="00CC546C" w:rsidRPr="000C4F09" w:rsidRDefault="00CC546C" w:rsidP="004B15EE">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涉及改變身體外觀者</w:t>
      </w:r>
      <w:r>
        <w:rPr>
          <w:rFonts w:ascii="標楷體" w:hAnsi="標楷體" w:cs="Arial"/>
          <w:spacing w:val="12"/>
          <w:kern w:val="0"/>
          <w:sz w:val="28"/>
          <w:szCs w:val="28"/>
        </w:rPr>
        <w:t>：</w:t>
      </w:r>
    </w:p>
    <w:p w:rsidR="00CC546C" w:rsidRPr="000C4F09" w:rsidRDefault="00CC546C" w:rsidP="004B15EE">
      <w:pPr>
        <w:widowControl/>
        <w:shd w:val="clear" w:color="auto" w:fill="FFFFFF"/>
        <w:overflowPunct w:val="0"/>
        <w:spacing w:line="320" w:lineRule="exact"/>
        <w:ind w:leftChars="375" w:left="2268" w:hangingChars="306" w:hanging="992"/>
        <w:jc w:val="both"/>
        <w:rPr>
          <w:rFonts w:ascii="標楷體" w:hAnsi="標楷體" w:cs="Arial"/>
          <w:spacing w:val="12"/>
          <w:kern w:val="0"/>
          <w:sz w:val="28"/>
          <w:szCs w:val="28"/>
        </w:rPr>
      </w:pPr>
      <w:r w:rsidRPr="000C4F09">
        <w:rPr>
          <w:rFonts w:ascii="標楷體" w:hAnsi="標楷體" w:cs="Arial"/>
          <w:spacing w:val="12"/>
          <w:kern w:val="0"/>
          <w:sz w:val="28"/>
          <w:szCs w:val="28"/>
        </w:rPr>
        <w:t>例句：豐胸。預防乳房下垂。減肥。塑身。增高。使頭髮烏黑。延遲衰老。防止老化。改善皺紋。美白。纖體(瘦身)。</w:t>
      </w:r>
    </w:p>
    <w:p w:rsidR="00CC546C" w:rsidRPr="000C4F09" w:rsidRDefault="00CC546C" w:rsidP="004B15EE">
      <w:pPr>
        <w:pStyle w:val="af3"/>
        <w:widowControl/>
        <w:numPr>
          <w:ilvl w:val="2"/>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引用本部部授食字號或相當意義詞句者</w:t>
      </w:r>
      <w:r>
        <w:rPr>
          <w:rFonts w:ascii="標楷體" w:hAnsi="標楷體" w:cs="Arial"/>
          <w:spacing w:val="12"/>
          <w:kern w:val="0"/>
          <w:sz w:val="28"/>
          <w:szCs w:val="28"/>
        </w:rPr>
        <w:t>：</w:t>
      </w:r>
    </w:p>
    <w:p w:rsidR="00CC546C" w:rsidRPr="000C4F09" w:rsidRDefault="00CC546C" w:rsidP="004B15EE">
      <w:pPr>
        <w:widowControl/>
        <w:shd w:val="clear" w:color="auto" w:fill="FFFFFF"/>
        <w:overflowPunct w:val="0"/>
        <w:spacing w:line="320" w:lineRule="exact"/>
        <w:ind w:leftChars="375" w:left="2125" w:hangingChars="262" w:hanging="849"/>
        <w:jc w:val="both"/>
        <w:rPr>
          <w:rFonts w:ascii="標楷體" w:hAnsi="標楷體" w:cs="Arial"/>
          <w:spacing w:val="12"/>
          <w:kern w:val="0"/>
          <w:sz w:val="28"/>
          <w:szCs w:val="28"/>
        </w:rPr>
      </w:pPr>
      <w:r w:rsidRPr="000C4F09">
        <w:rPr>
          <w:rFonts w:ascii="標楷體" w:hAnsi="標楷體" w:cs="Arial"/>
          <w:spacing w:val="12"/>
          <w:kern w:val="0"/>
          <w:sz w:val="28"/>
          <w:szCs w:val="28"/>
        </w:rPr>
        <w:t>例句：部授食字第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號。署授衛食字第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號。FDA</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號許可。衛署食字第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號審查合格。領有衛生署食字號。獲得衛生署食字號許可。通過衛生署配方審查。本產品經衛署食字第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號配方審查認定為食品。本產品經衛署食字第</w:t>
      </w:r>
      <w:r w:rsidRPr="000C4F09">
        <w:rPr>
          <w:rFonts w:ascii="標楷體" w:hAnsi="標楷體" w:cs="細明體" w:hint="eastAsia"/>
          <w:spacing w:val="12"/>
          <w:kern w:val="0"/>
          <w:sz w:val="28"/>
          <w:szCs w:val="28"/>
        </w:rPr>
        <w:t>◎◎◎◎◎◎◎◎◎◎</w:t>
      </w:r>
      <w:r w:rsidRPr="000C4F09">
        <w:rPr>
          <w:rFonts w:ascii="標楷體" w:hAnsi="標楷體" w:cs="Arial"/>
          <w:spacing w:val="12"/>
          <w:kern w:val="0"/>
          <w:sz w:val="28"/>
          <w:szCs w:val="28"/>
        </w:rPr>
        <w:t>號查驗登記認定為食品。</w:t>
      </w:r>
    </w:p>
    <w:p w:rsidR="00CC546C" w:rsidRPr="000C4F09" w:rsidRDefault="00CC546C" w:rsidP="004B15EE">
      <w:pPr>
        <w:pStyle w:val="af3"/>
        <w:widowControl/>
        <w:numPr>
          <w:ilvl w:val="0"/>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使用下列詞句者，應認定為未涉及誇張、易生誤解或醫療效能</w:t>
      </w:r>
      <w:r>
        <w:rPr>
          <w:rFonts w:ascii="標楷體" w:hAnsi="標楷體" w:cs="Arial"/>
          <w:spacing w:val="12"/>
          <w:kern w:val="0"/>
          <w:sz w:val="28"/>
          <w:szCs w:val="28"/>
        </w:rPr>
        <w:t>：</w:t>
      </w:r>
    </w:p>
    <w:p w:rsidR="00CC546C" w:rsidRPr="000C4F09" w:rsidRDefault="00CC546C" w:rsidP="004B15EE">
      <w:pPr>
        <w:pStyle w:val="af3"/>
        <w:widowControl/>
        <w:numPr>
          <w:ilvl w:val="1"/>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通常可使用之例句</w:t>
      </w:r>
      <w:r>
        <w:rPr>
          <w:rFonts w:ascii="標楷體" w:hAnsi="標楷體" w:cs="Arial"/>
          <w:spacing w:val="12"/>
          <w:kern w:val="0"/>
          <w:sz w:val="28"/>
          <w:szCs w:val="28"/>
        </w:rPr>
        <w:t>：</w:t>
      </w:r>
    </w:p>
    <w:p w:rsidR="00CC546C" w:rsidRPr="000C4F09" w:rsidRDefault="00CC546C" w:rsidP="004B15EE">
      <w:pPr>
        <w:widowControl/>
        <w:shd w:val="clear" w:color="auto" w:fill="FFFFFF"/>
        <w:overflowPunct w:val="0"/>
        <w:spacing w:line="320" w:lineRule="exact"/>
        <w:ind w:left="1134" w:hanging="2"/>
        <w:jc w:val="both"/>
        <w:rPr>
          <w:rFonts w:ascii="標楷體" w:hAnsi="標楷體" w:cs="Arial"/>
          <w:spacing w:val="12"/>
          <w:kern w:val="0"/>
          <w:sz w:val="28"/>
          <w:szCs w:val="28"/>
        </w:rPr>
      </w:pPr>
      <w:r w:rsidRPr="000C4F09">
        <w:rPr>
          <w:rFonts w:ascii="標楷體" w:hAnsi="標楷體" w:cs="Arial"/>
          <w:spacing w:val="12"/>
          <w:kern w:val="0"/>
          <w:sz w:val="28"/>
          <w:szCs w:val="28"/>
        </w:rPr>
        <w:t>幫助牙齒骨骼正常發育。幫助消化。幫助維持消化道機能。改變細菌叢生態。使排便順暢。調整體質。調節生理機能。滋補強身。增強體力。精神旺盛。養顏美容。幫助入睡。營養補給。</w:t>
      </w:r>
      <w:r w:rsidRPr="00062807">
        <w:rPr>
          <w:rFonts w:ascii="標楷體" w:hAnsi="標楷體" w:cs="Arial"/>
          <w:b/>
          <w:spacing w:val="12"/>
          <w:kern w:val="0"/>
          <w:sz w:val="28"/>
          <w:szCs w:val="28"/>
        </w:rPr>
        <w:t>健康維持。</w:t>
      </w:r>
      <w:r w:rsidRPr="000C4F09">
        <w:rPr>
          <w:rFonts w:ascii="標楷體" w:hAnsi="標楷體" w:cs="Arial"/>
          <w:spacing w:val="12"/>
          <w:kern w:val="0"/>
          <w:sz w:val="28"/>
          <w:szCs w:val="28"/>
        </w:rPr>
        <w:t>青春美麗。產前產後或病後之補養。促進新陳代謝。清涼解渴。生津止渴。促進食慾。開胃。退火。降火氣。使口氣芬芳。促進唾液分泌。潤喉。「本草綱目」記載梅子氣味甘酸，可生津解渴（未述及醫藥效能）。</w:t>
      </w:r>
    </w:p>
    <w:p w:rsidR="00CC546C" w:rsidRPr="000C4F09" w:rsidRDefault="00CC546C" w:rsidP="004B15EE">
      <w:pPr>
        <w:pStyle w:val="af3"/>
        <w:widowControl/>
        <w:numPr>
          <w:ilvl w:val="1"/>
          <w:numId w:val="4"/>
        </w:numPr>
        <w:shd w:val="clear" w:color="auto" w:fill="FFFFFF"/>
        <w:overflowPunct w:val="0"/>
        <w:spacing w:line="320" w:lineRule="exact"/>
        <w:ind w:leftChars="0"/>
        <w:jc w:val="both"/>
        <w:rPr>
          <w:rFonts w:ascii="標楷體" w:hAnsi="標楷體" w:cs="Arial"/>
          <w:spacing w:val="12"/>
          <w:kern w:val="0"/>
          <w:sz w:val="28"/>
          <w:szCs w:val="28"/>
        </w:rPr>
      </w:pPr>
      <w:r w:rsidRPr="000C4F09">
        <w:rPr>
          <w:rFonts w:ascii="標楷體" w:hAnsi="標楷體" w:cs="Arial"/>
          <w:spacing w:val="12"/>
          <w:kern w:val="0"/>
          <w:sz w:val="28"/>
          <w:szCs w:val="28"/>
        </w:rPr>
        <w:t>一般營養素可敘述之生理功能例句 (須明敘係營養素之生理功能，例如</w:t>
      </w:r>
      <w:r>
        <w:rPr>
          <w:rFonts w:ascii="標楷體" w:hAnsi="標楷體" w:cs="Arial"/>
          <w:spacing w:val="12"/>
          <w:kern w:val="0"/>
          <w:sz w:val="28"/>
          <w:szCs w:val="28"/>
        </w:rPr>
        <w:t>：</w:t>
      </w:r>
      <w:r w:rsidRPr="000C4F09">
        <w:rPr>
          <w:rFonts w:ascii="標楷體" w:hAnsi="標楷體" w:cs="Arial"/>
          <w:spacing w:val="12"/>
          <w:kern w:val="0"/>
          <w:sz w:val="28"/>
          <w:szCs w:val="28"/>
        </w:rPr>
        <w:t>膳食纖維可促進腸道蠕動；維生素A有助於維持在暗處的視覺；維生素D可增進鈣吸收)</w:t>
      </w:r>
      <w:r>
        <w:rPr>
          <w:rFonts w:ascii="標楷體" w:hAnsi="標楷體" w:cs="Arial"/>
          <w:spacing w:val="12"/>
          <w:kern w:val="0"/>
          <w:sz w:val="28"/>
          <w:szCs w:val="28"/>
        </w:rPr>
        <w:t>：</w:t>
      </w:r>
    </w:p>
    <w:p w:rsidR="00CC546C" w:rsidRPr="000C4F09" w:rsidRDefault="00CC546C" w:rsidP="004B15EE">
      <w:pPr>
        <w:pStyle w:val="af3"/>
        <w:widowControl/>
        <w:numPr>
          <w:ilvl w:val="2"/>
          <w:numId w:val="4"/>
        </w:numPr>
        <w:shd w:val="clear" w:color="auto" w:fill="FFFFFF"/>
        <w:overflowPunct w:val="0"/>
        <w:spacing w:line="320" w:lineRule="exact"/>
        <w:ind w:leftChars="0" w:left="1276" w:hanging="316"/>
        <w:jc w:val="both"/>
        <w:rPr>
          <w:rFonts w:ascii="標楷體" w:hAnsi="標楷體" w:cs="Arial"/>
          <w:spacing w:val="12"/>
          <w:kern w:val="0"/>
          <w:sz w:val="28"/>
          <w:szCs w:val="28"/>
        </w:rPr>
      </w:pPr>
      <w:r w:rsidRPr="000C4F09">
        <w:rPr>
          <w:rFonts w:ascii="標楷體" w:hAnsi="標楷體" w:cs="Arial"/>
          <w:spacing w:val="12"/>
          <w:kern w:val="0"/>
          <w:sz w:val="28"/>
          <w:szCs w:val="28"/>
        </w:rPr>
        <w:t>維生素或礦物質</w:t>
      </w:r>
      <w:r>
        <w:rPr>
          <w:rFonts w:ascii="標楷體" w:hAnsi="標楷體" w:cs="Arial"/>
          <w:spacing w:val="12"/>
          <w:kern w:val="0"/>
          <w:sz w:val="28"/>
          <w:szCs w:val="28"/>
        </w:rPr>
        <w:t>：</w:t>
      </w:r>
    </w:p>
    <w:p w:rsidR="00CC546C" w:rsidRPr="000C4F09" w:rsidRDefault="00CC546C" w:rsidP="004B15EE">
      <w:pPr>
        <w:widowControl/>
        <w:shd w:val="clear" w:color="auto" w:fill="FFFFFF"/>
        <w:overflowPunct w:val="0"/>
        <w:spacing w:line="320" w:lineRule="exact"/>
        <w:ind w:left="960" w:firstLineChars="100" w:firstLine="324"/>
        <w:jc w:val="both"/>
        <w:rPr>
          <w:rFonts w:ascii="標楷體" w:hAnsi="標楷體" w:cs="Arial"/>
          <w:spacing w:val="12"/>
          <w:kern w:val="0"/>
          <w:sz w:val="28"/>
          <w:szCs w:val="28"/>
        </w:rPr>
      </w:pPr>
      <w:r w:rsidRPr="000C4F09">
        <w:rPr>
          <w:rFonts w:ascii="標楷體" w:hAnsi="標楷體" w:cs="Arial"/>
          <w:spacing w:val="12"/>
          <w:kern w:val="0"/>
          <w:sz w:val="28"/>
          <w:szCs w:val="28"/>
        </w:rPr>
        <w:t>例句如附表一。</w:t>
      </w:r>
    </w:p>
    <w:p w:rsidR="00CC546C" w:rsidRPr="00DA0054" w:rsidRDefault="00CC546C" w:rsidP="004B15EE">
      <w:pPr>
        <w:widowControl/>
        <w:shd w:val="clear" w:color="auto" w:fill="FFFFFF"/>
        <w:overflowPunct w:val="0"/>
        <w:spacing w:line="320" w:lineRule="exact"/>
        <w:ind w:firstLineChars="300" w:firstLine="972"/>
        <w:jc w:val="both"/>
        <w:rPr>
          <w:rFonts w:ascii="標楷體" w:hAnsi="標楷體" w:cs="Arial"/>
          <w:spacing w:val="12"/>
          <w:kern w:val="0"/>
          <w:sz w:val="28"/>
          <w:szCs w:val="28"/>
        </w:rPr>
      </w:pPr>
      <w:r>
        <w:rPr>
          <w:rFonts w:ascii="標楷體" w:hAnsi="標楷體" w:cs="Arial" w:hint="eastAsia"/>
          <w:spacing w:val="12"/>
          <w:kern w:val="0"/>
          <w:sz w:val="28"/>
          <w:szCs w:val="28"/>
        </w:rPr>
        <w:t>2.</w:t>
      </w:r>
      <w:r w:rsidRPr="00DA0054">
        <w:rPr>
          <w:rFonts w:ascii="標楷體" w:hAnsi="標楷體" w:cs="Arial"/>
          <w:spacing w:val="12"/>
          <w:kern w:val="0"/>
          <w:sz w:val="28"/>
          <w:szCs w:val="28"/>
        </w:rPr>
        <w:t>其他營養素</w:t>
      </w:r>
      <w:r>
        <w:rPr>
          <w:rFonts w:ascii="標楷體" w:hAnsi="標楷體" w:cs="Arial"/>
          <w:spacing w:val="12"/>
          <w:kern w:val="0"/>
          <w:sz w:val="28"/>
          <w:szCs w:val="28"/>
        </w:rPr>
        <w:t>：</w:t>
      </w:r>
    </w:p>
    <w:p w:rsidR="00CC546C" w:rsidRDefault="00CC546C" w:rsidP="004B15EE">
      <w:pPr>
        <w:widowControl/>
        <w:shd w:val="clear" w:color="auto" w:fill="FFFFFF"/>
        <w:overflowPunct w:val="0"/>
        <w:spacing w:line="320" w:lineRule="exact"/>
        <w:ind w:left="960" w:firstLineChars="100" w:firstLine="324"/>
        <w:jc w:val="both"/>
        <w:rPr>
          <w:rFonts w:ascii="標楷體" w:hAnsi="標楷體" w:cs="Arial"/>
          <w:spacing w:val="12"/>
          <w:kern w:val="0"/>
          <w:sz w:val="28"/>
          <w:szCs w:val="28"/>
        </w:rPr>
      </w:pPr>
      <w:r w:rsidRPr="000C4F09">
        <w:rPr>
          <w:rFonts w:ascii="標楷體" w:hAnsi="標楷體" w:cs="Arial"/>
          <w:spacing w:val="12"/>
          <w:kern w:val="0"/>
          <w:sz w:val="28"/>
          <w:szCs w:val="28"/>
        </w:rPr>
        <w:t>例句如附表二。</w:t>
      </w:r>
    </w:p>
    <w:p w:rsidR="00CC546C" w:rsidRDefault="00CC546C" w:rsidP="004B15EE">
      <w:pPr>
        <w:widowControl/>
        <w:shd w:val="clear" w:color="auto" w:fill="FFFFFF"/>
        <w:overflowPunct w:val="0"/>
        <w:spacing w:line="320" w:lineRule="exact"/>
        <w:ind w:left="960" w:firstLineChars="100" w:firstLine="324"/>
        <w:jc w:val="both"/>
        <w:rPr>
          <w:rFonts w:ascii="標楷體" w:hAnsi="標楷體" w:cs="Arial"/>
          <w:spacing w:val="12"/>
          <w:kern w:val="0"/>
          <w:sz w:val="28"/>
          <w:szCs w:val="28"/>
        </w:rPr>
      </w:pPr>
    </w:p>
    <w:p w:rsidR="006F427B" w:rsidRDefault="006F427B" w:rsidP="004B15EE">
      <w:pPr>
        <w:widowControl/>
        <w:shd w:val="clear" w:color="auto" w:fill="FFFFFF"/>
        <w:overflowPunct w:val="0"/>
        <w:spacing w:line="320" w:lineRule="exact"/>
        <w:rPr>
          <w:bCs/>
        </w:rPr>
      </w:pPr>
    </w:p>
    <w:sectPr w:rsidR="006F427B">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B95" w:rsidRDefault="00763B95" w:rsidP="00255E08">
      <w:r>
        <w:separator/>
      </w:r>
    </w:p>
  </w:endnote>
  <w:endnote w:type="continuationSeparator" w:id="0">
    <w:p w:rsidR="00763B95" w:rsidRDefault="00763B95"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183" w:rsidRDefault="00407183">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E30532">
      <w:rPr>
        <w:rStyle w:val="a7"/>
        <w:noProof/>
        <w:sz w:val="24"/>
      </w:rPr>
      <w:t>9</w:t>
    </w:r>
    <w:r>
      <w:rPr>
        <w:rStyle w:val="a7"/>
        <w:sz w:val="24"/>
      </w:rPr>
      <w:fldChar w:fldCharType="end"/>
    </w:r>
  </w:p>
  <w:p w:rsidR="00407183" w:rsidRDefault="0040718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B95" w:rsidRDefault="00763B95" w:rsidP="00255E08">
      <w:r>
        <w:separator/>
      </w:r>
    </w:p>
  </w:footnote>
  <w:footnote w:type="continuationSeparator" w:id="0">
    <w:p w:rsidR="00763B95" w:rsidRDefault="00763B95" w:rsidP="00255E08">
      <w:r>
        <w:continuationSeparator/>
      </w:r>
    </w:p>
  </w:footnote>
  <w:footnote w:id="1">
    <w:p w:rsidR="003A2896" w:rsidRPr="00F13B05" w:rsidRDefault="003A2896" w:rsidP="003A2896">
      <w:pPr>
        <w:pStyle w:val="af0"/>
      </w:pPr>
      <w:r>
        <w:rPr>
          <w:rStyle w:val="af2"/>
        </w:rPr>
        <w:footnoteRef/>
      </w:r>
      <w:r w:rsidRPr="00F13B05">
        <w:rPr>
          <w:rFonts w:hint="eastAsia"/>
        </w:rPr>
        <w:t>衛福部食藥署</w:t>
      </w:r>
      <w:r>
        <w:rPr>
          <w:rFonts w:hint="eastAsia"/>
        </w:rPr>
        <w:t>107</w:t>
      </w:r>
      <w:r>
        <w:rPr>
          <w:rFonts w:hint="eastAsia"/>
        </w:rPr>
        <w:t>年</w:t>
      </w:r>
      <w:r>
        <w:rPr>
          <w:rFonts w:hint="eastAsia"/>
        </w:rPr>
        <w:t>4</w:t>
      </w:r>
      <w:r>
        <w:rPr>
          <w:rFonts w:hint="eastAsia"/>
        </w:rPr>
        <w:t>月</w:t>
      </w:r>
      <w:r>
        <w:rPr>
          <w:rFonts w:hint="eastAsia"/>
        </w:rPr>
        <w:t>26</w:t>
      </w:r>
      <w:r>
        <w:rPr>
          <w:rFonts w:hint="eastAsia"/>
        </w:rPr>
        <w:t>日</w:t>
      </w:r>
      <w:r>
        <w:rPr>
          <w:rFonts w:hint="eastAsia"/>
        </w:rPr>
        <w:t>FDA</w:t>
      </w:r>
      <w:r>
        <w:rPr>
          <w:rFonts w:hint="eastAsia"/>
        </w:rPr>
        <w:t>食字第</w:t>
      </w:r>
      <w:r>
        <w:rPr>
          <w:rFonts w:hint="eastAsia"/>
        </w:rPr>
        <w:t>1079011658</w:t>
      </w:r>
      <w:r>
        <w:rPr>
          <w:rFonts w:hint="eastAsia"/>
        </w:rPr>
        <w:t>號函。</w:t>
      </w:r>
    </w:p>
  </w:footnote>
  <w:footnote w:id="2">
    <w:p w:rsidR="003A2896" w:rsidRPr="00F13B05" w:rsidRDefault="003A2896" w:rsidP="003A2896">
      <w:pPr>
        <w:pStyle w:val="af0"/>
      </w:pPr>
      <w:r>
        <w:rPr>
          <w:rStyle w:val="af2"/>
        </w:rPr>
        <w:footnoteRef/>
      </w:r>
      <w:r w:rsidRPr="00F13B05">
        <w:rPr>
          <w:rFonts w:hint="eastAsia"/>
        </w:rPr>
        <w:t>衛福部食藥署</w:t>
      </w:r>
      <w:r>
        <w:rPr>
          <w:rFonts w:hint="eastAsia"/>
        </w:rPr>
        <w:t>107</w:t>
      </w:r>
      <w:r>
        <w:rPr>
          <w:rFonts w:hint="eastAsia"/>
        </w:rPr>
        <w:t>年</w:t>
      </w:r>
      <w:r>
        <w:rPr>
          <w:rFonts w:hint="eastAsia"/>
        </w:rPr>
        <w:t>5</w:t>
      </w:r>
      <w:r>
        <w:rPr>
          <w:rFonts w:hint="eastAsia"/>
        </w:rPr>
        <w:t>月</w:t>
      </w:r>
      <w:r>
        <w:rPr>
          <w:rFonts w:hint="eastAsia"/>
        </w:rPr>
        <w:t>16</w:t>
      </w:r>
      <w:r>
        <w:rPr>
          <w:rFonts w:hint="eastAsia"/>
        </w:rPr>
        <w:t>日</w:t>
      </w:r>
      <w:r>
        <w:rPr>
          <w:rFonts w:hint="eastAsia"/>
        </w:rPr>
        <w:t>FDA</w:t>
      </w:r>
      <w:r>
        <w:rPr>
          <w:rFonts w:hint="eastAsia"/>
        </w:rPr>
        <w:t>食字第</w:t>
      </w:r>
      <w:r>
        <w:rPr>
          <w:rFonts w:hint="eastAsia"/>
        </w:rPr>
        <w:t>1079013292</w:t>
      </w:r>
      <w:r>
        <w:rPr>
          <w:rFonts w:hint="eastAsia"/>
        </w:rPr>
        <w:t>號函。</w:t>
      </w:r>
      <w:r>
        <w:t xml:space="preserve"> </w:t>
      </w:r>
    </w:p>
  </w:footnote>
  <w:footnote w:id="3">
    <w:p w:rsidR="003A2896" w:rsidRPr="004F1A6A" w:rsidRDefault="003A2896" w:rsidP="003A2896">
      <w:pPr>
        <w:pStyle w:val="af0"/>
      </w:pPr>
      <w:r>
        <w:rPr>
          <w:rStyle w:val="af2"/>
        </w:rPr>
        <w:footnoteRef/>
      </w:r>
      <w:r>
        <w:rPr>
          <w:rFonts w:hint="eastAsia"/>
        </w:rPr>
        <w:t>行政院原子能委員會</w:t>
      </w:r>
      <w:r>
        <w:rPr>
          <w:rFonts w:hint="eastAsia"/>
        </w:rPr>
        <w:t>106</w:t>
      </w:r>
      <w:r>
        <w:rPr>
          <w:rFonts w:hint="eastAsia"/>
        </w:rPr>
        <w:t>年</w:t>
      </w:r>
      <w:r>
        <w:rPr>
          <w:rFonts w:hint="eastAsia"/>
        </w:rPr>
        <w:t>9</w:t>
      </w:r>
      <w:r>
        <w:rPr>
          <w:rFonts w:hint="eastAsia"/>
        </w:rPr>
        <w:t>月</w:t>
      </w:r>
      <w:r>
        <w:rPr>
          <w:rFonts w:hint="eastAsia"/>
        </w:rPr>
        <w:t>30</w:t>
      </w:r>
      <w:r>
        <w:rPr>
          <w:rFonts w:hint="eastAsia"/>
        </w:rPr>
        <w:t>日會輻字第</w:t>
      </w:r>
      <w:r>
        <w:rPr>
          <w:rFonts w:hint="eastAsia"/>
        </w:rPr>
        <w:t>1060013010</w:t>
      </w:r>
      <w:r>
        <w:rPr>
          <w:rFonts w:hint="eastAsia"/>
        </w:rPr>
        <w:t>號函。</w:t>
      </w:r>
    </w:p>
  </w:footnote>
  <w:footnote w:id="4">
    <w:p w:rsidR="003A2896" w:rsidRPr="001E28D2" w:rsidRDefault="003A2896" w:rsidP="003A2896">
      <w:pPr>
        <w:pStyle w:val="af0"/>
      </w:pPr>
      <w:r>
        <w:rPr>
          <w:rStyle w:val="af2"/>
        </w:rPr>
        <w:footnoteRef/>
      </w:r>
      <w:r>
        <w:t xml:space="preserve"> </w:t>
      </w:r>
      <w:r w:rsidRPr="000B3CD0">
        <w:rPr>
          <w:rFonts w:hint="eastAsia"/>
        </w:rPr>
        <w:t>衛福部食藥署</w:t>
      </w:r>
      <w:r>
        <w:rPr>
          <w:rFonts w:hint="eastAsia"/>
        </w:rPr>
        <w:t>107</w:t>
      </w:r>
      <w:r>
        <w:rPr>
          <w:rFonts w:hint="eastAsia"/>
        </w:rPr>
        <w:t>年</w:t>
      </w:r>
      <w:r>
        <w:rPr>
          <w:rFonts w:hint="eastAsia"/>
        </w:rPr>
        <w:t>7</w:t>
      </w:r>
      <w:r>
        <w:rPr>
          <w:rFonts w:hint="eastAsia"/>
        </w:rPr>
        <w:t>月</w:t>
      </w:r>
      <w:r>
        <w:rPr>
          <w:rFonts w:hint="eastAsia"/>
        </w:rPr>
        <w:t>6</w:t>
      </w:r>
      <w:r>
        <w:rPr>
          <w:rFonts w:hint="eastAsia"/>
        </w:rPr>
        <w:t>日</w:t>
      </w:r>
      <w:r>
        <w:rPr>
          <w:rFonts w:hint="eastAsia"/>
        </w:rPr>
        <w:t>FDA</w:t>
      </w:r>
      <w:r>
        <w:rPr>
          <w:rFonts w:hint="eastAsia"/>
        </w:rPr>
        <w:t>食字第</w:t>
      </w:r>
      <w:r>
        <w:rPr>
          <w:rFonts w:hint="eastAsia"/>
        </w:rPr>
        <w:t>1071302183</w:t>
      </w:r>
      <w:r>
        <w:rPr>
          <w:rFonts w:hint="eastAsia"/>
        </w:rPr>
        <w:t>號函。</w:t>
      </w:r>
    </w:p>
  </w:footnote>
  <w:footnote w:id="5">
    <w:p w:rsidR="003A2896" w:rsidRPr="00E57B3F" w:rsidRDefault="003A2896" w:rsidP="003A2896">
      <w:pPr>
        <w:pStyle w:val="af0"/>
      </w:pPr>
      <w:r>
        <w:rPr>
          <w:rStyle w:val="af2"/>
        </w:rPr>
        <w:footnoteRef/>
      </w:r>
      <w:r>
        <w:rPr>
          <w:rFonts w:hint="eastAsia"/>
        </w:rPr>
        <w:t xml:space="preserve"> </w:t>
      </w:r>
      <w:r w:rsidRPr="00E57B3F">
        <w:rPr>
          <w:rFonts w:hint="eastAsia"/>
        </w:rPr>
        <w:t>擁有小綠人標章，才是有政府的功效背書保證的健康食品</w:t>
      </w:r>
      <w:r>
        <w:rPr>
          <w:rFonts w:hint="eastAsia"/>
        </w:rPr>
        <w:t>。</w:t>
      </w:r>
    </w:p>
  </w:footnote>
  <w:footnote w:id="6">
    <w:p w:rsidR="003A2896" w:rsidRPr="00624425" w:rsidRDefault="003A2896" w:rsidP="003A2896">
      <w:pPr>
        <w:pStyle w:val="af0"/>
      </w:pPr>
      <w:r>
        <w:rPr>
          <w:rStyle w:val="af2"/>
        </w:rPr>
        <w:footnoteRef/>
      </w:r>
      <w:r>
        <w:t xml:space="preserve"> </w:t>
      </w:r>
      <w:r w:rsidRPr="00D72758">
        <w:t>https</w:t>
      </w:r>
      <w:r>
        <w:t>：</w:t>
      </w:r>
      <w:r w:rsidRPr="00D72758">
        <w:t>//consumer.fda.gov.tw/Food/InfoHealthFood.aspx?nodeID=162#</w:t>
      </w:r>
    </w:p>
  </w:footnote>
  <w:footnote w:id="7">
    <w:p w:rsidR="003A2896" w:rsidRPr="00756CF1" w:rsidRDefault="003A2896" w:rsidP="003A2896">
      <w:pPr>
        <w:pStyle w:val="af0"/>
      </w:pPr>
      <w:r>
        <w:rPr>
          <w:rStyle w:val="af2"/>
        </w:rPr>
        <w:footnoteRef/>
      </w:r>
      <w:r w:rsidRPr="00756CF1">
        <w:t xml:space="preserve"> </w:t>
      </w:r>
      <w:r w:rsidRPr="00756CF1">
        <w:rPr>
          <w:rFonts w:hint="eastAsia"/>
        </w:rPr>
        <w:t>衛福部食藥署</w:t>
      </w:r>
      <w:r>
        <w:rPr>
          <w:rFonts w:hint="eastAsia"/>
        </w:rPr>
        <w:t>107</w:t>
      </w:r>
      <w:r>
        <w:rPr>
          <w:rFonts w:hint="eastAsia"/>
          <w:bCs/>
        </w:rPr>
        <w:t>年</w:t>
      </w:r>
      <w:r>
        <w:rPr>
          <w:rFonts w:hint="eastAsia"/>
          <w:bCs/>
        </w:rPr>
        <w:t>5</w:t>
      </w:r>
      <w:r>
        <w:rPr>
          <w:rFonts w:hint="eastAsia"/>
          <w:bCs/>
        </w:rPr>
        <w:t>月</w:t>
      </w:r>
      <w:r>
        <w:rPr>
          <w:rFonts w:hint="eastAsia"/>
          <w:bCs/>
        </w:rPr>
        <w:t>16</w:t>
      </w:r>
      <w:r>
        <w:rPr>
          <w:rFonts w:hint="eastAsia"/>
          <w:bCs/>
        </w:rPr>
        <w:t>日</w:t>
      </w:r>
      <w:r>
        <w:rPr>
          <w:rFonts w:hint="eastAsia"/>
          <w:bCs/>
        </w:rPr>
        <w:t>FDA</w:t>
      </w:r>
      <w:r>
        <w:rPr>
          <w:rFonts w:hint="eastAsia"/>
          <w:bCs/>
        </w:rPr>
        <w:t>食字第</w:t>
      </w:r>
      <w:r>
        <w:rPr>
          <w:rFonts w:hint="eastAsia"/>
          <w:bCs/>
        </w:rPr>
        <w:t>1079013292</w:t>
      </w:r>
      <w:r>
        <w:rPr>
          <w:rFonts w:hint="eastAsia"/>
          <w:bCs/>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D166F0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11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54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96D2FF0"/>
    <w:multiLevelType w:val="hybridMultilevel"/>
    <w:tmpl w:val="9E9E9AA8"/>
    <w:lvl w:ilvl="0" w:tplc="04090015">
      <w:start w:val="1"/>
      <w:numFmt w:val="taiwaneseCountingThousand"/>
      <w:lvlText w:val="%1、"/>
      <w:lvlJc w:val="left"/>
      <w:pPr>
        <w:ind w:left="480" w:hanging="480"/>
      </w:pPr>
    </w:lvl>
    <w:lvl w:ilvl="1" w:tplc="757A658A">
      <w:start w:val="1"/>
      <w:numFmt w:val="taiwaneseCountingThousand"/>
      <w:lvlText w:val="(%2)"/>
      <w:lvlJc w:val="left"/>
      <w:pPr>
        <w:ind w:left="960" w:hanging="480"/>
      </w:pPr>
      <w:rPr>
        <w:rFonts w:hint="default"/>
        <w:b w:val="0"/>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5CD"/>
    <w:rsid w:val="0000220C"/>
    <w:rsid w:val="0000433A"/>
    <w:rsid w:val="00017239"/>
    <w:rsid w:val="00037716"/>
    <w:rsid w:val="00047C69"/>
    <w:rsid w:val="00062807"/>
    <w:rsid w:val="00073E7A"/>
    <w:rsid w:val="00081845"/>
    <w:rsid w:val="00082A45"/>
    <w:rsid w:val="000973FB"/>
    <w:rsid w:val="000B2268"/>
    <w:rsid w:val="000B3CD0"/>
    <w:rsid w:val="000D1E39"/>
    <w:rsid w:val="000D4D08"/>
    <w:rsid w:val="000D4E9F"/>
    <w:rsid w:val="000F7DEC"/>
    <w:rsid w:val="00115BD4"/>
    <w:rsid w:val="00165B13"/>
    <w:rsid w:val="001752EB"/>
    <w:rsid w:val="00196C8E"/>
    <w:rsid w:val="001A3DA3"/>
    <w:rsid w:val="001D39E2"/>
    <w:rsid w:val="001D7ED2"/>
    <w:rsid w:val="001E28D2"/>
    <w:rsid w:val="001F1455"/>
    <w:rsid w:val="001F3E79"/>
    <w:rsid w:val="001F486E"/>
    <w:rsid w:val="001F7D15"/>
    <w:rsid w:val="002011AF"/>
    <w:rsid w:val="0022673E"/>
    <w:rsid w:val="00231140"/>
    <w:rsid w:val="0024281A"/>
    <w:rsid w:val="002551E6"/>
    <w:rsid w:val="00255E08"/>
    <w:rsid w:val="00257EDC"/>
    <w:rsid w:val="002651CF"/>
    <w:rsid w:val="00266804"/>
    <w:rsid w:val="0027495A"/>
    <w:rsid w:val="0027595B"/>
    <w:rsid w:val="0029134F"/>
    <w:rsid w:val="00293405"/>
    <w:rsid w:val="00295699"/>
    <w:rsid w:val="00297CDC"/>
    <w:rsid w:val="002B35E6"/>
    <w:rsid w:val="002B4657"/>
    <w:rsid w:val="002B4BE2"/>
    <w:rsid w:val="002C7AF1"/>
    <w:rsid w:val="002E00CC"/>
    <w:rsid w:val="002E7E28"/>
    <w:rsid w:val="00303B1B"/>
    <w:rsid w:val="0030654A"/>
    <w:rsid w:val="00307FB5"/>
    <w:rsid w:val="00320F3B"/>
    <w:rsid w:val="003406FC"/>
    <w:rsid w:val="00376805"/>
    <w:rsid w:val="00385C12"/>
    <w:rsid w:val="00387ADD"/>
    <w:rsid w:val="003A2896"/>
    <w:rsid w:val="003B1747"/>
    <w:rsid w:val="003B6879"/>
    <w:rsid w:val="003C1B65"/>
    <w:rsid w:val="003D7760"/>
    <w:rsid w:val="003E2763"/>
    <w:rsid w:val="003E281A"/>
    <w:rsid w:val="003F47E7"/>
    <w:rsid w:val="00402DED"/>
    <w:rsid w:val="00407183"/>
    <w:rsid w:val="00421D93"/>
    <w:rsid w:val="00432D2A"/>
    <w:rsid w:val="004403E7"/>
    <w:rsid w:val="0046258F"/>
    <w:rsid w:val="004647A9"/>
    <w:rsid w:val="00474B30"/>
    <w:rsid w:val="00483E3D"/>
    <w:rsid w:val="004920EA"/>
    <w:rsid w:val="004A57F1"/>
    <w:rsid w:val="004B15EE"/>
    <w:rsid w:val="004B55E8"/>
    <w:rsid w:val="004E78D3"/>
    <w:rsid w:val="004F1615"/>
    <w:rsid w:val="004F1A6A"/>
    <w:rsid w:val="004F1C71"/>
    <w:rsid w:val="00513ABD"/>
    <w:rsid w:val="00523EBF"/>
    <w:rsid w:val="005522A8"/>
    <w:rsid w:val="00554598"/>
    <w:rsid w:val="0055586A"/>
    <w:rsid w:val="00565504"/>
    <w:rsid w:val="00576040"/>
    <w:rsid w:val="005B6745"/>
    <w:rsid w:val="005C517E"/>
    <w:rsid w:val="005D487A"/>
    <w:rsid w:val="005D5708"/>
    <w:rsid w:val="005E17C3"/>
    <w:rsid w:val="005E19B7"/>
    <w:rsid w:val="005E2A22"/>
    <w:rsid w:val="005E40C8"/>
    <w:rsid w:val="006125A7"/>
    <w:rsid w:val="0063019B"/>
    <w:rsid w:val="0063537B"/>
    <w:rsid w:val="00641107"/>
    <w:rsid w:val="00655471"/>
    <w:rsid w:val="00660964"/>
    <w:rsid w:val="00681627"/>
    <w:rsid w:val="0068188A"/>
    <w:rsid w:val="00681BC1"/>
    <w:rsid w:val="00682585"/>
    <w:rsid w:val="00683ADB"/>
    <w:rsid w:val="0068509F"/>
    <w:rsid w:val="006A4FF9"/>
    <w:rsid w:val="006B119D"/>
    <w:rsid w:val="006B3551"/>
    <w:rsid w:val="006C74AE"/>
    <w:rsid w:val="006D6401"/>
    <w:rsid w:val="006F3638"/>
    <w:rsid w:val="006F427B"/>
    <w:rsid w:val="007011DC"/>
    <w:rsid w:val="007018DD"/>
    <w:rsid w:val="007118E9"/>
    <w:rsid w:val="0072273E"/>
    <w:rsid w:val="0072320F"/>
    <w:rsid w:val="00730CF5"/>
    <w:rsid w:val="0073316B"/>
    <w:rsid w:val="00735402"/>
    <w:rsid w:val="00756CF1"/>
    <w:rsid w:val="0076375F"/>
    <w:rsid w:val="00763B95"/>
    <w:rsid w:val="0076577B"/>
    <w:rsid w:val="007674B4"/>
    <w:rsid w:val="007825D5"/>
    <w:rsid w:val="00784A11"/>
    <w:rsid w:val="00784DB4"/>
    <w:rsid w:val="0078710E"/>
    <w:rsid w:val="00792A73"/>
    <w:rsid w:val="00794F69"/>
    <w:rsid w:val="007E2832"/>
    <w:rsid w:val="007E6B0C"/>
    <w:rsid w:val="0080051B"/>
    <w:rsid w:val="00806A82"/>
    <w:rsid w:val="00810722"/>
    <w:rsid w:val="008168F2"/>
    <w:rsid w:val="00832981"/>
    <w:rsid w:val="008338D2"/>
    <w:rsid w:val="00843E58"/>
    <w:rsid w:val="00847399"/>
    <w:rsid w:val="00855E48"/>
    <w:rsid w:val="00862D23"/>
    <w:rsid w:val="00871660"/>
    <w:rsid w:val="008745E4"/>
    <w:rsid w:val="00890382"/>
    <w:rsid w:val="008C1F47"/>
    <w:rsid w:val="008D71C7"/>
    <w:rsid w:val="008E19E8"/>
    <w:rsid w:val="008E420E"/>
    <w:rsid w:val="008E6553"/>
    <w:rsid w:val="008E71F8"/>
    <w:rsid w:val="008F20B1"/>
    <w:rsid w:val="0090304E"/>
    <w:rsid w:val="00924334"/>
    <w:rsid w:val="0094685F"/>
    <w:rsid w:val="00974E6C"/>
    <w:rsid w:val="00975295"/>
    <w:rsid w:val="00985577"/>
    <w:rsid w:val="00996FA6"/>
    <w:rsid w:val="009A34FA"/>
    <w:rsid w:val="009B21F6"/>
    <w:rsid w:val="009B4B72"/>
    <w:rsid w:val="009E3A10"/>
    <w:rsid w:val="009F739D"/>
    <w:rsid w:val="00A031A2"/>
    <w:rsid w:val="00A124C8"/>
    <w:rsid w:val="00A12803"/>
    <w:rsid w:val="00A14FE2"/>
    <w:rsid w:val="00A2024D"/>
    <w:rsid w:val="00A2725B"/>
    <w:rsid w:val="00A27F42"/>
    <w:rsid w:val="00A759BA"/>
    <w:rsid w:val="00A76EA3"/>
    <w:rsid w:val="00A84129"/>
    <w:rsid w:val="00A85DC5"/>
    <w:rsid w:val="00A92BA4"/>
    <w:rsid w:val="00AB5BBB"/>
    <w:rsid w:val="00AD6BFF"/>
    <w:rsid w:val="00AE2F8D"/>
    <w:rsid w:val="00AE6396"/>
    <w:rsid w:val="00AF4E69"/>
    <w:rsid w:val="00AF632D"/>
    <w:rsid w:val="00B03B1A"/>
    <w:rsid w:val="00B30FB8"/>
    <w:rsid w:val="00B32C98"/>
    <w:rsid w:val="00B3538A"/>
    <w:rsid w:val="00B41DF4"/>
    <w:rsid w:val="00B514C3"/>
    <w:rsid w:val="00B5155C"/>
    <w:rsid w:val="00B66578"/>
    <w:rsid w:val="00B7037E"/>
    <w:rsid w:val="00B75ED5"/>
    <w:rsid w:val="00B97CF5"/>
    <w:rsid w:val="00BA35CD"/>
    <w:rsid w:val="00BD2B26"/>
    <w:rsid w:val="00BE3CC1"/>
    <w:rsid w:val="00BF48E6"/>
    <w:rsid w:val="00C23892"/>
    <w:rsid w:val="00C24119"/>
    <w:rsid w:val="00C425E8"/>
    <w:rsid w:val="00C608CA"/>
    <w:rsid w:val="00C714DF"/>
    <w:rsid w:val="00C82351"/>
    <w:rsid w:val="00C8613E"/>
    <w:rsid w:val="00C86224"/>
    <w:rsid w:val="00C92792"/>
    <w:rsid w:val="00CA54F1"/>
    <w:rsid w:val="00CB1662"/>
    <w:rsid w:val="00CB18F5"/>
    <w:rsid w:val="00CB1D66"/>
    <w:rsid w:val="00CC546C"/>
    <w:rsid w:val="00CD3023"/>
    <w:rsid w:val="00CE579B"/>
    <w:rsid w:val="00CE5F91"/>
    <w:rsid w:val="00CF3288"/>
    <w:rsid w:val="00CF369E"/>
    <w:rsid w:val="00D045C1"/>
    <w:rsid w:val="00D1185F"/>
    <w:rsid w:val="00D24D59"/>
    <w:rsid w:val="00D3386C"/>
    <w:rsid w:val="00D3406C"/>
    <w:rsid w:val="00D52BC9"/>
    <w:rsid w:val="00D54DC5"/>
    <w:rsid w:val="00D54FFD"/>
    <w:rsid w:val="00D566F7"/>
    <w:rsid w:val="00D5692F"/>
    <w:rsid w:val="00D6042E"/>
    <w:rsid w:val="00D63BFF"/>
    <w:rsid w:val="00D77018"/>
    <w:rsid w:val="00D82CC3"/>
    <w:rsid w:val="00DA0054"/>
    <w:rsid w:val="00DC29D2"/>
    <w:rsid w:val="00DC5CD0"/>
    <w:rsid w:val="00DD24EB"/>
    <w:rsid w:val="00DD36A3"/>
    <w:rsid w:val="00DD53FB"/>
    <w:rsid w:val="00DD7E3D"/>
    <w:rsid w:val="00DE78CE"/>
    <w:rsid w:val="00E218E2"/>
    <w:rsid w:val="00E26BE9"/>
    <w:rsid w:val="00E30532"/>
    <w:rsid w:val="00E679A8"/>
    <w:rsid w:val="00E802B4"/>
    <w:rsid w:val="00EA45A9"/>
    <w:rsid w:val="00EB57A8"/>
    <w:rsid w:val="00EC01E8"/>
    <w:rsid w:val="00EC1337"/>
    <w:rsid w:val="00EC3DC5"/>
    <w:rsid w:val="00ED6487"/>
    <w:rsid w:val="00EF5AFF"/>
    <w:rsid w:val="00F0594F"/>
    <w:rsid w:val="00F13B05"/>
    <w:rsid w:val="00F15B87"/>
    <w:rsid w:val="00F35587"/>
    <w:rsid w:val="00F35B87"/>
    <w:rsid w:val="00F44737"/>
    <w:rsid w:val="00F475C7"/>
    <w:rsid w:val="00F628D3"/>
    <w:rsid w:val="00F639D3"/>
    <w:rsid w:val="00F80B92"/>
    <w:rsid w:val="00F920AE"/>
    <w:rsid w:val="00FA28BB"/>
    <w:rsid w:val="00FA6227"/>
    <w:rsid w:val="00FB0F57"/>
    <w:rsid w:val="00FC6900"/>
    <w:rsid w:val="00FD08C5"/>
    <w:rsid w:val="00FE0C4C"/>
    <w:rsid w:val="00FE4F2A"/>
    <w:rsid w:val="00FE5218"/>
    <w:rsid w:val="00FE5B78"/>
    <w:rsid w:val="00FF23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32AC97-2B51-4B55-9F5D-207E9522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aliases w:val="題號1,標題 18"/>
    <w:basedOn w:val="a1"/>
    <w:qFormat/>
    <w:pPr>
      <w:numPr>
        <w:numId w:val="1"/>
      </w:numPr>
      <w:kinsoku w:val="0"/>
      <w:jc w:val="both"/>
      <w:outlineLvl w:val="0"/>
    </w:pPr>
    <w:rPr>
      <w:rFonts w:ascii="標楷體" w:hAnsi="Arial"/>
      <w:bCs/>
      <w:kern w:val="0"/>
      <w:szCs w:val="52"/>
    </w:rPr>
  </w:style>
  <w:style w:type="paragraph" w:styleId="2">
    <w:name w:val="heading 2"/>
    <w:aliases w:val="節,節1,標題110/111,標題110/111 + 內文"/>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aliases w:val="一"/>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uiPriority w:val="99"/>
    <w:semiHidden/>
    <w:unhideWhenUsed/>
    <w:rsid w:val="005E2A22"/>
    <w:pPr>
      <w:snapToGrid w:val="0"/>
    </w:pPr>
    <w:rPr>
      <w:sz w:val="20"/>
    </w:rPr>
  </w:style>
  <w:style w:type="character" w:customStyle="1" w:styleId="af1">
    <w:name w:val="註腳文字 字元"/>
    <w:basedOn w:val="a2"/>
    <w:link w:val="af0"/>
    <w:uiPriority w:val="99"/>
    <w:semiHidden/>
    <w:rsid w:val="005E2A22"/>
    <w:rPr>
      <w:rFonts w:eastAsia="標楷體"/>
      <w:kern w:val="2"/>
    </w:rPr>
  </w:style>
  <w:style w:type="character" w:styleId="af2">
    <w:name w:val="footnote reference"/>
    <w:basedOn w:val="a2"/>
    <w:uiPriority w:val="99"/>
    <w:semiHidden/>
    <w:unhideWhenUsed/>
    <w:rsid w:val="005E2A22"/>
    <w:rPr>
      <w:vertAlign w:val="superscript"/>
    </w:rPr>
  </w:style>
  <w:style w:type="paragraph" w:styleId="af3">
    <w:name w:val="List Paragraph"/>
    <w:basedOn w:val="a1"/>
    <w:uiPriority w:val="34"/>
    <w:qFormat/>
    <w:rsid w:val="00DA0054"/>
    <w:pPr>
      <w:ind w:leftChars="200" w:left="480"/>
    </w:pPr>
  </w:style>
  <w:style w:type="paragraph" w:styleId="af4">
    <w:name w:val="Balloon Text"/>
    <w:basedOn w:val="a1"/>
    <w:link w:val="af5"/>
    <w:uiPriority w:val="99"/>
    <w:semiHidden/>
    <w:unhideWhenUsed/>
    <w:rsid w:val="006F427B"/>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6F427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E2455-4B6A-4786-B067-E57426E9A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952</Words>
  <Characters>5427</Characters>
  <Application>Microsoft Office Word</Application>
  <DocSecurity>0</DocSecurity>
  <Lines>45</Lines>
  <Paragraphs>12</Paragraphs>
  <ScaleCrop>false</ScaleCrop>
  <Company>cy</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陳美如</cp:lastModifiedBy>
  <cp:revision>2</cp:revision>
  <cp:lastPrinted>2018-08-30T01:37:00Z</cp:lastPrinted>
  <dcterms:created xsi:type="dcterms:W3CDTF">2019-05-29T08:40:00Z</dcterms:created>
  <dcterms:modified xsi:type="dcterms:W3CDTF">2019-05-29T08:40:00Z</dcterms:modified>
</cp:coreProperties>
</file>