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A61" w:rsidRPr="001D7A17" w:rsidRDefault="00922A61" w:rsidP="00B4697F">
      <w:pPr>
        <w:pStyle w:val="a9"/>
        <w:kinsoku w:val="0"/>
        <w:spacing w:before="0"/>
        <w:ind w:left="2380" w:hangingChars="290" w:hanging="2380"/>
        <w:jc w:val="center"/>
        <w:rPr>
          <w:b/>
          <w:bCs/>
          <w:snapToGrid/>
          <w:kern w:val="0"/>
          <w:sz w:val="40"/>
        </w:rPr>
      </w:pPr>
      <w:r w:rsidRPr="001D7A17">
        <w:rPr>
          <w:rFonts w:hint="eastAsia"/>
          <w:b/>
          <w:bCs/>
          <w:snapToGrid/>
          <w:spacing w:val="200"/>
          <w:kern w:val="0"/>
          <w:sz w:val="40"/>
        </w:rPr>
        <w:t>糾正案文</w:t>
      </w:r>
    </w:p>
    <w:p w:rsidR="00922A61" w:rsidRPr="001D7A17" w:rsidRDefault="00922A61">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1D7A17">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4E4255" w:rsidRPr="001D7A17">
        <w:rPr>
          <w:rFonts w:hint="eastAsia"/>
        </w:rPr>
        <w:t>台灣中油股份有限公司</w:t>
      </w:r>
      <w:r w:rsidRPr="001D7A17">
        <w:rPr>
          <w:rFonts w:hint="eastAsia"/>
        </w:rPr>
        <w:t>。</w:t>
      </w:r>
    </w:p>
    <w:p w:rsidR="000B1B6A" w:rsidRPr="001D7A17" w:rsidRDefault="00922A61" w:rsidP="004E4255">
      <w:pPr>
        <w:pStyle w:val="1"/>
        <w:ind w:left="2721" w:hanging="2721"/>
      </w:pPr>
      <w:bookmarkStart w:id="14" w:name="_Toc529218255"/>
      <w:bookmarkStart w:id="15" w:name="_Toc529222678"/>
      <w:bookmarkStart w:id="16" w:name="_Toc529223100"/>
      <w:bookmarkStart w:id="17" w:name="_Toc529223851"/>
      <w:bookmarkStart w:id="18" w:name="_Toc529228247"/>
      <w:r w:rsidRPr="001D7A17">
        <w:rPr>
          <w:rFonts w:hint="eastAsia"/>
        </w:rPr>
        <w:t>案　　　由：</w:t>
      </w:r>
      <w:r w:rsidR="00017CE8" w:rsidRPr="001D7A17">
        <w:rPr>
          <w:rFonts w:hint="eastAsia"/>
        </w:rPr>
        <w:t>台灣中油股份有限公司長期獨家供應發電用天然氣，業務範圍包括天然氣之採購、進口、船運、卸收、氣化、輸儲、監控調度、行銷，及天然氣管線、配氣站、計量站等設備建置、操作、維修及冷能利用等，揆其銷售量逐年增加，特別是103年4月28日核四封存後，</w:t>
      </w:r>
      <w:r w:rsidR="004E4255" w:rsidRPr="001D7A17">
        <w:rPr>
          <w:rFonts w:hint="eastAsia"/>
        </w:rPr>
        <w:t>燃氣極大化能源政策確立，惟中油公司輕忽其供氣責任</w:t>
      </w:r>
      <w:r w:rsidR="00017CE8" w:rsidRPr="001D7A17">
        <w:rPr>
          <w:rFonts w:hint="eastAsia"/>
        </w:rPr>
        <w:t>，歷年均將輸配氣監控系統保養維護委外，本身僅負責操作，亦未全面檢視及監控天然氣輸儲系統之關鍵弱點，進行失效模式影響分析，致所屬大潭計量站分散式監控系統電源供應器更換作業，未慎選電源供應器，且於未訂定相關標準作業程序，毫無風險管理及防護情形下委外執行，致生815停電事故，影響592萬戶用電權益等情，均有違失，爰依法提案糾正。</w:t>
      </w:r>
    </w:p>
    <w:p w:rsidR="00922A61" w:rsidRPr="001D7A17" w:rsidRDefault="00922A61">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sidRPr="001D7A17">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997047" w:rsidRPr="001D7A17" w:rsidRDefault="00997047" w:rsidP="006015CF">
      <w:pPr>
        <w:pStyle w:val="2"/>
        <w:rPr>
          <w:b/>
        </w:rPr>
      </w:pPr>
      <w:bookmarkStart w:id="33" w:name="_Toc516495630"/>
      <w:bookmarkStart w:id="34" w:name="_Toc517960099"/>
      <w:bookmarkStart w:id="35" w:name="_Toc524895648"/>
      <w:bookmarkStart w:id="36" w:name="_Toc524896194"/>
      <w:bookmarkStart w:id="37" w:name="_Toc524896224"/>
      <w:bookmarkStart w:id="38" w:name="_Toc524902734"/>
      <w:bookmarkStart w:id="39" w:name="_Toc525066148"/>
      <w:bookmarkStart w:id="40" w:name="_Toc525070839"/>
      <w:bookmarkStart w:id="41" w:name="_Toc525938379"/>
      <w:bookmarkStart w:id="42" w:name="_Toc525939227"/>
      <w:bookmarkStart w:id="43" w:name="_Toc525939732"/>
      <w:bookmarkStart w:id="44" w:name="_Toc529218272"/>
      <w:bookmarkStart w:id="45" w:name="_Toc529222689"/>
      <w:bookmarkStart w:id="46" w:name="_Toc529223111"/>
      <w:bookmarkStart w:id="47" w:name="_Toc529223862"/>
      <w:bookmarkStart w:id="48" w:name="_Toc529228265"/>
      <w:r w:rsidRPr="001D7A17">
        <w:rPr>
          <w:rFonts w:hint="eastAsia"/>
          <w:b/>
        </w:rPr>
        <w:t>中油公司大潭計量站MOV-2229係供氣給大潭電廠之關鍵電動閥，其狀態由分散式控制系統（DCS）之第1控制器控制。依DCS事件紀錄（Event Log），該控制器於16時39分32秒起失電18秒，導致大潭電廠機組全部跳機，並分區輪流停電約5小時。衡諸事故時由第2控制器主電源（2P）引接之臨時電源已拆除，且失電情況未擴及第2控制器，失電原因與臨時線無關。其原因係中油公司未慎選電源供應器，選用了設計給LED產品使用之電源供應器（HLG-600H-24A），</w:t>
      </w:r>
      <w:r w:rsidRPr="001D7A17">
        <w:rPr>
          <w:rFonts w:hint="eastAsia"/>
          <w:b/>
        </w:rPr>
        <w:lastRenderedPageBreak/>
        <w:t>具遠端控制功能，加上施工前未建立標準作業程序，施工人員整線時又不慎將遠端控制端點（RC+）接地，造成主電源（1P）短暫失電，致生815事故，核有違失。</w:t>
      </w:r>
      <w:bookmarkEnd w:id="33"/>
      <w:bookmarkEnd w:id="34"/>
    </w:p>
    <w:p w:rsidR="00017CE8" w:rsidRPr="001D7A17" w:rsidRDefault="00997047" w:rsidP="006015CF">
      <w:pPr>
        <w:pStyle w:val="3"/>
      </w:pPr>
      <w:bookmarkStart w:id="49" w:name="_Toc516674285"/>
      <w:bookmarkStart w:id="50" w:name="_Toc516675308"/>
      <w:bookmarkStart w:id="51" w:name="_Toc516753472"/>
      <w:bookmarkStart w:id="52" w:name="_Toc516818644"/>
      <w:bookmarkStart w:id="53" w:name="_Toc517960100"/>
      <w:r w:rsidRPr="001D7A17">
        <w:rPr>
          <w:rFonts w:hint="eastAsia"/>
        </w:rPr>
        <w:t>查為靈活調度，以達穩定供應市場用氣需求之目標，輸氣管線之規劃以建構環狀輸氣網路為方向；永安(79年營運)及台中(98年營運)兩座接收站，在輸氣幹線海管(約373km)及陸上幹管(約2150km)形成8字型完整供氣幹管網路，提升供氣穩定性。在區域性輸氣管線方面，已於8個供氣中心建構區域性環狀輸氣網路。設置24小時監控調度中心，並於沿線設置8個區域監控，整體分散式監控系統(DCS)即時監控所轄43配氣站、27開關站及29隔離站之管線輸送壓力、流率與各項訊息及影像(CCTV)台電公司大潭電廠係燃氣電廠，其使用之天然氣係由中油公司台中接收站經36吋海管供應，中油公司桃園供氣中心大潭隔離站下轄之計量站(下稱大潭計量站)製程流程圖（PFD）詳圖1。其流程略以，來自大潭隔離站之天然氣，分4路過濾、集管後再分4路計量、集管過程後供應大潭電廠。其中電動閥</w:t>
      </w:r>
      <w:r w:rsidRPr="001D7A17">
        <w:t>(Motor-Operated</w:t>
      </w:r>
      <w:r w:rsidRPr="001D7A17">
        <w:rPr>
          <w:rFonts w:hint="eastAsia"/>
        </w:rPr>
        <w:t xml:space="preserve"> </w:t>
      </w:r>
      <w:r w:rsidRPr="001D7A17">
        <w:t>Valve，下稱MOV)</w:t>
      </w:r>
      <w:r w:rsidRPr="001D7A17">
        <w:rPr>
          <w:rFonts w:hint="eastAsia"/>
        </w:rPr>
        <w:t xml:space="preserve"> MOV-2229匯集第1、2路過濾後天然氣，MOV-2230匯集第3、4路，事故前MOV-2230已關閉。</w:t>
      </w:r>
      <w:bookmarkEnd w:id="49"/>
      <w:bookmarkEnd w:id="50"/>
      <w:bookmarkEnd w:id="51"/>
      <w:bookmarkEnd w:id="52"/>
      <w:bookmarkEnd w:id="53"/>
    </w:p>
    <w:p w:rsidR="00017CE8" w:rsidRPr="001D7A17" w:rsidRDefault="00017CE8">
      <w:pPr>
        <w:widowControl/>
        <w:rPr>
          <w:rFonts w:ascii="標楷體" w:hAnsi="Arial"/>
          <w:bCs/>
          <w:kern w:val="0"/>
          <w:szCs w:val="36"/>
        </w:rPr>
      </w:pPr>
      <w:r w:rsidRPr="001D7A17">
        <w:br w:type="page"/>
      </w:r>
    </w:p>
    <w:p w:rsidR="00997047" w:rsidRPr="001D7A17" w:rsidRDefault="00997047" w:rsidP="00997047">
      <w:pPr>
        <w:pStyle w:val="a1"/>
      </w:pPr>
      <w:bookmarkStart w:id="54" w:name="_Toc517960221"/>
      <w:r w:rsidRPr="001D7A17">
        <w:rPr>
          <w:rFonts w:hint="eastAsia"/>
        </w:rPr>
        <w:lastRenderedPageBreak/>
        <w:t>大潭計量站製程流程圖</w:t>
      </w:r>
      <w:bookmarkEnd w:id="54"/>
    </w:p>
    <w:p w:rsidR="00997047" w:rsidRPr="001D7A17" w:rsidRDefault="00997047" w:rsidP="00997047">
      <w:r w:rsidRPr="001D7A17">
        <w:rPr>
          <w:rFonts w:hint="eastAsia"/>
          <w:noProof/>
        </w:rPr>
        <mc:AlternateContent>
          <mc:Choice Requires="wps">
            <w:drawing>
              <wp:anchor distT="0" distB="0" distL="114300" distR="114300" simplePos="0" relativeHeight="251660288" behindDoc="0" locked="0" layoutInCell="1" allowOverlap="1" wp14:anchorId="4AAE559F" wp14:editId="1D1787A3">
                <wp:simplePos x="0" y="0"/>
                <wp:positionH relativeFrom="column">
                  <wp:posOffset>3322320</wp:posOffset>
                </wp:positionH>
                <wp:positionV relativeFrom="paragraph">
                  <wp:posOffset>2459355</wp:posOffset>
                </wp:positionV>
                <wp:extent cx="330200" cy="1435100"/>
                <wp:effectExtent l="76200" t="38100" r="31750" b="12700"/>
                <wp:wrapNone/>
                <wp:docPr id="28" name="直線單箭頭接點 28"/>
                <wp:cNvGraphicFramePr/>
                <a:graphic xmlns:a="http://schemas.openxmlformats.org/drawingml/2006/main">
                  <a:graphicData uri="http://schemas.microsoft.com/office/word/2010/wordprocessingShape">
                    <wps:wsp>
                      <wps:cNvCnPr/>
                      <wps:spPr>
                        <a:xfrm flipH="1" flipV="1">
                          <a:off x="0" y="0"/>
                          <a:ext cx="330200" cy="14351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單箭頭接點 28" o:spid="_x0000_s1026" type="#_x0000_t32" style="position:absolute;margin-left:261.6pt;margin-top:193.65pt;width:26pt;height:113pt;flip:x 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gqy/wEAABUEAAAOAAAAZHJzL2Uyb0RvYy54bWysUz2PEzEQ7ZH4D5Z7spsEEFplc0WOjwJB&#10;BBy9z2tnLflLY5PN/glKCpAQDeVdhUTB7zmi+xeMvcmCACGBaCzb4/dm3pvx4mRnNNkKCMrZmk4n&#10;JSXCctcou6np2YsHt+5REiKzDdPOipr2ItCT5c0bi85XYuZapxsBBElsqDpf0zZGXxVF4K0wLEyc&#10;FxaD0oFhEY+wKRpgHbIbXczK8m7ROWg8OC5CwNvTIUiXmV9KweNTKYOIRNcUa4t5hbyep7VYLli1&#10;AeZbxQ9lsH+owjBlMelIdcoiI69A/UJlFAcXnIwT7kzhpFRcZA2oZlr+pOZ5y7zIWtCc4Eebwv+j&#10;5U+2ayCqqekMO2WZwR7t333af3579eZyf3lx/eHi6+uP11/eE4yjWZ0PFWJWdg2HU/BrSMp3EgyR&#10;WvlHOAc0716mXYqhTrLLpvej6WIXCcfL+bzERlLCMTS9Pb8zxQNSFwNjQnsI8aFwhqRNTUMEpjZt&#10;XDlrsb8Ohhxs+zjEAXgEJLC2aY1M6fu2IbH3KJABuO6QJMWLpGrQkXex12LAPhMSzcEqhxx5LMVK&#10;A9kyHCjGubBxOjLh6wSTSusRWGYD/gg8vE9QkUf2b8AjImd2No5go6yD32WPu2PJcnh/dGDQnSw4&#10;d02fO5ytwdnLDTn8kzTcP54z/PtvXn4DAAD//wMAUEsDBBQABgAIAAAAIQCTIJWF4AAAAAsBAAAP&#10;AAAAZHJzL2Rvd25yZXYueG1sTI/LTsMwEEX3SPyDNUjsqNNYaaIQp+IpIdFN036AE0/jCD8i223D&#10;32NWsJyZozvnNtvFaHJBHyZnOaxXGRC0g5OTHTkcD+8PFZAQhZVCO4scvjHAtr29aUQt3dXu8dLF&#10;kaQQG2rBQcU415SGQaERYeVmtOl2ct6ImEY/UunFNYUbTfMs21AjJps+KDHji8LhqzsbDrty7/FN&#10;77rq9Cw/Y/HxqvrjgfP7u+XpEUjEJf7B8Kuf1KFNTr07WxmI5lDkLE8oB1aVDEgiirJIm57DZs0Y&#10;0Lah/zu0PwAAAP//AwBQSwECLQAUAAYACAAAACEAtoM4kv4AAADhAQAAEwAAAAAAAAAAAAAAAAAA&#10;AAAAW0NvbnRlbnRfVHlwZXNdLnhtbFBLAQItABQABgAIAAAAIQA4/SH/1gAAAJQBAAALAAAAAAAA&#10;AAAAAAAAAC8BAABfcmVscy8ucmVsc1BLAQItABQABgAIAAAAIQBE4gqy/wEAABUEAAAOAAAAAAAA&#10;AAAAAAAAAC4CAABkcnMvZTJvRG9jLnhtbFBLAQItABQABgAIAAAAIQCTIJWF4AAAAAsBAAAPAAAA&#10;AAAAAAAAAAAAAFkEAABkcnMvZG93bnJldi54bWxQSwUGAAAAAAQABADzAAAAZgUAAAAA&#10;" strokecolor="#4579b8 [3044]">
                <v:stroke endarrow="open"/>
              </v:shape>
            </w:pict>
          </mc:Fallback>
        </mc:AlternateContent>
      </w:r>
      <w:r w:rsidRPr="001D7A17">
        <w:rPr>
          <w:rFonts w:hint="eastAsia"/>
          <w:noProof/>
        </w:rPr>
        <w:drawing>
          <wp:inline distT="0" distB="0" distL="0" distR="0" wp14:anchorId="2ABB27A5" wp14:editId="68ECBDF4">
            <wp:extent cx="5615940" cy="3650615"/>
            <wp:effectExtent l="0" t="0" r="3810" b="6985"/>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04F70.tmp"/>
                    <pic:cNvPicPr/>
                  </pic:nvPicPr>
                  <pic:blipFill>
                    <a:blip r:embed="rId8">
                      <a:extLst>
                        <a:ext uri="{28A0092B-C50C-407E-A947-70E740481C1C}">
                          <a14:useLocalDpi xmlns:a14="http://schemas.microsoft.com/office/drawing/2010/main" val="0"/>
                        </a:ext>
                      </a:extLst>
                    </a:blip>
                    <a:stretch>
                      <a:fillRect/>
                    </a:stretch>
                  </pic:blipFill>
                  <pic:spPr>
                    <a:xfrm>
                      <a:off x="0" y="0"/>
                      <a:ext cx="5615940" cy="3650615"/>
                    </a:xfrm>
                    <a:prstGeom prst="rect">
                      <a:avLst/>
                    </a:prstGeom>
                  </pic:spPr>
                </pic:pic>
              </a:graphicData>
            </a:graphic>
          </wp:inline>
        </w:drawing>
      </w:r>
    </w:p>
    <w:p w:rsidR="00997047" w:rsidRPr="001D7A17" w:rsidRDefault="00997047" w:rsidP="00997047">
      <w:pPr>
        <w:pStyle w:val="aff0"/>
        <w:jc w:val="left"/>
      </w:pPr>
      <w:r w:rsidRPr="001D7A17">
        <w:rPr>
          <w:rFonts w:hint="eastAsia"/>
        </w:rPr>
        <w:t xml:space="preserve">                                             PT2204壓力傳送器</w:t>
      </w:r>
    </w:p>
    <w:p w:rsidR="00997047" w:rsidRPr="001D7A17" w:rsidRDefault="00997047" w:rsidP="00997047">
      <w:pPr>
        <w:pStyle w:val="aff0"/>
        <w:jc w:val="right"/>
      </w:pPr>
      <w:r w:rsidRPr="001D7A17">
        <w:rPr>
          <w:rFonts w:hint="eastAsia"/>
        </w:rPr>
        <w:t>資料來源：台電公司</w:t>
      </w:r>
    </w:p>
    <w:p w:rsidR="00997047" w:rsidRPr="001D7A17" w:rsidRDefault="00997047" w:rsidP="006015CF">
      <w:pPr>
        <w:pStyle w:val="3"/>
      </w:pPr>
      <w:bookmarkStart w:id="55" w:name="_Toc516674286"/>
      <w:bookmarkStart w:id="56" w:name="_Toc516675309"/>
      <w:bookmarkStart w:id="57" w:name="_Toc516753473"/>
      <w:bookmarkStart w:id="58" w:name="_Toc516818645"/>
      <w:bookmarkStart w:id="59" w:name="_Toc517960101"/>
      <w:r w:rsidRPr="001D7A17">
        <w:rPr>
          <w:rFonts w:hint="eastAsia"/>
        </w:rPr>
        <w:t>次查大潭計量站監控系統，設有2個分散式控制器</w:t>
      </w:r>
      <w:r w:rsidRPr="001D7A17">
        <w:t>(Distributed Control System，下稱DCS</w:t>
      </w:r>
      <w:r w:rsidRPr="001D7A17">
        <w:rPr>
          <w:rFonts w:hint="eastAsia"/>
        </w:rPr>
        <w:t>#1、DCS#2</w:t>
      </w:r>
      <w:r w:rsidRPr="001D7A17">
        <w:t>)</w:t>
      </w:r>
      <w:r w:rsidRPr="001D7A17">
        <w:rPr>
          <w:rFonts w:hint="eastAsia"/>
        </w:rPr>
        <w:t>，其中DCS#1控制MOV-2229、MOV-2230</w:t>
      </w:r>
      <w:r w:rsidRPr="001D7A17">
        <w:rPr>
          <w:rFonts w:hAnsi="標楷體" w:hint="eastAsia"/>
        </w:rPr>
        <w:t>…</w:t>
      </w:r>
      <w:r w:rsidRPr="001D7A17">
        <w:rPr>
          <w:rFonts w:hint="eastAsia"/>
        </w:rPr>
        <w:t>等20個2線式電動閥及壓力傳送器、溫度傳送器、瓦斯偵測器等，DCS#2控制MOV-2231、2231</w:t>
      </w:r>
      <w:r w:rsidRPr="001D7A17">
        <w:rPr>
          <w:rFonts w:hAnsi="標楷體" w:hint="eastAsia"/>
        </w:rPr>
        <w:t>……</w:t>
      </w:r>
      <w:r w:rsidRPr="001D7A17">
        <w:rPr>
          <w:rFonts w:hint="eastAsia"/>
        </w:rPr>
        <w:t>等8個7線式電動閥。析言之，</w:t>
      </w:r>
      <w:r w:rsidRPr="001D7A17">
        <w:t>大潭計量站供氣管線經主關斷</w:t>
      </w:r>
      <w:r w:rsidRPr="001D7A17">
        <w:rPr>
          <w:rFonts w:hint="eastAsia"/>
        </w:rPr>
        <w:t>電動閥</w:t>
      </w:r>
      <w:r w:rsidRPr="001D7A17">
        <w:t>MOV-2229及MOV-2230後匯入壓力傳送器PT2204(下稱PT2204)，無雙迴路設計，且均由DCS#1控制</w:t>
      </w:r>
      <w:r w:rsidRPr="001D7A17">
        <w:rPr>
          <w:rFonts w:hint="eastAsia"/>
        </w:rPr>
        <w:t>，風險高。由於前述DCS#1、DCS#2極端重要，故每個控制器配置有2個電源供應器：主電源供應器（1P、2P）、副電源供應器（1S、2S），以複式電源方式確保監控系統電源供應無虞。大潭隔離站前因</w:t>
      </w:r>
      <w:r w:rsidRPr="001D7A17">
        <w:t>散熱風扇將灰塵吸入電源供應器，致使該站於</w:t>
      </w:r>
      <w:r w:rsidRPr="001D7A17">
        <w:lastRenderedPageBreak/>
        <w:t>105年4月1日及4日發生電源供應器短路現象，為避免再發生類似故障，遂規劃更換大潭隔離站電源供應器6台(其中4台已於</w:t>
      </w:r>
      <w:r w:rsidRPr="001D7A17">
        <w:rPr>
          <w:rFonts w:hint="eastAsia"/>
        </w:rPr>
        <w:t>106年</w:t>
      </w:r>
      <w:r w:rsidRPr="001D7A17">
        <w:t>8月5日換裝完成)及計量站4台。</w:t>
      </w:r>
      <w:r w:rsidRPr="001D7A17">
        <w:rPr>
          <w:rFonts w:hint="eastAsia"/>
        </w:rPr>
        <w:t>DCS#2</w:t>
      </w:r>
      <w:r w:rsidRPr="001D7A17">
        <w:t>配置主、副電源供應器於</w:t>
      </w:r>
      <w:r w:rsidRPr="001D7A17">
        <w:rPr>
          <w:rFonts w:hint="eastAsia"/>
        </w:rPr>
        <w:t>同年</w:t>
      </w:r>
      <w:r w:rsidRPr="001D7A17">
        <w:t>8月10日已順利更換完成</w:t>
      </w:r>
      <w:r w:rsidRPr="001D7A17">
        <w:rPr>
          <w:rFonts w:hint="eastAsia"/>
        </w:rPr>
        <w:t>，106年8月15日規劃更換DCS#1之電源供應器。行政院「815停電事故行政調查專案報告」四之（一）敘述事故起因，略以：</w:t>
      </w:r>
      <w:bookmarkEnd w:id="55"/>
      <w:bookmarkEnd w:id="56"/>
      <w:bookmarkEnd w:id="57"/>
      <w:bookmarkEnd w:id="58"/>
      <w:bookmarkEnd w:id="59"/>
    </w:p>
    <w:p w:rsidR="00997047" w:rsidRPr="001D7A17" w:rsidRDefault="00997047" w:rsidP="006015CF">
      <w:pPr>
        <w:pStyle w:val="4"/>
        <w:numPr>
          <w:ilvl w:val="3"/>
          <w:numId w:val="9"/>
        </w:numPr>
      </w:pPr>
      <w:r w:rsidRPr="001D7A17">
        <w:t>委外廠商</w:t>
      </w:r>
      <w:r w:rsidRPr="001D7A17">
        <w:rPr>
          <w:rFonts w:hint="eastAsia"/>
        </w:rPr>
        <w:t>（巨路國際股份有限公司，下稱巨路公司）</w:t>
      </w:r>
      <w:r w:rsidRPr="001D7A17">
        <w:t>維修人員(游員)於16時45分起開始進行臨時搭接線拆除作業，拆除時副電源供應器AC側之端子保險絲</w:t>
      </w:r>
      <w:r w:rsidRPr="001D7A17">
        <w:rPr>
          <w:rStyle w:val="af9"/>
        </w:rPr>
        <w:footnoteReference w:id="1"/>
      </w:r>
      <w:r w:rsidRPr="001D7A17">
        <w:t>尚未投入，主電源供應器AC側之端子保險絲則已投入。</w:t>
      </w:r>
    </w:p>
    <w:p w:rsidR="00997047" w:rsidRPr="001D7A17" w:rsidRDefault="00997047" w:rsidP="006015CF">
      <w:pPr>
        <w:pStyle w:val="4"/>
        <w:numPr>
          <w:ilvl w:val="3"/>
          <w:numId w:val="9"/>
        </w:numPr>
      </w:pPr>
      <w:r w:rsidRPr="001D7A17">
        <w:t>委外廠商維修人員於進行拆除臨時搭接線作業期間，DCS#1電源中斷21秒同時通訊也中斷。</w:t>
      </w:r>
    </w:p>
    <w:p w:rsidR="00997047" w:rsidRPr="001D7A17" w:rsidRDefault="00997047" w:rsidP="006015CF">
      <w:pPr>
        <w:pStyle w:val="4"/>
        <w:numPr>
          <w:ilvl w:val="3"/>
          <w:numId w:val="9"/>
        </w:numPr>
      </w:pPr>
      <w:r w:rsidRPr="001D7A17">
        <w:t>電源中斷造成DCS#1重新啟動，並執行MOV關閉動作:</w:t>
      </w:r>
    </w:p>
    <w:p w:rsidR="00997047" w:rsidRPr="001D7A17" w:rsidRDefault="00997047" w:rsidP="006015CF">
      <w:pPr>
        <w:pStyle w:val="5"/>
        <w:numPr>
          <w:ilvl w:val="4"/>
          <w:numId w:val="9"/>
        </w:numPr>
      </w:pPr>
      <w:r w:rsidRPr="001D7A17">
        <w:t>按DCS電腦操作歷史記錄顯示16時47分52秒至16時48分13秒期間，DCS系統電源中斷，斷訊</w:t>
      </w:r>
      <w:r w:rsidRPr="001D7A17">
        <w:rPr>
          <w:rFonts w:hint="eastAsia"/>
        </w:rPr>
        <w:t>21</w:t>
      </w:r>
      <w:r w:rsidRPr="001D7A17">
        <w:t>秒。</w:t>
      </w:r>
    </w:p>
    <w:p w:rsidR="00997047" w:rsidRPr="001D7A17" w:rsidRDefault="00997047" w:rsidP="006015CF">
      <w:pPr>
        <w:pStyle w:val="5"/>
        <w:numPr>
          <w:ilvl w:val="4"/>
          <w:numId w:val="9"/>
        </w:numPr>
      </w:pPr>
      <w:r w:rsidRPr="001D7A17">
        <w:t>DCS#1重新啟動執行download程式，DCS#1管轄下之所有MOV執行關閉動作(依據預設值進行MOV關斷動作)，並發出警報</w:t>
      </w:r>
      <w:r w:rsidRPr="001D7A17">
        <w:rPr>
          <w:rStyle w:val="af9"/>
        </w:rPr>
        <w:footnoteReference w:id="2"/>
      </w:r>
      <w:r w:rsidRPr="001D7A17">
        <w:t>，致造成台電公司大潭電廠供氣中斷。</w:t>
      </w:r>
    </w:p>
    <w:p w:rsidR="00997047" w:rsidRPr="001D7A17" w:rsidRDefault="00997047" w:rsidP="006015CF">
      <w:pPr>
        <w:pStyle w:val="4"/>
        <w:numPr>
          <w:ilvl w:val="3"/>
          <w:numId w:val="9"/>
        </w:numPr>
      </w:pPr>
      <w:r w:rsidRPr="001D7A17">
        <w:t>中油公司值班人員(方員)於16時52分下達DCS</w:t>
      </w:r>
      <w:r w:rsidRPr="001D7A17">
        <w:lastRenderedPageBreak/>
        <w:t>指令打開MOV-2229，迄16時54分MOV-2229始全開。供氣壓力持續下降。</w:t>
      </w:r>
    </w:p>
    <w:p w:rsidR="00997047" w:rsidRPr="001D7A17" w:rsidRDefault="00997047" w:rsidP="006015CF">
      <w:pPr>
        <w:pStyle w:val="4"/>
        <w:numPr>
          <w:ilvl w:val="3"/>
          <w:numId w:val="9"/>
        </w:numPr>
      </w:pPr>
      <w:r w:rsidRPr="001D7A17">
        <w:t>因前述原因，中油公司天然氣供氣壓力不足</w:t>
      </w:r>
      <w:r w:rsidRPr="001D7A17">
        <w:rPr>
          <w:rStyle w:val="af9"/>
          <w:vertAlign w:val="baseline"/>
        </w:rPr>
        <w:footnoteReference w:id="3"/>
      </w:r>
      <w:r w:rsidRPr="001D7A17">
        <w:t>，台電大潭電廠6部機組全部跳機(415.67萬瓩)，導致自動保護設備啟動，即低頻電驛自動卸載，卸除154萬用戶，約336萬瓩。</w:t>
      </w:r>
    </w:p>
    <w:p w:rsidR="00997047" w:rsidRPr="001D7A17" w:rsidRDefault="00997047" w:rsidP="006015CF">
      <w:pPr>
        <w:pStyle w:val="4"/>
      </w:pPr>
      <w:r w:rsidRPr="001D7A17">
        <w:t>中油公司值班人員下達DCS指令打開MOV-2230，迄17時13分MOV-2230始全開。</w:t>
      </w:r>
    </w:p>
    <w:p w:rsidR="00997047" w:rsidRPr="001D7A17" w:rsidRDefault="00997047" w:rsidP="006015CF">
      <w:pPr>
        <w:pStyle w:val="3"/>
      </w:pPr>
      <w:bookmarkStart w:id="60" w:name="_Toc516753474"/>
      <w:bookmarkStart w:id="61" w:name="_Toc516818646"/>
      <w:bookmarkStart w:id="62" w:name="_Toc517960102"/>
      <w:r w:rsidRPr="001D7A17">
        <w:t>有關8月15日16時47分前操作條件</w:t>
      </w:r>
      <w:r w:rsidRPr="001D7A17">
        <w:rPr>
          <w:rFonts w:hint="eastAsia"/>
        </w:rPr>
        <w:t>：供氣量768,525m</w:t>
      </w:r>
      <w:r w:rsidRPr="001D7A17">
        <w:rPr>
          <w:rFonts w:hint="eastAsia"/>
          <w:vertAlign w:val="superscript"/>
        </w:rPr>
        <w:t>3</w:t>
      </w:r>
      <w:r w:rsidRPr="001D7A17">
        <w:rPr>
          <w:rFonts w:hint="eastAsia"/>
        </w:rPr>
        <w:t>/hr（約591.2噸/小時</w:t>
      </w:r>
      <w:r w:rsidRPr="001D7A17">
        <w:rPr>
          <w:rStyle w:val="af9"/>
        </w:rPr>
        <w:footnoteReference w:id="4"/>
      </w:r>
      <w:r w:rsidRPr="001D7A17">
        <w:rPr>
          <w:rFonts w:hint="eastAsia"/>
        </w:rPr>
        <w:t>），平均供氣壓力56.23kg/cm</w:t>
      </w:r>
      <w:r w:rsidRPr="001D7A17">
        <w:rPr>
          <w:rFonts w:hint="eastAsia"/>
          <w:vertAlign w:val="superscript"/>
        </w:rPr>
        <w:t>2</w:t>
      </w:r>
      <w:r w:rsidRPr="001D7A17">
        <w:rPr>
          <w:rFonts w:hint="eastAsia"/>
        </w:rPr>
        <w:t>，平均溫度24.25</w:t>
      </w:r>
      <w:r w:rsidRPr="001D7A17">
        <w:rPr>
          <w:rFonts w:ascii="新細明體" w:eastAsia="新細明體" w:hAnsi="新細明體" w:hint="eastAsia"/>
        </w:rPr>
        <w:t>℃</w:t>
      </w:r>
      <w:r w:rsidRPr="001D7A17">
        <w:rPr>
          <w:rFonts w:hint="eastAsia"/>
        </w:rPr>
        <w:t>，供氣熱焓值9,443kcal/m</w:t>
      </w:r>
      <w:r w:rsidRPr="001D7A17">
        <w:rPr>
          <w:rFonts w:hint="eastAsia"/>
          <w:vertAlign w:val="superscript"/>
        </w:rPr>
        <w:t>3</w:t>
      </w:r>
      <w:r w:rsidRPr="001D7A17">
        <w:rPr>
          <w:rFonts w:hint="eastAsia"/>
        </w:rPr>
        <w:t>。</w:t>
      </w:r>
      <w:r w:rsidRPr="001D7A17">
        <w:t>於事故發生之16時47分至16時48分間，電源供應器斷電</w:t>
      </w:r>
      <w:r w:rsidRPr="001D7A17">
        <w:rPr>
          <w:rFonts w:hint="eastAsia"/>
        </w:rPr>
        <w:t>18</w:t>
      </w:r>
      <w:r w:rsidRPr="001D7A17">
        <w:t>秒，所有操作數據無顯示，DSC#1重新啟動後，MOV-2229開始關閉</w:t>
      </w:r>
      <w:r w:rsidRPr="001D7A17">
        <w:rPr>
          <w:rFonts w:hAnsi="標楷體" w:hint="eastAsia"/>
        </w:rPr>
        <w:t>（</w:t>
      </w:r>
      <w:r w:rsidRPr="001D7A17">
        <w:t>MOV-2230事故前已關閉</w:t>
      </w:r>
      <w:r w:rsidRPr="001D7A17">
        <w:rPr>
          <w:rFonts w:hAnsi="標楷體" w:hint="eastAsia"/>
        </w:rPr>
        <w:t>）</w:t>
      </w:r>
      <w:r w:rsidRPr="001D7A17">
        <w:t>，壓力逐漸下降，氣源供應狀態如下</w:t>
      </w:r>
      <w:r w:rsidRPr="001D7A17">
        <w:rPr>
          <w:rFonts w:hint="eastAsia"/>
        </w:rPr>
        <w:t>：</w:t>
      </w:r>
      <w:bookmarkEnd w:id="60"/>
      <w:bookmarkEnd w:id="61"/>
      <w:bookmarkEnd w:id="62"/>
    </w:p>
    <w:p w:rsidR="00997047" w:rsidRPr="001D7A17" w:rsidRDefault="00997047" w:rsidP="006015CF">
      <w:pPr>
        <w:pStyle w:val="4"/>
        <w:numPr>
          <w:ilvl w:val="3"/>
          <w:numId w:val="9"/>
        </w:numPr>
      </w:pPr>
      <w:r w:rsidRPr="001D7A17">
        <w:t>16時50分壓力下降至約42.4kg/cm2。</w:t>
      </w:r>
    </w:p>
    <w:p w:rsidR="006015CF" w:rsidRPr="001D7A17" w:rsidRDefault="00997047" w:rsidP="006015CF">
      <w:pPr>
        <w:pStyle w:val="4"/>
      </w:pPr>
      <w:r w:rsidRPr="001D7A17">
        <w:t>16時53分壓力恢復至約55kg/cm</w:t>
      </w:r>
      <w:r w:rsidRPr="001D7A17">
        <w:rPr>
          <w:vertAlign w:val="superscript"/>
        </w:rPr>
        <w:t>2</w:t>
      </w:r>
      <w:r w:rsidRPr="001D7A17">
        <w:rPr>
          <w:rFonts w:hint="eastAsia"/>
        </w:rPr>
        <w:t>。</w:t>
      </w:r>
      <w:r w:rsidRPr="001D7A17">
        <w:t>壓力趨勢圖</w:t>
      </w:r>
      <w:r w:rsidRPr="001D7A17">
        <w:rPr>
          <w:rFonts w:hint="eastAsia"/>
        </w:rPr>
        <w:t>如圖2，</w:t>
      </w:r>
      <w:r w:rsidRPr="001D7A17">
        <w:t>DCS系統事件紀錄</w:t>
      </w:r>
      <w:r w:rsidRPr="001D7A17">
        <w:rPr>
          <w:rFonts w:hint="eastAsia"/>
        </w:rPr>
        <w:t>詳如表</w:t>
      </w:r>
      <w:r w:rsidR="006015CF" w:rsidRPr="001D7A17">
        <w:rPr>
          <w:rFonts w:hint="eastAsia"/>
        </w:rPr>
        <w:t>1</w:t>
      </w:r>
      <w:r w:rsidRPr="001D7A17">
        <w:rPr>
          <w:rFonts w:hAnsi="標楷體" w:hint="eastAsia"/>
        </w:rPr>
        <w:t>（</w:t>
      </w:r>
      <w:r w:rsidRPr="001D7A17">
        <w:t>event log，DCS顯示時間較慢，</w:t>
      </w:r>
      <w:r w:rsidRPr="001D7A17">
        <w:rPr>
          <w:rFonts w:hint="eastAsia"/>
        </w:rPr>
        <w:t>需</w:t>
      </w:r>
      <w:r w:rsidRPr="001D7A17">
        <w:t>加8分鐘始為實際時間</w:t>
      </w:r>
      <w:r w:rsidRPr="001D7A17">
        <w:rPr>
          <w:rFonts w:hAnsi="標楷體" w:hint="eastAsia"/>
        </w:rPr>
        <w:t>）</w:t>
      </w:r>
      <w:r w:rsidRPr="001D7A17">
        <w:rPr>
          <w:rFonts w:hint="eastAsia"/>
        </w:rPr>
        <w:t>：</w:t>
      </w:r>
    </w:p>
    <w:p w:rsidR="006015CF" w:rsidRPr="001D7A17" w:rsidRDefault="006015CF">
      <w:pPr>
        <w:widowControl/>
        <w:rPr>
          <w:rFonts w:ascii="標楷體" w:hAnsi="Arial"/>
          <w:szCs w:val="36"/>
        </w:rPr>
      </w:pPr>
      <w:r w:rsidRPr="001D7A17">
        <w:br w:type="page"/>
      </w:r>
    </w:p>
    <w:p w:rsidR="00997047" w:rsidRPr="001D7A17" w:rsidRDefault="00997047" w:rsidP="00997047">
      <w:pPr>
        <w:pStyle w:val="a1"/>
      </w:pPr>
      <w:bookmarkStart w:id="63" w:name="_Toc517960222"/>
      <w:r w:rsidRPr="001D7A17">
        <w:rPr>
          <w:rFonts w:hint="eastAsia"/>
        </w:rPr>
        <w:lastRenderedPageBreak/>
        <w:t>中油公司供氣壓力時間趨勢圖</w:t>
      </w:r>
      <w:bookmarkEnd w:id="63"/>
    </w:p>
    <w:p w:rsidR="00997047" w:rsidRPr="001D7A17" w:rsidRDefault="00997047" w:rsidP="00997047">
      <w:pPr>
        <w:jc w:val="center"/>
      </w:pPr>
      <w:r w:rsidRPr="001D7A17">
        <w:rPr>
          <w:noProof/>
        </w:rPr>
        <w:drawing>
          <wp:inline distT="0" distB="0" distL="0" distR="0" wp14:anchorId="5D4031C0" wp14:editId="02C1731D">
            <wp:extent cx="4470400" cy="3048000"/>
            <wp:effectExtent l="0" t="0" r="635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470400" cy="3048000"/>
                    </a:xfrm>
                    <a:prstGeom prst="rect">
                      <a:avLst/>
                    </a:prstGeom>
                  </pic:spPr>
                </pic:pic>
              </a:graphicData>
            </a:graphic>
          </wp:inline>
        </w:drawing>
      </w:r>
    </w:p>
    <w:p w:rsidR="00997047" w:rsidRPr="001D7A17" w:rsidRDefault="00997047" w:rsidP="00997047">
      <w:pPr>
        <w:pStyle w:val="aff0"/>
        <w:jc w:val="right"/>
      </w:pPr>
      <w:r w:rsidRPr="001D7A17">
        <w:rPr>
          <w:rFonts w:hint="eastAsia"/>
        </w:rPr>
        <w:t>資料來源：台電公司</w:t>
      </w:r>
    </w:p>
    <w:p w:rsidR="00997047" w:rsidRPr="001D7A17" w:rsidRDefault="00997047" w:rsidP="00997047">
      <w:pPr>
        <w:pStyle w:val="a2"/>
        <w:ind w:left="480" w:hanging="480"/>
        <w:jc w:val="center"/>
      </w:pPr>
      <w:bookmarkStart w:id="64" w:name="_Toc517960191"/>
      <w:r w:rsidRPr="001D7A17">
        <w:rPr>
          <w:rFonts w:hint="eastAsia"/>
        </w:rPr>
        <w:lastRenderedPageBreak/>
        <w:t>分散式控制系統(DCS)系統事件紀錄(event log)</w:t>
      </w:r>
      <w:bookmarkEnd w:id="64"/>
    </w:p>
    <w:p w:rsidR="00997047" w:rsidRPr="001D7A17" w:rsidRDefault="00997047" w:rsidP="00997047">
      <w:r w:rsidRPr="001D7A17">
        <w:rPr>
          <w:rFonts w:hint="eastAsia"/>
          <w:noProof/>
        </w:rPr>
        <w:drawing>
          <wp:inline distT="0" distB="0" distL="0" distR="0" wp14:anchorId="5269C346" wp14:editId="3E7546EC">
            <wp:extent cx="5816600" cy="465455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png"/>
                    <pic:cNvPicPr/>
                  </pic:nvPicPr>
                  <pic:blipFill>
                    <a:blip r:embed="rId10">
                      <a:extLst>
                        <a:ext uri="{28A0092B-C50C-407E-A947-70E740481C1C}">
                          <a14:useLocalDpi xmlns:a14="http://schemas.microsoft.com/office/drawing/2010/main" val="0"/>
                        </a:ext>
                      </a:extLst>
                    </a:blip>
                    <a:stretch>
                      <a:fillRect/>
                    </a:stretch>
                  </pic:blipFill>
                  <pic:spPr>
                    <a:xfrm>
                      <a:off x="0" y="0"/>
                      <a:ext cx="5823207" cy="4659837"/>
                    </a:xfrm>
                    <a:prstGeom prst="rect">
                      <a:avLst/>
                    </a:prstGeom>
                  </pic:spPr>
                </pic:pic>
              </a:graphicData>
            </a:graphic>
          </wp:inline>
        </w:drawing>
      </w:r>
    </w:p>
    <w:p w:rsidR="00997047" w:rsidRPr="001D7A17" w:rsidRDefault="00997047" w:rsidP="00997047">
      <w:pPr>
        <w:spacing w:line="240" w:lineRule="exact"/>
        <w:rPr>
          <w:sz w:val="24"/>
          <w:szCs w:val="24"/>
        </w:rPr>
      </w:pPr>
      <w:r w:rsidRPr="001D7A17">
        <w:rPr>
          <w:rFonts w:hint="eastAsia"/>
          <w:sz w:val="24"/>
          <w:szCs w:val="24"/>
        </w:rPr>
        <w:t>註：</w:t>
      </w:r>
      <w:r w:rsidRPr="001D7A17">
        <w:rPr>
          <w:rFonts w:hint="eastAsia"/>
          <w:sz w:val="24"/>
          <w:szCs w:val="24"/>
        </w:rPr>
        <w:t>1.USER</w:t>
      </w:r>
      <w:r w:rsidRPr="001D7A17">
        <w:rPr>
          <w:rFonts w:hint="eastAsia"/>
          <w:sz w:val="24"/>
          <w:szCs w:val="24"/>
        </w:rPr>
        <w:t>，</w:t>
      </w:r>
      <w:r w:rsidRPr="001D7A17">
        <w:rPr>
          <w:rFonts w:hint="eastAsia"/>
          <w:sz w:val="24"/>
          <w:szCs w:val="24"/>
        </w:rPr>
        <w:t>PROCESS</w:t>
      </w:r>
      <w:r w:rsidRPr="001D7A17">
        <w:rPr>
          <w:rFonts w:hint="eastAsia"/>
          <w:sz w:val="24"/>
          <w:szCs w:val="24"/>
        </w:rPr>
        <w:t>屬</w:t>
      </w:r>
      <w:r w:rsidRPr="001D7A17">
        <w:rPr>
          <w:rFonts w:hint="eastAsia"/>
          <w:sz w:val="24"/>
          <w:szCs w:val="24"/>
        </w:rPr>
        <w:t>DCS</w:t>
      </w:r>
      <w:r w:rsidRPr="001D7A17">
        <w:rPr>
          <w:rFonts w:hint="eastAsia"/>
          <w:sz w:val="24"/>
          <w:szCs w:val="24"/>
        </w:rPr>
        <w:t>程式控制</w:t>
      </w:r>
    </w:p>
    <w:p w:rsidR="00997047" w:rsidRPr="001D7A17" w:rsidRDefault="00997047" w:rsidP="00997047">
      <w:pPr>
        <w:spacing w:line="240" w:lineRule="exact"/>
        <w:rPr>
          <w:sz w:val="24"/>
          <w:szCs w:val="24"/>
        </w:rPr>
      </w:pPr>
      <w:r w:rsidRPr="001D7A17">
        <w:rPr>
          <w:rFonts w:hint="eastAsia"/>
          <w:sz w:val="24"/>
          <w:szCs w:val="24"/>
        </w:rPr>
        <w:t xml:space="preserve">    2.ACT</w:t>
      </w:r>
      <w:r w:rsidRPr="001D7A17">
        <w:rPr>
          <w:rFonts w:hint="eastAsia"/>
          <w:sz w:val="24"/>
          <w:szCs w:val="24"/>
        </w:rPr>
        <w:t>（</w:t>
      </w:r>
      <w:r w:rsidRPr="001D7A17">
        <w:rPr>
          <w:rFonts w:hint="eastAsia"/>
          <w:sz w:val="24"/>
          <w:szCs w:val="24"/>
        </w:rPr>
        <w:t>ACTIVE</w:t>
      </w:r>
      <w:r w:rsidRPr="001D7A17">
        <w:rPr>
          <w:rFonts w:hint="eastAsia"/>
          <w:sz w:val="24"/>
          <w:szCs w:val="24"/>
        </w:rPr>
        <w:t>）：作動，意思與警報一致</w:t>
      </w:r>
    </w:p>
    <w:p w:rsidR="00997047" w:rsidRPr="001D7A17" w:rsidRDefault="00997047" w:rsidP="00997047">
      <w:pPr>
        <w:spacing w:line="240" w:lineRule="exact"/>
        <w:rPr>
          <w:sz w:val="24"/>
          <w:szCs w:val="24"/>
        </w:rPr>
      </w:pPr>
      <w:r w:rsidRPr="001D7A17">
        <w:rPr>
          <w:rFonts w:hint="eastAsia"/>
          <w:sz w:val="24"/>
          <w:szCs w:val="24"/>
        </w:rPr>
        <w:t xml:space="preserve">    3.INACT</w:t>
      </w:r>
      <w:r w:rsidRPr="001D7A17">
        <w:rPr>
          <w:rFonts w:hint="eastAsia"/>
          <w:sz w:val="24"/>
          <w:szCs w:val="24"/>
        </w:rPr>
        <w:t>：未作動，意思與警報不一致</w:t>
      </w:r>
    </w:p>
    <w:p w:rsidR="00997047" w:rsidRPr="001D7A17" w:rsidRDefault="00997047" w:rsidP="00997047">
      <w:pPr>
        <w:spacing w:line="240" w:lineRule="exact"/>
        <w:rPr>
          <w:sz w:val="24"/>
          <w:szCs w:val="24"/>
        </w:rPr>
      </w:pPr>
      <w:r w:rsidRPr="001D7A17">
        <w:rPr>
          <w:rFonts w:hint="eastAsia"/>
          <w:sz w:val="24"/>
          <w:szCs w:val="24"/>
        </w:rPr>
        <w:t xml:space="preserve">    4.ACK</w:t>
      </w:r>
      <w:r w:rsidRPr="001D7A17">
        <w:rPr>
          <w:rFonts w:hint="eastAsia"/>
          <w:sz w:val="24"/>
          <w:szCs w:val="24"/>
        </w:rPr>
        <w:t>：確認，</w:t>
      </w:r>
      <w:r w:rsidRPr="001D7A17">
        <w:rPr>
          <w:rFonts w:hint="eastAsia"/>
          <w:sz w:val="24"/>
          <w:szCs w:val="24"/>
        </w:rPr>
        <w:t>UNACK</w:t>
      </w:r>
      <w:r w:rsidRPr="001D7A17">
        <w:rPr>
          <w:rFonts w:hint="eastAsia"/>
          <w:sz w:val="24"/>
          <w:szCs w:val="24"/>
        </w:rPr>
        <w:t>：未確認</w:t>
      </w:r>
    </w:p>
    <w:p w:rsidR="00997047" w:rsidRPr="001D7A17" w:rsidRDefault="00997047" w:rsidP="00997047">
      <w:pPr>
        <w:spacing w:afterLines="50" w:after="228" w:line="240" w:lineRule="exact"/>
        <w:ind w:firstLineChars="200" w:firstLine="520"/>
        <w:rPr>
          <w:sz w:val="24"/>
          <w:szCs w:val="24"/>
        </w:rPr>
      </w:pPr>
      <w:r w:rsidRPr="001D7A17">
        <w:rPr>
          <w:rFonts w:hint="eastAsia"/>
          <w:sz w:val="24"/>
          <w:szCs w:val="24"/>
        </w:rPr>
        <w:t>5.DCS</w:t>
      </w:r>
      <w:r w:rsidRPr="001D7A17">
        <w:rPr>
          <w:rFonts w:hint="eastAsia"/>
          <w:sz w:val="24"/>
          <w:szCs w:val="24"/>
        </w:rPr>
        <w:t>顯示時間較慢，需加</w:t>
      </w:r>
      <w:r w:rsidRPr="001D7A17">
        <w:rPr>
          <w:rFonts w:hint="eastAsia"/>
          <w:sz w:val="24"/>
          <w:szCs w:val="24"/>
        </w:rPr>
        <w:t>8</w:t>
      </w:r>
      <w:r w:rsidRPr="001D7A17">
        <w:rPr>
          <w:rFonts w:hint="eastAsia"/>
          <w:sz w:val="24"/>
          <w:szCs w:val="24"/>
        </w:rPr>
        <w:t>分鐘始為實際時間</w:t>
      </w:r>
    </w:p>
    <w:p w:rsidR="00997047" w:rsidRPr="001D7A17" w:rsidRDefault="00997047" w:rsidP="00997047">
      <w:pPr>
        <w:pStyle w:val="aff0"/>
        <w:jc w:val="right"/>
      </w:pPr>
      <w:r w:rsidRPr="001D7A17">
        <w:rPr>
          <w:rFonts w:hint="eastAsia"/>
        </w:rPr>
        <w:t>資料來源：行政院815停電事故行政調查專案報告附件3</w:t>
      </w:r>
    </w:p>
    <w:p w:rsidR="00997047" w:rsidRPr="001D7A17" w:rsidRDefault="00997047" w:rsidP="00997047">
      <w:pPr>
        <w:pStyle w:val="3"/>
        <w:overflowPunct w:val="0"/>
        <w:autoSpaceDE w:val="0"/>
        <w:autoSpaceDN w:val="0"/>
        <w:ind w:left="1361" w:hanging="681"/>
      </w:pPr>
      <w:bookmarkStart w:id="65" w:name="_Toc516674287"/>
      <w:bookmarkStart w:id="66" w:name="_Toc516675310"/>
      <w:bookmarkStart w:id="67" w:name="_Toc516753475"/>
      <w:bookmarkStart w:id="68" w:name="_Toc516818647"/>
      <w:bookmarkStart w:id="69" w:name="_Toc517960103"/>
      <w:r w:rsidRPr="001D7A17">
        <w:rPr>
          <w:rFonts w:hint="eastAsia"/>
        </w:rPr>
        <w:t>惟查大潭計量站監控系統事件歷程紀錄（Event Log），第1控制器DCS#1於16時47分52秒至16時48分13秒期間電源中斷約21秒，下轄之所有MOV執行關閉動作（預設值），並發出警報，致造成台電公司大潭電廠供氣中斷，對此，行政院「</w:t>
      </w:r>
      <w:r w:rsidRPr="001D7A17">
        <w:t>815停電事故行政調查專案報告</w:t>
      </w:r>
      <w:r w:rsidRPr="001D7A17">
        <w:rPr>
          <w:rFonts w:hint="eastAsia"/>
        </w:rPr>
        <w:t>」第21頁稱係委外廠商維修人員於16時45分起開啟進行臨時搭接線拆除作業，造</w:t>
      </w:r>
      <w:r w:rsidRPr="001D7A17">
        <w:rPr>
          <w:rFonts w:hint="eastAsia"/>
        </w:rPr>
        <w:lastRenderedPageBreak/>
        <w:t>成其重新啟動等語。至於什麼原因造成DCS#1於16時39分52秒至16時40分13秒期間失電21秒</w:t>
      </w:r>
      <w:r w:rsidRPr="001D7A17">
        <w:rPr>
          <w:rStyle w:val="af9"/>
        </w:rPr>
        <w:footnoteReference w:id="5"/>
      </w:r>
      <w:r w:rsidRPr="001D7A17">
        <w:rPr>
          <w:rFonts w:hint="eastAsia"/>
        </w:rPr>
        <w:t>（106.09.08中油簡報資料第12頁），行政院調查報告附件3（事故發生期間LOG資料摘要）雖研判「16：36：01</w:t>
      </w:r>
      <w:r w:rsidRPr="001D7A17">
        <w:rPr>
          <w:rStyle w:val="af9"/>
        </w:rPr>
        <w:footnoteReference w:id="6"/>
      </w:r>
      <w:r w:rsidRPr="001D7A17">
        <w:rPr>
          <w:rFonts w:hint="eastAsia"/>
        </w:rPr>
        <w:t>主電源恢復，16：36：56副電源拆搭接線，16：39紀錄中斷，16：44：29副電源恢復供電」等語，然其對失電原因並未提及。</w:t>
      </w:r>
      <w:bookmarkEnd w:id="65"/>
      <w:bookmarkEnd w:id="66"/>
      <w:bookmarkEnd w:id="67"/>
      <w:bookmarkEnd w:id="68"/>
      <w:bookmarkEnd w:id="69"/>
    </w:p>
    <w:p w:rsidR="00997047" w:rsidRPr="001D7A17" w:rsidRDefault="00997047" w:rsidP="00997047">
      <w:pPr>
        <w:pStyle w:val="3"/>
        <w:overflowPunct w:val="0"/>
        <w:autoSpaceDE w:val="0"/>
        <w:autoSpaceDN w:val="0"/>
        <w:ind w:left="1361" w:hanging="681"/>
      </w:pPr>
      <w:bookmarkStart w:id="70" w:name="_Toc516674288"/>
      <w:bookmarkStart w:id="71" w:name="_Toc516675311"/>
      <w:bookmarkStart w:id="72" w:name="_Toc516753476"/>
      <w:bookmarkStart w:id="73" w:name="_Toc516818648"/>
      <w:bookmarkStart w:id="74" w:name="_Toc517960104"/>
      <w:r w:rsidRPr="001D7A17">
        <w:rPr>
          <w:rFonts w:hint="eastAsia"/>
        </w:rPr>
        <w:t>為究明失電原因（主電源作用中，且16時36分56秒拆搭接線約2分多鐘才失電），本院於106年9月8日、11月6日、11月10日履勘現場，瞭解電源更換作業實際作業情形，如圖3，略以：</w:t>
      </w:r>
      <w:bookmarkEnd w:id="70"/>
      <w:bookmarkEnd w:id="71"/>
      <w:bookmarkEnd w:id="72"/>
      <w:bookmarkEnd w:id="73"/>
      <w:bookmarkEnd w:id="74"/>
    </w:p>
    <w:p w:rsidR="00997047" w:rsidRPr="001D7A17" w:rsidRDefault="00997047" w:rsidP="00997047">
      <w:pPr>
        <w:pStyle w:val="a1"/>
      </w:pPr>
      <w:bookmarkStart w:id="75" w:name="_Toc517960223"/>
      <w:r w:rsidRPr="001D7A17">
        <w:rPr>
          <w:rFonts w:hint="eastAsia"/>
        </w:rPr>
        <w:t>電源供應器更換作業步驟圖</w:t>
      </w:r>
      <w:bookmarkEnd w:id="75"/>
    </w:p>
    <w:tbl>
      <w:tblPr>
        <w:tblStyle w:val="aff"/>
        <w:tblW w:w="0" w:type="auto"/>
        <w:tblLook w:val="04A0" w:firstRow="1" w:lastRow="0" w:firstColumn="1" w:lastColumn="0" w:noHBand="0" w:noVBand="1"/>
      </w:tblPr>
      <w:tblGrid>
        <w:gridCol w:w="9060"/>
      </w:tblGrid>
      <w:tr w:rsidR="001D7A17" w:rsidRPr="001D7A17" w:rsidTr="00654F76">
        <w:trPr>
          <w:trHeight w:val="6736"/>
        </w:trPr>
        <w:tc>
          <w:tcPr>
            <w:tcW w:w="9060" w:type="dxa"/>
          </w:tcPr>
          <w:p w:rsidR="00997047" w:rsidRPr="001D7A17" w:rsidRDefault="00997047" w:rsidP="00654F76">
            <w:pPr>
              <w:widowControl/>
            </w:pPr>
            <w:r w:rsidRPr="001D7A17">
              <w:rPr>
                <w:rFonts w:hint="eastAsia"/>
              </w:rPr>
              <w:t>1</w:t>
            </w:r>
            <w:r w:rsidRPr="001D7A17">
              <w:rPr>
                <w:rFonts w:hint="eastAsia"/>
              </w:rPr>
              <w:t>、電源供應器更換前</w:t>
            </w:r>
          </w:p>
          <w:p w:rsidR="00997047" w:rsidRPr="001D7A17" w:rsidRDefault="00997047" w:rsidP="00654F76">
            <w:pPr>
              <w:widowControl/>
              <w:jc w:val="center"/>
            </w:pPr>
            <w:r w:rsidRPr="001D7A17">
              <w:rPr>
                <w:noProof/>
              </w:rPr>
              <w:drawing>
                <wp:inline distT="0" distB="0" distL="0" distR="0" wp14:anchorId="342EAB32" wp14:editId="7D6A605F">
                  <wp:extent cx="4982815" cy="3985260"/>
                  <wp:effectExtent l="0" t="0" r="889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72B5.tmp"/>
                          <pic:cNvPicPr/>
                        </pic:nvPicPr>
                        <pic:blipFill>
                          <a:blip r:embed="rId11">
                            <a:extLst>
                              <a:ext uri="{28A0092B-C50C-407E-A947-70E740481C1C}">
                                <a14:useLocalDpi xmlns:a14="http://schemas.microsoft.com/office/drawing/2010/main" val="0"/>
                              </a:ext>
                            </a:extLst>
                          </a:blip>
                          <a:stretch>
                            <a:fillRect/>
                          </a:stretch>
                        </pic:blipFill>
                        <pic:spPr>
                          <a:xfrm>
                            <a:off x="0" y="0"/>
                            <a:ext cx="4988233" cy="3989593"/>
                          </a:xfrm>
                          <a:prstGeom prst="rect">
                            <a:avLst/>
                          </a:prstGeom>
                        </pic:spPr>
                      </pic:pic>
                    </a:graphicData>
                  </a:graphic>
                </wp:inline>
              </w:drawing>
            </w:r>
          </w:p>
        </w:tc>
      </w:tr>
      <w:tr w:rsidR="001D7A17" w:rsidRPr="001D7A17" w:rsidTr="00654F76">
        <w:trPr>
          <w:trHeight w:val="6736"/>
        </w:trPr>
        <w:tc>
          <w:tcPr>
            <w:tcW w:w="9060" w:type="dxa"/>
          </w:tcPr>
          <w:p w:rsidR="00997047" w:rsidRPr="001D7A17" w:rsidRDefault="00997047" w:rsidP="00654F76">
            <w:pPr>
              <w:widowControl/>
            </w:pPr>
            <w:r w:rsidRPr="001D7A17">
              <w:rPr>
                <w:rFonts w:hint="eastAsia"/>
              </w:rPr>
              <w:lastRenderedPageBreak/>
              <w:t>2</w:t>
            </w:r>
            <w:r w:rsidRPr="001D7A17">
              <w:rPr>
                <w:rFonts w:hint="eastAsia"/>
              </w:rPr>
              <w:t>、舊電源供應器</w:t>
            </w:r>
            <w:r w:rsidRPr="001D7A17">
              <w:rPr>
                <w:rFonts w:hint="eastAsia"/>
              </w:rPr>
              <w:t>1S</w:t>
            </w:r>
            <w:r w:rsidRPr="001D7A17">
              <w:rPr>
                <w:rFonts w:hint="eastAsia"/>
              </w:rPr>
              <w:t>脫離</w:t>
            </w:r>
          </w:p>
          <w:p w:rsidR="00997047" w:rsidRPr="001D7A17" w:rsidRDefault="00997047" w:rsidP="00654F76">
            <w:pPr>
              <w:widowControl/>
            </w:pPr>
            <w:r w:rsidRPr="001D7A17">
              <w:rPr>
                <w:rFonts w:hint="eastAsia"/>
                <w:noProof/>
              </w:rPr>
              <w:drawing>
                <wp:inline distT="0" distB="0" distL="0" distR="0" wp14:anchorId="75001A17" wp14:editId="1FF5CEAE">
                  <wp:extent cx="5506233" cy="4015740"/>
                  <wp:effectExtent l="0" t="0" r="0" b="381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E862.tmp"/>
                          <pic:cNvPicPr/>
                        </pic:nvPicPr>
                        <pic:blipFill>
                          <a:blip r:embed="rId12">
                            <a:extLst>
                              <a:ext uri="{28A0092B-C50C-407E-A947-70E740481C1C}">
                                <a14:useLocalDpi xmlns:a14="http://schemas.microsoft.com/office/drawing/2010/main" val="0"/>
                              </a:ext>
                            </a:extLst>
                          </a:blip>
                          <a:stretch>
                            <a:fillRect/>
                          </a:stretch>
                        </pic:blipFill>
                        <pic:spPr>
                          <a:xfrm>
                            <a:off x="0" y="0"/>
                            <a:ext cx="5506233" cy="4015740"/>
                          </a:xfrm>
                          <a:prstGeom prst="rect">
                            <a:avLst/>
                          </a:prstGeom>
                        </pic:spPr>
                      </pic:pic>
                    </a:graphicData>
                  </a:graphic>
                </wp:inline>
              </w:drawing>
            </w:r>
          </w:p>
        </w:tc>
      </w:tr>
      <w:tr w:rsidR="001D7A17" w:rsidRPr="001D7A17" w:rsidTr="00654F76">
        <w:trPr>
          <w:trHeight w:val="6736"/>
        </w:trPr>
        <w:tc>
          <w:tcPr>
            <w:tcW w:w="9060" w:type="dxa"/>
          </w:tcPr>
          <w:p w:rsidR="00997047" w:rsidRPr="001D7A17" w:rsidRDefault="00997047" w:rsidP="00654F76">
            <w:pPr>
              <w:widowControl/>
            </w:pPr>
            <w:r w:rsidRPr="001D7A17">
              <w:rPr>
                <w:rFonts w:hint="eastAsia"/>
              </w:rPr>
              <w:t>3</w:t>
            </w:r>
            <w:r w:rsidRPr="001D7A17">
              <w:rPr>
                <w:rFonts w:hint="eastAsia"/>
              </w:rPr>
              <w:t>、由電源供應器</w:t>
            </w:r>
            <w:r w:rsidRPr="001D7A17">
              <w:rPr>
                <w:rFonts w:hint="eastAsia"/>
              </w:rPr>
              <w:t>2P</w:t>
            </w:r>
            <w:r w:rsidRPr="001D7A17">
              <w:rPr>
                <w:rFonts w:hint="eastAsia"/>
              </w:rPr>
              <w:t>臨時引接電源至複聯模組</w:t>
            </w:r>
            <w:r w:rsidRPr="001D7A17">
              <w:rPr>
                <w:rFonts w:hint="eastAsia"/>
              </w:rPr>
              <w:t>1S</w:t>
            </w:r>
          </w:p>
          <w:p w:rsidR="00997047" w:rsidRPr="001D7A17" w:rsidRDefault="00997047" w:rsidP="00654F76">
            <w:pPr>
              <w:widowControl/>
              <w:jc w:val="center"/>
            </w:pPr>
            <w:r w:rsidRPr="001D7A17">
              <w:rPr>
                <w:noProof/>
              </w:rPr>
              <w:drawing>
                <wp:inline distT="0" distB="0" distL="0" distR="0" wp14:anchorId="3406B976" wp14:editId="0105ABF4">
                  <wp:extent cx="5615940" cy="4048125"/>
                  <wp:effectExtent l="0" t="0" r="3810" b="9525"/>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AC2E.tmp"/>
                          <pic:cNvPicPr/>
                        </pic:nvPicPr>
                        <pic:blipFill>
                          <a:blip r:embed="rId13">
                            <a:extLst>
                              <a:ext uri="{28A0092B-C50C-407E-A947-70E740481C1C}">
                                <a14:useLocalDpi xmlns:a14="http://schemas.microsoft.com/office/drawing/2010/main" val="0"/>
                              </a:ext>
                            </a:extLst>
                          </a:blip>
                          <a:stretch>
                            <a:fillRect/>
                          </a:stretch>
                        </pic:blipFill>
                        <pic:spPr>
                          <a:xfrm>
                            <a:off x="0" y="0"/>
                            <a:ext cx="5615940" cy="4048125"/>
                          </a:xfrm>
                          <a:prstGeom prst="rect">
                            <a:avLst/>
                          </a:prstGeom>
                        </pic:spPr>
                      </pic:pic>
                    </a:graphicData>
                  </a:graphic>
                </wp:inline>
              </w:drawing>
            </w:r>
          </w:p>
        </w:tc>
      </w:tr>
      <w:tr w:rsidR="001D7A17" w:rsidRPr="001D7A17" w:rsidTr="00654F76">
        <w:trPr>
          <w:trHeight w:val="6736"/>
        </w:trPr>
        <w:tc>
          <w:tcPr>
            <w:tcW w:w="9060" w:type="dxa"/>
          </w:tcPr>
          <w:p w:rsidR="00997047" w:rsidRPr="001D7A17" w:rsidRDefault="00997047" w:rsidP="00654F76">
            <w:pPr>
              <w:widowControl/>
            </w:pPr>
            <w:r w:rsidRPr="001D7A17">
              <w:rPr>
                <w:rFonts w:hint="eastAsia"/>
              </w:rPr>
              <w:lastRenderedPageBreak/>
              <w:t>4</w:t>
            </w:r>
            <w:r w:rsidRPr="001D7A17">
              <w:rPr>
                <w:rFonts w:hint="eastAsia"/>
              </w:rPr>
              <w:t>、電源供應器</w:t>
            </w:r>
            <w:r w:rsidRPr="001D7A17">
              <w:rPr>
                <w:rFonts w:hint="eastAsia"/>
              </w:rPr>
              <w:t>1P</w:t>
            </w:r>
            <w:r w:rsidRPr="001D7A17">
              <w:rPr>
                <w:rFonts w:hint="eastAsia"/>
              </w:rPr>
              <w:t>脫離</w:t>
            </w:r>
          </w:p>
          <w:p w:rsidR="00997047" w:rsidRPr="001D7A17" w:rsidRDefault="00997047" w:rsidP="00654F76">
            <w:pPr>
              <w:widowControl/>
            </w:pPr>
            <w:r w:rsidRPr="001D7A17">
              <w:rPr>
                <w:rFonts w:hint="eastAsia"/>
                <w:noProof/>
              </w:rPr>
              <w:drawing>
                <wp:inline distT="0" distB="0" distL="0" distR="0" wp14:anchorId="51A25913" wp14:editId="5C4018E6">
                  <wp:extent cx="5414375" cy="3991601"/>
                  <wp:effectExtent l="0" t="0" r="0" b="9525"/>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54FB.tmp"/>
                          <pic:cNvPicPr/>
                        </pic:nvPicPr>
                        <pic:blipFill>
                          <a:blip r:embed="rId14">
                            <a:extLst>
                              <a:ext uri="{28A0092B-C50C-407E-A947-70E740481C1C}">
                                <a14:useLocalDpi xmlns:a14="http://schemas.microsoft.com/office/drawing/2010/main" val="0"/>
                              </a:ext>
                            </a:extLst>
                          </a:blip>
                          <a:stretch>
                            <a:fillRect/>
                          </a:stretch>
                        </pic:blipFill>
                        <pic:spPr>
                          <a:xfrm>
                            <a:off x="0" y="0"/>
                            <a:ext cx="5417699" cy="3994051"/>
                          </a:xfrm>
                          <a:prstGeom prst="rect">
                            <a:avLst/>
                          </a:prstGeom>
                        </pic:spPr>
                      </pic:pic>
                    </a:graphicData>
                  </a:graphic>
                </wp:inline>
              </w:drawing>
            </w:r>
          </w:p>
        </w:tc>
      </w:tr>
      <w:tr w:rsidR="001D7A17" w:rsidRPr="001D7A17" w:rsidTr="00654F76">
        <w:trPr>
          <w:trHeight w:val="6736"/>
        </w:trPr>
        <w:tc>
          <w:tcPr>
            <w:tcW w:w="9060" w:type="dxa"/>
          </w:tcPr>
          <w:p w:rsidR="00997047" w:rsidRPr="001D7A17" w:rsidRDefault="00997047" w:rsidP="00997047">
            <w:pPr>
              <w:widowControl/>
              <w:ind w:left="503" w:hangingChars="148" w:hanging="503"/>
            </w:pPr>
            <w:r w:rsidRPr="001D7A17">
              <w:rPr>
                <w:rFonts w:hint="eastAsia"/>
              </w:rPr>
              <w:t>5</w:t>
            </w:r>
            <w:r w:rsidRPr="001D7A17">
              <w:rPr>
                <w:rFonts w:hint="eastAsia"/>
              </w:rPr>
              <w:t>、確定臨時引接線仍然可正常供電後，移除舊電源供應器</w:t>
            </w:r>
            <w:r w:rsidRPr="001D7A17">
              <w:rPr>
                <w:rFonts w:hint="eastAsia"/>
              </w:rPr>
              <w:t>1P</w:t>
            </w:r>
            <w:r w:rsidRPr="001D7A17">
              <w:rPr>
                <w:rFonts w:hint="eastAsia"/>
              </w:rPr>
              <w:t>及</w:t>
            </w:r>
            <w:r w:rsidRPr="001D7A17">
              <w:rPr>
                <w:rFonts w:hint="eastAsia"/>
              </w:rPr>
              <w:t>1S</w:t>
            </w:r>
          </w:p>
          <w:p w:rsidR="00997047" w:rsidRPr="001D7A17" w:rsidRDefault="00997047" w:rsidP="00654F76">
            <w:pPr>
              <w:widowControl/>
              <w:jc w:val="center"/>
            </w:pPr>
            <w:r w:rsidRPr="001D7A17">
              <w:rPr>
                <w:noProof/>
              </w:rPr>
              <w:drawing>
                <wp:inline distT="0" distB="0" distL="0" distR="0" wp14:anchorId="2208238C" wp14:editId="2D486C3B">
                  <wp:extent cx="4038600" cy="3494275"/>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CA0C.tmp"/>
                          <pic:cNvPicPr/>
                        </pic:nvPicPr>
                        <pic:blipFill>
                          <a:blip r:embed="rId15">
                            <a:extLst>
                              <a:ext uri="{28A0092B-C50C-407E-A947-70E740481C1C}">
                                <a14:useLocalDpi xmlns:a14="http://schemas.microsoft.com/office/drawing/2010/main" val="0"/>
                              </a:ext>
                            </a:extLst>
                          </a:blip>
                          <a:stretch>
                            <a:fillRect/>
                          </a:stretch>
                        </pic:blipFill>
                        <pic:spPr>
                          <a:xfrm>
                            <a:off x="0" y="0"/>
                            <a:ext cx="4038600" cy="3494275"/>
                          </a:xfrm>
                          <a:prstGeom prst="rect">
                            <a:avLst/>
                          </a:prstGeom>
                        </pic:spPr>
                      </pic:pic>
                    </a:graphicData>
                  </a:graphic>
                </wp:inline>
              </w:drawing>
            </w:r>
          </w:p>
        </w:tc>
      </w:tr>
      <w:tr w:rsidR="001D7A17" w:rsidRPr="001D7A17" w:rsidTr="00654F76">
        <w:trPr>
          <w:trHeight w:val="6736"/>
        </w:trPr>
        <w:tc>
          <w:tcPr>
            <w:tcW w:w="9060" w:type="dxa"/>
          </w:tcPr>
          <w:p w:rsidR="00997047" w:rsidRPr="001D7A17" w:rsidRDefault="00997047" w:rsidP="00654F76">
            <w:pPr>
              <w:widowControl/>
            </w:pPr>
            <w:r w:rsidRPr="001D7A17">
              <w:rPr>
                <w:rFonts w:hint="eastAsia"/>
              </w:rPr>
              <w:lastRenderedPageBreak/>
              <w:t>6</w:t>
            </w:r>
            <w:r w:rsidRPr="001D7A17">
              <w:rPr>
                <w:rFonts w:hint="eastAsia"/>
              </w:rPr>
              <w:t>、固定新電源供應器，並進行</w:t>
            </w:r>
            <w:r w:rsidRPr="001D7A17">
              <w:rPr>
                <w:rFonts w:hint="eastAsia"/>
              </w:rPr>
              <w:t>AC 110V</w:t>
            </w:r>
            <w:r w:rsidRPr="001D7A17">
              <w:rPr>
                <w:rFonts w:hint="eastAsia"/>
              </w:rPr>
              <w:t>接線工作</w:t>
            </w:r>
          </w:p>
          <w:p w:rsidR="00997047" w:rsidRPr="001D7A17" w:rsidRDefault="00997047" w:rsidP="00654F76">
            <w:pPr>
              <w:widowControl/>
              <w:jc w:val="center"/>
            </w:pPr>
            <w:r w:rsidRPr="001D7A17">
              <w:rPr>
                <w:noProof/>
              </w:rPr>
              <w:drawing>
                <wp:inline distT="0" distB="0" distL="0" distR="0" wp14:anchorId="4E6CDA04" wp14:editId="40F4A957">
                  <wp:extent cx="4737654" cy="3901440"/>
                  <wp:effectExtent l="0" t="0" r="6350" b="381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D360.tmp"/>
                          <pic:cNvPicPr/>
                        </pic:nvPicPr>
                        <pic:blipFill>
                          <a:blip r:embed="rId16">
                            <a:extLst>
                              <a:ext uri="{28A0092B-C50C-407E-A947-70E740481C1C}">
                                <a14:useLocalDpi xmlns:a14="http://schemas.microsoft.com/office/drawing/2010/main" val="0"/>
                              </a:ext>
                            </a:extLst>
                          </a:blip>
                          <a:stretch>
                            <a:fillRect/>
                          </a:stretch>
                        </pic:blipFill>
                        <pic:spPr>
                          <a:xfrm>
                            <a:off x="0" y="0"/>
                            <a:ext cx="4737845" cy="3901598"/>
                          </a:xfrm>
                          <a:prstGeom prst="rect">
                            <a:avLst/>
                          </a:prstGeom>
                        </pic:spPr>
                      </pic:pic>
                    </a:graphicData>
                  </a:graphic>
                </wp:inline>
              </w:drawing>
            </w:r>
          </w:p>
        </w:tc>
      </w:tr>
      <w:tr w:rsidR="001D7A17" w:rsidRPr="001D7A17" w:rsidTr="00654F76">
        <w:trPr>
          <w:trHeight w:val="6736"/>
        </w:trPr>
        <w:tc>
          <w:tcPr>
            <w:tcW w:w="9060" w:type="dxa"/>
          </w:tcPr>
          <w:p w:rsidR="00997047" w:rsidRPr="001D7A17" w:rsidRDefault="00997047" w:rsidP="00997047">
            <w:pPr>
              <w:widowControl/>
              <w:ind w:left="503" w:hangingChars="148" w:hanging="503"/>
            </w:pPr>
            <w:r w:rsidRPr="001D7A17">
              <w:rPr>
                <w:rFonts w:hint="eastAsia"/>
              </w:rPr>
              <w:t>7</w:t>
            </w:r>
            <w:r w:rsidRPr="001D7A17">
              <w:rPr>
                <w:rFonts w:hint="eastAsia"/>
              </w:rPr>
              <w:t>、新電源供應器</w:t>
            </w:r>
            <w:r w:rsidRPr="001D7A17">
              <w:rPr>
                <w:rFonts w:hint="eastAsia"/>
              </w:rPr>
              <w:t>1P</w:t>
            </w:r>
            <w:r w:rsidRPr="001D7A17">
              <w:rPr>
                <w:rFonts w:hint="eastAsia"/>
              </w:rPr>
              <w:t>送電</w:t>
            </w:r>
          </w:p>
          <w:p w:rsidR="00997047" w:rsidRPr="001D7A17" w:rsidRDefault="00997047" w:rsidP="00654F76">
            <w:pPr>
              <w:widowControl/>
              <w:jc w:val="center"/>
            </w:pPr>
            <w:r w:rsidRPr="001D7A17">
              <w:rPr>
                <w:noProof/>
              </w:rPr>
              <w:drawing>
                <wp:inline distT="0" distB="0" distL="0" distR="0" wp14:anchorId="051138F0" wp14:editId="00C209DC">
                  <wp:extent cx="5433060" cy="4052065"/>
                  <wp:effectExtent l="0" t="0" r="0" b="5715"/>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B057.tmp"/>
                          <pic:cNvPicPr/>
                        </pic:nvPicPr>
                        <pic:blipFill>
                          <a:blip r:embed="rId17">
                            <a:extLst>
                              <a:ext uri="{28A0092B-C50C-407E-A947-70E740481C1C}">
                                <a14:useLocalDpi xmlns:a14="http://schemas.microsoft.com/office/drawing/2010/main" val="0"/>
                              </a:ext>
                            </a:extLst>
                          </a:blip>
                          <a:stretch>
                            <a:fillRect/>
                          </a:stretch>
                        </pic:blipFill>
                        <pic:spPr>
                          <a:xfrm>
                            <a:off x="0" y="0"/>
                            <a:ext cx="5433060" cy="4052065"/>
                          </a:xfrm>
                          <a:prstGeom prst="rect">
                            <a:avLst/>
                          </a:prstGeom>
                        </pic:spPr>
                      </pic:pic>
                    </a:graphicData>
                  </a:graphic>
                </wp:inline>
              </w:drawing>
            </w:r>
          </w:p>
        </w:tc>
      </w:tr>
      <w:tr w:rsidR="001D7A17" w:rsidRPr="001D7A17" w:rsidTr="00017CE8">
        <w:trPr>
          <w:trHeight w:val="6406"/>
        </w:trPr>
        <w:tc>
          <w:tcPr>
            <w:tcW w:w="9060" w:type="dxa"/>
          </w:tcPr>
          <w:p w:rsidR="00997047" w:rsidRPr="001D7A17" w:rsidRDefault="00997047" w:rsidP="00654F76">
            <w:pPr>
              <w:widowControl/>
            </w:pPr>
            <w:r w:rsidRPr="001D7A17">
              <w:rPr>
                <w:rFonts w:hint="eastAsia"/>
              </w:rPr>
              <w:lastRenderedPageBreak/>
              <w:t>8</w:t>
            </w:r>
            <w:r w:rsidRPr="001D7A17">
              <w:rPr>
                <w:rFonts w:hint="eastAsia"/>
              </w:rPr>
              <w:t>、備用（引接）電源脫離，此時系統發出警報</w:t>
            </w:r>
          </w:p>
          <w:p w:rsidR="00997047" w:rsidRPr="001D7A17" w:rsidRDefault="00997047" w:rsidP="00654F76">
            <w:pPr>
              <w:widowControl/>
              <w:jc w:val="center"/>
            </w:pPr>
            <w:r w:rsidRPr="001D7A17">
              <w:rPr>
                <w:noProof/>
              </w:rPr>
              <w:drawing>
                <wp:inline distT="0" distB="0" distL="0" distR="0" wp14:anchorId="2F00F904" wp14:editId="535DDBDB">
                  <wp:extent cx="4946073" cy="3708437"/>
                  <wp:effectExtent l="0" t="0" r="6985" b="635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AC43.tmp"/>
                          <pic:cNvPicPr/>
                        </pic:nvPicPr>
                        <pic:blipFill>
                          <a:blip r:embed="rId18">
                            <a:extLst>
                              <a:ext uri="{28A0092B-C50C-407E-A947-70E740481C1C}">
                                <a14:useLocalDpi xmlns:a14="http://schemas.microsoft.com/office/drawing/2010/main" val="0"/>
                              </a:ext>
                            </a:extLst>
                          </a:blip>
                          <a:stretch>
                            <a:fillRect/>
                          </a:stretch>
                        </pic:blipFill>
                        <pic:spPr>
                          <a:xfrm>
                            <a:off x="0" y="0"/>
                            <a:ext cx="4949263" cy="3710829"/>
                          </a:xfrm>
                          <a:prstGeom prst="rect">
                            <a:avLst/>
                          </a:prstGeom>
                        </pic:spPr>
                      </pic:pic>
                    </a:graphicData>
                  </a:graphic>
                </wp:inline>
              </w:drawing>
            </w:r>
          </w:p>
        </w:tc>
      </w:tr>
      <w:tr w:rsidR="001D7A17" w:rsidRPr="001D7A17" w:rsidTr="00654F76">
        <w:trPr>
          <w:trHeight w:val="6335"/>
        </w:trPr>
        <w:tc>
          <w:tcPr>
            <w:tcW w:w="9060" w:type="dxa"/>
          </w:tcPr>
          <w:p w:rsidR="00997047" w:rsidRPr="001D7A17" w:rsidRDefault="00997047" w:rsidP="00997047">
            <w:pPr>
              <w:widowControl/>
              <w:ind w:left="503" w:hangingChars="148" w:hanging="503"/>
            </w:pPr>
            <w:r w:rsidRPr="001D7A17">
              <w:rPr>
                <w:rFonts w:hint="eastAsia"/>
              </w:rPr>
              <w:t>9</w:t>
            </w:r>
            <w:r w:rsidRPr="001D7A17">
              <w:rPr>
                <w:rFonts w:hint="eastAsia"/>
              </w:rPr>
              <w:t>、新電源供應器</w:t>
            </w:r>
            <w:r w:rsidRPr="001D7A17">
              <w:rPr>
                <w:rFonts w:hint="eastAsia"/>
              </w:rPr>
              <w:t>1S</w:t>
            </w:r>
            <w:r w:rsidRPr="001D7A17">
              <w:rPr>
                <w:rFonts w:hint="eastAsia"/>
              </w:rPr>
              <w:t>送電，警報消失</w:t>
            </w:r>
            <w:r w:rsidRPr="001D7A17">
              <w:rPr>
                <w:rStyle w:val="af9"/>
              </w:rPr>
              <w:footnoteReference w:id="7"/>
            </w:r>
          </w:p>
          <w:p w:rsidR="00997047" w:rsidRPr="001D7A17" w:rsidRDefault="00997047" w:rsidP="00654F76">
            <w:pPr>
              <w:widowControl/>
              <w:jc w:val="center"/>
            </w:pPr>
            <w:r w:rsidRPr="001D7A17">
              <w:rPr>
                <w:noProof/>
              </w:rPr>
              <w:drawing>
                <wp:inline distT="0" distB="0" distL="0" distR="0" wp14:anchorId="52C837E3" wp14:editId="6614E105">
                  <wp:extent cx="5023599" cy="3672840"/>
                  <wp:effectExtent l="0" t="0" r="5715" b="381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E637.tmp"/>
                          <pic:cNvPicPr/>
                        </pic:nvPicPr>
                        <pic:blipFill>
                          <a:blip r:embed="rId19">
                            <a:extLst>
                              <a:ext uri="{28A0092B-C50C-407E-A947-70E740481C1C}">
                                <a14:useLocalDpi xmlns:a14="http://schemas.microsoft.com/office/drawing/2010/main" val="0"/>
                              </a:ext>
                            </a:extLst>
                          </a:blip>
                          <a:stretch>
                            <a:fillRect/>
                          </a:stretch>
                        </pic:blipFill>
                        <pic:spPr>
                          <a:xfrm>
                            <a:off x="0" y="0"/>
                            <a:ext cx="5023599" cy="3672840"/>
                          </a:xfrm>
                          <a:prstGeom prst="rect">
                            <a:avLst/>
                          </a:prstGeom>
                        </pic:spPr>
                      </pic:pic>
                    </a:graphicData>
                  </a:graphic>
                </wp:inline>
              </w:drawing>
            </w:r>
          </w:p>
        </w:tc>
      </w:tr>
      <w:tr w:rsidR="001D7A17" w:rsidRPr="001D7A17" w:rsidTr="00654F76">
        <w:trPr>
          <w:trHeight w:val="6009"/>
        </w:trPr>
        <w:tc>
          <w:tcPr>
            <w:tcW w:w="9060" w:type="dxa"/>
          </w:tcPr>
          <w:p w:rsidR="00997047" w:rsidRPr="001D7A17" w:rsidRDefault="00997047" w:rsidP="00654F76">
            <w:pPr>
              <w:widowControl/>
            </w:pPr>
            <w:r w:rsidRPr="001D7A17">
              <w:rPr>
                <w:rFonts w:hint="eastAsia"/>
              </w:rPr>
              <w:lastRenderedPageBreak/>
              <w:t>10</w:t>
            </w:r>
            <w:r w:rsidRPr="001D7A17">
              <w:rPr>
                <w:rFonts w:hint="eastAsia"/>
              </w:rPr>
              <w:t>、電源供應器更還完成現況</w:t>
            </w:r>
          </w:p>
          <w:p w:rsidR="00997047" w:rsidRPr="001D7A17" w:rsidRDefault="00997047" w:rsidP="00654F76">
            <w:pPr>
              <w:widowControl/>
              <w:jc w:val="center"/>
            </w:pPr>
            <w:r w:rsidRPr="001D7A17">
              <w:rPr>
                <w:rFonts w:hint="eastAsia"/>
                <w:noProof/>
              </w:rPr>
              <w:drawing>
                <wp:inline distT="0" distB="0" distL="0" distR="0" wp14:anchorId="4A0969B0" wp14:editId="66285BDA">
                  <wp:extent cx="3972737" cy="3543300"/>
                  <wp:effectExtent l="0" t="0" r="8890" b="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8C3A.tmp"/>
                          <pic:cNvPicPr/>
                        </pic:nvPicPr>
                        <pic:blipFill>
                          <a:blip r:embed="rId20">
                            <a:extLst>
                              <a:ext uri="{28A0092B-C50C-407E-A947-70E740481C1C}">
                                <a14:useLocalDpi xmlns:a14="http://schemas.microsoft.com/office/drawing/2010/main" val="0"/>
                              </a:ext>
                            </a:extLst>
                          </a:blip>
                          <a:stretch>
                            <a:fillRect/>
                          </a:stretch>
                        </pic:blipFill>
                        <pic:spPr>
                          <a:xfrm>
                            <a:off x="0" y="0"/>
                            <a:ext cx="3975958" cy="3546173"/>
                          </a:xfrm>
                          <a:prstGeom prst="rect">
                            <a:avLst/>
                          </a:prstGeom>
                        </pic:spPr>
                      </pic:pic>
                    </a:graphicData>
                  </a:graphic>
                </wp:inline>
              </w:drawing>
            </w:r>
          </w:p>
        </w:tc>
      </w:tr>
    </w:tbl>
    <w:p w:rsidR="00997047" w:rsidRPr="001D7A17" w:rsidRDefault="00997047" w:rsidP="00997047">
      <w:pPr>
        <w:pStyle w:val="aff0"/>
        <w:jc w:val="right"/>
      </w:pPr>
      <w:r w:rsidRPr="001D7A17">
        <w:rPr>
          <w:rFonts w:hint="eastAsia"/>
        </w:rPr>
        <w:t>資料來源：中油公司</w:t>
      </w:r>
    </w:p>
    <w:p w:rsidR="00997047" w:rsidRPr="001D7A17" w:rsidRDefault="00997047" w:rsidP="00997047"/>
    <w:p w:rsidR="00997047" w:rsidRPr="001D7A17" w:rsidRDefault="00997047" w:rsidP="00997047">
      <w:pPr>
        <w:pStyle w:val="3"/>
        <w:overflowPunct w:val="0"/>
        <w:autoSpaceDE w:val="0"/>
        <w:autoSpaceDN w:val="0"/>
        <w:ind w:left="1361" w:hanging="681"/>
      </w:pPr>
      <w:bookmarkStart w:id="76" w:name="_Toc516674289"/>
      <w:bookmarkStart w:id="77" w:name="_Toc516675312"/>
      <w:bookmarkStart w:id="78" w:name="_Toc516753477"/>
      <w:bookmarkStart w:id="79" w:name="_Toc516818649"/>
      <w:bookmarkStart w:id="80" w:name="_Toc517960105"/>
      <w:r w:rsidRPr="001D7A17">
        <w:rPr>
          <w:rFonts w:hint="eastAsia"/>
        </w:rPr>
        <w:t>又，本院調閱大潭計量站監控系統之事件紀錄（Event Log），發現失電情況僅發生於第1控制器，第2控制器主電源（2P）並無失電情形，故臨時搭接線誤觸機殼接地情形應可排除。析言之，該失電情況僅發生於第1控制器，失電時臨時引接線已拆除1分多鐘，副電源（1S）尚未送電，主電源供應器1P供電情況下，故失電原因與該引接線及1S均無關；且當時第1控制器由主電源1P供電中，失電時間僅持續18秒</w:t>
      </w:r>
      <w:r w:rsidRPr="001D7A17">
        <w:rPr>
          <w:rStyle w:val="af9"/>
        </w:rPr>
        <w:footnoteReference w:id="8"/>
      </w:r>
      <w:r w:rsidRPr="001D7A17">
        <w:rPr>
          <w:rFonts w:hint="eastAsia"/>
        </w:rPr>
        <w:t>，故研判一些外力因素造成其短暫失電之可能性極高，中油公司亦表示失電時工作人員正在整線。進一步調查發現，本次新安裝之電源供應器型號MEAN WELL：HLG-600H-24，係600瓦單輸出交換式電源供應器，係設計給LED使用之產品，</w:t>
      </w:r>
      <w:r w:rsidRPr="001D7A17">
        <w:rPr>
          <w:rFonts w:hint="eastAsia"/>
        </w:rPr>
        <w:lastRenderedPageBreak/>
        <w:t>其輸出（24V）預留遠端控制接點（棕色RC+、黑色RC-&amp;GND、黃色+5V</w:t>
      </w:r>
      <w:r w:rsidRPr="001D7A17">
        <w:rPr>
          <w:rFonts w:hint="eastAsia"/>
          <w:vertAlign w:val="subscript"/>
        </w:rPr>
        <w:t>SS</w:t>
      </w:r>
      <w:r w:rsidRPr="001D7A17">
        <w:rPr>
          <w:rFonts w:hint="eastAsia"/>
        </w:rPr>
        <w:t>），端點預設為裸線。當棕色遠端控制線（RC+）與同線束黑色RC-（GND）接觸時，RC+接地，無24V輸出，此業經本院、中油公司及巨路公司106年11月10日於大潭隔離站共同實驗確認</w:t>
      </w:r>
      <w:r w:rsidRPr="001D7A17">
        <w:rPr>
          <w:rStyle w:val="af9"/>
        </w:rPr>
        <w:footnoteReference w:id="9"/>
      </w:r>
      <w:r w:rsidRPr="001D7A17">
        <w:rPr>
          <w:rFonts w:hint="eastAsia"/>
        </w:rPr>
        <w:t>，故研判事故當時巨路施工人員於整理線路時，不慎誤將遠端控制線（RC+）接地，造成第1控制器DCS#1自16時39分32秒</w:t>
      </w:r>
      <w:r w:rsidRPr="001D7A17">
        <w:rPr>
          <w:rStyle w:val="af9"/>
        </w:rPr>
        <w:footnoteReference w:id="10"/>
      </w:r>
      <w:r w:rsidRPr="001D7A17">
        <w:rPr>
          <w:rFonts w:hint="eastAsia"/>
        </w:rPr>
        <w:t>起失電約18秒。另關於機櫃上新電源供應器之編號，依106年11月10日履勘照片，由上而下為1S、1P、2S、2P，惟本院發現臨時引接線應係由2S引接至1S，與該公司106年9月8日簡報第8頁所稱1S臨時電源搭接自2P不同，爰於106年11月13日請中油公司更正其簡報資料，該公司107年6月5日始稱「815事故後現場為因應解說用途，遂臨時於大潭計量站之電源供應器與複聯模組外殼上以標籤紙註記標示，另貼標籤當下因電話通訊不良未與現場同仁再確認，造成現場臨時標示與簡報資料上標示兩者有差異，甚感抱歉。前述為口頭解說之用，非事故前所作標示。」等語，併此敘明。</w:t>
      </w:r>
      <w:bookmarkEnd w:id="76"/>
      <w:bookmarkEnd w:id="77"/>
      <w:bookmarkEnd w:id="78"/>
      <w:bookmarkEnd w:id="79"/>
      <w:bookmarkEnd w:id="80"/>
    </w:p>
    <w:p w:rsidR="00997047" w:rsidRPr="001D7A17" w:rsidRDefault="00997047" w:rsidP="00997047">
      <w:pPr>
        <w:widowControl/>
        <w:rPr>
          <w:rFonts w:hAnsi="Arial"/>
          <w:bCs/>
          <w:kern w:val="32"/>
          <w:szCs w:val="36"/>
        </w:rPr>
      </w:pPr>
      <w:r w:rsidRPr="001D7A17">
        <w:br w:type="page"/>
      </w:r>
    </w:p>
    <w:p w:rsidR="00997047" w:rsidRPr="001D7A17" w:rsidRDefault="00997047" w:rsidP="00997047">
      <w:pPr>
        <w:pStyle w:val="a1"/>
        <w:rPr>
          <w:sz w:val="32"/>
          <w:szCs w:val="32"/>
        </w:rPr>
      </w:pPr>
      <w:bookmarkStart w:id="81" w:name="_Toc517960224"/>
      <w:r w:rsidRPr="001D7A17">
        <w:rPr>
          <w:rFonts w:hint="eastAsia"/>
          <w:sz w:val="32"/>
          <w:szCs w:val="32"/>
        </w:rPr>
        <w:lastRenderedPageBreak/>
        <w:t>電源供應器對照圖</w:t>
      </w:r>
      <w:bookmarkEnd w:id="81"/>
    </w:p>
    <w:tbl>
      <w:tblPr>
        <w:tblStyle w:val="aff"/>
        <w:tblW w:w="0" w:type="auto"/>
        <w:tblLook w:val="04A0" w:firstRow="1" w:lastRow="0" w:firstColumn="1" w:lastColumn="0" w:noHBand="0" w:noVBand="1"/>
      </w:tblPr>
      <w:tblGrid>
        <w:gridCol w:w="4476"/>
        <w:gridCol w:w="4536"/>
      </w:tblGrid>
      <w:tr w:rsidR="001D7A17" w:rsidRPr="001D7A17" w:rsidTr="00654F76">
        <w:tc>
          <w:tcPr>
            <w:tcW w:w="4450" w:type="dxa"/>
          </w:tcPr>
          <w:p w:rsidR="00997047" w:rsidRPr="001D7A17" w:rsidRDefault="00997047" w:rsidP="00654F76">
            <w:r w:rsidRPr="001D7A17">
              <w:rPr>
                <w:noProof/>
              </w:rPr>
              <w:drawing>
                <wp:inline distT="0" distB="0" distL="0" distR="0" wp14:anchorId="3558AF02" wp14:editId="263EC063">
                  <wp:extent cx="2705100" cy="3596002"/>
                  <wp:effectExtent l="0" t="0" r="0" b="508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1CF3.tmp"/>
                          <pic:cNvPicPr/>
                        </pic:nvPicPr>
                        <pic:blipFill>
                          <a:blip r:embed="rId21">
                            <a:extLst>
                              <a:ext uri="{28A0092B-C50C-407E-A947-70E740481C1C}">
                                <a14:useLocalDpi xmlns:a14="http://schemas.microsoft.com/office/drawing/2010/main" val="0"/>
                              </a:ext>
                            </a:extLst>
                          </a:blip>
                          <a:stretch>
                            <a:fillRect/>
                          </a:stretch>
                        </pic:blipFill>
                        <pic:spPr>
                          <a:xfrm>
                            <a:off x="0" y="0"/>
                            <a:ext cx="2709110" cy="3601332"/>
                          </a:xfrm>
                          <a:prstGeom prst="rect">
                            <a:avLst/>
                          </a:prstGeom>
                        </pic:spPr>
                      </pic:pic>
                    </a:graphicData>
                  </a:graphic>
                </wp:inline>
              </w:drawing>
            </w:r>
          </w:p>
        </w:tc>
        <w:tc>
          <w:tcPr>
            <w:tcW w:w="4450" w:type="dxa"/>
          </w:tcPr>
          <w:p w:rsidR="00997047" w:rsidRPr="001D7A17" w:rsidRDefault="00997047" w:rsidP="00654F76">
            <w:r w:rsidRPr="001D7A17">
              <w:rPr>
                <w:noProof/>
              </w:rPr>
              <w:drawing>
                <wp:inline distT="0" distB="0" distL="0" distR="0" wp14:anchorId="50675594" wp14:editId="274AF0C6">
                  <wp:extent cx="2743200" cy="3618458"/>
                  <wp:effectExtent l="0" t="0" r="0" b="127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3B6A.tmp"/>
                          <pic:cNvPicPr/>
                        </pic:nvPicPr>
                        <pic:blipFill rotWithShape="1">
                          <a:blip r:embed="rId22" cstate="print">
                            <a:extLst>
                              <a:ext uri="{28A0092B-C50C-407E-A947-70E740481C1C}">
                                <a14:useLocalDpi xmlns:a14="http://schemas.microsoft.com/office/drawing/2010/main" val="0"/>
                              </a:ext>
                            </a:extLst>
                          </a:blip>
                          <a:srcRect l="27009"/>
                          <a:stretch/>
                        </pic:blipFill>
                        <pic:spPr bwMode="auto">
                          <a:xfrm>
                            <a:off x="0" y="0"/>
                            <a:ext cx="2744732" cy="3620479"/>
                          </a:xfrm>
                          <a:prstGeom prst="rect">
                            <a:avLst/>
                          </a:prstGeom>
                          <a:ln>
                            <a:noFill/>
                          </a:ln>
                          <a:extLst>
                            <a:ext uri="{53640926-AAD7-44D8-BBD7-CCE9431645EC}">
                              <a14:shadowObscured xmlns:a14="http://schemas.microsoft.com/office/drawing/2010/main"/>
                            </a:ext>
                          </a:extLst>
                        </pic:spPr>
                      </pic:pic>
                    </a:graphicData>
                  </a:graphic>
                </wp:inline>
              </w:drawing>
            </w:r>
          </w:p>
        </w:tc>
      </w:tr>
    </w:tbl>
    <w:p w:rsidR="00997047" w:rsidRPr="001D7A17" w:rsidRDefault="00997047" w:rsidP="00997047">
      <w:pPr>
        <w:pStyle w:val="aff0"/>
      </w:pPr>
      <w:r w:rsidRPr="001D7A17">
        <w:rPr>
          <w:rFonts w:hint="eastAsia"/>
        </w:rPr>
        <w:t>註：【左圖】本院106年11月10日履勘時拍攝照片，電源供應器編號由上而下依序為1S、1P、2S、2P，與【右圖】電源供應器更換完成現況之順序1P、1S、2P、2S不同。</w:t>
      </w:r>
    </w:p>
    <w:p w:rsidR="00997047" w:rsidRPr="001D7A17" w:rsidRDefault="00997047" w:rsidP="00997047">
      <w:pPr>
        <w:pStyle w:val="3"/>
        <w:overflowPunct w:val="0"/>
        <w:autoSpaceDE w:val="0"/>
        <w:autoSpaceDN w:val="0"/>
        <w:ind w:left="1361" w:hanging="681"/>
      </w:pPr>
      <w:bookmarkStart w:id="82" w:name="_Toc516674290"/>
      <w:bookmarkStart w:id="83" w:name="_Toc516675313"/>
      <w:bookmarkStart w:id="84" w:name="_Toc516753478"/>
      <w:bookmarkStart w:id="85" w:name="_Toc516818650"/>
      <w:bookmarkStart w:id="86" w:name="_Toc517960106"/>
      <w:r w:rsidRPr="001D7A17">
        <w:rPr>
          <w:rFonts w:hint="eastAsia"/>
        </w:rPr>
        <w:t>綜上，中油公司大潭計量站電動閥MOV-2229係供氣給大潭電廠之關鍵電動閥，其狀態由監控系統之第1控制器控制，依監控系統事件紀錄（Event Log），該控制器於16時39分32秒起失電18秒，致生815分區限電。衡諸事故時自第2控制器主電源（2P）引接之臨時電源已拆除，且失電情況未擴及第2控制器，失電原因自應歸諸於供電中之主電源（1P），按新電源供應器（HLG-600H-24A）係設計給LED產品使用，具遠端控制功能，研判係施工人員整線時不慎將其遠端控制端點接地，造成主電源（1P）短暫無24V輸出，第1控制器重新起動，而關閉關鍵電動閥MOV-2229，中油公司未慎選電源供應器，並建立更換控制器電源之標準作業程序，核有違失。</w:t>
      </w:r>
      <w:bookmarkEnd w:id="82"/>
      <w:bookmarkEnd w:id="83"/>
      <w:bookmarkEnd w:id="84"/>
      <w:bookmarkEnd w:id="85"/>
      <w:bookmarkEnd w:id="86"/>
    </w:p>
    <w:p w:rsidR="00997047" w:rsidRPr="001D7A17" w:rsidRDefault="00997047" w:rsidP="00997047">
      <w:pPr>
        <w:pStyle w:val="2"/>
        <w:overflowPunct w:val="0"/>
        <w:autoSpaceDE w:val="0"/>
        <w:autoSpaceDN w:val="0"/>
        <w:ind w:left="1021" w:hanging="681"/>
        <w:rPr>
          <w:b/>
        </w:rPr>
      </w:pPr>
      <w:bookmarkStart w:id="87" w:name="_Toc516495631"/>
      <w:bookmarkStart w:id="88" w:name="_Toc517960107"/>
      <w:r w:rsidRPr="001D7A17">
        <w:rPr>
          <w:rFonts w:hint="eastAsia"/>
          <w:b/>
        </w:rPr>
        <w:lastRenderedPageBreak/>
        <w:t>發電用天然氣由中油公司獨家供應，且銷售量逐年增加，特別是103年4月28日核四封存後，燃氣極大化能源政策確立，惟中油公司輕忽其供氣責任，歷年均將輸配氣監控系統保養維護委外，本身僅負責操作，亦未全面檢視及監控天然氣輸儲系統之關鍵弱點，進行失效模式影響分析，致所屬大潭計量站分散式監控系統電源供應器更換作業，於未訂定相關標準作業程序，毫無風險管理及防護情形下委外執行，致生815事故，顯有違失。</w:t>
      </w:r>
      <w:bookmarkEnd w:id="87"/>
      <w:bookmarkEnd w:id="88"/>
    </w:p>
    <w:p w:rsidR="00997047" w:rsidRPr="001D7A17" w:rsidRDefault="00997047" w:rsidP="00017CE8">
      <w:pPr>
        <w:pStyle w:val="3"/>
      </w:pPr>
      <w:bookmarkStart w:id="89" w:name="_Toc516753480"/>
      <w:bookmarkStart w:id="90" w:name="_Toc516818652"/>
      <w:bookmarkStart w:id="91" w:name="_Toc517960108"/>
      <w:bookmarkStart w:id="92" w:name="_Toc516674292"/>
      <w:bookmarkStart w:id="93" w:name="_Toc516675315"/>
      <w:r w:rsidRPr="001D7A17">
        <w:rPr>
          <w:rFonts w:hint="eastAsia"/>
        </w:rPr>
        <w:t>查國內天然氣自產不足，為有效因應及配合國家能源政策，中油公司於永安(79年營運)、台中(98年營運)設2座液化天然氣接收站，其中永安廠儲槽69萬公秉，卸收碼頭2座，氣化設施2,200噸/時，規劃營運量750萬噸/年；台中廠儲槽48萬公秉，卸收碼頭1座，氣化設施1,200噸/時，規劃營運量450萬噸/年。至輸氣幹線，永安廠天然氣除專管供應興達電廠、往南陸管（至高雄）、往北陸管（至彰化）外，另有永安-通霄海管。台中廠則於台中-通霄間設有36吋海管供應大潭電廠發電所需，合計海管約373km及陸上幹管約2,150km，形成8字型完整供氣幹管網路，該公司天然氣事業部海管與陸管示意圖，請參閱圖5。為有效監控輸儲系統，該公司另設置24小時監控調度中心，並於沿線設置8個區域監控，整體分散式監控系統(DCS)即時監控所轄43配氣站、27開關站及29隔離站之管線輸送壓力、流率與各項訊息及影像(CCTV)。本案大潭電廠發電用天然氣95年8月25日本由永安廠氣源供氣，大潭隔離站97年10月完工後，改由台中廠經海管高壓供氣，供氣管路係由台中36吋海管自隔離站MOV-2102A、MOV-2102進站，經6套24</w:t>
      </w:r>
      <w:r w:rsidRPr="001D7A17">
        <w:rPr>
          <w:rFonts w:hint="eastAsia"/>
        </w:rPr>
        <w:lastRenderedPageBreak/>
        <w:t>吋過濾器後，進入減壓區減壓，平日以3套減壓器運轉操作供氣，另3套為緊急備用，再經36吋管線輸送2.4公里至大潭電廠廠區內計量站MOV-2202進站、4套24吋過濾器過濾後，由MOV-2229、MOV-2230匯集進入計量區，由4套超音波流量計做交易計量後於V-66手動閥區交貨口交貨予大潭電廠。最大供氣量，#1~#6複循環機組</w:t>
      </w:r>
      <w:r w:rsidRPr="001D7A17">
        <w:rPr>
          <w:rStyle w:val="af9"/>
        </w:rPr>
        <w:footnoteReference w:id="11"/>
      </w:r>
      <w:r w:rsidRPr="001D7A17">
        <w:rPr>
          <w:rFonts w:hint="eastAsia"/>
        </w:rPr>
        <w:t>為560萬噸/時，加上107年3月28日商轉之#7單循環機組（GT</w:t>
      </w:r>
      <w:r w:rsidRPr="001D7A17">
        <w:rPr>
          <w:rStyle w:val="af9"/>
        </w:rPr>
        <w:footnoteReference w:id="12"/>
      </w:r>
      <w:r w:rsidRPr="001D7A17">
        <w:rPr>
          <w:rFonts w:hint="eastAsia"/>
        </w:rPr>
        <w:t>）108噸/時，合計668噸/時。</w:t>
      </w:r>
      <w:bookmarkEnd w:id="89"/>
      <w:bookmarkEnd w:id="90"/>
      <w:bookmarkEnd w:id="91"/>
    </w:p>
    <w:p w:rsidR="00997047" w:rsidRPr="001D7A17" w:rsidRDefault="00997047" w:rsidP="00997047">
      <w:pPr>
        <w:widowControl/>
        <w:rPr>
          <w:rFonts w:hAnsi="Arial"/>
          <w:bCs/>
          <w:kern w:val="32"/>
          <w:szCs w:val="36"/>
        </w:rPr>
      </w:pPr>
      <w:r w:rsidRPr="001D7A17">
        <w:br w:type="page"/>
      </w:r>
    </w:p>
    <w:p w:rsidR="00997047" w:rsidRPr="001D7A17" w:rsidRDefault="00997047" w:rsidP="00997047">
      <w:pPr>
        <w:pStyle w:val="a1"/>
      </w:pPr>
      <w:bookmarkStart w:id="94" w:name="_Toc517960225"/>
      <w:r w:rsidRPr="001D7A17">
        <w:rPr>
          <w:rFonts w:hint="eastAsia"/>
        </w:rPr>
        <w:lastRenderedPageBreak/>
        <w:t>中油公司天然氣事業部海管與陸管示意圖</w:t>
      </w:r>
      <w:bookmarkEnd w:id="94"/>
    </w:p>
    <w:p w:rsidR="00997047" w:rsidRPr="001D7A17" w:rsidRDefault="00997047" w:rsidP="00997047">
      <w:r w:rsidRPr="001D7A17">
        <w:rPr>
          <w:noProof/>
        </w:rPr>
        <mc:AlternateContent>
          <mc:Choice Requires="wps">
            <w:drawing>
              <wp:anchor distT="0" distB="0" distL="114300" distR="114300" simplePos="0" relativeHeight="251659264" behindDoc="0" locked="0" layoutInCell="1" allowOverlap="1" wp14:anchorId="0103A5E3" wp14:editId="03FFB3A9">
                <wp:simplePos x="0" y="0"/>
                <wp:positionH relativeFrom="column">
                  <wp:posOffset>928370</wp:posOffset>
                </wp:positionH>
                <wp:positionV relativeFrom="paragraph">
                  <wp:posOffset>926465</wp:posOffset>
                </wp:positionV>
                <wp:extent cx="978408" cy="484632"/>
                <wp:effectExtent l="0" t="19050" r="31750" b="29845"/>
                <wp:wrapNone/>
                <wp:docPr id="11" name="向右箭號 11"/>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11" o:spid="_x0000_s1026" type="#_x0000_t13" style="position:absolute;margin-left:73.1pt;margin-top:72.95pt;width:77.05pt;height:38.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OjbjQIAAEMFAAAOAAAAZHJzL2Uyb0RvYy54bWysVM1uEzEQviPxDpbvdJOQ/kXdVFGrIqSq&#10;jWhRz67Xzq7k9Zixk014CeDIiSeAC89UwWMw9m62VVtxQOzBa3tmPs98/sZHx+vasJVCX4HN+XBn&#10;wJmyEorKLnL+/vrs1QFnPghbCANW5XyjPD+evnxx1LiJGkEJplDICMT6SeNyXobgJlnmZalq4XfA&#10;KUtGDViLQEtcZAWKhtBrk40Gg72sASwcglTe0+5pa+TThK+1kuFSa68CMzmn3EIaMY23ccymR2Ky&#10;QOHKSnZpiH/IohaVpUN7qFMRBFti9QSqriSCBx12JNQZaF1JlWqgaoaDR9VclcKpVAuR411Pk/9/&#10;sPJiNUdWFXR3Q86sqOmO7j5/ufv089eP77+/fmO0TRw1zk/I9crNsVt5msaC1xrr+KdS2Drxuul5&#10;VevAJG0e7h+MByQESabxwXjv9ShiZvfBDn14o6BmcZJzrBZlmCFCkzgVq3Mf2oCtI0XHlNok0ixs&#10;jIp5GPtOaSqIjh2l6CQldWKQrQSJQEipbBi2plIUqt3eHdDXZdVHpBwTYETWlTE9dgcQZfoUu821&#10;84+hKimxDx78LbE2uI9IJ4MNfXBdWcDnAAxV1Z3c+m9JaqmJLN1CsaHrRmj7wDt5VhHj58KHuUAS&#10;PrUINXO4pEEbaHIO3YyzEvDjc/vRn/RIVs4aaqSc+w9LgYoz89aSUg+H43HsvLQY7+6PaIEPLbcP&#10;LXZZnwBdE4mRskvT6B/MdqoR6hvq+Vk8lUzCSjo75zLgdnES2ganV0Oq2Sy5Ubc5Ec7tlZMRPLIa&#10;tXS9vhHoOtkF0usFbJtOTB7prvWNkRZmywC6SqK857Xjmzo1Cad7VeJT8HCdvO7fvukfAAAA//8D&#10;AFBLAwQUAAYACAAAACEAN0ieL98AAAALAQAADwAAAGRycy9kb3ducmV2LnhtbEyPQU/DMAyF70j8&#10;h8hI3Fiyjm2sNJ0QEmhX1kmIm9d4baFJqiTbun+PdwKf/PSenj8X69H24kQhdt5pmE4UCHK1N51r&#10;NOyqt4cnEDGhM9h7RxouFGFd3t4UmBt/dh902qZGcImLOWpoUxpyKWPdksU48QM59g4+WEwsQyNN&#10;wDOX215mSi2kxc7xhRYHem2p/tkerQYK1QE3fv65W3357/ehWk4vm6XW93fjyzOIRGP6C8MVn9Gh&#10;ZKa9PzoTRc/6cZFx9LrMVyA4MVNqBmKvIeMBWRby/w/lLwAAAP//AwBQSwECLQAUAAYACAAAACEA&#10;toM4kv4AAADhAQAAEwAAAAAAAAAAAAAAAAAAAAAAW0NvbnRlbnRfVHlwZXNdLnhtbFBLAQItABQA&#10;BgAIAAAAIQA4/SH/1gAAAJQBAAALAAAAAAAAAAAAAAAAAC8BAABfcmVscy8ucmVsc1BLAQItABQA&#10;BgAIAAAAIQCBzOjbjQIAAEMFAAAOAAAAAAAAAAAAAAAAAC4CAABkcnMvZTJvRG9jLnhtbFBLAQIt&#10;ABQABgAIAAAAIQA3SJ4v3wAAAAsBAAAPAAAAAAAAAAAAAAAAAOcEAABkcnMvZG93bnJldi54bWxQ&#10;SwUGAAAAAAQABADzAAAA8wUAAAAA&#10;" adj="16250" fillcolor="#4f81bd [3204]" strokecolor="#243f60 [1604]" strokeweight="2pt"/>
            </w:pict>
          </mc:Fallback>
        </mc:AlternateContent>
      </w:r>
      <w:r w:rsidRPr="001D7A17">
        <w:rPr>
          <w:noProof/>
        </w:rPr>
        <w:drawing>
          <wp:inline distT="0" distB="0" distL="0" distR="0" wp14:anchorId="039C04BC" wp14:editId="136E50F6">
            <wp:extent cx="5511800" cy="7443832"/>
            <wp:effectExtent l="0" t="0" r="0" b="508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5894B2.tmp"/>
                    <pic:cNvPicPr/>
                  </pic:nvPicPr>
                  <pic:blipFill>
                    <a:blip r:embed="rId23">
                      <a:extLst>
                        <a:ext uri="{28A0092B-C50C-407E-A947-70E740481C1C}">
                          <a14:useLocalDpi xmlns:a14="http://schemas.microsoft.com/office/drawing/2010/main" val="0"/>
                        </a:ext>
                      </a:extLst>
                    </a:blip>
                    <a:stretch>
                      <a:fillRect/>
                    </a:stretch>
                  </pic:blipFill>
                  <pic:spPr>
                    <a:xfrm>
                      <a:off x="0" y="0"/>
                      <a:ext cx="5516064" cy="7449590"/>
                    </a:xfrm>
                    <a:prstGeom prst="rect">
                      <a:avLst/>
                    </a:prstGeom>
                  </pic:spPr>
                </pic:pic>
              </a:graphicData>
            </a:graphic>
          </wp:inline>
        </w:drawing>
      </w:r>
    </w:p>
    <w:p w:rsidR="00997047" w:rsidRPr="001D7A17" w:rsidRDefault="00997047" w:rsidP="00997047">
      <w:pPr>
        <w:pStyle w:val="aff0"/>
        <w:jc w:val="right"/>
        <w:rPr>
          <w:noProof/>
          <w:sz w:val="24"/>
        </w:rPr>
      </w:pPr>
      <w:r w:rsidRPr="001D7A17">
        <w:rPr>
          <w:rFonts w:hint="eastAsia"/>
          <w:noProof/>
          <w:sz w:val="24"/>
        </w:rPr>
        <w:t>資料來源：中油公司天然氣事業部/業務簡介/經營概況網頁，107年6月28日</w:t>
      </w:r>
    </w:p>
    <w:p w:rsidR="00997047" w:rsidRPr="001D7A17" w:rsidRDefault="00997047" w:rsidP="00997047"/>
    <w:p w:rsidR="00997047" w:rsidRPr="001D7A17" w:rsidRDefault="00997047" w:rsidP="00017CE8">
      <w:pPr>
        <w:pStyle w:val="3"/>
      </w:pPr>
      <w:bookmarkStart w:id="95" w:name="_Toc516674293"/>
      <w:bookmarkStart w:id="96" w:name="_Toc516675316"/>
      <w:bookmarkStart w:id="97" w:name="_Toc516753481"/>
      <w:bookmarkStart w:id="98" w:name="_Toc516818653"/>
      <w:bookmarkStart w:id="99" w:name="_Toc517960109"/>
      <w:bookmarkEnd w:id="92"/>
      <w:bookmarkEnd w:id="93"/>
      <w:r w:rsidRPr="001D7A17">
        <w:rPr>
          <w:rFonts w:hint="eastAsia"/>
        </w:rPr>
        <w:lastRenderedPageBreak/>
        <w:t>次查臺灣北部地區</w:t>
      </w:r>
      <w:r w:rsidRPr="001D7A17">
        <w:rPr>
          <w:rStyle w:val="af9"/>
        </w:rPr>
        <w:footnoteReference w:id="13"/>
      </w:r>
      <w:r w:rsidRPr="001D7A17">
        <w:rPr>
          <w:rFonts w:hint="eastAsia"/>
        </w:rPr>
        <w:t>用電大，運轉中電廠計有台電公司大潭燃氣、林口燃煤、核一、核二及協和燃油電廠，民營電業則有長生、國光及新桃</w:t>
      </w:r>
      <w:r w:rsidRPr="001D7A17">
        <w:rPr>
          <w:rStyle w:val="af9"/>
        </w:rPr>
        <w:footnoteReference w:id="14"/>
      </w:r>
      <w:r w:rsidRPr="001D7A17">
        <w:rPr>
          <w:rFonts w:hint="eastAsia"/>
        </w:rPr>
        <w:t>等燃氣電廠，尖峰時北部地區電力不足，中電北輸是常態</w:t>
      </w:r>
      <w:r w:rsidRPr="001D7A17">
        <w:rPr>
          <w:rStyle w:val="af9"/>
        </w:rPr>
        <w:footnoteReference w:id="15"/>
      </w:r>
      <w:r w:rsidRPr="001D7A17">
        <w:rPr>
          <w:rFonts w:hint="eastAsia"/>
        </w:rPr>
        <w:t>。其中，林口電廠#1、#2號機於103年9月1日除役，行政院94年9月30日核准林口更新擴建計畫，採先建後拆方式，興建3部高效率超超臨界發電機組。第1部機於105年10月6日商轉，第2部機於106年3月24日商轉，第3部機目前建造中。至在北部供電扮演重要角色之核一、核二，100至103年發電量依序為</w:t>
      </w:r>
      <w:r w:rsidRPr="001D7A17">
        <w:t>255</w:t>
      </w:r>
      <w:r w:rsidRPr="001D7A17">
        <w:rPr>
          <w:rFonts w:hint="eastAsia"/>
        </w:rPr>
        <w:t>.</w:t>
      </w:r>
      <w:r w:rsidRPr="001D7A17">
        <w:t>9</w:t>
      </w:r>
      <w:r w:rsidRPr="001D7A17">
        <w:rPr>
          <w:rFonts w:hint="eastAsia"/>
        </w:rPr>
        <w:t>9、</w:t>
      </w:r>
      <w:r w:rsidRPr="001D7A17">
        <w:t>247</w:t>
      </w:r>
      <w:r w:rsidRPr="001D7A17">
        <w:rPr>
          <w:rFonts w:hint="eastAsia"/>
        </w:rPr>
        <w:t>.</w:t>
      </w:r>
      <w:r w:rsidRPr="001D7A17">
        <w:t>07</w:t>
      </w:r>
      <w:r w:rsidRPr="001D7A17">
        <w:rPr>
          <w:rFonts w:hint="eastAsia"/>
        </w:rPr>
        <w:t>、</w:t>
      </w:r>
      <w:r w:rsidRPr="001D7A17">
        <w:t>248</w:t>
      </w:r>
      <w:r w:rsidRPr="001D7A17">
        <w:rPr>
          <w:rFonts w:hint="eastAsia"/>
        </w:rPr>
        <w:t>.</w:t>
      </w:r>
      <w:r w:rsidRPr="001D7A17">
        <w:t>99</w:t>
      </w:r>
      <w:r w:rsidRPr="001D7A17">
        <w:rPr>
          <w:rFonts w:hint="eastAsia"/>
        </w:rPr>
        <w:t>、</w:t>
      </w:r>
      <w:r w:rsidRPr="001D7A17">
        <w:t>261</w:t>
      </w:r>
      <w:r w:rsidRPr="001D7A17">
        <w:rPr>
          <w:rFonts w:hint="eastAsia"/>
        </w:rPr>
        <w:t>.</w:t>
      </w:r>
      <w:r w:rsidRPr="001D7A17">
        <w:t>7</w:t>
      </w:r>
      <w:r w:rsidRPr="001D7A17">
        <w:rPr>
          <w:rFonts w:hint="eastAsia"/>
        </w:rPr>
        <w:t>9億度，發電量尚稱穩定，但104至106年依序為</w:t>
      </w:r>
      <w:r w:rsidRPr="001D7A17">
        <w:t>210</w:t>
      </w:r>
      <w:r w:rsidRPr="001D7A17">
        <w:rPr>
          <w:rFonts w:hint="eastAsia"/>
        </w:rPr>
        <w:t>.</w:t>
      </w:r>
      <w:r w:rsidRPr="001D7A17">
        <w:t>13</w:t>
      </w:r>
      <w:r w:rsidRPr="001D7A17">
        <w:rPr>
          <w:rFonts w:hint="eastAsia"/>
        </w:rPr>
        <w:t>、</w:t>
      </w:r>
      <w:r w:rsidRPr="001D7A17">
        <w:t>15</w:t>
      </w:r>
      <w:r w:rsidRPr="001D7A17">
        <w:rPr>
          <w:rFonts w:hint="eastAsia"/>
        </w:rPr>
        <w:t>2.89、</w:t>
      </w:r>
      <w:r w:rsidRPr="001D7A17">
        <w:t>68</w:t>
      </w:r>
      <w:r w:rsidRPr="001D7A17">
        <w:rPr>
          <w:rFonts w:hint="eastAsia"/>
        </w:rPr>
        <w:t>.</w:t>
      </w:r>
      <w:r w:rsidRPr="001D7A17">
        <w:t>59</w:t>
      </w:r>
      <w:r w:rsidRPr="001D7A17">
        <w:rPr>
          <w:rFonts w:hint="eastAsia"/>
        </w:rPr>
        <w:t>億度，逐年遞減，且減幅可觀。加上行政院103年4月28日宣布核四封存，核四加入供電序列之期望頓失。在此供電環境下，擁有6部複循環機組（裝置容量合計438.42萬瓩</w:t>
      </w:r>
      <w:r w:rsidRPr="001D7A17">
        <w:rPr>
          <w:rStyle w:val="af9"/>
        </w:rPr>
        <w:footnoteReference w:id="16"/>
      </w:r>
      <w:r w:rsidRPr="001D7A17">
        <w:rPr>
          <w:rFonts w:hint="eastAsia"/>
        </w:rPr>
        <w:t>）之大潭電廠，100至106年毛發電量依序為</w:t>
      </w:r>
      <w:r w:rsidRPr="001D7A17">
        <w:t>135.83</w:t>
      </w:r>
      <w:r w:rsidRPr="001D7A17">
        <w:rPr>
          <w:rFonts w:hint="eastAsia"/>
        </w:rPr>
        <w:t>、</w:t>
      </w:r>
      <w:r w:rsidRPr="001D7A17">
        <w:tab/>
        <w:t>210.34</w:t>
      </w:r>
      <w:r w:rsidRPr="001D7A17">
        <w:rPr>
          <w:rFonts w:hint="eastAsia"/>
        </w:rPr>
        <w:t>、</w:t>
      </w:r>
      <w:r w:rsidRPr="001D7A17">
        <w:t>233.32</w:t>
      </w:r>
      <w:r w:rsidRPr="001D7A17">
        <w:rPr>
          <w:rFonts w:hint="eastAsia"/>
        </w:rPr>
        <w:t>、</w:t>
      </w:r>
      <w:r w:rsidRPr="001D7A17">
        <w:t>247.55</w:t>
      </w:r>
      <w:r w:rsidRPr="001D7A17">
        <w:rPr>
          <w:rFonts w:hint="eastAsia"/>
        </w:rPr>
        <w:t>、</w:t>
      </w:r>
      <w:r w:rsidRPr="001D7A17">
        <w:t>253.68</w:t>
      </w:r>
      <w:r w:rsidRPr="001D7A17">
        <w:rPr>
          <w:rFonts w:hint="eastAsia"/>
        </w:rPr>
        <w:t>、</w:t>
      </w:r>
      <w:r w:rsidRPr="001D7A17">
        <w:t>263.11</w:t>
      </w:r>
      <w:r w:rsidRPr="001D7A17">
        <w:rPr>
          <w:rFonts w:hint="eastAsia"/>
        </w:rPr>
        <w:t>、</w:t>
      </w:r>
      <w:r w:rsidRPr="001D7A17">
        <w:tab/>
        <w:t>289.85</w:t>
      </w:r>
      <w:r w:rsidRPr="001D7A17">
        <w:rPr>
          <w:rFonts w:hint="eastAsia"/>
        </w:rPr>
        <w:t>億度，發電量年年攀升，重要性不言可喻。</w:t>
      </w:r>
      <w:bookmarkEnd w:id="95"/>
      <w:bookmarkEnd w:id="96"/>
      <w:bookmarkEnd w:id="97"/>
      <w:bookmarkEnd w:id="98"/>
      <w:bookmarkEnd w:id="99"/>
    </w:p>
    <w:p w:rsidR="00997047" w:rsidRPr="001D7A17" w:rsidRDefault="00997047" w:rsidP="00017CE8">
      <w:pPr>
        <w:pStyle w:val="3"/>
      </w:pPr>
      <w:bookmarkStart w:id="100" w:name="_Toc516674294"/>
      <w:bookmarkStart w:id="101" w:name="_Toc516675317"/>
      <w:bookmarkStart w:id="102" w:name="_Toc516753482"/>
      <w:bookmarkStart w:id="103" w:name="_Toc516818654"/>
      <w:bookmarkStart w:id="104" w:name="_Toc517960110"/>
      <w:r w:rsidRPr="001D7A17">
        <w:rPr>
          <w:rFonts w:hint="eastAsia"/>
        </w:rPr>
        <w:t>惟查中油公司100至106年發電用天然氣銷量，依序為</w:t>
      </w:r>
      <w:bookmarkStart w:id="105" w:name="OLE_LINK1"/>
      <w:r w:rsidRPr="001D7A17">
        <w:rPr>
          <w:rFonts w:hint="eastAsia"/>
        </w:rPr>
        <w:t>124.6、128.8、132.7、141.0、152.8、161.3、177.2</w:t>
      </w:r>
      <w:bookmarkEnd w:id="105"/>
      <w:r w:rsidRPr="001D7A17">
        <w:rPr>
          <w:rFonts w:hint="eastAsia"/>
        </w:rPr>
        <w:t>億立方公尺，按每噸約1,300立方公尺換算，依序為</w:t>
      </w:r>
      <w:r w:rsidRPr="001D7A17">
        <w:t>958.5</w:t>
      </w:r>
      <w:r w:rsidRPr="001D7A17">
        <w:rPr>
          <w:rFonts w:hint="eastAsia"/>
        </w:rPr>
        <w:t>、</w:t>
      </w:r>
      <w:r w:rsidRPr="001D7A17">
        <w:t>990.8</w:t>
      </w:r>
      <w:r w:rsidRPr="001D7A17">
        <w:rPr>
          <w:rFonts w:hint="eastAsia"/>
        </w:rPr>
        <w:t>、</w:t>
      </w:r>
      <w:r w:rsidRPr="001D7A17">
        <w:t>1</w:t>
      </w:r>
      <w:r w:rsidRPr="001D7A17">
        <w:rPr>
          <w:rFonts w:hint="eastAsia"/>
        </w:rPr>
        <w:t>,</w:t>
      </w:r>
      <w:r w:rsidRPr="001D7A17">
        <w:t>020.8</w:t>
      </w:r>
      <w:r w:rsidRPr="001D7A17">
        <w:rPr>
          <w:rFonts w:hint="eastAsia"/>
        </w:rPr>
        <w:t>、</w:t>
      </w:r>
      <w:r w:rsidRPr="001D7A17">
        <w:t>1</w:t>
      </w:r>
      <w:r w:rsidRPr="001D7A17">
        <w:rPr>
          <w:rFonts w:hint="eastAsia"/>
        </w:rPr>
        <w:t>,</w:t>
      </w:r>
      <w:r w:rsidRPr="001D7A17">
        <w:t>084.6</w:t>
      </w:r>
      <w:r w:rsidRPr="001D7A17">
        <w:rPr>
          <w:rFonts w:hint="eastAsia"/>
        </w:rPr>
        <w:t>、</w:t>
      </w:r>
      <w:r w:rsidRPr="001D7A17">
        <w:t>1</w:t>
      </w:r>
      <w:r w:rsidRPr="001D7A17">
        <w:rPr>
          <w:rFonts w:hint="eastAsia"/>
        </w:rPr>
        <w:t>,</w:t>
      </w:r>
      <w:r w:rsidRPr="001D7A17">
        <w:t>175.4</w:t>
      </w:r>
      <w:r w:rsidRPr="001D7A17">
        <w:rPr>
          <w:rFonts w:hint="eastAsia"/>
        </w:rPr>
        <w:t>、</w:t>
      </w:r>
      <w:r w:rsidRPr="001D7A17">
        <w:t>1</w:t>
      </w:r>
      <w:r w:rsidRPr="001D7A17">
        <w:rPr>
          <w:rFonts w:hint="eastAsia"/>
        </w:rPr>
        <w:t>,</w:t>
      </w:r>
      <w:r w:rsidRPr="001D7A17">
        <w:t>240.8</w:t>
      </w:r>
      <w:r w:rsidRPr="001D7A17">
        <w:rPr>
          <w:rFonts w:hint="eastAsia"/>
        </w:rPr>
        <w:t>、</w:t>
      </w:r>
      <w:r w:rsidRPr="001D7A17">
        <w:t>1</w:t>
      </w:r>
      <w:r w:rsidRPr="001D7A17">
        <w:rPr>
          <w:rFonts w:hint="eastAsia"/>
        </w:rPr>
        <w:t>,</w:t>
      </w:r>
      <w:r w:rsidRPr="001D7A17">
        <w:t>363.1</w:t>
      </w:r>
      <w:r w:rsidRPr="001D7A17">
        <w:rPr>
          <w:rFonts w:hint="eastAsia"/>
        </w:rPr>
        <w:t>噸。同期間大潭電廠天然氣用量依序為187.4（占總發電用氣量</w:t>
      </w:r>
      <w:r w:rsidRPr="001D7A17">
        <w:t>19.6%</w:t>
      </w:r>
      <w:r w:rsidRPr="001D7A17">
        <w:rPr>
          <w:rFonts w:hint="eastAsia"/>
        </w:rPr>
        <w:t>）、284.6（28.7%）、315.7（30.9%）、333.5（30.7%）、</w:t>
      </w:r>
      <w:r w:rsidRPr="001D7A17">
        <w:rPr>
          <w:rFonts w:hint="eastAsia"/>
        </w:rPr>
        <w:lastRenderedPageBreak/>
        <w:t>337.4（28.7%）、350.1（28.2%）及389.9（28.6%）萬噸，均明顯呈逐年成長趨勢，特別是103年4月28日行政院宣布核四封存後，燃氣發電極大化政策明確，然大潭隔離站計量站97年完工後，迄106年8月15日更換DCS電源供應器不慎導致供氣中斷事故發生，中油公司從未就大潭電廠日益吃重供氣角色進行檢討，仍循往例將大潭計量站監控系統（DELTA V）維護保養作業委外辦理，且歷年均由巨路公司承攬，事故後亦然，本身僅負責平日值班、操作。106年8月供氣中斷事故後，始考慮於營業處設置儀電專業維修單位。以本次大潭隔離站、計量站DCS電源供應器汰換作業為例，桃園供氣中心採購10台電源供應器</w:t>
      </w:r>
      <w:r w:rsidRPr="001D7A17">
        <w:rPr>
          <w:rStyle w:val="af9"/>
        </w:rPr>
        <w:footnoteReference w:id="17"/>
      </w:r>
      <w:r w:rsidRPr="001D7A17">
        <w:rPr>
          <w:rFonts w:hint="eastAsia"/>
        </w:rPr>
        <w:t>，並交由巨路公司依北區營業處105年度轄區監控系統（DELTA V）維護保養作業執行汰換作業，究線上進行汰換作業之可能風險及失效模式影響分析（Failure Mode and Effect Analysis）均付之闕如，整個電源汰換作業全無標準作業程序(SOP)，致更換DCS#1過程中短暫失電，導致DCS系統重啟（COLD START）、供氣中斷事故，實非意外。</w:t>
      </w:r>
      <w:bookmarkEnd w:id="100"/>
      <w:bookmarkEnd w:id="101"/>
      <w:bookmarkEnd w:id="102"/>
      <w:bookmarkEnd w:id="103"/>
      <w:bookmarkEnd w:id="104"/>
    </w:p>
    <w:p w:rsidR="00997047" w:rsidRPr="001D7A17" w:rsidRDefault="00997047" w:rsidP="00017CE8">
      <w:pPr>
        <w:pStyle w:val="3"/>
      </w:pPr>
      <w:bookmarkStart w:id="106" w:name="_Toc516674295"/>
      <w:bookmarkStart w:id="107" w:name="_Toc516675318"/>
      <w:bookmarkStart w:id="108" w:name="_Toc516753483"/>
      <w:bookmarkStart w:id="109" w:name="_Toc516818655"/>
      <w:bookmarkStart w:id="110" w:name="_Toc517960111"/>
      <w:r w:rsidRPr="001D7A17">
        <w:rPr>
          <w:rFonts w:hint="eastAsia"/>
        </w:rPr>
        <w:t>綜上，國內發電用天然氣由中油公司獨家供應，年銷售量逐年提高，大潭電廠年用量亦然，特別是政府103年4月28日宣布核四封存後，惟經濟部未監督中油公司注意發電用天然氣銷售量逐年提高所代表之意義，促其設置儀電維修專業單位，歷年均將大潭計量站分散式控制系統保養維護作業委外，全未掌握其核心技術能力，未建立該系統電源供應器汰換作業之標準作業程序，遑論失效模式影</w:t>
      </w:r>
      <w:r w:rsidRPr="001D7A17">
        <w:rPr>
          <w:rFonts w:hint="eastAsia"/>
        </w:rPr>
        <w:lastRenderedPageBreak/>
        <w:t>響分析，審查關鍵工程之可能風險，致生大潭電廠供氣中斷事故，顯有違失。</w:t>
      </w:r>
      <w:bookmarkEnd w:id="106"/>
      <w:bookmarkEnd w:id="107"/>
      <w:bookmarkEnd w:id="108"/>
      <w:bookmarkEnd w:id="109"/>
      <w:bookmarkEnd w:id="110"/>
    </w:p>
    <w:p w:rsidR="00017CE8" w:rsidRPr="001D7A17" w:rsidRDefault="00017CE8" w:rsidP="00017CE8"/>
    <w:p w:rsidR="00922A61" w:rsidRPr="001D7A17" w:rsidRDefault="008F48D8" w:rsidP="00017CE8">
      <w:pPr>
        <w:pStyle w:val="12"/>
        <w:ind w:left="680" w:firstLine="680"/>
      </w:pPr>
      <w:r w:rsidRPr="001D7A17">
        <w:rPr>
          <w:rFonts w:hint="eastAsia"/>
        </w:rPr>
        <w:t>綜上論結，</w:t>
      </w:r>
      <w:r w:rsidR="00997047" w:rsidRPr="001D7A17">
        <w:rPr>
          <w:rFonts w:hint="eastAsia"/>
        </w:rPr>
        <w:t>發電用天然氣長期由中油公司獨家供應，且銷售量逐年增加，特別是</w:t>
      </w:r>
      <w:r w:rsidR="00997047" w:rsidRPr="001D7A17">
        <w:t>103</w:t>
      </w:r>
      <w:r w:rsidR="00997047" w:rsidRPr="001D7A17">
        <w:rPr>
          <w:rFonts w:hint="eastAsia"/>
        </w:rPr>
        <w:t>年</w:t>
      </w:r>
      <w:r w:rsidR="00997047" w:rsidRPr="001D7A17">
        <w:t>4</w:t>
      </w:r>
      <w:r w:rsidR="00997047" w:rsidRPr="001D7A17">
        <w:rPr>
          <w:rFonts w:hint="eastAsia"/>
        </w:rPr>
        <w:t>月</w:t>
      </w:r>
      <w:r w:rsidR="00997047" w:rsidRPr="001D7A17">
        <w:t>28</w:t>
      </w:r>
      <w:r w:rsidR="00997047" w:rsidRPr="001D7A17">
        <w:rPr>
          <w:rFonts w:hint="eastAsia"/>
        </w:rPr>
        <w:t>日核四封存後，燃氣極大化政策確立，惟中油公司輕忽其供氣責任，歷年均將輸配氣監控系統保養維護委外，本身僅負責操作，亦未全面檢視及監控天然氣輸儲系統之關鍵弱點，進行失效模式影響分析，致所屬大潭計量站分散式監控系統電源供應器更換作業，於未訂定相關標準作業程序，毫無風險管理及防護情形下委外執行，且未慎選電源供應器，選用了設計給</w:t>
      </w:r>
      <w:r w:rsidR="00997047" w:rsidRPr="001D7A17">
        <w:t>LED</w:t>
      </w:r>
      <w:r w:rsidR="00997047" w:rsidRPr="001D7A17">
        <w:rPr>
          <w:rFonts w:hint="eastAsia"/>
        </w:rPr>
        <w:t>產品使用之電源供應器（</w:t>
      </w:r>
      <w:r w:rsidR="00997047" w:rsidRPr="001D7A17">
        <w:t>HLG-600H-24A</w:t>
      </w:r>
      <w:r w:rsidR="00997047" w:rsidRPr="001D7A17">
        <w:rPr>
          <w:rFonts w:hint="eastAsia"/>
        </w:rPr>
        <w:t>），具遠端控制功能，加上施工前未建立標準作業程序，施工人員整線時又不慎將遠端控制端點（</w:t>
      </w:r>
      <w:r w:rsidR="00997047" w:rsidRPr="001D7A17">
        <w:t>RC+</w:t>
      </w:r>
      <w:r w:rsidR="00997047" w:rsidRPr="001D7A17">
        <w:rPr>
          <w:rFonts w:hint="eastAsia"/>
        </w:rPr>
        <w:t>）接地，造成主電源（</w:t>
      </w:r>
      <w:r w:rsidR="00997047" w:rsidRPr="001D7A17">
        <w:t>1P</w:t>
      </w:r>
      <w:r w:rsidR="00997047" w:rsidRPr="001D7A17">
        <w:rPr>
          <w:rFonts w:hint="eastAsia"/>
        </w:rPr>
        <w:t>）短暫失電，致生</w:t>
      </w:r>
      <w:r w:rsidR="00997047" w:rsidRPr="001D7A17">
        <w:t>815</w:t>
      </w:r>
      <w:r w:rsidR="00997047" w:rsidRPr="001D7A17">
        <w:rPr>
          <w:rFonts w:hint="eastAsia"/>
        </w:rPr>
        <w:t>事故</w:t>
      </w:r>
      <w:r w:rsidR="00997047" w:rsidRPr="001D7A17">
        <w:rPr>
          <w:rFonts w:hAnsi="標楷體" w:hint="eastAsia"/>
        </w:rPr>
        <w:t>等情</w:t>
      </w:r>
      <w:r w:rsidR="00EC7936" w:rsidRPr="001D7A17">
        <w:rPr>
          <w:rFonts w:hAnsi="標楷體" w:hint="eastAsia"/>
        </w:rPr>
        <w:t>，均有違失，</w:t>
      </w:r>
      <w:r w:rsidRPr="001D7A17">
        <w:rPr>
          <w:rFonts w:hint="eastAsia"/>
        </w:rPr>
        <w:t>爰依監察法第24條提案糾正，函請</w:t>
      </w:r>
      <w:r w:rsidR="004E4255" w:rsidRPr="001D7A17">
        <w:rPr>
          <w:rFonts w:hint="eastAsia"/>
        </w:rPr>
        <w:t>經濟部督</w:t>
      </w:r>
      <w:r w:rsidRPr="001D7A17">
        <w:rPr>
          <w:rFonts w:hint="eastAsia"/>
        </w:rPr>
        <w:t>飭所屬確實檢討改善見復。</w:t>
      </w:r>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61DE3" w:rsidRPr="00761DE3" w:rsidRDefault="00761DE3" w:rsidP="00761DE3">
      <w:pPr>
        <w:overflowPunct w:val="0"/>
        <w:autoSpaceDE w:val="0"/>
        <w:autoSpaceDN w:val="0"/>
        <w:spacing w:beforeLines="150" w:before="685"/>
        <w:jc w:val="both"/>
        <w:rPr>
          <w:bCs/>
          <w:kern w:val="0"/>
          <w:sz w:val="40"/>
        </w:rPr>
      </w:pPr>
      <w:r w:rsidRPr="00761DE3">
        <w:rPr>
          <w:rFonts w:ascii="標楷體" w:hint="eastAsia"/>
          <w:bCs/>
          <w:spacing w:val="12"/>
          <w:kern w:val="0"/>
          <w:sz w:val="40"/>
        </w:rPr>
        <w:t>提案委員：</w:t>
      </w:r>
      <w:r>
        <w:rPr>
          <w:rFonts w:ascii="標楷體" w:hint="eastAsia"/>
          <w:bCs/>
          <w:spacing w:val="12"/>
          <w:kern w:val="0"/>
          <w:sz w:val="40"/>
        </w:rPr>
        <w:t>劉德勳</w:t>
      </w:r>
      <w:r w:rsidRPr="00761DE3">
        <w:rPr>
          <w:rFonts w:ascii="標楷體" w:hint="eastAsia"/>
          <w:bCs/>
          <w:spacing w:val="12"/>
          <w:kern w:val="0"/>
          <w:sz w:val="40"/>
        </w:rPr>
        <w:t>、</w:t>
      </w:r>
      <w:r>
        <w:rPr>
          <w:rFonts w:ascii="標楷體" w:hint="eastAsia"/>
          <w:bCs/>
          <w:spacing w:val="12"/>
          <w:kern w:val="0"/>
          <w:sz w:val="40"/>
        </w:rPr>
        <w:t>仉桂美、</w:t>
      </w:r>
      <w:r w:rsidRPr="00761DE3">
        <w:rPr>
          <w:rFonts w:ascii="標楷體" w:hint="eastAsia"/>
          <w:bCs/>
          <w:spacing w:val="12"/>
          <w:kern w:val="0"/>
          <w:sz w:val="40"/>
        </w:rPr>
        <w:t>王美玉</w:t>
      </w:r>
      <w:r>
        <w:rPr>
          <w:rFonts w:ascii="標楷體" w:hint="eastAsia"/>
          <w:bCs/>
          <w:spacing w:val="12"/>
          <w:kern w:val="0"/>
          <w:sz w:val="40"/>
        </w:rPr>
        <w:t>、包宗和</w:t>
      </w:r>
    </w:p>
    <w:p w:rsidR="00761DE3" w:rsidRPr="00761DE3" w:rsidRDefault="00761DE3" w:rsidP="00761DE3">
      <w:pPr>
        <w:overflowPunct w:val="0"/>
        <w:autoSpaceDE w:val="0"/>
        <w:autoSpaceDN w:val="0"/>
        <w:ind w:leftChars="1100" w:left="3742" w:firstLineChars="500" w:firstLine="2021"/>
        <w:jc w:val="both"/>
        <w:rPr>
          <w:rFonts w:ascii="標楷體"/>
          <w:bCs/>
          <w:spacing w:val="12"/>
          <w:kern w:val="0"/>
          <w:sz w:val="36"/>
        </w:rPr>
      </w:pPr>
    </w:p>
    <w:p w:rsidR="00761DE3" w:rsidRPr="00761DE3" w:rsidRDefault="00761DE3" w:rsidP="00761DE3">
      <w:pPr>
        <w:overflowPunct w:val="0"/>
        <w:autoSpaceDE w:val="0"/>
        <w:autoSpaceDN w:val="0"/>
        <w:ind w:leftChars="1100" w:left="3742" w:firstLineChars="500" w:firstLine="2021"/>
        <w:jc w:val="both"/>
        <w:rPr>
          <w:rFonts w:ascii="標楷體"/>
          <w:bCs/>
          <w:spacing w:val="12"/>
          <w:kern w:val="0"/>
          <w:sz w:val="36"/>
        </w:rPr>
      </w:pPr>
    </w:p>
    <w:p w:rsidR="00761DE3" w:rsidRPr="00761DE3" w:rsidRDefault="00761DE3" w:rsidP="00761DE3">
      <w:pPr>
        <w:overflowPunct w:val="0"/>
        <w:autoSpaceDE w:val="0"/>
        <w:autoSpaceDN w:val="0"/>
        <w:ind w:leftChars="1100" w:left="3742" w:firstLineChars="500" w:firstLine="2021"/>
        <w:jc w:val="both"/>
        <w:rPr>
          <w:rFonts w:ascii="標楷體"/>
          <w:bCs/>
          <w:spacing w:val="12"/>
          <w:kern w:val="0"/>
          <w:sz w:val="36"/>
        </w:rPr>
      </w:pPr>
    </w:p>
    <w:p w:rsidR="00761DE3" w:rsidRPr="00761DE3" w:rsidRDefault="00761DE3" w:rsidP="00761DE3">
      <w:pPr>
        <w:kinsoku w:val="0"/>
        <w:overflowPunct w:val="0"/>
        <w:autoSpaceDE w:val="0"/>
        <w:autoSpaceDN w:val="0"/>
        <w:ind w:left="680" w:hanging="680"/>
        <w:jc w:val="distribute"/>
        <w:rPr>
          <w:rFonts w:ascii="標楷體"/>
          <w:bCs/>
          <w:color w:val="000000" w:themeColor="text1"/>
          <w:kern w:val="0"/>
        </w:rPr>
      </w:pPr>
      <w:r w:rsidRPr="00761DE3">
        <w:rPr>
          <w:rFonts w:ascii="標楷體" w:hAnsi="標楷體" w:hint="eastAsia"/>
          <w:bCs/>
          <w:kern w:val="0"/>
        </w:rPr>
        <w:t xml:space="preserve">中　華　民　國　107　年　</w:t>
      </w:r>
      <w:r>
        <w:rPr>
          <w:rFonts w:ascii="標楷體" w:hAnsi="標楷體" w:hint="eastAsia"/>
          <w:bCs/>
          <w:kern w:val="0"/>
        </w:rPr>
        <w:t>8</w:t>
      </w:r>
      <w:bookmarkStart w:id="111" w:name="_GoBack"/>
      <w:bookmarkEnd w:id="111"/>
      <w:r w:rsidRPr="00761DE3">
        <w:rPr>
          <w:rFonts w:ascii="標楷體" w:hAnsi="標楷體" w:hint="eastAsia"/>
          <w:bCs/>
          <w:kern w:val="0"/>
        </w:rPr>
        <w:t xml:space="preserve">　月　7　日</w:t>
      </w:r>
    </w:p>
    <w:p w:rsidR="005D011F" w:rsidRPr="00761DE3" w:rsidRDefault="005D011F" w:rsidP="007B241E">
      <w:pPr>
        <w:ind w:leftChars="200" w:left="680" w:firstLineChars="200" w:firstLine="680"/>
        <w:rPr>
          <w:rFonts w:ascii="標楷體"/>
          <w:bCs/>
          <w:kern w:val="0"/>
        </w:rPr>
      </w:pPr>
    </w:p>
    <w:sectPr w:rsidR="005D011F" w:rsidRPr="00761DE3" w:rsidSect="00A94AD3">
      <w:footerReference w:type="even" r:id="rId24"/>
      <w:footerReference w:type="default" r:id="rId25"/>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19A" w:rsidRDefault="00D4019A" w:rsidP="00922A61">
      <w:r>
        <w:separator/>
      </w:r>
    </w:p>
  </w:endnote>
  <w:endnote w:type="continuationSeparator" w:id="0">
    <w:p w:rsidR="00D4019A" w:rsidRDefault="00D4019A" w:rsidP="00922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華康楷書體W5(P)">
    <w:altName w:val="新細明體"/>
    <w:charset w:val="88"/>
    <w:family w:val="auto"/>
    <w:pitch w:val="variable"/>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A61" w:rsidRDefault="00807B45">
    <w:pPr>
      <w:framePr w:wrap="around" w:vAnchor="text" w:hAnchor="margin" w:xAlign="center" w:y="1"/>
      <w:ind w:left="640" w:firstLine="400"/>
      <w:textDirection w:val="btLr"/>
      <w:rPr>
        <w:rStyle w:val="ab"/>
      </w:rPr>
    </w:pPr>
    <w:r>
      <w:rPr>
        <w:rStyle w:val="ab"/>
      </w:rPr>
      <w:fldChar w:fldCharType="begin"/>
    </w:r>
    <w:r w:rsidR="00922A61">
      <w:rPr>
        <w:rStyle w:val="ab"/>
      </w:rPr>
      <w:instrText xml:space="preserve">PAGE  </w:instrText>
    </w:r>
    <w:r>
      <w:rPr>
        <w:rStyle w:val="ab"/>
      </w:rPr>
      <w:fldChar w:fldCharType="separate"/>
    </w:r>
    <w:r w:rsidR="00922A61">
      <w:rPr>
        <w:rStyle w:val="ab"/>
        <w:noProof/>
      </w:rPr>
      <w:t>3</w:t>
    </w:r>
    <w:r>
      <w:rPr>
        <w:rStyle w:val="ab"/>
      </w:rPr>
      <w:fldChar w:fldCharType="end"/>
    </w:r>
  </w:p>
  <w:p w:rsidR="00922A61" w:rsidRDefault="00922A61">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A61" w:rsidRDefault="00807B45">
    <w:pPr>
      <w:pStyle w:val="af"/>
      <w:framePr w:wrap="around" w:vAnchor="text" w:hAnchor="margin" w:xAlign="center" w:y="1"/>
      <w:rPr>
        <w:rStyle w:val="ab"/>
        <w:sz w:val="24"/>
      </w:rPr>
    </w:pPr>
    <w:r>
      <w:rPr>
        <w:rStyle w:val="ab"/>
        <w:sz w:val="24"/>
      </w:rPr>
      <w:fldChar w:fldCharType="begin"/>
    </w:r>
    <w:r w:rsidR="00922A61">
      <w:rPr>
        <w:rStyle w:val="ab"/>
        <w:sz w:val="24"/>
      </w:rPr>
      <w:instrText xml:space="preserve">PAGE  </w:instrText>
    </w:r>
    <w:r>
      <w:rPr>
        <w:rStyle w:val="ab"/>
        <w:sz w:val="24"/>
      </w:rPr>
      <w:fldChar w:fldCharType="separate"/>
    </w:r>
    <w:r w:rsidR="00761DE3">
      <w:rPr>
        <w:rStyle w:val="ab"/>
        <w:noProof/>
        <w:sz w:val="24"/>
      </w:rPr>
      <w:t>20</w:t>
    </w:r>
    <w:r>
      <w:rPr>
        <w:rStyle w:val="ab"/>
        <w:sz w:val="24"/>
      </w:rPr>
      <w:fldChar w:fldCharType="end"/>
    </w:r>
  </w:p>
  <w:p w:rsidR="00922A61" w:rsidRDefault="00922A61">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19A" w:rsidRDefault="00D4019A" w:rsidP="00922A61">
      <w:r>
        <w:separator/>
      </w:r>
    </w:p>
  </w:footnote>
  <w:footnote w:type="continuationSeparator" w:id="0">
    <w:p w:rsidR="00D4019A" w:rsidRDefault="00D4019A" w:rsidP="00922A61">
      <w:r>
        <w:continuationSeparator/>
      </w:r>
    </w:p>
  </w:footnote>
  <w:footnote w:id="1">
    <w:p w:rsidR="00997047" w:rsidRPr="00F222A6" w:rsidRDefault="00997047" w:rsidP="006015CF">
      <w:pPr>
        <w:pStyle w:val="af6"/>
        <w:ind w:leftChars="0" w:left="284" w:hangingChars="129" w:hanging="284"/>
      </w:pPr>
      <w:r>
        <w:rPr>
          <w:rStyle w:val="af9"/>
        </w:rPr>
        <w:footnoteRef/>
      </w:r>
      <w:r>
        <w:t xml:space="preserve"> </w:t>
      </w:r>
      <w:r w:rsidRPr="008B6845">
        <w:t>TERMINAL FUSE</w:t>
      </w:r>
      <w:r>
        <w:rPr>
          <w:rFonts w:hint="eastAsia"/>
        </w:rPr>
        <w:t>。</w:t>
      </w:r>
    </w:p>
  </w:footnote>
  <w:footnote w:id="2">
    <w:p w:rsidR="00997047" w:rsidRDefault="00997047" w:rsidP="006015CF">
      <w:pPr>
        <w:pStyle w:val="af6"/>
        <w:ind w:leftChars="0" w:left="141" w:hangingChars="64" w:hanging="141"/>
        <w:jc w:val="both"/>
      </w:pPr>
      <w:r>
        <w:rPr>
          <w:rStyle w:val="af9"/>
        </w:rPr>
        <w:footnoteRef/>
      </w:r>
      <w:r>
        <w:t xml:space="preserve"> </w:t>
      </w:r>
      <w:r>
        <w:rPr>
          <w:rFonts w:hint="eastAsia"/>
        </w:rPr>
        <w:t>關於供氣壓力為</w:t>
      </w:r>
      <w:r>
        <w:rPr>
          <w:rFonts w:hint="eastAsia"/>
        </w:rPr>
        <w:t>53.6~58.6</w:t>
      </w:r>
      <w:r w:rsidRPr="005256DE">
        <w:rPr>
          <w:rFonts w:hint="eastAsia"/>
        </w:rPr>
        <w:t xml:space="preserve"> </w:t>
      </w:r>
      <w:r>
        <w:rPr>
          <w:rFonts w:hint="eastAsia"/>
        </w:rPr>
        <w:t>Kg/cm</w:t>
      </w:r>
      <w:r w:rsidRPr="00DB7AC2">
        <w:rPr>
          <w:rFonts w:hint="eastAsia"/>
          <w:vertAlign w:val="superscript"/>
        </w:rPr>
        <w:t>2</w:t>
      </w:r>
      <w:r>
        <w:rPr>
          <w:rFonts w:hint="eastAsia"/>
        </w:rPr>
        <w:t>，是大潭電廠</w:t>
      </w:r>
      <w:r>
        <w:rPr>
          <w:rFonts w:hint="eastAsia"/>
        </w:rPr>
        <w:t>1~6</w:t>
      </w:r>
      <w:r>
        <w:rPr>
          <w:rFonts w:hint="eastAsia"/>
        </w:rPr>
        <w:t>機建廠時燃燒高壓天然氣時的數據</w:t>
      </w:r>
      <w:r>
        <w:rPr>
          <w:rFonts w:hint="eastAsia"/>
        </w:rPr>
        <w:t>(</w:t>
      </w:r>
      <w:r>
        <w:rPr>
          <w:rFonts w:hint="eastAsia"/>
        </w:rPr>
        <w:t>低壓時為</w:t>
      </w:r>
      <w:r>
        <w:rPr>
          <w:rFonts w:hint="eastAsia"/>
        </w:rPr>
        <w:t>35</w:t>
      </w:r>
      <w:r w:rsidRPr="005256DE">
        <w:rPr>
          <w:rFonts w:hint="eastAsia"/>
        </w:rPr>
        <w:t xml:space="preserve"> </w:t>
      </w:r>
      <w:r>
        <w:rPr>
          <w:rFonts w:hint="eastAsia"/>
        </w:rPr>
        <w:t>Kg/cm</w:t>
      </w:r>
      <w:r w:rsidRPr="00DB7AC2">
        <w:rPr>
          <w:rFonts w:hint="eastAsia"/>
          <w:vertAlign w:val="superscript"/>
        </w:rPr>
        <w:t>2</w:t>
      </w:r>
      <w:r>
        <w:rPr>
          <w:rFonts w:hint="eastAsia"/>
        </w:rPr>
        <w:t>)</w:t>
      </w:r>
      <w:r>
        <w:rPr>
          <w:rFonts w:hint="eastAsia"/>
        </w:rPr>
        <w:t>。</w:t>
      </w:r>
      <w:r>
        <w:rPr>
          <w:rFonts w:hint="eastAsia"/>
        </w:rPr>
        <w:t>50.988 Kg/cm</w:t>
      </w:r>
      <w:r w:rsidRPr="00DB7AC2">
        <w:rPr>
          <w:rFonts w:hint="eastAsia"/>
          <w:vertAlign w:val="superscript"/>
        </w:rPr>
        <w:t>2</w:t>
      </w:r>
      <w:r>
        <w:rPr>
          <w:rFonts w:hint="eastAsia"/>
        </w:rPr>
        <w:t>~55.0670 Kg/cm</w:t>
      </w:r>
      <w:r w:rsidRPr="00DB7AC2">
        <w:rPr>
          <w:rFonts w:hint="eastAsia"/>
          <w:vertAlign w:val="superscript"/>
        </w:rPr>
        <w:t>2</w:t>
      </w:r>
      <w:r>
        <w:rPr>
          <w:rFonts w:hint="eastAsia"/>
        </w:rPr>
        <w:t>（</w:t>
      </w:r>
      <w:r>
        <w:rPr>
          <w:kern w:val="0"/>
        </w:rPr>
        <w:t>5.0MPa~5.4MPa</w:t>
      </w:r>
      <w:r>
        <w:rPr>
          <w:rFonts w:hint="eastAsia"/>
          <w:kern w:val="0"/>
        </w:rPr>
        <w:t>）</w:t>
      </w:r>
      <w:r>
        <w:rPr>
          <w:rFonts w:hint="eastAsia"/>
        </w:rPr>
        <w:t>是</w:t>
      </w:r>
      <w:r>
        <w:rPr>
          <w:rFonts w:hint="eastAsia"/>
        </w:rPr>
        <w:t>106</w:t>
      </w:r>
      <w:r>
        <w:rPr>
          <w:rFonts w:hint="eastAsia"/>
        </w:rPr>
        <w:t>年</w:t>
      </w:r>
      <w:r>
        <w:rPr>
          <w:rFonts w:hint="eastAsia"/>
        </w:rPr>
        <w:t>7</w:t>
      </w:r>
      <w:r>
        <w:rPr>
          <w:rFonts w:hint="eastAsia"/>
        </w:rPr>
        <w:t>月</w:t>
      </w:r>
      <w:r>
        <w:rPr>
          <w:rFonts w:hint="eastAsia"/>
        </w:rPr>
        <w:t>~108</w:t>
      </w:r>
      <w:r>
        <w:rPr>
          <w:rFonts w:hint="eastAsia"/>
        </w:rPr>
        <w:t>年</w:t>
      </w:r>
      <w:r>
        <w:rPr>
          <w:rFonts w:hint="eastAsia"/>
        </w:rPr>
        <w:t>12</w:t>
      </w:r>
      <w:r>
        <w:rPr>
          <w:rFonts w:hint="eastAsia"/>
        </w:rPr>
        <w:t>月因</w:t>
      </w:r>
      <w:r>
        <w:rPr>
          <w:rFonts w:hint="eastAsia"/>
        </w:rPr>
        <w:t>7</w:t>
      </w:r>
      <w:r>
        <w:rPr>
          <w:rFonts w:hint="eastAsia"/>
        </w:rPr>
        <w:t>號緊急供電機組供應</w:t>
      </w:r>
      <w:r>
        <w:rPr>
          <w:rFonts w:hint="eastAsia"/>
        </w:rPr>
        <w:t>108</w:t>
      </w:r>
      <w:r>
        <w:rPr>
          <w:rFonts w:hint="eastAsia"/>
        </w:rPr>
        <w:t>噸</w:t>
      </w:r>
      <w:r>
        <w:rPr>
          <w:rFonts w:hint="eastAsia"/>
        </w:rPr>
        <w:t>/</w:t>
      </w:r>
      <w:r>
        <w:rPr>
          <w:rFonts w:hint="eastAsia"/>
        </w:rPr>
        <w:t>小時的天然氣，中油天然氣供應比較窘迫，是以壓力降低要求更改合約。</w:t>
      </w:r>
      <w:r>
        <w:rPr>
          <w:rFonts w:hint="eastAsia"/>
        </w:rPr>
        <w:t>815</w:t>
      </w:r>
      <w:r>
        <w:rPr>
          <w:rFonts w:hint="eastAsia"/>
        </w:rPr>
        <w:t>事故前，大潭電廠天然氣供給壓力正常範圍為</w:t>
      </w:r>
      <w:r>
        <w:rPr>
          <w:rFonts w:hint="eastAsia"/>
        </w:rPr>
        <w:t>5.0~5.4MPa</w:t>
      </w:r>
      <w:r>
        <w:rPr>
          <w:rFonts w:hint="eastAsia"/>
        </w:rPr>
        <w:t>，低於</w:t>
      </w:r>
      <w:r>
        <w:rPr>
          <w:rFonts w:hint="eastAsia"/>
        </w:rPr>
        <w:t>4.8MPa</w:t>
      </w:r>
      <w:r>
        <w:rPr>
          <w:rFonts w:hint="eastAsia"/>
        </w:rPr>
        <w:t>設有警報出示，供值班人員即時判斷處理。</w:t>
      </w:r>
    </w:p>
  </w:footnote>
  <w:footnote w:id="3">
    <w:p w:rsidR="00997047" w:rsidRPr="001940FF" w:rsidRDefault="00997047" w:rsidP="006015CF">
      <w:pPr>
        <w:pStyle w:val="af6"/>
        <w:ind w:leftChars="0" w:left="141" w:hangingChars="64" w:hanging="141"/>
      </w:pPr>
      <w:r>
        <w:rPr>
          <w:rStyle w:val="af9"/>
        </w:rPr>
        <w:footnoteRef/>
      </w:r>
      <w:r>
        <w:t xml:space="preserve"> </w:t>
      </w:r>
      <w:r>
        <w:rPr>
          <w:rFonts w:hint="eastAsia"/>
        </w:rPr>
        <w:t>依台電公司</w:t>
      </w:r>
      <w:r>
        <w:rPr>
          <w:rFonts w:hint="eastAsia"/>
        </w:rPr>
        <w:t>106</w:t>
      </w:r>
      <w:r>
        <w:rPr>
          <w:rFonts w:hint="eastAsia"/>
        </w:rPr>
        <w:t>年</w:t>
      </w:r>
      <w:r>
        <w:rPr>
          <w:rFonts w:hint="eastAsia"/>
        </w:rPr>
        <w:t>11</w:t>
      </w:r>
      <w:r>
        <w:rPr>
          <w:rFonts w:hint="eastAsia"/>
        </w:rPr>
        <w:t>月</w:t>
      </w:r>
      <w:r>
        <w:rPr>
          <w:rFonts w:hint="eastAsia"/>
        </w:rPr>
        <w:t>23</w:t>
      </w:r>
      <w:r>
        <w:rPr>
          <w:rFonts w:hint="eastAsia"/>
        </w:rPr>
        <w:t>日應詢資料，本次事故於</w:t>
      </w:r>
      <w:r>
        <w:rPr>
          <w:rFonts w:hint="eastAsia"/>
        </w:rPr>
        <w:t>16</w:t>
      </w:r>
      <w:r>
        <w:rPr>
          <w:rFonts w:hint="eastAsia"/>
        </w:rPr>
        <w:t>時</w:t>
      </w:r>
      <w:r>
        <w:rPr>
          <w:rFonts w:hint="eastAsia"/>
        </w:rPr>
        <w:t>50</w:t>
      </w:r>
      <w:r>
        <w:rPr>
          <w:rFonts w:hint="eastAsia"/>
        </w:rPr>
        <w:t>分</w:t>
      </w:r>
      <w:r>
        <w:rPr>
          <w:rFonts w:hint="eastAsia"/>
        </w:rPr>
        <w:t>19</w:t>
      </w:r>
      <w:r>
        <w:rPr>
          <w:rFonts w:hint="eastAsia"/>
        </w:rPr>
        <w:t>秒斷氣至</w:t>
      </w:r>
      <w:r>
        <w:rPr>
          <w:rFonts w:hint="eastAsia"/>
        </w:rPr>
        <w:t>16</w:t>
      </w:r>
      <w:r>
        <w:rPr>
          <w:rFonts w:hint="eastAsia"/>
        </w:rPr>
        <w:t>時</w:t>
      </w:r>
      <w:r>
        <w:rPr>
          <w:rFonts w:hint="eastAsia"/>
        </w:rPr>
        <w:t>52</w:t>
      </w:r>
      <w:r>
        <w:rPr>
          <w:rFonts w:hint="eastAsia"/>
        </w:rPr>
        <w:t>分</w:t>
      </w:r>
      <w:r>
        <w:rPr>
          <w:rFonts w:hint="eastAsia"/>
        </w:rPr>
        <w:t>17</w:t>
      </w:r>
      <w:r>
        <w:rPr>
          <w:rFonts w:hint="eastAsia"/>
        </w:rPr>
        <w:t>秒，斷氣時間共</w:t>
      </w:r>
      <w:r>
        <w:rPr>
          <w:rFonts w:hint="eastAsia"/>
        </w:rPr>
        <w:t>1</w:t>
      </w:r>
      <w:r>
        <w:rPr>
          <w:rFonts w:hint="eastAsia"/>
        </w:rPr>
        <w:t>分</w:t>
      </w:r>
      <w:r>
        <w:rPr>
          <w:rFonts w:hint="eastAsia"/>
        </w:rPr>
        <w:t>58</w:t>
      </w:r>
      <w:r>
        <w:rPr>
          <w:rFonts w:hint="eastAsia"/>
        </w:rPr>
        <w:t>秒。</w:t>
      </w:r>
    </w:p>
  </w:footnote>
  <w:footnote w:id="4">
    <w:p w:rsidR="00997047" w:rsidRDefault="00997047" w:rsidP="006015CF">
      <w:pPr>
        <w:pStyle w:val="af6"/>
        <w:ind w:leftChars="0" w:left="141" w:hangingChars="64" w:hanging="141"/>
      </w:pPr>
      <w:r>
        <w:rPr>
          <w:rStyle w:val="af9"/>
        </w:rPr>
        <w:footnoteRef/>
      </w:r>
      <w:r>
        <w:t xml:space="preserve"> </w:t>
      </w:r>
      <w:r>
        <w:rPr>
          <w:rFonts w:hint="eastAsia"/>
        </w:rPr>
        <w:t>1</w:t>
      </w:r>
      <w:r>
        <w:rPr>
          <w:rFonts w:hint="eastAsia"/>
        </w:rPr>
        <w:t>噸</w:t>
      </w:r>
      <w:r>
        <w:rPr>
          <w:rFonts w:hint="eastAsia"/>
        </w:rPr>
        <w:t>/</w:t>
      </w:r>
      <w:r>
        <w:rPr>
          <w:rFonts w:hint="eastAsia"/>
        </w:rPr>
        <w:t>小時＝</w:t>
      </w:r>
      <w:r>
        <w:rPr>
          <w:rFonts w:hint="eastAsia"/>
        </w:rPr>
        <w:t>1,300</w:t>
      </w:r>
      <w:r>
        <w:rPr>
          <w:rFonts w:hint="eastAsia"/>
        </w:rPr>
        <w:t>立方公尺</w:t>
      </w:r>
      <w:r>
        <w:rPr>
          <w:rFonts w:hint="eastAsia"/>
        </w:rPr>
        <w:t>/</w:t>
      </w:r>
      <w:r>
        <w:rPr>
          <w:rFonts w:hint="eastAsia"/>
        </w:rPr>
        <w:t>小時。</w:t>
      </w:r>
    </w:p>
  </w:footnote>
  <w:footnote w:id="5">
    <w:p w:rsidR="00997047" w:rsidRPr="00981AF8" w:rsidRDefault="00997047" w:rsidP="006015CF">
      <w:pPr>
        <w:pStyle w:val="af6"/>
        <w:ind w:leftChars="0" w:left="284" w:hangingChars="129" w:hanging="284"/>
      </w:pPr>
      <w:r>
        <w:rPr>
          <w:rStyle w:val="af9"/>
        </w:rPr>
        <w:footnoteRef/>
      </w:r>
      <w:r>
        <w:rPr>
          <w:rFonts w:hint="eastAsia"/>
          <w:color w:val="FF0000"/>
        </w:rPr>
        <w:t xml:space="preserve"> </w:t>
      </w:r>
      <w:r w:rsidRPr="00981AF8">
        <w:rPr>
          <w:rFonts w:hint="eastAsia"/>
        </w:rPr>
        <w:t>依據巨路公司簡報資料第</w:t>
      </w:r>
      <w:r w:rsidRPr="00981AF8">
        <w:rPr>
          <w:rFonts w:hint="eastAsia"/>
        </w:rPr>
        <w:t>17</w:t>
      </w:r>
      <w:r w:rsidRPr="00981AF8">
        <w:rPr>
          <w:rFonts w:hint="eastAsia"/>
        </w:rPr>
        <w:t>頁</w:t>
      </w:r>
      <w:r w:rsidRPr="00981AF8">
        <w:rPr>
          <w:rFonts w:hint="eastAsia"/>
        </w:rPr>
        <w:t>-Controller Power Fail Log</w:t>
      </w:r>
      <w:r w:rsidRPr="00981AF8">
        <w:rPr>
          <w:rFonts w:hint="eastAsia"/>
        </w:rPr>
        <w:t>，</w:t>
      </w:r>
      <w:r w:rsidRPr="00981AF8">
        <w:rPr>
          <w:rFonts w:hint="eastAsia"/>
        </w:rPr>
        <w:t>16</w:t>
      </w:r>
      <w:r w:rsidRPr="00981AF8">
        <w:rPr>
          <w:rFonts w:hint="eastAsia"/>
        </w:rPr>
        <w:t>：</w:t>
      </w:r>
      <w:r w:rsidRPr="00981AF8">
        <w:rPr>
          <w:rFonts w:hint="eastAsia"/>
        </w:rPr>
        <w:t>39</w:t>
      </w:r>
      <w:r w:rsidRPr="00981AF8">
        <w:rPr>
          <w:rFonts w:hint="eastAsia"/>
        </w:rPr>
        <w:t>：</w:t>
      </w:r>
      <w:r w:rsidRPr="00981AF8">
        <w:rPr>
          <w:rFonts w:hint="eastAsia"/>
        </w:rPr>
        <w:t>32</w:t>
      </w:r>
      <w:r w:rsidRPr="00981AF8">
        <w:rPr>
          <w:rFonts w:hint="eastAsia"/>
        </w:rPr>
        <w:t>起失電</w:t>
      </w:r>
      <w:r w:rsidRPr="00981AF8">
        <w:rPr>
          <w:rFonts w:hint="eastAsia"/>
        </w:rPr>
        <w:t>18</w:t>
      </w:r>
      <w:r w:rsidRPr="00981AF8">
        <w:rPr>
          <w:rFonts w:hint="eastAsia"/>
        </w:rPr>
        <w:t>秒。</w:t>
      </w:r>
    </w:p>
  </w:footnote>
  <w:footnote w:id="6">
    <w:p w:rsidR="00997047" w:rsidRPr="00651384" w:rsidRDefault="00997047" w:rsidP="006015CF">
      <w:pPr>
        <w:pStyle w:val="af6"/>
        <w:ind w:leftChars="0" w:left="284" w:hangingChars="129" w:hanging="284"/>
      </w:pPr>
      <w:r>
        <w:rPr>
          <w:rStyle w:val="af9"/>
        </w:rPr>
        <w:footnoteRef/>
      </w:r>
      <w:r>
        <w:t xml:space="preserve"> </w:t>
      </w:r>
      <w:r>
        <w:rPr>
          <w:rFonts w:hint="eastAsia"/>
        </w:rPr>
        <w:t>DCS</w:t>
      </w:r>
      <w:r>
        <w:rPr>
          <w:rFonts w:hint="eastAsia"/>
        </w:rPr>
        <w:t>時間，加</w:t>
      </w:r>
      <w:r>
        <w:rPr>
          <w:rFonts w:hint="eastAsia"/>
        </w:rPr>
        <w:t>8</w:t>
      </w:r>
      <w:r>
        <w:rPr>
          <w:rFonts w:hint="eastAsia"/>
        </w:rPr>
        <w:t>分鐘即標準時間。</w:t>
      </w:r>
    </w:p>
  </w:footnote>
  <w:footnote w:id="7">
    <w:p w:rsidR="00997047" w:rsidRPr="00A261C3" w:rsidRDefault="00997047" w:rsidP="006015CF">
      <w:pPr>
        <w:pStyle w:val="af6"/>
        <w:ind w:leftChars="0" w:left="141" w:hangingChars="64" w:hanging="141"/>
      </w:pPr>
      <w:r>
        <w:rPr>
          <w:rStyle w:val="af9"/>
        </w:rPr>
        <w:footnoteRef/>
      </w:r>
      <w:r>
        <w:t xml:space="preserve"> </w:t>
      </w:r>
      <w:r>
        <w:rPr>
          <w:rFonts w:hint="eastAsia"/>
        </w:rPr>
        <w:t>自</w:t>
      </w:r>
      <w:r>
        <w:rPr>
          <w:rFonts w:hint="eastAsia"/>
        </w:rPr>
        <w:t>16</w:t>
      </w:r>
      <w:r>
        <w:rPr>
          <w:rFonts w:hint="eastAsia"/>
        </w:rPr>
        <w:t>：</w:t>
      </w:r>
      <w:r>
        <w:rPr>
          <w:rFonts w:hint="eastAsia"/>
        </w:rPr>
        <w:t>36</w:t>
      </w:r>
      <w:r>
        <w:rPr>
          <w:rFonts w:hint="eastAsia"/>
        </w:rPr>
        <w:t>：</w:t>
      </w:r>
      <w:r>
        <w:rPr>
          <w:rFonts w:hint="eastAsia"/>
        </w:rPr>
        <w:t>55.679</w:t>
      </w:r>
      <w:r>
        <w:rPr>
          <w:rFonts w:hint="eastAsia"/>
        </w:rPr>
        <w:t>警報發生迄</w:t>
      </w:r>
      <w:r>
        <w:rPr>
          <w:rFonts w:hint="eastAsia"/>
        </w:rPr>
        <w:t>16</w:t>
      </w:r>
      <w:r>
        <w:rPr>
          <w:rFonts w:hint="eastAsia"/>
        </w:rPr>
        <w:t>：</w:t>
      </w:r>
      <w:r>
        <w:rPr>
          <w:rFonts w:hint="eastAsia"/>
        </w:rPr>
        <w:t>44.28.503</w:t>
      </w:r>
      <w:r>
        <w:rPr>
          <w:rFonts w:hint="eastAsia"/>
        </w:rPr>
        <w:t>警報消失（複聯模組</w:t>
      </w:r>
      <w:r>
        <w:rPr>
          <w:rFonts w:hint="eastAsia"/>
        </w:rPr>
        <w:t>1S</w:t>
      </w:r>
      <w:r>
        <w:rPr>
          <w:rFonts w:hint="eastAsia"/>
        </w:rPr>
        <w:t>電源恢復），約</w:t>
      </w:r>
      <w:r>
        <w:rPr>
          <w:rFonts w:hint="eastAsia"/>
        </w:rPr>
        <w:t>8</w:t>
      </w:r>
      <w:r>
        <w:rPr>
          <w:rFonts w:hint="eastAsia"/>
        </w:rPr>
        <w:t>分鐘。</w:t>
      </w:r>
    </w:p>
  </w:footnote>
  <w:footnote w:id="8">
    <w:p w:rsidR="00997047" w:rsidRPr="005D696C" w:rsidRDefault="00997047" w:rsidP="006015CF">
      <w:pPr>
        <w:pStyle w:val="af6"/>
        <w:ind w:leftChars="0" w:left="284" w:hangingChars="129" w:hanging="284"/>
      </w:pPr>
      <w:r>
        <w:rPr>
          <w:rStyle w:val="af9"/>
        </w:rPr>
        <w:footnoteRef/>
      </w:r>
      <w:r>
        <w:t xml:space="preserve"> </w:t>
      </w:r>
      <w:r>
        <w:rPr>
          <w:rFonts w:hint="eastAsia"/>
        </w:rPr>
        <w:t>資料來源：巨路公司</w:t>
      </w:r>
      <w:r>
        <w:rPr>
          <w:rFonts w:hint="eastAsia"/>
        </w:rPr>
        <w:t>Controller Power Fail Log(Active)</w:t>
      </w:r>
    </w:p>
  </w:footnote>
  <w:footnote w:id="9">
    <w:p w:rsidR="00997047" w:rsidRPr="00554D7F" w:rsidRDefault="00997047" w:rsidP="006015CF">
      <w:pPr>
        <w:pStyle w:val="af6"/>
        <w:ind w:leftChars="0" w:left="284" w:hangingChars="129" w:hanging="284"/>
      </w:pPr>
      <w:r>
        <w:rPr>
          <w:rStyle w:val="af9"/>
        </w:rPr>
        <w:footnoteRef/>
      </w:r>
      <w:r>
        <w:t xml:space="preserve"> </w:t>
      </w:r>
      <w:r>
        <w:rPr>
          <w:rFonts w:hint="eastAsia"/>
        </w:rPr>
        <w:t>當時巨路公司、中油公司對新電源供應器具遠端控制功能均表不知。</w:t>
      </w:r>
    </w:p>
  </w:footnote>
  <w:footnote w:id="10">
    <w:p w:rsidR="00997047" w:rsidRPr="00554D7F" w:rsidRDefault="00997047" w:rsidP="006015CF">
      <w:pPr>
        <w:pStyle w:val="af6"/>
        <w:ind w:leftChars="0" w:left="284" w:hangingChars="129" w:hanging="284"/>
      </w:pPr>
      <w:r>
        <w:rPr>
          <w:rStyle w:val="af9"/>
        </w:rPr>
        <w:footnoteRef/>
      </w:r>
      <w:r>
        <w:t xml:space="preserve"> </w:t>
      </w:r>
      <w:r>
        <w:rPr>
          <w:rFonts w:hint="eastAsia"/>
        </w:rPr>
        <w:t>DCS</w:t>
      </w:r>
      <w:r>
        <w:rPr>
          <w:rFonts w:hint="eastAsia"/>
        </w:rPr>
        <w:t>時間，實際時間需加</w:t>
      </w:r>
      <w:r>
        <w:rPr>
          <w:rFonts w:hint="eastAsia"/>
        </w:rPr>
        <w:t>8</w:t>
      </w:r>
      <w:r>
        <w:rPr>
          <w:rFonts w:hint="eastAsia"/>
        </w:rPr>
        <w:t>分鐘。</w:t>
      </w:r>
    </w:p>
  </w:footnote>
  <w:footnote w:id="11">
    <w:p w:rsidR="00997047" w:rsidRPr="003E4D4A" w:rsidRDefault="00997047" w:rsidP="006015CF">
      <w:pPr>
        <w:pStyle w:val="af6"/>
        <w:ind w:leftChars="0" w:left="284" w:hangingChars="129" w:hanging="284"/>
        <w:jc w:val="both"/>
      </w:pPr>
      <w:r>
        <w:rPr>
          <w:rStyle w:val="af9"/>
        </w:rPr>
        <w:footnoteRef/>
      </w:r>
      <w:r w:rsidR="006015CF">
        <w:rPr>
          <w:rFonts w:hint="eastAsia"/>
        </w:rPr>
        <w:t xml:space="preserve"> </w:t>
      </w:r>
      <w:r w:rsidRPr="003E4D4A">
        <w:rPr>
          <w:rFonts w:hint="eastAsia"/>
        </w:rPr>
        <w:t>複循環機組發電</w:t>
      </w:r>
      <w:r>
        <w:rPr>
          <w:rFonts w:hint="eastAsia"/>
        </w:rPr>
        <w:t>，</w:t>
      </w:r>
      <w:r w:rsidRPr="003E4D4A">
        <w:rPr>
          <w:rFonts w:hint="eastAsia"/>
        </w:rPr>
        <w:t>係組合氣渦輪機與汽輪機組而成的發電方式，將氣渦輪機的高溫排氣，直接排入熱回收鍋爐，將爐水加熱產生蒸汽來推動汽機，再透過發電機將機械能轉換成為電能。此種複合式的發電可獲得較高熱效率、快速啟動能力及低空氣污染物排放量的優勢</w:t>
      </w:r>
      <w:r>
        <w:rPr>
          <w:rFonts w:hint="eastAsia"/>
        </w:rPr>
        <w:t>。</w:t>
      </w:r>
    </w:p>
  </w:footnote>
  <w:footnote w:id="12">
    <w:p w:rsidR="00997047" w:rsidRPr="003E4D4A" w:rsidRDefault="00997047" w:rsidP="006015CF">
      <w:pPr>
        <w:pStyle w:val="af6"/>
        <w:ind w:leftChars="0" w:left="284" w:hangingChars="129" w:hanging="284"/>
        <w:jc w:val="both"/>
      </w:pPr>
      <w:r>
        <w:rPr>
          <w:rStyle w:val="af9"/>
        </w:rPr>
        <w:footnoteRef/>
      </w:r>
      <w:r w:rsidR="006015CF">
        <w:rPr>
          <w:rFonts w:hint="eastAsia"/>
        </w:rPr>
        <w:t xml:space="preserve"> </w:t>
      </w:r>
      <w:r>
        <w:rPr>
          <w:rFonts w:hint="eastAsia"/>
        </w:rPr>
        <w:t>氣渦輪機發電，將燃料</w:t>
      </w:r>
      <w:r>
        <w:rPr>
          <w:rFonts w:hint="eastAsia"/>
        </w:rPr>
        <w:t>(</w:t>
      </w:r>
      <w:r>
        <w:rPr>
          <w:rFonts w:hint="eastAsia"/>
        </w:rPr>
        <w:t>天然氣或柴油</w:t>
      </w:r>
      <w:r>
        <w:rPr>
          <w:rFonts w:hint="eastAsia"/>
        </w:rPr>
        <w:t>)</w:t>
      </w:r>
      <w:r>
        <w:rPr>
          <w:rFonts w:hint="eastAsia"/>
        </w:rPr>
        <w:t>噴入燃燒筒與經過空壓機的高壓空氣混合燃燒，產生高溫高壓的燃氣推動氣渦輪機，帶動發電產生電能。此類型機組具備快速啟動能力，但有高燃料成本及低效率的缺點。</w:t>
      </w:r>
    </w:p>
  </w:footnote>
  <w:footnote w:id="13">
    <w:p w:rsidR="00997047" w:rsidRPr="00795458" w:rsidRDefault="00997047" w:rsidP="006015CF">
      <w:pPr>
        <w:pStyle w:val="af6"/>
        <w:ind w:leftChars="0" w:left="284" w:hangingChars="129" w:hanging="284"/>
      </w:pPr>
      <w:r>
        <w:rPr>
          <w:rStyle w:val="af9"/>
        </w:rPr>
        <w:footnoteRef/>
      </w:r>
      <w:r>
        <w:t xml:space="preserve"> </w:t>
      </w:r>
      <w:r>
        <w:rPr>
          <w:rFonts w:hint="eastAsia"/>
        </w:rPr>
        <w:t>新竹鳳山溪以北。</w:t>
      </w:r>
    </w:p>
  </w:footnote>
  <w:footnote w:id="14">
    <w:p w:rsidR="00997047" w:rsidRPr="00FE36AD" w:rsidRDefault="00997047" w:rsidP="006015CF">
      <w:pPr>
        <w:pStyle w:val="af6"/>
        <w:ind w:leftChars="0" w:left="284" w:hangingChars="129" w:hanging="284"/>
      </w:pPr>
      <w:r>
        <w:rPr>
          <w:rStyle w:val="af9"/>
        </w:rPr>
        <w:footnoteRef/>
      </w:r>
      <w:r>
        <w:t xml:space="preserve"> </w:t>
      </w:r>
      <w:r>
        <w:rPr>
          <w:rFonts w:hint="eastAsia"/>
        </w:rPr>
        <w:t>裝置容量分別如下：長生</w:t>
      </w:r>
      <w:r>
        <w:rPr>
          <w:rFonts w:hint="eastAsia"/>
        </w:rPr>
        <w:t>90</w:t>
      </w:r>
      <w:r>
        <w:rPr>
          <w:rFonts w:hint="eastAsia"/>
        </w:rPr>
        <w:t>萬</w:t>
      </w:r>
      <w:r w:rsidRPr="00FE36AD">
        <w:rPr>
          <w:rFonts w:hint="eastAsia"/>
        </w:rPr>
        <w:t>瓩</w:t>
      </w:r>
      <w:r>
        <w:rPr>
          <w:rFonts w:hint="eastAsia"/>
        </w:rPr>
        <w:t>，國光</w:t>
      </w:r>
      <w:r>
        <w:rPr>
          <w:rFonts w:hint="eastAsia"/>
        </w:rPr>
        <w:t>48</w:t>
      </w:r>
      <w:r>
        <w:rPr>
          <w:rFonts w:hint="eastAsia"/>
        </w:rPr>
        <w:t>萬</w:t>
      </w:r>
      <w:r w:rsidRPr="00FE36AD">
        <w:rPr>
          <w:rFonts w:hint="eastAsia"/>
        </w:rPr>
        <w:t>瓩</w:t>
      </w:r>
      <w:r>
        <w:rPr>
          <w:rFonts w:hint="eastAsia"/>
        </w:rPr>
        <w:t>，新桃</w:t>
      </w:r>
      <w:r>
        <w:rPr>
          <w:rFonts w:hint="eastAsia"/>
        </w:rPr>
        <w:t>60</w:t>
      </w:r>
      <w:r>
        <w:rPr>
          <w:rFonts w:hint="eastAsia"/>
        </w:rPr>
        <w:t>萬</w:t>
      </w:r>
      <w:r w:rsidRPr="00FE36AD">
        <w:rPr>
          <w:rFonts w:hint="eastAsia"/>
        </w:rPr>
        <w:t>瓩</w:t>
      </w:r>
      <w:r>
        <w:rPr>
          <w:rFonts w:hint="eastAsia"/>
        </w:rPr>
        <w:t>，均為燃氣電廠。</w:t>
      </w:r>
    </w:p>
  </w:footnote>
  <w:footnote w:id="15">
    <w:p w:rsidR="00997047" w:rsidRPr="00795458" w:rsidRDefault="00997047" w:rsidP="006015CF">
      <w:pPr>
        <w:pStyle w:val="af6"/>
        <w:ind w:leftChars="0" w:left="284" w:hangingChars="129" w:hanging="284"/>
      </w:pPr>
      <w:r>
        <w:rPr>
          <w:rStyle w:val="af9"/>
        </w:rPr>
        <w:footnoteRef/>
      </w:r>
      <w:r>
        <w:t xml:space="preserve"> </w:t>
      </w:r>
      <w:r>
        <w:rPr>
          <w:rFonts w:hint="eastAsia"/>
        </w:rPr>
        <w:t>依台電公司網頁，</w:t>
      </w:r>
      <w:r>
        <w:rPr>
          <w:rFonts w:hint="eastAsia"/>
        </w:rPr>
        <w:t>106</w:t>
      </w:r>
      <w:r>
        <w:rPr>
          <w:rFonts w:hint="eastAsia"/>
        </w:rPr>
        <w:t>年北部尖載負載占全台</w:t>
      </w:r>
      <w:r>
        <w:rPr>
          <w:rFonts w:hint="eastAsia"/>
        </w:rPr>
        <w:t>39%</w:t>
      </w:r>
      <w:r>
        <w:rPr>
          <w:rFonts w:hint="eastAsia"/>
        </w:rPr>
        <w:t>，供電能力占全台</w:t>
      </w:r>
      <w:r>
        <w:rPr>
          <w:rFonts w:hint="eastAsia"/>
        </w:rPr>
        <w:t>34%</w:t>
      </w:r>
      <w:r>
        <w:rPr>
          <w:rFonts w:hint="eastAsia"/>
        </w:rPr>
        <w:t>。</w:t>
      </w:r>
    </w:p>
  </w:footnote>
  <w:footnote w:id="16">
    <w:p w:rsidR="00997047" w:rsidRPr="00894EA7" w:rsidRDefault="00997047" w:rsidP="006015CF">
      <w:pPr>
        <w:pStyle w:val="af6"/>
        <w:ind w:leftChars="0" w:left="284" w:hangingChars="129" w:hanging="284"/>
      </w:pPr>
      <w:r>
        <w:rPr>
          <w:rStyle w:val="af9"/>
        </w:rPr>
        <w:footnoteRef/>
      </w:r>
      <w:r>
        <w:rPr>
          <w:rFonts w:hint="eastAsia"/>
        </w:rPr>
        <w:t xml:space="preserve"> </w:t>
      </w:r>
      <w:r>
        <w:rPr>
          <w:rFonts w:hint="eastAsia"/>
        </w:rPr>
        <w:t>複循環機組單機容量</w:t>
      </w:r>
      <w:r>
        <w:rPr>
          <w:rFonts w:hint="eastAsia"/>
        </w:rPr>
        <w:t>74.27</w:t>
      </w:r>
      <w:r>
        <w:rPr>
          <w:rFonts w:hint="eastAsia"/>
        </w:rPr>
        <w:t>萬</w:t>
      </w:r>
      <w:r w:rsidRPr="00F10133">
        <w:rPr>
          <w:rFonts w:hint="eastAsia"/>
        </w:rPr>
        <w:t>瓩</w:t>
      </w:r>
      <w:r>
        <w:rPr>
          <w:rFonts w:hint="eastAsia"/>
        </w:rPr>
        <w:t>，於</w:t>
      </w:r>
      <w:r>
        <w:rPr>
          <w:rFonts w:hint="eastAsia"/>
        </w:rPr>
        <w:t>95~98</w:t>
      </w:r>
      <w:r>
        <w:rPr>
          <w:rFonts w:hint="eastAsia"/>
        </w:rPr>
        <w:t>年間商轉；單循環機組裝置容量</w:t>
      </w:r>
      <w:r>
        <w:rPr>
          <w:rFonts w:hint="eastAsia"/>
        </w:rPr>
        <w:t>60</w:t>
      </w:r>
      <w:r>
        <w:rPr>
          <w:rFonts w:hint="eastAsia"/>
        </w:rPr>
        <w:t>萬</w:t>
      </w:r>
      <w:r w:rsidRPr="00F10133">
        <w:rPr>
          <w:rFonts w:hint="eastAsia"/>
        </w:rPr>
        <w:t>瓩</w:t>
      </w:r>
      <w:r>
        <w:rPr>
          <w:rFonts w:hint="eastAsia"/>
        </w:rPr>
        <w:t>，</w:t>
      </w:r>
      <w:r>
        <w:rPr>
          <w:rFonts w:hint="eastAsia"/>
        </w:rPr>
        <w:t>107</w:t>
      </w:r>
      <w:r>
        <w:rPr>
          <w:rFonts w:hint="eastAsia"/>
        </w:rPr>
        <w:t>年</w:t>
      </w:r>
      <w:r>
        <w:rPr>
          <w:rFonts w:hint="eastAsia"/>
        </w:rPr>
        <w:t>3</w:t>
      </w:r>
      <w:r>
        <w:rPr>
          <w:rFonts w:hint="eastAsia"/>
        </w:rPr>
        <w:t>月</w:t>
      </w:r>
      <w:r>
        <w:rPr>
          <w:rFonts w:hint="eastAsia"/>
        </w:rPr>
        <w:t>28</w:t>
      </w:r>
      <w:r>
        <w:rPr>
          <w:rFonts w:hint="eastAsia"/>
        </w:rPr>
        <w:t>日商轉。</w:t>
      </w:r>
    </w:p>
  </w:footnote>
  <w:footnote w:id="17">
    <w:p w:rsidR="00997047" w:rsidRPr="008C6BD9" w:rsidRDefault="00997047" w:rsidP="006015CF">
      <w:pPr>
        <w:pStyle w:val="af6"/>
        <w:ind w:leftChars="0" w:left="2582" w:hangingChars="1173" w:hanging="2582"/>
      </w:pPr>
      <w:r>
        <w:rPr>
          <w:rStyle w:val="af9"/>
        </w:rPr>
        <w:footnoteRef/>
      </w:r>
      <w:r>
        <w:t xml:space="preserve"> </w:t>
      </w:r>
      <w:r>
        <w:rPr>
          <w:rFonts w:hint="eastAsia"/>
        </w:rPr>
        <w:t>大潭計量站</w:t>
      </w:r>
      <w:r>
        <w:rPr>
          <w:rFonts w:hint="eastAsia"/>
        </w:rPr>
        <w:t>4</w:t>
      </w:r>
      <w:r>
        <w:rPr>
          <w:rFonts w:hint="eastAsia"/>
        </w:rPr>
        <w:t>台、大潭隔離站</w:t>
      </w:r>
      <w:r>
        <w:rPr>
          <w:rFonts w:hint="eastAsia"/>
        </w:rPr>
        <w:t>6</w:t>
      </w:r>
      <w:r>
        <w:rPr>
          <w:rFonts w:hint="eastAsia"/>
        </w:rPr>
        <w:t>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2DB1"/>
    <w:multiLevelType w:val="hybridMultilevel"/>
    <w:tmpl w:val="329A9FC4"/>
    <w:lvl w:ilvl="0" w:tplc="9582468A">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68CCF24"/>
    <w:lvl w:ilvl="0" w:tplc="2D02F8B0">
      <w:start w:val="1"/>
      <w:numFmt w:val="taiwaneseCountingThousand"/>
      <w:pStyle w:val="a"/>
      <w:lvlText w:val="附圖%1、"/>
      <w:lvlJc w:val="left"/>
      <w:pPr>
        <w:tabs>
          <w:tab w:val="num" w:pos="1440"/>
        </w:tabs>
        <w:ind w:left="695" w:hanging="69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0A8E4538"/>
    <w:lvl w:ilvl="0" w:tplc="8ACE9A7C">
      <w:start w:val="1"/>
      <w:numFmt w:val="taiwaneseCountingThousand"/>
      <w:pStyle w:val="a0"/>
      <w:lvlText w:val="附件%1、"/>
      <w:lvlJc w:val="left"/>
      <w:pPr>
        <w:tabs>
          <w:tab w:val="num" w:pos="1440"/>
        </w:tabs>
        <w:ind w:left="695" w:hanging="695"/>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1A90982"/>
    <w:multiLevelType w:val="hybridMultilevel"/>
    <w:tmpl w:val="F63E3864"/>
    <w:lvl w:ilvl="0" w:tplc="389658FC">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CFE143F"/>
    <w:multiLevelType w:val="hybridMultilevel"/>
    <w:tmpl w:val="7C8A35C8"/>
    <w:lvl w:ilvl="0" w:tplc="44528986">
      <w:start w:val="1"/>
      <w:numFmt w:val="decimal"/>
      <w:pStyle w:val="a1"/>
      <w:lvlText w:val="圖%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9E129274"/>
    <w:lvl w:ilvl="0" w:tplc="0C905CA2">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2"/>
  </w:num>
  <w:num w:numId="3">
    <w:abstractNumId w:val="3"/>
  </w:num>
  <w:num w:numId="4">
    <w:abstractNumId w:val="1"/>
  </w:num>
  <w:num w:numId="5">
    <w:abstractNumId w:val="0"/>
  </w:num>
  <w:num w:numId="6">
    <w:abstractNumId w:val="4"/>
  </w:num>
  <w:num w:numId="7">
    <w:abstractNumId w:val="6"/>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0BC"/>
    <w:rsid w:val="0001286F"/>
    <w:rsid w:val="00017CE8"/>
    <w:rsid w:val="000221B8"/>
    <w:rsid w:val="0003207C"/>
    <w:rsid w:val="00050AD6"/>
    <w:rsid w:val="00057396"/>
    <w:rsid w:val="00085334"/>
    <w:rsid w:val="00090B18"/>
    <w:rsid w:val="0009101D"/>
    <w:rsid w:val="00094F59"/>
    <w:rsid w:val="000961C0"/>
    <w:rsid w:val="000A54F2"/>
    <w:rsid w:val="000B1B6A"/>
    <w:rsid w:val="000C231C"/>
    <w:rsid w:val="000E190B"/>
    <w:rsid w:val="000F40AD"/>
    <w:rsid w:val="00114F17"/>
    <w:rsid w:val="00125BBC"/>
    <w:rsid w:val="00133D57"/>
    <w:rsid w:val="00142A9D"/>
    <w:rsid w:val="001748EC"/>
    <w:rsid w:val="00182CC6"/>
    <w:rsid w:val="001B0EC4"/>
    <w:rsid w:val="001B1A75"/>
    <w:rsid w:val="001B4F7B"/>
    <w:rsid w:val="001C532F"/>
    <w:rsid w:val="001D1B0D"/>
    <w:rsid w:val="001D7A17"/>
    <w:rsid w:val="001E4F4A"/>
    <w:rsid w:val="001F5DA1"/>
    <w:rsid w:val="00204E81"/>
    <w:rsid w:val="00205FE3"/>
    <w:rsid w:val="00227448"/>
    <w:rsid w:val="00230480"/>
    <w:rsid w:val="00242C70"/>
    <w:rsid w:val="002750AD"/>
    <w:rsid w:val="002819DD"/>
    <w:rsid w:val="00296BC1"/>
    <w:rsid w:val="002B2757"/>
    <w:rsid w:val="002C375E"/>
    <w:rsid w:val="002C61BA"/>
    <w:rsid w:val="002C768E"/>
    <w:rsid w:val="003155F8"/>
    <w:rsid w:val="00333138"/>
    <w:rsid w:val="0034671A"/>
    <w:rsid w:val="00387074"/>
    <w:rsid w:val="0039767A"/>
    <w:rsid w:val="003A3E3D"/>
    <w:rsid w:val="003B0888"/>
    <w:rsid w:val="003B4D58"/>
    <w:rsid w:val="003E2B7B"/>
    <w:rsid w:val="003F783B"/>
    <w:rsid w:val="0040588D"/>
    <w:rsid w:val="00405C01"/>
    <w:rsid w:val="00421DF5"/>
    <w:rsid w:val="00422722"/>
    <w:rsid w:val="00441BFF"/>
    <w:rsid w:val="00450B16"/>
    <w:rsid w:val="00450BA3"/>
    <w:rsid w:val="00460950"/>
    <w:rsid w:val="004716A4"/>
    <w:rsid w:val="00484267"/>
    <w:rsid w:val="004B5AC5"/>
    <w:rsid w:val="004C097D"/>
    <w:rsid w:val="004E413D"/>
    <w:rsid w:val="004E4255"/>
    <w:rsid w:val="004F129C"/>
    <w:rsid w:val="00520A48"/>
    <w:rsid w:val="00550FDA"/>
    <w:rsid w:val="0055787D"/>
    <w:rsid w:val="005642BE"/>
    <w:rsid w:val="005652A3"/>
    <w:rsid w:val="0058262C"/>
    <w:rsid w:val="005A3BEF"/>
    <w:rsid w:val="005A664A"/>
    <w:rsid w:val="005C31AA"/>
    <w:rsid w:val="005C5470"/>
    <w:rsid w:val="005C6238"/>
    <w:rsid w:val="005D011F"/>
    <w:rsid w:val="005F0FC6"/>
    <w:rsid w:val="005F74F9"/>
    <w:rsid w:val="006015CF"/>
    <w:rsid w:val="00657CFE"/>
    <w:rsid w:val="00670CE2"/>
    <w:rsid w:val="00691135"/>
    <w:rsid w:val="006958C1"/>
    <w:rsid w:val="006B10F2"/>
    <w:rsid w:val="006B2B2F"/>
    <w:rsid w:val="006D7713"/>
    <w:rsid w:val="006F3D1D"/>
    <w:rsid w:val="00701BC4"/>
    <w:rsid w:val="00721261"/>
    <w:rsid w:val="00721579"/>
    <w:rsid w:val="0072715E"/>
    <w:rsid w:val="00761DE3"/>
    <w:rsid w:val="007815FB"/>
    <w:rsid w:val="00781699"/>
    <w:rsid w:val="007861B8"/>
    <w:rsid w:val="007B241E"/>
    <w:rsid w:val="007C33A5"/>
    <w:rsid w:val="007D6136"/>
    <w:rsid w:val="007E6186"/>
    <w:rsid w:val="00807B45"/>
    <w:rsid w:val="00812C51"/>
    <w:rsid w:val="00864D8C"/>
    <w:rsid w:val="008800BC"/>
    <w:rsid w:val="00890480"/>
    <w:rsid w:val="008A2080"/>
    <w:rsid w:val="008A2F9F"/>
    <w:rsid w:val="008B63CE"/>
    <w:rsid w:val="008B68A1"/>
    <w:rsid w:val="008B69E6"/>
    <w:rsid w:val="008C7835"/>
    <w:rsid w:val="008F48D8"/>
    <w:rsid w:val="009024E0"/>
    <w:rsid w:val="0091106E"/>
    <w:rsid w:val="00922A61"/>
    <w:rsid w:val="0092687D"/>
    <w:rsid w:val="0093156C"/>
    <w:rsid w:val="00931C60"/>
    <w:rsid w:val="009458C1"/>
    <w:rsid w:val="0096244F"/>
    <w:rsid w:val="00962659"/>
    <w:rsid w:val="0098262F"/>
    <w:rsid w:val="009851F0"/>
    <w:rsid w:val="00997047"/>
    <w:rsid w:val="009C029C"/>
    <w:rsid w:val="00A05A9C"/>
    <w:rsid w:val="00A05D16"/>
    <w:rsid w:val="00A16D59"/>
    <w:rsid w:val="00A20965"/>
    <w:rsid w:val="00A26163"/>
    <w:rsid w:val="00A26A64"/>
    <w:rsid w:val="00A43F0D"/>
    <w:rsid w:val="00A509F4"/>
    <w:rsid w:val="00A86283"/>
    <w:rsid w:val="00A87DD3"/>
    <w:rsid w:val="00A94AD3"/>
    <w:rsid w:val="00A94CA1"/>
    <w:rsid w:val="00AA6126"/>
    <w:rsid w:val="00AB4B7E"/>
    <w:rsid w:val="00AC2018"/>
    <w:rsid w:val="00AC64AD"/>
    <w:rsid w:val="00AD6B4C"/>
    <w:rsid w:val="00AE3C3F"/>
    <w:rsid w:val="00B12055"/>
    <w:rsid w:val="00B12BD5"/>
    <w:rsid w:val="00B32A8E"/>
    <w:rsid w:val="00B4697F"/>
    <w:rsid w:val="00B66A3A"/>
    <w:rsid w:val="00B80BE3"/>
    <w:rsid w:val="00B943FF"/>
    <w:rsid w:val="00BA1318"/>
    <w:rsid w:val="00BA264A"/>
    <w:rsid w:val="00BF3AAA"/>
    <w:rsid w:val="00C17EA2"/>
    <w:rsid w:val="00C248AE"/>
    <w:rsid w:val="00C41469"/>
    <w:rsid w:val="00CA5077"/>
    <w:rsid w:val="00CB65D3"/>
    <w:rsid w:val="00CD62E9"/>
    <w:rsid w:val="00CE1100"/>
    <w:rsid w:val="00CF0A23"/>
    <w:rsid w:val="00CF635F"/>
    <w:rsid w:val="00D13920"/>
    <w:rsid w:val="00D212BC"/>
    <w:rsid w:val="00D219F0"/>
    <w:rsid w:val="00D22285"/>
    <w:rsid w:val="00D32FED"/>
    <w:rsid w:val="00D3360A"/>
    <w:rsid w:val="00D4019A"/>
    <w:rsid w:val="00D424A9"/>
    <w:rsid w:val="00D431B6"/>
    <w:rsid w:val="00D47D23"/>
    <w:rsid w:val="00D5051C"/>
    <w:rsid w:val="00D657B6"/>
    <w:rsid w:val="00D766DF"/>
    <w:rsid w:val="00D97899"/>
    <w:rsid w:val="00DA1C0B"/>
    <w:rsid w:val="00DB5623"/>
    <w:rsid w:val="00DC2000"/>
    <w:rsid w:val="00DE1D8E"/>
    <w:rsid w:val="00DE3D69"/>
    <w:rsid w:val="00DF73C4"/>
    <w:rsid w:val="00E01A0E"/>
    <w:rsid w:val="00E10AA2"/>
    <w:rsid w:val="00E1145D"/>
    <w:rsid w:val="00E21825"/>
    <w:rsid w:val="00E52607"/>
    <w:rsid w:val="00E7543B"/>
    <w:rsid w:val="00E85A14"/>
    <w:rsid w:val="00EC7936"/>
    <w:rsid w:val="00EE15F8"/>
    <w:rsid w:val="00EF5E36"/>
    <w:rsid w:val="00F01E51"/>
    <w:rsid w:val="00F20452"/>
    <w:rsid w:val="00F403B3"/>
    <w:rsid w:val="00F54D38"/>
    <w:rsid w:val="00F7201B"/>
    <w:rsid w:val="00F72C41"/>
    <w:rsid w:val="00F73A18"/>
    <w:rsid w:val="00F8331C"/>
    <w:rsid w:val="00FC219E"/>
    <w:rsid w:val="00FD7682"/>
    <w:rsid w:val="00FE0FC6"/>
    <w:rsid w:val="00FE1B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94AD3"/>
    <w:pPr>
      <w:widowControl w:val="0"/>
    </w:pPr>
    <w:rPr>
      <w:rFonts w:eastAsia="標楷體"/>
      <w:kern w:val="2"/>
      <w:sz w:val="32"/>
    </w:rPr>
  </w:style>
  <w:style w:type="paragraph" w:styleId="1">
    <w:name w:val="heading 1"/>
    <w:aliases w:val="題號1,壹"/>
    <w:basedOn w:val="a3"/>
    <w:link w:val="10"/>
    <w:qFormat/>
    <w:rsid w:val="00A94AD3"/>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節,節1,標題110/111 + 內文,一."/>
    <w:basedOn w:val="a3"/>
    <w:link w:val="20"/>
    <w:qFormat/>
    <w:rsid w:val="00A94AD3"/>
    <w:pPr>
      <w:numPr>
        <w:ilvl w:val="1"/>
        <w:numId w:val="1"/>
      </w:numPr>
      <w:jc w:val="both"/>
      <w:outlineLvl w:val="1"/>
    </w:pPr>
    <w:rPr>
      <w:rFonts w:ascii="標楷體" w:hAnsi="Arial"/>
      <w:bCs/>
      <w:kern w:val="0"/>
      <w:szCs w:val="48"/>
    </w:rPr>
  </w:style>
  <w:style w:type="paragraph" w:styleId="3">
    <w:name w:val="heading 3"/>
    <w:basedOn w:val="a3"/>
    <w:link w:val="30"/>
    <w:qFormat/>
    <w:rsid w:val="00A94AD3"/>
    <w:pPr>
      <w:numPr>
        <w:ilvl w:val="2"/>
        <w:numId w:val="1"/>
      </w:numPr>
      <w:jc w:val="both"/>
      <w:outlineLvl w:val="2"/>
    </w:pPr>
    <w:rPr>
      <w:rFonts w:ascii="標楷體" w:hAnsi="Arial"/>
      <w:bCs/>
      <w:kern w:val="0"/>
      <w:szCs w:val="36"/>
    </w:rPr>
  </w:style>
  <w:style w:type="paragraph" w:styleId="4">
    <w:name w:val="heading 4"/>
    <w:aliases w:val="表格,一,1."/>
    <w:basedOn w:val="a3"/>
    <w:link w:val="40"/>
    <w:qFormat/>
    <w:rsid w:val="00A94AD3"/>
    <w:pPr>
      <w:numPr>
        <w:ilvl w:val="3"/>
        <w:numId w:val="1"/>
      </w:numPr>
      <w:jc w:val="both"/>
      <w:outlineLvl w:val="3"/>
    </w:pPr>
    <w:rPr>
      <w:rFonts w:ascii="標楷體" w:hAnsi="Arial"/>
      <w:szCs w:val="36"/>
    </w:rPr>
  </w:style>
  <w:style w:type="paragraph" w:styleId="5">
    <w:name w:val="heading 5"/>
    <w:aliases w:val="(一)"/>
    <w:basedOn w:val="a3"/>
    <w:link w:val="50"/>
    <w:qFormat/>
    <w:rsid w:val="00A94AD3"/>
    <w:pPr>
      <w:numPr>
        <w:ilvl w:val="4"/>
        <w:numId w:val="1"/>
      </w:numPr>
      <w:jc w:val="both"/>
      <w:outlineLvl w:val="4"/>
    </w:pPr>
    <w:rPr>
      <w:rFonts w:ascii="標楷體" w:hAnsi="Arial"/>
      <w:bCs/>
      <w:szCs w:val="36"/>
    </w:rPr>
  </w:style>
  <w:style w:type="paragraph" w:styleId="6">
    <w:name w:val="heading 6"/>
    <w:aliases w:val="1"/>
    <w:basedOn w:val="a3"/>
    <w:link w:val="60"/>
    <w:qFormat/>
    <w:rsid w:val="00A94AD3"/>
    <w:pPr>
      <w:numPr>
        <w:ilvl w:val="5"/>
        <w:numId w:val="1"/>
      </w:numPr>
      <w:tabs>
        <w:tab w:val="left" w:pos="2094"/>
      </w:tabs>
      <w:jc w:val="both"/>
      <w:outlineLvl w:val="5"/>
    </w:pPr>
    <w:rPr>
      <w:rFonts w:ascii="標楷體" w:hAnsi="Arial"/>
      <w:szCs w:val="36"/>
    </w:rPr>
  </w:style>
  <w:style w:type="paragraph" w:styleId="7">
    <w:name w:val="heading 7"/>
    <w:aliases w:val="(1)"/>
    <w:basedOn w:val="a3"/>
    <w:link w:val="70"/>
    <w:qFormat/>
    <w:rsid w:val="00A94AD3"/>
    <w:pPr>
      <w:numPr>
        <w:ilvl w:val="6"/>
        <w:numId w:val="1"/>
      </w:numPr>
      <w:jc w:val="both"/>
      <w:outlineLvl w:val="6"/>
    </w:pPr>
    <w:rPr>
      <w:rFonts w:ascii="標楷體" w:hAnsi="Arial"/>
      <w:bCs/>
      <w:szCs w:val="36"/>
    </w:rPr>
  </w:style>
  <w:style w:type="paragraph" w:styleId="8">
    <w:name w:val="heading 8"/>
    <w:basedOn w:val="a3"/>
    <w:link w:val="80"/>
    <w:qFormat/>
    <w:rsid w:val="00A94AD3"/>
    <w:pPr>
      <w:numPr>
        <w:ilvl w:val="7"/>
        <w:numId w:val="1"/>
      </w:numPr>
      <w:jc w:val="both"/>
      <w:outlineLvl w:val="7"/>
    </w:pPr>
    <w:rPr>
      <w:rFonts w:ascii="標楷體" w:hAnsi="Arial"/>
      <w:szCs w:val="36"/>
    </w:rPr>
  </w:style>
  <w:style w:type="paragraph" w:styleId="9">
    <w:name w:val="heading 9"/>
    <w:basedOn w:val="a3"/>
    <w:link w:val="90"/>
    <w:uiPriority w:val="9"/>
    <w:unhideWhenUsed/>
    <w:qFormat/>
    <w:rsid w:val="00997047"/>
    <w:pPr>
      <w:overflowPunct w:val="0"/>
      <w:autoSpaceDE w:val="0"/>
      <w:autoSpaceDN w:val="0"/>
      <w:ind w:left="3403" w:hanging="851"/>
      <w:jc w:val="both"/>
      <w:outlineLvl w:val="8"/>
    </w:pPr>
    <w:rPr>
      <w:rFonts w:ascii="標楷體" w:hAnsiTheme="majorHAnsi" w:cstheme="majorBidi"/>
      <w:kern w:val="32"/>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31">
    <w:name w:val="段落樣式3"/>
    <w:basedOn w:val="21"/>
    <w:rsid w:val="00A94AD3"/>
    <w:pPr>
      <w:ind w:leftChars="400" w:left="400"/>
    </w:pPr>
  </w:style>
  <w:style w:type="paragraph" w:customStyle="1" w:styleId="21">
    <w:name w:val="段落樣式2"/>
    <w:basedOn w:val="a3"/>
    <w:rsid w:val="00A94AD3"/>
    <w:pPr>
      <w:tabs>
        <w:tab w:val="left" w:pos="567"/>
      </w:tabs>
      <w:ind w:leftChars="300" w:left="300" w:firstLineChars="200" w:firstLine="200"/>
      <w:jc w:val="both"/>
    </w:pPr>
    <w:rPr>
      <w:rFonts w:ascii="標楷體"/>
      <w:kern w:val="0"/>
    </w:rPr>
  </w:style>
  <w:style w:type="paragraph" w:customStyle="1" w:styleId="41">
    <w:name w:val="段落樣式4"/>
    <w:basedOn w:val="31"/>
    <w:rsid w:val="00A94AD3"/>
    <w:pPr>
      <w:ind w:leftChars="500" w:left="500"/>
    </w:pPr>
  </w:style>
  <w:style w:type="paragraph" w:customStyle="1" w:styleId="51">
    <w:name w:val="段落樣式5"/>
    <w:basedOn w:val="41"/>
    <w:rsid w:val="00A94AD3"/>
    <w:pPr>
      <w:ind w:leftChars="600" w:left="600"/>
    </w:pPr>
  </w:style>
  <w:style w:type="paragraph" w:customStyle="1" w:styleId="61">
    <w:name w:val="段落樣式6"/>
    <w:basedOn w:val="51"/>
    <w:rsid w:val="00A94AD3"/>
    <w:pPr>
      <w:ind w:leftChars="700" w:left="700"/>
    </w:pPr>
  </w:style>
  <w:style w:type="paragraph" w:customStyle="1" w:styleId="71">
    <w:name w:val="段落樣式7"/>
    <w:basedOn w:val="61"/>
    <w:rsid w:val="00A94AD3"/>
  </w:style>
  <w:style w:type="paragraph" w:customStyle="1" w:styleId="81">
    <w:name w:val="段落樣式8"/>
    <w:basedOn w:val="71"/>
    <w:rsid w:val="00A94AD3"/>
    <w:pPr>
      <w:ind w:leftChars="800" w:left="800"/>
    </w:pPr>
  </w:style>
  <w:style w:type="paragraph" w:styleId="a7">
    <w:name w:val="Signature"/>
    <w:basedOn w:val="a3"/>
    <w:link w:val="a8"/>
    <w:semiHidden/>
    <w:rsid w:val="00A94AD3"/>
    <w:pPr>
      <w:spacing w:before="720" w:after="720"/>
      <w:ind w:left="7371"/>
    </w:pPr>
    <w:rPr>
      <w:rFonts w:ascii="標楷體"/>
      <w:b/>
      <w:snapToGrid w:val="0"/>
      <w:spacing w:val="10"/>
      <w:sz w:val="36"/>
    </w:rPr>
  </w:style>
  <w:style w:type="paragraph" w:styleId="a9">
    <w:name w:val="endnote text"/>
    <w:basedOn w:val="a3"/>
    <w:link w:val="aa"/>
    <w:semiHidden/>
    <w:rsid w:val="00A94AD3"/>
    <w:pPr>
      <w:spacing w:before="240"/>
      <w:ind w:left="1021" w:hanging="1021"/>
      <w:jc w:val="both"/>
    </w:pPr>
    <w:rPr>
      <w:rFonts w:ascii="標楷體"/>
      <w:snapToGrid w:val="0"/>
      <w:spacing w:val="10"/>
    </w:rPr>
  </w:style>
  <w:style w:type="character" w:styleId="ab">
    <w:name w:val="page number"/>
    <w:basedOn w:val="a4"/>
    <w:semiHidden/>
    <w:rsid w:val="00A94AD3"/>
    <w:rPr>
      <w:rFonts w:ascii="標楷體" w:eastAsia="標楷體"/>
      <w:sz w:val="20"/>
    </w:rPr>
  </w:style>
  <w:style w:type="paragraph" w:styleId="11">
    <w:name w:val="toc 1"/>
    <w:basedOn w:val="a3"/>
    <w:next w:val="a3"/>
    <w:uiPriority w:val="39"/>
    <w:rsid w:val="00A94AD3"/>
    <w:pPr>
      <w:ind w:left="200" w:hangingChars="200" w:hanging="200"/>
      <w:jc w:val="both"/>
    </w:pPr>
    <w:rPr>
      <w:rFonts w:ascii="標楷體"/>
    </w:rPr>
  </w:style>
  <w:style w:type="paragraph" w:styleId="22">
    <w:name w:val="toc 2"/>
    <w:basedOn w:val="a3"/>
    <w:next w:val="a3"/>
    <w:autoRedefine/>
    <w:uiPriority w:val="39"/>
    <w:rsid w:val="00A94AD3"/>
    <w:pPr>
      <w:ind w:leftChars="100" w:left="300" w:hangingChars="200" w:hanging="200"/>
      <w:jc w:val="both"/>
    </w:pPr>
    <w:rPr>
      <w:rFonts w:ascii="標楷體"/>
    </w:rPr>
  </w:style>
  <w:style w:type="paragraph" w:styleId="32">
    <w:name w:val="toc 3"/>
    <w:basedOn w:val="a3"/>
    <w:next w:val="a3"/>
    <w:semiHidden/>
    <w:rsid w:val="00A94AD3"/>
    <w:pPr>
      <w:ind w:leftChars="200" w:left="400" w:hangingChars="200" w:hanging="200"/>
      <w:jc w:val="both"/>
    </w:pPr>
    <w:rPr>
      <w:rFonts w:ascii="標楷體"/>
      <w:noProof/>
    </w:rPr>
  </w:style>
  <w:style w:type="paragraph" w:styleId="42">
    <w:name w:val="toc 4"/>
    <w:basedOn w:val="a3"/>
    <w:next w:val="a3"/>
    <w:semiHidden/>
    <w:rsid w:val="00A94AD3"/>
    <w:pPr>
      <w:kinsoku w:val="0"/>
      <w:ind w:leftChars="300" w:left="500" w:hangingChars="200" w:hanging="200"/>
      <w:jc w:val="both"/>
    </w:pPr>
    <w:rPr>
      <w:rFonts w:ascii="標楷體"/>
    </w:rPr>
  </w:style>
  <w:style w:type="paragraph" w:styleId="52">
    <w:name w:val="toc 5"/>
    <w:basedOn w:val="a3"/>
    <w:next w:val="a3"/>
    <w:autoRedefine/>
    <w:semiHidden/>
    <w:rsid w:val="00A94AD3"/>
    <w:pPr>
      <w:kinsoku w:val="0"/>
      <w:ind w:leftChars="400" w:left="600" w:hangingChars="200" w:hanging="200"/>
      <w:jc w:val="both"/>
    </w:pPr>
    <w:rPr>
      <w:rFonts w:ascii="標楷體"/>
    </w:rPr>
  </w:style>
  <w:style w:type="paragraph" w:styleId="62">
    <w:name w:val="toc 6"/>
    <w:basedOn w:val="a3"/>
    <w:next w:val="a3"/>
    <w:autoRedefine/>
    <w:semiHidden/>
    <w:rsid w:val="00A94AD3"/>
    <w:pPr>
      <w:ind w:leftChars="500" w:left="700" w:hangingChars="200" w:hanging="200"/>
    </w:pPr>
    <w:rPr>
      <w:rFonts w:ascii="標楷體"/>
    </w:rPr>
  </w:style>
  <w:style w:type="paragraph" w:styleId="72">
    <w:name w:val="toc 7"/>
    <w:basedOn w:val="a3"/>
    <w:next w:val="a3"/>
    <w:autoRedefine/>
    <w:semiHidden/>
    <w:rsid w:val="00A94AD3"/>
    <w:pPr>
      <w:ind w:leftChars="600" w:left="700" w:hangingChars="100" w:hanging="100"/>
    </w:pPr>
    <w:rPr>
      <w:rFonts w:ascii="標楷體"/>
    </w:rPr>
  </w:style>
  <w:style w:type="paragraph" w:styleId="82">
    <w:name w:val="toc 8"/>
    <w:basedOn w:val="a3"/>
    <w:next w:val="a3"/>
    <w:autoRedefine/>
    <w:semiHidden/>
    <w:rsid w:val="00A94AD3"/>
    <w:pPr>
      <w:ind w:leftChars="700" w:left="2792" w:hangingChars="100" w:hanging="349"/>
    </w:pPr>
    <w:rPr>
      <w:rFonts w:ascii="標楷體"/>
    </w:rPr>
  </w:style>
  <w:style w:type="paragraph" w:styleId="91">
    <w:name w:val="toc 9"/>
    <w:basedOn w:val="a3"/>
    <w:next w:val="a3"/>
    <w:autoRedefine/>
    <w:semiHidden/>
    <w:rsid w:val="00A94AD3"/>
    <w:pPr>
      <w:ind w:leftChars="1600" w:left="3840"/>
    </w:pPr>
  </w:style>
  <w:style w:type="character" w:styleId="ac">
    <w:name w:val="Hyperlink"/>
    <w:basedOn w:val="a4"/>
    <w:uiPriority w:val="99"/>
    <w:rsid w:val="00A94AD3"/>
    <w:rPr>
      <w:color w:val="0000FF"/>
      <w:u w:val="single"/>
    </w:rPr>
  </w:style>
  <w:style w:type="paragraph" w:customStyle="1" w:styleId="12">
    <w:name w:val="段落樣式1"/>
    <w:basedOn w:val="a3"/>
    <w:rsid w:val="00A94AD3"/>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A94AD3"/>
    <w:pPr>
      <w:ind w:leftChars="200" w:left="200" w:firstLineChars="0" w:firstLine="0"/>
    </w:pPr>
  </w:style>
  <w:style w:type="paragraph" w:styleId="ad">
    <w:name w:val="header"/>
    <w:basedOn w:val="a3"/>
    <w:link w:val="ae"/>
    <w:semiHidden/>
    <w:rsid w:val="00A94AD3"/>
    <w:pPr>
      <w:tabs>
        <w:tab w:val="center" w:pos="4153"/>
        <w:tab w:val="right" w:pos="8306"/>
      </w:tabs>
      <w:snapToGrid w:val="0"/>
    </w:pPr>
    <w:rPr>
      <w:sz w:val="20"/>
    </w:rPr>
  </w:style>
  <w:style w:type="paragraph" w:styleId="af">
    <w:name w:val="footer"/>
    <w:basedOn w:val="a3"/>
    <w:link w:val="af0"/>
    <w:semiHidden/>
    <w:rsid w:val="00A94AD3"/>
    <w:pPr>
      <w:tabs>
        <w:tab w:val="center" w:pos="4153"/>
        <w:tab w:val="right" w:pos="8306"/>
      </w:tabs>
      <w:snapToGrid w:val="0"/>
    </w:pPr>
    <w:rPr>
      <w:sz w:val="20"/>
    </w:rPr>
  </w:style>
  <w:style w:type="paragraph" w:customStyle="1" w:styleId="af1">
    <w:name w:val="簽名日期"/>
    <w:basedOn w:val="a3"/>
    <w:rsid w:val="00A94AD3"/>
    <w:pPr>
      <w:kinsoku w:val="0"/>
      <w:jc w:val="distribute"/>
    </w:pPr>
    <w:rPr>
      <w:kern w:val="0"/>
    </w:rPr>
  </w:style>
  <w:style w:type="character" w:customStyle="1" w:styleId="10">
    <w:name w:val="標題 1 字元"/>
    <w:aliases w:val="題號1 字元,壹 字元"/>
    <w:basedOn w:val="a4"/>
    <w:link w:val="1"/>
    <w:rsid w:val="0001286F"/>
    <w:rPr>
      <w:rFonts w:ascii="標楷體" w:eastAsia="標楷體" w:hAnsi="Arial"/>
      <w:bCs/>
      <w:sz w:val="32"/>
      <w:szCs w:val="52"/>
    </w:rPr>
  </w:style>
  <w:style w:type="character" w:customStyle="1" w:styleId="20">
    <w:name w:val="標題 2 字元"/>
    <w:aliases w:val="標題110/111 字元,節 字元,節1 字元,標題110/111 + 內文 字元,一. 字元"/>
    <w:basedOn w:val="a4"/>
    <w:link w:val="2"/>
    <w:rsid w:val="0001286F"/>
    <w:rPr>
      <w:rFonts w:ascii="標楷體" w:eastAsia="標楷體" w:hAnsi="Arial"/>
      <w:bCs/>
      <w:sz w:val="32"/>
      <w:szCs w:val="48"/>
    </w:rPr>
  </w:style>
  <w:style w:type="character" w:customStyle="1" w:styleId="30">
    <w:name w:val="標題 3 字元"/>
    <w:basedOn w:val="a4"/>
    <w:link w:val="3"/>
    <w:rsid w:val="0001286F"/>
    <w:rPr>
      <w:rFonts w:ascii="標楷體" w:eastAsia="標楷體" w:hAnsi="Arial"/>
      <w:bCs/>
      <w:sz w:val="32"/>
      <w:szCs w:val="36"/>
    </w:rPr>
  </w:style>
  <w:style w:type="character" w:customStyle="1" w:styleId="40">
    <w:name w:val="標題 4 字元"/>
    <w:aliases w:val="表格 字元,一 字元,1. 字元"/>
    <w:basedOn w:val="a4"/>
    <w:link w:val="4"/>
    <w:rsid w:val="0001286F"/>
    <w:rPr>
      <w:rFonts w:ascii="標楷體" w:eastAsia="標楷體" w:hAnsi="Arial"/>
      <w:kern w:val="2"/>
      <w:sz w:val="32"/>
      <w:szCs w:val="36"/>
    </w:rPr>
  </w:style>
  <w:style w:type="character" w:customStyle="1" w:styleId="50">
    <w:name w:val="標題 5 字元"/>
    <w:aliases w:val="(一) 字元"/>
    <w:basedOn w:val="a4"/>
    <w:link w:val="5"/>
    <w:rsid w:val="0001286F"/>
    <w:rPr>
      <w:rFonts w:ascii="標楷體" w:eastAsia="標楷體" w:hAnsi="Arial"/>
      <w:bCs/>
      <w:kern w:val="2"/>
      <w:sz w:val="32"/>
      <w:szCs w:val="36"/>
    </w:rPr>
  </w:style>
  <w:style w:type="character" w:customStyle="1" w:styleId="60">
    <w:name w:val="標題 6 字元"/>
    <w:aliases w:val="1 字元"/>
    <w:basedOn w:val="a4"/>
    <w:link w:val="6"/>
    <w:rsid w:val="0001286F"/>
    <w:rPr>
      <w:rFonts w:ascii="標楷體" w:eastAsia="標楷體" w:hAnsi="Arial"/>
      <w:kern w:val="2"/>
      <w:sz w:val="32"/>
      <w:szCs w:val="36"/>
    </w:rPr>
  </w:style>
  <w:style w:type="character" w:customStyle="1" w:styleId="70">
    <w:name w:val="標題 7 字元"/>
    <w:aliases w:val="(1) 字元"/>
    <w:basedOn w:val="a4"/>
    <w:link w:val="7"/>
    <w:rsid w:val="0001286F"/>
    <w:rPr>
      <w:rFonts w:ascii="標楷體" w:eastAsia="標楷體" w:hAnsi="Arial"/>
      <w:bCs/>
      <w:kern w:val="2"/>
      <w:sz w:val="32"/>
      <w:szCs w:val="36"/>
    </w:rPr>
  </w:style>
  <w:style w:type="character" w:customStyle="1" w:styleId="80">
    <w:name w:val="標題 8 字元"/>
    <w:basedOn w:val="a4"/>
    <w:link w:val="8"/>
    <w:rsid w:val="0001286F"/>
    <w:rPr>
      <w:rFonts w:ascii="標楷體" w:eastAsia="標楷體" w:hAnsi="Arial"/>
      <w:kern w:val="2"/>
      <w:sz w:val="32"/>
      <w:szCs w:val="36"/>
    </w:rPr>
  </w:style>
  <w:style w:type="character" w:customStyle="1" w:styleId="a8">
    <w:name w:val="簽名 字元"/>
    <w:basedOn w:val="a4"/>
    <w:link w:val="a7"/>
    <w:semiHidden/>
    <w:rsid w:val="0001286F"/>
    <w:rPr>
      <w:rFonts w:ascii="標楷體" w:eastAsia="標楷體"/>
      <w:b/>
      <w:snapToGrid w:val="0"/>
      <w:spacing w:val="10"/>
      <w:kern w:val="2"/>
      <w:sz w:val="36"/>
    </w:rPr>
  </w:style>
  <w:style w:type="character" w:customStyle="1" w:styleId="aa">
    <w:name w:val="章節附註文字 字元"/>
    <w:basedOn w:val="a4"/>
    <w:link w:val="a9"/>
    <w:semiHidden/>
    <w:rsid w:val="0001286F"/>
    <w:rPr>
      <w:rFonts w:ascii="標楷體" w:eastAsia="標楷體"/>
      <w:snapToGrid w:val="0"/>
      <w:spacing w:val="10"/>
      <w:kern w:val="2"/>
      <w:sz w:val="32"/>
    </w:rPr>
  </w:style>
  <w:style w:type="character" w:customStyle="1" w:styleId="ae">
    <w:name w:val="頁首 字元"/>
    <w:basedOn w:val="a4"/>
    <w:link w:val="ad"/>
    <w:semiHidden/>
    <w:rsid w:val="0001286F"/>
    <w:rPr>
      <w:rFonts w:eastAsia="標楷體"/>
      <w:kern w:val="2"/>
    </w:rPr>
  </w:style>
  <w:style w:type="paragraph" w:customStyle="1" w:styleId="af2">
    <w:name w:val="附件"/>
    <w:basedOn w:val="a9"/>
    <w:rsid w:val="0001286F"/>
    <w:pPr>
      <w:kinsoku w:val="0"/>
      <w:spacing w:before="0"/>
      <w:ind w:leftChars="500" w:left="1047" w:hangingChars="300" w:hanging="1047"/>
    </w:pPr>
    <w:rPr>
      <w:snapToGrid/>
      <w:spacing w:val="0"/>
      <w:kern w:val="0"/>
    </w:rPr>
  </w:style>
  <w:style w:type="paragraph" w:customStyle="1" w:styleId="a0">
    <w:name w:val="表樣式"/>
    <w:basedOn w:val="a3"/>
    <w:next w:val="a3"/>
    <w:rsid w:val="0001286F"/>
    <w:pPr>
      <w:numPr>
        <w:numId w:val="3"/>
      </w:numPr>
      <w:jc w:val="both"/>
    </w:pPr>
    <w:rPr>
      <w:rFonts w:ascii="標楷體"/>
      <w:kern w:val="0"/>
    </w:rPr>
  </w:style>
  <w:style w:type="paragraph" w:styleId="af3">
    <w:name w:val="Body Text Indent"/>
    <w:basedOn w:val="a3"/>
    <w:link w:val="af4"/>
    <w:semiHidden/>
    <w:rsid w:val="0001286F"/>
    <w:pPr>
      <w:ind w:leftChars="500" w:left="698" w:hangingChars="200" w:hanging="698"/>
    </w:pPr>
  </w:style>
  <w:style w:type="character" w:customStyle="1" w:styleId="af4">
    <w:name w:val="本文縮排 字元"/>
    <w:basedOn w:val="a4"/>
    <w:link w:val="af3"/>
    <w:semiHidden/>
    <w:rsid w:val="0001286F"/>
    <w:rPr>
      <w:rFonts w:eastAsia="標楷體"/>
      <w:kern w:val="2"/>
      <w:sz w:val="32"/>
    </w:rPr>
  </w:style>
  <w:style w:type="paragraph" w:customStyle="1" w:styleId="af5">
    <w:name w:val="調查報告"/>
    <w:basedOn w:val="a9"/>
    <w:rsid w:val="0001286F"/>
    <w:pPr>
      <w:kinsoku w:val="0"/>
      <w:spacing w:before="0"/>
      <w:ind w:leftChars="500" w:left="1701" w:hangingChars="400" w:hanging="400"/>
    </w:pPr>
    <w:rPr>
      <w:b/>
      <w:snapToGrid/>
      <w:spacing w:val="200"/>
      <w:kern w:val="0"/>
      <w:sz w:val="36"/>
    </w:rPr>
  </w:style>
  <w:style w:type="paragraph" w:styleId="af6">
    <w:name w:val="footnote text"/>
    <w:basedOn w:val="a3"/>
    <w:link w:val="af7"/>
    <w:uiPriority w:val="99"/>
    <w:unhideWhenUsed/>
    <w:rsid w:val="0001286F"/>
    <w:pPr>
      <w:snapToGrid w:val="0"/>
      <w:ind w:leftChars="500" w:left="3062" w:hangingChars="400" w:hanging="1361"/>
    </w:pPr>
    <w:rPr>
      <w:sz w:val="20"/>
    </w:rPr>
  </w:style>
  <w:style w:type="character" w:customStyle="1" w:styleId="af7">
    <w:name w:val="註腳文字 字元"/>
    <w:basedOn w:val="a4"/>
    <w:link w:val="af6"/>
    <w:uiPriority w:val="99"/>
    <w:rsid w:val="0001286F"/>
    <w:rPr>
      <w:rFonts w:eastAsia="標楷體"/>
      <w:kern w:val="2"/>
    </w:rPr>
  </w:style>
  <w:style w:type="paragraph" w:customStyle="1" w:styleId="a">
    <w:name w:val="圖樣式"/>
    <w:basedOn w:val="a3"/>
    <w:next w:val="a3"/>
    <w:rsid w:val="0001286F"/>
    <w:pPr>
      <w:numPr>
        <w:numId w:val="4"/>
      </w:numPr>
      <w:jc w:val="both"/>
    </w:pPr>
    <w:rPr>
      <w:rFonts w:ascii="標楷體"/>
    </w:rPr>
  </w:style>
  <w:style w:type="character" w:customStyle="1" w:styleId="af0">
    <w:name w:val="頁尾 字元"/>
    <w:basedOn w:val="a4"/>
    <w:link w:val="af"/>
    <w:semiHidden/>
    <w:rsid w:val="0001286F"/>
    <w:rPr>
      <w:rFonts w:eastAsia="標楷體"/>
      <w:kern w:val="2"/>
    </w:rPr>
  </w:style>
  <w:style w:type="paragraph" w:styleId="af8">
    <w:name w:val="table of figures"/>
    <w:basedOn w:val="a3"/>
    <w:next w:val="a3"/>
    <w:uiPriority w:val="99"/>
    <w:rsid w:val="0001286F"/>
    <w:pPr>
      <w:ind w:left="400" w:hangingChars="400" w:hanging="400"/>
    </w:pPr>
  </w:style>
  <w:style w:type="character" w:styleId="af9">
    <w:name w:val="footnote reference"/>
    <w:basedOn w:val="a4"/>
    <w:uiPriority w:val="99"/>
    <w:semiHidden/>
    <w:unhideWhenUsed/>
    <w:rsid w:val="0001286F"/>
    <w:rPr>
      <w:vertAlign w:val="superscript"/>
    </w:rPr>
  </w:style>
  <w:style w:type="paragraph" w:styleId="afa">
    <w:name w:val="List Paragraph"/>
    <w:basedOn w:val="a3"/>
    <w:uiPriority w:val="34"/>
    <w:qFormat/>
    <w:rsid w:val="0001286F"/>
    <w:pPr>
      <w:ind w:leftChars="200" w:left="480" w:hangingChars="400" w:hanging="1361"/>
    </w:pPr>
  </w:style>
  <w:style w:type="paragraph" w:styleId="afb">
    <w:name w:val="Plain Text"/>
    <w:basedOn w:val="a3"/>
    <w:link w:val="afc"/>
    <w:uiPriority w:val="99"/>
    <w:unhideWhenUsed/>
    <w:rsid w:val="0001286F"/>
    <w:pPr>
      <w:ind w:leftChars="500" w:left="3062" w:hangingChars="400" w:hanging="1361"/>
    </w:pPr>
    <w:rPr>
      <w:rFonts w:ascii="Calibri" w:eastAsia="新細明體" w:hAnsi="Courier New"/>
      <w:sz w:val="24"/>
      <w:szCs w:val="24"/>
    </w:rPr>
  </w:style>
  <w:style w:type="character" w:customStyle="1" w:styleId="afc">
    <w:name w:val="純文字 字元"/>
    <w:basedOn w:val="a4"/>
    <w:link w:val="afb"/>
    <w:uiPriority w:val="99"/>
    <w:rsid w:val="0001286F"/>
    <w:rPr>
      <w:rFonts w:ascii="Calibri" w:hAnsi="Courier New"/>
      <w:kern w:val="2"/>
      <w:sz w:val="24"/>
      <w:szCs w:val="24"/>
    </w:rPr>
  </w:style>
  <w:style w:type="paragraph" w:styleId="afd">
    <w:name w:val="Balloon Text"/>
    <w:basedOn w:val="a3"/>
    <w:link w:val="afe"/>
    <w:uiPriority w:val="99"/>
    <w:semiHidden/>
    <w:unhideWhenUsed/>
    <w:rsid w:val="0001286F"/>
    <w:pPr>
      <w:ind w:leftChars="500" w:left="3062" w:hangingChars="400" w:hanging="1361"/>
    </w:pPr>
    <w:rPr>
      <w:rFonts w:ascii="Cambria" w:eastAsia="新細明體" w:hAnsi="Cambria"/>
      <w:sz w:val="18"/>
      <w:szCs w:val="18"/>
    </w:rPr>
  </w:style>
  <w:style w:type="character" w:customStyle="1" w:styleId="afe">
    <w:name w:val="註解方塊文字 字元"/>
    <w:basedOn w:val="a4"/>
    <w:link w:val="afd"/>
    <w:uiPriority w:val="99"/>
    <w:semiHidden/>
    <w:rsid w:val="0001286F"/>
    <w:rPr>
      <w:rFonts w:ascii="Cambria" w:hAnsi="Cambria"/>
      <w:kern w:val="2"/>
      <w:sz w:val="18"/>
      <w:szCs w:val="18"/>
    </w:rPr>
  </w:style>
  <w:style w:type="table" w:styleId="aff">
    <w:name w:val="Table Grid"/>
    <w:basedOn w:val="a5"/>
    <w:uiPriority w:val="59"/>
    <w:rsid w:val="00012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標題 9 字元"/>
    <w:basedOn w:val="a4"/>
    <w:link w:val="9"/>
    <w:uiPriority w:val="9"/>
    <w:rsid w:val="00997047"/>
    <w:rPr>
      <w:rFonts w:ascii="標楷體" w:eastAsia="標楷體" w:hAnsiTheme="majorHAnsi" w:cstheme="majorBidi"/>
      <w:kern w:val="32"/>
      <w:sz w:val="32"/>
      <w:szCs w:val="36"/>
    </w:rPr>
  </w:style>
  <w:style w:type="paragraph" w:customStyle="1" w:styleId="a2">
    <w:name w:val="表標題"/>
    <w:qFormat/>
    <w:rsid w:val="00997047"/>
    <w:pPr>
      <w:keepNext/>
      <w:widowControl w:val="0"/>
      <w:numPr>
        <w:numId w:val="7"/>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f0">
    <w:name w:val="資料來源"/>
    <w:basedOn w:val="a3"/>
    <w:rsid w:val="00997047"/>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1">
    <w:name w:val="圖標題"/>
    <w:basedOn w:val="a3"/>
    <w:qFormat/>
    <w:rsid w:val="00997047"/>
    <w:pPr>
      <w:numPr>
        <w:numId w:val="8"/>
      </w:numPr>
      <w:overflowPunct w:val="0"/>
      <w:autoSpaceDE w:val="0"/>
      <w:autoSpaceDN w:val="0"/>
      <w:adjustRightInd w:val="0"/>
      <w:snapToGrid w:val="0"/>
      <w:spacing w:before="240" w:after="40" w:line="360" w:lineRule="exact"/>
      <w:ind w:left="482" w:hanging="482"/>
      <w:jc w:val="center"/>
      <w:textAlignment w:val="baseline"/>
    </w:pPr>
    <w:rPr>
      <w:rFonts w:ascii="標楷體" w:hAnsi="華康楷書體W5(P)"/>
      <w:bCs/>
      <w:spacing w:val="-10"/>
      <w:kern w:val="28"/>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94AD3"/>
    <w:pPr>
      <w:widowControl w:val="0"/>
    </w:pPr>
    <w:rPr>
      <w:rFonts w:eastAsia="標楷體"/>
      <w:kern w:val="2"/>
      <w:sz w:val="32"/>
    </w:rPr>
  </w:style>
  <w:style w:type="paragraph" w:styleId="1">
    <w:name w:val="heading 1"/>
    <w:aliases w:val="題號1,壹"/>
    <w:basedOn w:val="a3"/>
    <w:link w:val="10"/>
    <w:qFormat/>
    <w:rsid w:val="00A94AD3"/>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節,節1,標題110/111 + 內文,一."/>
    <w:basedOn w:val="a3"/>
    <w:link w:val="20"/>
    <w:qFormat/>
    <w:rsid w:val="00A94AD3"/>
    <w:pPr>
      <w:numPr>
        <w:ilvl w:val="1"/>
        <w:numId w:val="1"/>
      </w:numPr>
      <w:jc w:val="both"/>
      <w:outlineLvl w:val="1"/>
    </w:pPr>
    <w:rPr>
      <w:rFonts w:ascii="標楷體" w:hAnsi="Arial"/>
      <w:bCs/>
      <w:kern w:val="0"/>
      <w:szCs w:val="48"/>
    </w:rPr>
  </w:style>
  <w:style w:type="paragraph" w:styleId="3">
    <w:name w:val="heading 3"/>
    <w:basedOn w:val="a3"/>
    <w:link w:val="30"/>
    <w:qFormat/>
    <w:rsid w:val="00A94AD3"/>
    <w:pPr>
      <w:numPr>
        <w:ilvl w:val="2"/>
        <w:numId w:val="1"/>
      </w:numPr>
      <w:jc w:val="both"/>
      <w:outlineLvl w:val="2"/>
    </w:pPr>
    <w:rPr>
      <w:rFonts w:ascii="標楷體" w:hAnsi="Arial"/>
      <w:bCs/>
      <w:kern w:val="0"/>
      <w:szCs w:val="36"/>
    </w:rPr>
  </w:style>
  <w:style w:type="paragraph" w:styleId="4">
    <w:name w:val="heading 4"/>
    <w:aliases w:val="表格,一,1."/>
    <w:basedOn w:val="a3"/>
    <w:link w:val="40"/>
    <w:qFormat/>
    <w:rsid w:val="00A94AD3"/>
    <w:pPr>
      <w:numPr>
        <w:ilvl w:val="3"/>
        <w:numId w:val="1"/>
      </w:numPr>
      <w:jc w:val="both"/>
      <w:outlineLvl w:val="3"/>
    </w:pPr>
    <w:rPr>
      <w:rFonts w:ascii="標楷體" w:hAnsi="Arial"/>
      <w:szCs w:val="36"/>
    </w:rPr>
  </w:style>
  <w:style w:type="paragraph" w:styleId="5">
    <w:name w:val="heading 5"/>
    <w:aliases w:val="(一)"/>
    <w:basedOn w:val="a3"/>
    <w:link w:val="50"/>
    <w:qFormat/>
    <w:rsid w:val="00A94AD3"/>
    <w:pPr>
      <w:numPr>
        <w:ilvl w:val="4"/>
        <w:numId w:val="1"/>
      </w:numPr>
      <w:jc w:val="both"/>
      <w:outlineLvl w:val="4"/>
    </w:pPr>
    <w:rPr>
      <w:rFonts w:ascii="標楷體" w:hAnsi="Arial"/>
      <w:bCs/>
      <w:szCs w:val="36"/>
    </w:rPr>
  </w:style>
  <w:style w:type="paragraph" w:styleId="6">
    <w:name w:val="heading 6"/>
    <w:aliases w:val="1"/>
    <w:basedOn w:val="a3"/>
    <w:link w:val="60"/>
    <w:qFormat/>
    <w:rsid w:val="00A94AD3"/>
    <w:pPr>
      <w:numPr>
        <w:ilvl w:val="5"/>
        <w:numId w:val="1"/>
      </w:numPr>
      <w:tabs>
        <w:tab w:val="left" w:pos="2094"/>
      </w:tabs>
      <w:jc w:val="both"/>
      <w:outlineLvl w:val="5"/>
    </w:pPr>
    <w:rPr>
      <w:rFonts w:ascii="標楷體" w:hAnsi="Arial"/>
      <w:szCs w:val="36"/>
    </w:rPr>
  </w:style>
  <w:style w:type="paragraph" w:styleId="7">
    <w:name w:val="heading 7"/>
    <w:aliases w:val="(1)"/>
    <w:basedOn w:val="a3"/>
    <w:link w:val="70"/>
    <w:qFormat/>
    <w:rsid w:val="00A94AD3"/>
    <w:pPr>
      <w:numPr>
        <w:ilvl w:val="6"/>
        <w:numId w:val="1"/>
      </w:numPr>
      <w:jc w:val="both"/>
      <w:outlineLvl w:val="6"/>
    </w:pPr>
    <w:rPr>
      <w:rFonts w:ascii="標楷體" w:hAnsi="Arial"/>
      <w:bCs/>
      <w:szCs w:val="36"/>
    </w:rPr>
  </w:style>
  <w:style w:type="paragraph" w:styleId="8">
    <w:name w:val="heading 8"/>
    <w:basedOn w:val="a3"/>
    <w:link w:val="80"/>
    <w:qFormat/>
    <w:rsid w:val="00A94AD3"/>
    <w:pPr>
      <w:numPr>
        <w:ilvl w:val="7"/>
        <w:numId w:val="1"/>
      </w:numPr>
      <w:jc w:val="both"/>
      <w:outlineLvl w:val="7"/>
    </w:pPr>
    <w:rPr>
      <w:rFonts w:ascii="標楷體" w:hAnsi="Arial"/>
      <w:szCs w:val="36"/>
    </w:rPr>
  </w:style>
  <w:style w:type="paragraph" w:styleId="9">
    <w:name w:val="heading 9"/>
    <w:basedOn w:val="a3"/>
    <w:link w:val="90"/>
    <w:uiPriority w:val="9"/>
    <w:unhideWhenUsed/>
    <w:qFormat/>
    <w:rsid w:val="00997047"/>
    <w:pPr>
      <w:overflowPunct w:val="0"/>
      <w:autoSpaceDE w:val="0"/>
      <w:autoSpaceDN w:val="0"/>
      <w:ind w:left="3403" w:hanging="851"/>
      <w:jc w:val="both"/>
      <w:outlineLvl w:val="8"/>
    </w:pPr>
    <w:rPr>
      <w:rFonts w:ascii="標楷體" w:hAnsiTheme="majorHAnsi" w:cstheme="majorBidi"/>
      <w:kern w:val="32"/>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31">
    <w:name w:val="段落樣式3"/>
    <w:basedOn w:val="21"/>
    <w:rsid w:val="00A94AD3"/>
    <w:pPr>
      <w:ind w:leftChars="400" w:left="400"/>
    </w:pPr>
  </w:style>
  <w:style w:type="paragraph" w:customStyle="1" w:styleId="21">
    <w:name w:val="段落樣式2"/>
    <w:basedOn w:val="a3"/>
    <w:rsid w:val="00A94AD3"/>
    <w:pPr>
      <w:tabs>
        <w:tab w:val="left" w:pos="567"/>
      </w:tabs>
      <w:ind w:leftChars="300" w:left="300" w:firstLineChars="200" w:firstLine="200"/>
      <w:jc w:val="both"/>
    </w:pPr>
    <w:rPr>
      <w:rFonts w:ascii="標楷體"/>
      <w:kern w:val="0"/>
    </w:rPr>
  </w:style>
  <w:style w:type="paragraph" w:customStyle="1" w:styleId="41">
    <w:name w:val="段落樣式4"/>
    <w:basedOn w:val="31"/>
    <w:rsid w:val="00A94AD3"/>
    <w:pPr>
      <w:ind w:leftChars="500" w:left="500"/>
    </w:pPr>
  </w:style>
  <w:style w:type="paragraph" w:customStyle="1" w:styleId="51">
    <w:name w:val="段落樣式5"/>
    <w:basedOn w:val="41"/>
    <w:rsid w:val="00A94AD3"/>
    <w:pPr>
      <w:ind w:leftChars="600" w:left="600"/>
    </w:pPr>
  </w:style>
  <w:style w:type="paragraph" w:customStyle="1" w:styleId="61">
    <w:name w:val="段落樣式6"/>
    <w:basedOn w:val="51"/>
    <w:rsid w:val="00A94AD3"/>
    <w:pPr>
      <w:ind w:leftChars="700" w:left="700"/>
    </w:pPr>
  </w:style>
  <w:style w:type="paragraph" w:customStyle="1" w:styleId="71">
    <w:name w:val="段落樣式7"/>
    <w:basedOn w:val="61"/>
    <w:rsid w:val="00A94AD3"/>
  </w:style>
  <w:style w:type="paragraph" w:customStyle="1" w:styleId="81">
    <w:name w:val="段落樣式8"/>
    <w:basedOn w:val="71"/>
    <w:rsid w:val="00A94AD3"/>
    <w:pPr>
      <w:ind w:leftChars="800" w:left="800"/>
    </w:pPr>
  </w:style>
  <w:style w:type="paragraph" w:styleId="a7">
    <w:name w:val="Signature"/>
    <w:basedOn w:val="a3"/>
    <w:link w:val="a8"/>
    <w:semiHidden/>
    <w:rsid w:val="00A94AD3"/>
    <w:pPr>
      <w:spacing w:before="720" w:after="720"/>
      <w:ind w:left="7371"/>
    </w:pPr>
    <w:rPr>
      <w:rFonts w:ascii="標楷體"/>
      <w:b/>
      <w:snapToGrid w:val="0"/>
      <w:spacing w:val="10"/>
      <w:sz w:val="36"/>
    </w:rPr>
  </w:style>
  <w:style w:type="paragraph" w:styleId="a9">
    <w:name w:val="endnote text"/>
    <w:basedOn w:val="a3"/>
    <w:link w:val="aa"/>
    <w:semiHidden/>
    <w:rsid w:val="00A94AD3"/>
    <w:pPr>
      <w:spacing w:before="240"/>
      <w:ind w:left="1021" w:hanging="1021"/>
      <w:jc w:val="both"/>
    </w:pPr>
    <w:rPr>
      <w:rFonts w:ascii="標楷體"/>
      <w:snapToGrid w:val="0"/>
      <w:spacing w:val="10"/>
    </w:rPr>
  </w:style>
  <w:style w:type="character" w:styleId="ab">
    <w:name w:val="page number"/>
    <w:basedOn w:val="a4"/>
    <w:semiHidden/>
    <w:rsid w:val="00A94AD3"/>
    <w:rPr>
      <w:rFonts w:ascii="標楷體" w:eastAsia="標楷體"/>
      <w:sz w:val="20"/>
    </w:rPr>
  </w:style>
  <w:style w:type="paragraph" w:styleId="11">
    <w:name w:val="toc 1"/>
    <w:basedOn w:val="a3"/>
    <w:next w:val="a3"/>
    <w:uiPriority w:val="39"/>
    <w:rsid w:val="00A94AD3"/>
    <w:pPr>
      <w:ind w:left="200" w:hangingChars="200" w:hanging="200"/>
      <w:jc w:val="both"/>
    </w:pPr>
    <w:rPr>
      <w:rFonts w:ascii="標楷體"/>
    </w:rPr>
  </w:style>
  <w:style w:type="paragraph" w:styleId="22">
    <w:name w:val="toc 2"/>
    <w:basedOn w:val="a3"/>
    <w:next w:val="a3"/>
    <w:autoRedefine/>
    <w:uiPriority w:val="39"/>
    <w:rsid w:val="00A94AD3"/>
    <w:pPr>
      <w:ind w:leftChars="100" w:left="300" w:hangingChars="200" w:hanging="200"/>
      <w:jc w:val="both"/>
    </w:pPr>
    <w:rPr>
      <w:rFonts w:ascii="標楷體"/>
    </w:rPr>
  </w:style>
  <w:style w:type="paragraph" w:styleId="32">
    <w:name w:val="toc 3"/>
    <w:basedOn w:val="a3"/>
    <w:next w:val="a3"/>
    <w:semiHidden/>
    <w:rsid w:val="00A94AD3"/>
    <w:pPr>
      <w:ind w:leftChars="200" w:left="400" w:hangingChars="200" w:hanging="200"/>
      <w:jc w:val="both"/>
    </w:pPr>
    <w:rPr>
      <w:rFonts w:ascii="標楷體"/>
      <w:noProof/>
    </w:rPr>
  </w:style>
  <w:style w:type="paragraph" w:styleId="42">
    <w:name w:val="toc 4"/>
    <w:basedOn w:val="a3"/>
    <w:next w:val="a3"/>
    <w:semiHidden/>
    <w:rsid w:val="00A94AD3"/>
    <w:pPr>
      <w:kinsoku w:val="0"/>
      <w:ind w:leftChars="300" w:left="500" w:hangingChars="200" w:hanging="200"/>
      <w:jc w:val="both"/>
    </w:pPr>
    <w:rPr>
      <w:rFonts w:ascii="標楷體"/>
    </w:rPr>
  </w:style>
  <w:style w:type="paragraph" w:styleId="52">
    <w:name w:val="toc 5"/>
    <w:basedOn w:val="a3"/>
    <w:next w:val="a3"/>
    <w:autoRedefine/>
    <w:semiHidden/>
    <w:rsid w:val="00A94AD3"/>
    <w:pPr>
      <w:kinsoku w:val="0"/>
      <w:ind w:leftChars="400" w:left="600" w:hangingChars="200" w:hanging="200"/>
      <w:jc w:val="both"/>
    </w:pPr>
    <w:rPr>
      <w:rFonts w:ascii="標楷體"/>
    </w:rPr>
  </w:style>
  <w:style w:type="paragraph" w:styleId="62">
    <w:name w:val="toc 6"/>
    <w:basedOn w:val="a3"/>
    <w:next w:val="a3"/>
    <w:autoRedefine/>
    <w:semiHidden/>
    <w:rsid w:val="00A94AD3"/>
    <w:pPr>
      <w:ind w:leftChars="500" w:left="700" w:hangingChars="200" w:hanging="200"/>
    </w:pPr>
    <w:rPr>
      <w:rFonts w:ascii="標楷體"/>
    </w:rPr>
  </w:style>
  <w:style w:type="paragraph" w:styleId="72">
    <w:name w:val="toc 7"/>
    <w:basedOn w:val="a3"/>
    <w:next w:val="a3"/>
    <w:autoRedefine/>
    <w:semiHidden/>
    <w:rsid w:val="00A94AD3"/>
    <w:pPr>
      <w:ind w:leftChars="600" w:left="700" w:hangingChars="100" w:hanging="100"/>
    </w:pPr>
    <w:rPr>
      <w:rFonts w:ascii="標楷體"/>
    </w:rPr>
  </w:style>
  <w:style w:type="paragraph" w:styleId="82">
    <w:name w:val="toc 8"/>
    <w:basedOn w:val="a3"/>
    <w:next w:val="a3"/>
    <w:autoRedefine/>
    <w:semiHidden/>
    <w:rsid w:val="00A94AD3"/>
    <w:pPr>
      <w:ind w:leftChars="700" w:left="2792" w:hangingChars="100" w:hanging="349"/>
    </w:pPr>
    <w:rPr>
      <w:rFonts w:ascii="標楷體"/>
    </w:rPr>
  </w:style>
  <w:style w:type="paragraph" w:styleId="91">
    <w:name w:val="toc 9"/>
    <w:basedOn w:val="a3"/>
    <w:next w:val="a3"/>
    <w:autoRedefine/>
    <w:semiHidden/>
    <w:rsid w:val="00A94AD3"/>
    <w:pPr>
      <w:ind w:leftChars="1600" w:left="3840"/>
    </w:pPr>
  </w:style>
  <w:style w:type="character" w:styleId="ac">
    <w:name w:val="Hyperlink"/>
    <w:basedOn w:val="a4"/>
    <w:uiPriority w:val="99"/>
    <w:rsid w:val="00A94AD3"/>
    <w:rPr>
      <w:color w:val="0000FF"/>
      <w:u w:val="single"/>
    </w:rPr>
  </w:style>
  <w:style w:type="paragraph" w:customStyle="1" w:styleId="12">
    <w:name w:val="段落樣式1"/>
    <w:basedOn w:val="a3"/>
    <w:rsid w:val="00A94AD3"/>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A94AD3"/>
    <w:pPr>
      <w:ind w:leftChars="200" w:left="200" w:firstLineChars="0" w:firstLine="0"/>
    </w:pPr>
  </w:style>
  <w:style w:type="paragraph" w:styleId="ad">
    <w:name w:val="header"/>
    <w:basedOn w:val="a3"/>
    <w:link w:val="ae"/>
    <w:semiHidden/>
    <w:rsid w:val="00A94AD3"/>
    <w:pPr>
      <w:tabs>
        <w:tab w:val="center" w:pos="4153"/>
        <w:tab w:val="right" w:pos="8306"/>
      </w:tabs>
      <w:snapToGrid w:val="0"/>
    </w:pPr>
    <w:rPr>
      <w:sz w:val="20"/>
    </w:rPr>
  </w:style>
  <w:style w:type="paragraph" w:styleId="af">
    <w:name w:val="footer"/>
    <w:basedOn w:val="a3"/>
    <w:link w:val="af0"/>
    <w:semiHidden/>
    <w:rsid w:val="00A94AD3"/>
    <w:pPr>
      <w:tabs>
        <w:tab w:val="center" w:pos="4153"/>
        <w:tab w:val="right" w:pos="8306"/>
      </w:tabs>
      <w:snapToGrid w:val="0"/>
    </w:pPr>
    <w:rPr>
      <w:sz w:val="20"/>
    </w:rPr>
  </w:style>
  <w:style w:type="paragraph" w:customStyle="1" w:styleId="af1">
    <w:name w:val="簽名日期"/>
    <w:basedOn w:val="a3"/>
    <w:rsid w:val="00A94AD3"/>
    <w:pPr>
      <w:kinsoku w:val="0"/>
      <w:jc w:val="distribute"/>
    </w:pPr>
    <w:rPr>
      <w:kern w:val="0"/>
    </w:rPr>
  </w:style>
  <w:style w:type="character" w:customStyle="1" w:styleId="10">
    <w:name w:val="標題 1 字元"/>
    <w:aliases w:val="題號1 字元,壹 字元"/>
    <w:basedOn w:val="a4"/>
    <w:link w:val="1"/>
    <w:rsid w:val="0001286F"/>
    <w:rPr>
      <w:rFonts w:ascii="標楷體" w:eastAsia="標楷體" w:hAnsi="Arial"/>
      <w:bCs/>
      <w:sz w:val="32"/>
      <w:szCs w:val="52"/>
    </w:rPr>
  </w:style>
  <w:style w:type="character" w:customStyle="1" w:styleId="20">
    <w:name w:val="標題 2 字元"/>
    <w:aliases w:val="標題110/111 字元,節 字元,節1 字元,標題110/111 + 內文 字元,一. 字元"/>
    <w:basedOn w:val="a4"/>
    <w:link w:val="2"/>
    <w:rsid w:val="0001286F"/>
    <w:rPr>
      <w:rFonts w:ascii="標楷體" w:eastAsia="標楷體" w:hAnsi="Arial"/>
      <w:bCs/>
      <w:sz w:val="32"/>
      <w:szCs w:val="48"/>
    </w:rPr>
  </w:style>
  <w:style w:type="character" w:customStyle="1" w:styleId="30">
    <w:name w:val="標題 3 字元"/>
    <w:basedOn w:val="a4"/>
    <w:link w:val="3"/>
    <w:rsid w:val="0001286F"/>
    <w:rPr>
      <w:rFonts w:ascii="標楷體" w:eastAsia="標楷體" w:hAnsi="Arial"/>
      <w:bCs/>
      <w:sz w:val="32"/>
      <w:szCs w:val="36"/>
    </w:rPr>
  </w:style>
  <w:style w:type="character" w:customStyle="1" w:styleId="40">
    <w:name w:val="標題 4 字元"/>
    <w:aliases w:val="表格 字元,一 字元,1. 字元"/>
    <w:basedOn w:val="a4"/>
    <w:link w:val="4"/>
    <w:rsid w:val="0001286F"/>
    <w:rPr>
      <w:rFonts w:ascii="標楷體" w:eastAsia="標楷體" w:hAnsi="Arial"/>
      <w:kern w:val="2"/>
      <w:sz w:val="32"/>
      <w:szCs w:val="36"/>
    </w:rPr>
  </w:style>
  <w:style w:type="character" w:customStyle="1" w:styleId="50">
    <w:name w:val="標題 5 字元"/>
    <w:aliases w:val="(一) 字元"/>
    <w:basedOn w:val="a4"/>
    <w:link w:val="5"/>
    <w:rsid w:val="0001286F"/>
    <w:rPr>
      <w:rFonts w:ascii="標楷體" w:eastAsia="標楷體" w:hAnsi="Arial"/>
      <w:bCs/>
      <w:kern w:val="2"/>
      <w:sz w:val="32"/>
      <w:szCs w:val="36"/>
    </w:rPr>
  </w:style>
  <w:style w:type="character" w:customStyle="1" w:styleId="60">
    <w:name w:val="標題 6 字元"/>
    <w:aliases w:val="1 字元"/>
    <w:basedOn w:val="a4"/>
    <w:link w:val="6"/>
    <w:rsid w:val="0001286F"/>
    <w:rPr>
      <w:rFonts w:ascii="標楷體" w:eastAsia="標楷體" w:hAnsi="Arial"/>
      <w:kern w:val="2"/>
      <w:sz w:val="32"/>
      <w:szCs w:val="36"/>
    </w:rPr>
  </w:style>
  <w:style w:type="character" w:customStyle="1" w:styleId="70">
    <w:name w:val="標題 7 字元"/>
    <w:aliases w:val="(1) 字元"/>
    <w:basedOn w:val="a4"/>
    <w:link w:val="7"/>
    <w:rsid w:val="0001286F"/>
    <w:rPr>
      <w:rFonts w:ascii="標楷體" w:eastAsia="標楷體" w:hAnsi="Arial"/>
      <w:bCs/>
      <w:kern w:val="2"/>
      <w:sz w:val="32"/>
      <w:szCs w:val="36"/>
    </w:rPr>
  </w:style>
  <w:style w:type="character" w:customStyle="1" w:styleId="80">
    <w:name w:val="標題 8 字元"/>
    <w:basedOn w:val="a4"/>
    <w:link w:val="8"/>
    <w:rsid w:val="0001286F"/>
    <w:rPr>
      <w:rFonts w:ascii="標楷體" w:eastAsia="標楷體" w:hAnsi="Arial"/>
      <w:kern w:val="2"/>
      <w:sz w:val="32"/>
      <w:szCs w:val="36"/>
    </w:rPr>
  </w:style>
  <w:style w:type="character" w:customStyle="1" w:styleId="a8">
    <w:name w:val="簽名 字元"/>
    <w:basedOn w:val="a4"/>
    <w:link w:val="a7"/>
    <w:semiHidden/>
    <w:rsid w:val="0001286F"/>
    <w:rPr>
      <w:rFonts w:ascii="標楷體" w:eastAsia="標楷體"/>
      <w:b/>
      <w:snapToGrid w:val="0"/>
      <w:spacing w:val="10"/>
      <w:kern w:val="2"/>
      <w:sz w:val="36"/>
    </w:rPr>
  </w:style>
  <w:style w:type="character" w:customStyle="1" w:styleId="aa">
    <w:name w:val="章節附註文字 字元"/>
    <w:basedOn w:val="a4"/>
    <w:link w:val="a9"/>
    <w:semiHidden/>
    <w:rsid w:val="0001286F"/>
    <w:rPr>
      <w:rFonts w:ascii="標楷體" w:eastAsia="標楷體"/>
      <w:snapToGrid w:val="0"/>
      <w:spacing w:val="10"/>
      <w:kern w:val="2"/>
      <w:sz w:val="32"/>
    </w:rPr>
  </w:style>
  <w:style w:type="character" w:customStyle="1" w:styleId="ae">
    <w:name w:val="頁首 字元"/>
    <w:basedOn w:val="a4"/>
    <w:link w:val="ad"/>
    <w:semiHidden/>
    <w:rsid w:val="0001286F"/>
    <w:rPr>
      <w:rFonts w:eastAsia="標楷體"/>
      <w:kern w:val="2"/>
    </w:rPr>
  </w:style>
  <w:style w:type="paragraph" w:customStyle="1" w:styleId="af2">
    <w:name w:val="附件"/>
    <w:basedOn w:val="a9"/>
    <w:rsid w:val="0001286F"/>
    <w:pPr>
      <w:kinsoku w:val="0"/>
      <w:spacing w:before="0"/>
      <w:ind w:leftChars="500" w:left="1047" w:hangingChars="300" w:hanging="1047"/>
    </w:pPr>
    <w:rPr>
      <w:snapToGrid/>
      <w:spacing w:val="0"/>
      <w:kern w:val="0"/>
    </w:rPr>
  </w:style>
  <w:style w:type="paragraph" w:customStyle="1" w:styleId="a0">
    <w:name w:val="表樣式"/>
    <w:basedOn w:val="a3"/>
    <w:next w:val="a3"/>
    <w:rsid w:val="0001286F"/>
    <w:pPr>
      <w:numPr>
        <w:numId w:val="3"/>
      </w:numPr>
      <w:jc w:val="both"/>
    </w:pPr>
    <w:rPr>
      <w:rFonts w:ascii="標楷體"/>
      <w:kern w:val="0"/>
    </w:rPr>
  </w:style>
  <w:style w:type="paragraph" w:styleId="af3">
    <w:name w:val="Body Text Indent"/>
    <w:basedOn w:val="a3"/>
    <w:link w:val="af4"/>
    <w:semiHidden/>
    <w:rsid w:val="0001286F"/>
    <w:pPr>
      <w:ind w:leftChars="500" w:left="698" w:hangingChars="200" w:hanging="698"/>
    </w:pPr>
  </w:style>
  <w:style w:type="character" w:customStyle="1" w:styleId="af4">
    <w:name w:val="本文縮排 字元"/>
    <w:basedOn w:val="a4"/>
    <w:link w:val="af3"/>
    <w:semiHidden/>
    <w:rsid w:val="0001286F"/>
    <w:rPr>
      <w:rFonts w:eastAsia="標楷體"/>
      <w:kern w:val="2"/>
      <w:sz w:val="32"/>
    </w:rPr>
  </w:style>
  <w:style w:type="paragraph" w:customStyle="1" w:styleId="af5">
    <w:name w:val="調查報告"/>
    <w:basedOn w:val="a9"/>
    <w:rsid w:val="0001286F"/>
    <w:pPr>
      <w:kinsoku w:val="0"/>
      <w:spacing w:before="0"/>
      <w:ind w:leftChars="500" w:left="1701" w:hangingChars="400" w:hanging="400"/>
    </w:pPr>
    <w:rPr>
      <w:b/>
      <w:snapToGrid/>
      <w:spacing w:val="200"/>
      <w:kern w:val="0"/>
      <w:sz w:val="36"/>
    </w:rPr>
  </w:style>
  <w:style w:type="paragraph" w:styleId="af6">
    <w:name w:val="footnote text"/>
    <w:basedOn w:val="a3"/>
    <w:link w:val="af7"/>
    <w:uiPriority w:val="99"/>
    <w:unhideWhenUsed/>
    <w:rsid w:val="0001286F"/>
    <w:pPr>
      <w:snapToGrid w:val="0"/>
      <w:ind w:leftChars="500" w:left="3062" w:hangingChars="400" w:hanging="1361"/>
    </w:pPr>
    <w:rPr>
      <w:sz w:val="20"/>
    </w:rPr>
  </w:style>
  <w:style w:type="character" w:customStyle="1" w:styleId="af7">
    <w:name w:val="註腳文字 字元"/>
    <w:basedOn w:val="a4"/>
    <w:link w:val="af6"/>
    <w:uiPriority w:val="99"/>
    <w:rsid w:val="0001286F"/>
    <w:rPr>
      <w:rFonts w:eastAsia="標楷體"/>
      <w:kern w:val="2"/>
    </w:rPr>
  </w:style>
  <w:style w:type="paragraph" w:customStyle="1" w:styleId="a">
    <w:name w:val="圖樣式"/>
    <w:basedOn w:val="a3"/>
    <w:next w:val="a3"/>
    <w:rsid w:val="0001286F"/>
    <w:pPr>
      <w:numPr>
        <w:numId w:val="4"/>
      </w:numPr>
      <w:jc w:val="both"/>
    </w:pPr>
    <w:rPr>
      <w:rFonts w:ascii="標楷體"/>
    </w:rPr>
  </w:style>
  <w:style w:type="character" w:customStyle="1" w:styleId="af0">
    <w:name w:val="頁尾 字元"/>
    <w:basedOn w:val="a4"/>
    <w:link w:val="af"/>
    <w:semiHidden/>
    <w:rsid w:val="0001286F"/>
    <w:rPr>
      <w:rFonts w:eastAsia="標楷體"/>
      <w:kern w:val="2"/>
    </w:rPr>
  </w:style>
  <w:style w:type="paragraph" w:styleId="af8">
    <w:name w:val="table of figures"/>
    <w:basedOn w:val="a3"/>
    <w:next w:val="a3"/>
    <w:uiPriority w:val="99"/>
    <w:rsid w:val="0001286F"/>
    <w:pPr>
      <w:ind w:left="400" w:hangingChars="400" w:hanging="400"/>
    </w:pPr>
  </w:style>
  <w:style w:type="character" w:styleId="af9">
    <w:name w:val="footnote reference"/>
    <w:basedOn w:val="a4"/>
    <w:uiPriority w:val="99"/>
    <w:semiHidden/>
    <w:unhideWhenUsed/>
    <w:rsid w:val="0001286F"/>
    <w:rPr>
      <w:vertAlign w:val="superscript"/>
    </w:rPr>
  </w:style>
  <w:style w:type="paragraph" w:styleId="afa">
    <w:name w:val="List Paragraph"/>
    <w:basedOn w:val="a3"/>
    <w:uiPriority w:val="34"/>
    <w:qFormat/>
    <w:rsid w:val="0001286F"/>
    <w:pPr>
      <w:ind w:leftChars="200" w:left="480" w:hangingChars="400" w:hanging="1361"/>
    </w:pPr>
  </w:style>
  <w:style w:type="paragraph" w:styleId="afb">
    <w:name w:val="Plain Text"/>
    <w:basedOn w:val="a3"/>
    <w:link w:val="afc"/>
    <w:uiPriority w:val="99"/>
    <w:unhideWhenUsed/>
    <w:rsid w:val="0001286F"/>
    <w:pPr>
      <w:ind w:leftChars="500" w:left="3062" w:hangingChars="400" w:hanging="1361"/>
    </w:pPr>
    <w:rPr>
      <w:rFonts w:ascii="Calibri" w:eastAsia="新細明體" w:hAnsi="Courier New"/>
      <w:sz w:val="24"/>
      <w:szCs w:val="24"/>
    </w:rPr>
  </w:style>
  <w:style w:type="character" w:customStyle="1" w:styleId="afc">
    <w:name w:val="純文字 字元"/>
    <w:basedOn w:val="a4"/>
    <w:link w:val="afb"/>
    <w:uiPriority w:val="99"/>
    <w:rsid w:val="0001286F"/>
    <w:rPr>
      <w:rFonts w:ascii="Calibri" w:hAnsi="Courier New"/>
      <w:kern w:val="2"/>
      <w:sz w:val="24"/>
      <w:szCs w:val="24"/>
    </w:rPr>
  </w:style>
  <w:style w:type="paragraph" w:styleId="afd">
    <w:name w:val="Balloon Text"/>
    <w:basedOn w:val="a3"/>
    <w:link w:val="afe"/>
    <w:uiPriority w:val="99"/>
    <w:semiHidden/>
    <w:unhideWhenUsed/>
    <w:rsid w:val="0001286F"/>
    <w:pPr>
      <w:ind w:leftChars="500" w:left="3062" w:hangingChars="400" w:hanging="1361"/>
    </w:pPr>
    <w:rPr>
      <w:rFonts w:ascii="Cambria" w:eastAsia="新細明體" w:hAnsi="Cambria"/>
      <w:sz w:val="18"/>
      <w:szCs w:val="18"/>
    </w:rPr>
  </w:style>
  <w:style w:type="character" w:customStyle="1" w:styleId="afe">
    <w:name w:val="註解方塊文字 字元"/>
    <w:basedOn w:val="a4"/>
    <w:link w:val="afd"/>
    <w:uiPriority w:val="99"/>
    <w:semiHidden/>
    <w:rsid w:val="0001286F"/>
    <w:rPr>
      <w:rFonts w:ascii="Cambria" w:hAnsi="Cambria"/>
      <w:kern w:val="2"/>
      <w:sz w:val="18"/>
      <w:szCs w:val="18"/>
    </w:rPr>
  </w:style>
  <w:style w:type="table" w:styleId="aff">
    <w:name w:val="Table Grid"/>
    <w:basedOn w:val="a5"/>
    <w:uiPriority w:val="59"/>
    <w:rsid w:val="00012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標題 9 字元"/>
    <w:basedOn w:val="a4"/>
    <w:link w:val="9"/>
    <w:uiPriority w:val="9"/>
    <w:rsid w:val="00997047"/>
    <w:rPr>
      <w:rFonts w:ascii="標楷體" w:eastAsia="標楷體" w:hAnsiTheme="majorHAnsi" w:cstheme="majorBidi"/>
      <w:kern w:val="32"/>
      <w:sz w:val="32"/>
      <w:szCs w:val="36"/>
    </w:rPr>
  </w:style>
  <w:style w:type="paragraph" w:customStyle="1" w:styleId="a2">
    <w:name w:val="表標題"/>
    <w:qFormat/>
    <w:rsid w:val="00997047"/>
    <w:pPr>
      <w:keepNext/>
      <w:widowControl w:val="0"/>
      <w:numPr>
        <w:numId w:val="7"/>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f0">
    <w:name w:val="資料來源"/>
    <w:basedOn w:val="a3"/>
    <w:rsid w:val="00997047"/>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1">
    <w:name w:val="圖標題"/>
    <w:basedOn w:val="a3"/>
    <w:qFormat/>
    <w:rsid w:val="00997047"/>
    <w:pPr>
      <w:numPr>
        <w:numId w:val="8"/>
      </w:numPr>
      <w:overflowPunct w:val="0"/>
      <w:autoSpaceDE w:val="0"/>
      <w:autoSpaceDN w:val="0"/>
      <w:adjustRightInd w:val="0"/>
      <w:snapToGrid w:val="0"/>
      <w:spacing w:before="240" w:after="40" w:line="360" w:lineRule="exact"/>
      <w:ind w:left="482" w:hanging="482"/>
      <w:jc w:val="center"/>
      <w:textAlignment w:val="baseline"/>
    </w:pPr>
    <w:rPr>
      <w:rFonts w:ascii="標楷體" w:hAnsi="華康楷書體W5(P)"/>
      <w:bCs/>
      <w:spacing w:val="-10"/>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6.tmp"/><Relationship Id="rId18" Type="http://schemas.openxmlformats.org/officeDocument/2006/relationships/image" Target="media/image11.tmp"/><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tmp"/><Relationship Id="rId7" Type="http://schemas.openxmlformats.org/officeDocument/2006/relationships/endnotes" Target="endnotes.xml"/><Relationship Id="rId12" Type="http://schemas.openxmlformats.org/officeDocument/2006/relationships/image" Target="media/image5.tmp"/><Relationship Id="rId17" Type="http://schemas.openxmlformats.org/officeDocument/2006/relationships/image" Target="media/image10.tmp"/><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tmp"/><Relationship Id="rId20" Type="http://schemas.openxmlformats.org/officeDocument/2006/relationships/image" Target="media/image13.tmp"/><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tmp"/><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tmp"/><Relationship Id="rId23" Type="http://schemas.openxmlformats.org/officeDocument/2006/relationships/image" Target="media/image16.tmp"/><Relationship Id="rId10" Type="http://schemas.openxmlformats.org/officeDocument/2006/relationships/image" Target="media/image3.png"/><Relationship Id="rId19" Type="http://schemas.openxmlformats.org/officeDocument/2006/relationships/image" Target="media/image12.tm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mp"/><Relationship Id="rId22" Type="http://schemas.openxmlformats.org/officeDocument/2006/relationships/image" Target="media/image15.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iao\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C031糾正案文格式體例(橫式).dot</Template>
  <TotalTime>0</TotalTime>
  <Pages>21</Pages>
  <Words>1096</Words>
  <Characters>6253</Characters>
  <Application>Microsoft Office Word</Application>
  <DocSecurity>0</DocSecurity>
  <Lines>52</Lines>
  <Paragraphs>14</Paragraphs>
  <ScaleCrop>false</ScaleCrop>
  <Company>cy</Company>
  <LinksUpToDate>false</LinksUpToDate>
  <CharactersWithSpaces>7335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stud01</cp:lastModifiedBy>
  <cp:revision>2</cp:revision>
  <cp:lastPrinted>2018-07-18T07:37:00Z</cp:lastPrinted>
  <dcterms:created xsi:type="dcterms:W3CDTF">2019-04-10T05:14:00Z</dcterms:created>
  <dcterms:modified xsi:type="dcterms:W3CDTF">2019-04-10T05:14:00Z</dcterms:modified>
</cp:coreProperties>
</file>