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E3E92" w:rsidRDefault="004B4A1B" w:rsidP="00F37D7B">
      <w:pPr>
        <w:pStyle w:val="af2"/>
      </w:pPr>
      <w:r w:rsidRPr="009E3E92">
        <w:rPr>
          <w:rFonts w:hint="eastAsia"/>
        </w:rPr>
        <w:t>調查報告</w:t>
      </w:r>
    </w:p>
    <w:p w:rsidR="00E25849" w:rsidRPr="009E3E92" w:rsidRDefault="00E25849" w:rsidP="008F0484">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E3E9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F0484" w:rsidRPr="009E3E92">
        <w:rPr>
          <w:rFonts w:hint="eastAsia"/>
        </w:rPr>
        <w:t>據訴</w:t>
      </w:r>
      <w:proofErr w:type="gramEnd"/>
      <w:r w:rsidR="008F0484" w:rsidRPr="009E3E92">
        <w:rPr>
          <w:rFonts w:hint="eastAsia"/>
        </w:rPr>
        <w:t>，臺灣高等法院審理渠等被訴違反貪污治罪條例等案件，未詳查事證，率為不利判決，經提起上訴，最高法院仍判決駁回，損及權益</w:t>
      </w:r>
      <w:proofErr w:type="gramStart"/>
      <w:r w:rsidR="008F0484" w:rsidRPr="009E3E92">
        <w:rPr>
          <w:rFonts w:hint="eastAsia"/>
        </w:rPr>
        <w:t>等情案</w:t>
      </w:r>
      <w:proofErr w:type="gramEnd"/>
      <w:r w:rsidR="008F0484" w:rsidRPr="009E3E92">
        <w:rPr>
          <w:rFonts w:hint="eastAsia"/>
        </w:rPr>
        <w:t>。</w:t>
      </w:r>
    </w:p>
    <w:p w:rsidR="00E25849" w:rsidRDefault="00EC24AF" w:rsidP="002F65AF">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r w:rsidR="00E25849">
        <w:rPr>
          <w:rFonts w:hint="eastAsia"/>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EC24AF" w:rsidRDefault="00EC24AF" w:rsidP="00EC24AF">
      <w:pPr>
        <w:pStyle w:val="10"/>
        <w:ind w:left="680" w:firstLine="680"/>
      </w:pPr>
      <w:r>
        <w:rPr>
          <w:rFonts w:hAnsi="標楷體" w:hint="eastAsia"/>
        </w:rPr>
        <w:t>有關「</w:t>
      </w:r>
      <w:proofErr w:type="gramStart"/>
      <w:r w:rsidRPr="008F0484">
        <w:rPr>
          <w:rFonts w:hint="eastAsia"/>
        </w:rPr>
        <w:t>據訴</w:t>
      </w:r>
      <w:proofErr w:type="gramEnd"/>
      <w:r w:rsidRPr="008F0484">
        <w:rPr>
          <w:rFonts w:hint="eastAsia"/>
        </w:rPr>
        <w:t>，臺灣高等法院審理渠等被訴違反貪污治罪條例等案件，未詳查事證，率為不利判決，經提起上訴，最高法院仍判決駁回，損及權益等情</w:t>
      </w:r>
      <w:r>
        <w:rPr>
          <w:rFonts w:hAnsi="標楷體" w:hint="eastAsia"/>
        </w:rPr>
        <w:t>」</w:t>
      </w:r>
      <w:r>
        <w:rPr>
          <w:rFonts w:hint="eastAsia"/>
        </w:rPr>
        <w:t>案，</w:t>
      </w:r>
      <w:r w:rsidRPr="009C7FF2">
        <w:rPr>
          <w:rFonts w:hint="eastAsia"/>
        </w:rPr>
        <w:t>案經</w:t>
      </w:r>
      <w:r>
        <w:rPr>
          <w:rFonts w:hint="eastAsia"/>
        </w:rPr>
        <w:t>向</w:t>
      </w:r>
      <w:r w:rsidR="005E7B21">
        <w:rPr>
          <w:rFonts w:hint="eastAsia"/>
        </w:rPr>
        <w:t>臺灣新北地方檢察署</w:t>
      </w:r>
      <w:r w:rsidRPr="001C5C30">
        <w:rPr>
          <w:rFonts w:hint="eastAsia"/>
        </w:rPr>
        <w:t>(</w:t>
      </w:r>
      <w:r w:rsidRPr="009C7FF2">
        <w:rPr>
          <w:rFonts w:hint="eastAsia"/>
        </w:rPr>
        <w:t>下稱</w:t>
      </w:r>
      <w:r w:rsidRPr="001C5C30">
        <w:rPr>
          <w:rFonts w:hint="eastAsia"/>
        </w:rPr>
        <w:t>新北地檢署</w:t>
      </w:r>
      <w:proofErr w:type="gramStart"/>
      <w:r>
        <w:rPr>
          <w:rFonts w:hint="eastAsia"/>
        </w:rPr>
        <w:t>）</w:t>
      </w:r>
      <w:proofErr w:type="gramEnd"/>
      <w:r>
        <w:rPr>
          <w:rFonts w:hint="eastAsia"/>
        </w:rPr>
        <w:t>調閱</w:t>
      </w:r>
      <w:proofErr w:type="gramStart"/>
      <w:r>
        <w:rPr>
          <w:rFonts w:hint="eastAsia"/>
        </w:rPr>
        <w:t>偵審全</w:t>
      </w:r>
      <w:proofErr w:type="gramEnd"/>
      <w:r>
        <w:rPr>
          <w:rFonts w:hint="eastAsia"/>
        </w:rPr>
        <w:t>卷</w:t>
      </w:r>
      <w:r w:rsidRPr="009C7FF2">
        <w:rPr>
          <w:rFonts w:hint="eastAsia"/>
        </w:rPr>
        <w:t>，</w:t>
      </w:r>
      <w:r w:rsidRPr="00BB7943">
        <w:rPr>
          <w:rFonts w:hint="eastAsia"/>
        </w:rPr>
        <w:t>並於</w:t>
      </w:r>
      <w:r w:rsidRPr="00B93597">
        <w:rPr>
          <w:rFonts w:hint="eastAsia"/>
          <w:color w:val="000000" w:themeColor="text1"/>
        </w:rPr>
        <w:t>民國</w:t>
      </w:r>
      <w:r w:rsidRPr="00BB7943">
        <w:rPr>
          <w:rFonts w:hint="eastAsia"/>
        </w:rPr>
        <w:t>(下同)107年1月15日約請行政院公共工程委員會(下稱</w:t>
      </w:r>
      <w:r w:rsidRPr="00B93597">
        <w:rPr>
          <w:rFonts w:hint="eastAsia"/>
          <w:color w:val="000000" w:themeColor="text1"/>
        </w:rPr>
        <w:t>工程會</w:t>
      </w:r>
      <w:r w:rsidRPr="00BB7943">
        <w:rPr>
          <w:rFonts w:hint="eastAsia"/>
        </w:rPr>
        <w:t>)顏副主任委員</w:t>
      </w:r>
      <w:proofErr w:type="gramStart"/>
      <w:r w:rsidRPr="00BB7943">
        <w:rPr>
          <w:rFonts w:hint="eastAsia"/>
        </w:rPr>
        <w:t>久榮率業</w:t>
      </w:r>
      <w:proofErr w:type="gramEnd"/>
      <w:r w:rsidRPr="00BB7943">
        <w:rPr>
          <w:rFonts w:hint="eastAsia"/>
        </w:rPr>
        <w:t>管人員到院協助</w:t>
      </w:r>
      <w:proofErr w:type="gramStart"/>
      <w:r w:rsidRPr="00BB7943">
        <w:rPr>
          <w:rFonts w:hint="eastAsia"/>
        </w:rPr>
        <w:t>釐</w:t>
      </w:r>
      <w:proofErr w:type="gramEnd"/>
      <w:r w:rsidRPr="00BB7943">
        <w:rPr>
          <w:rFonts w:hint="eastAsia"/>
        </w:rPr>
        <w:t>清案情</w:t>
      </w:r>
      <w:r>
        <w:rPr>
          <w:rFonts w:hint="eastAsia"/>
        </w:rPr>
        <w:t>、107年</w:t>
      </w:r>
      <w:r w:rsidRPr="00BB7943">
        <w:rPr>
          <w:rFonts w:hint="eastAsia"/>
        </w:rPr>
        <w:t>1月</w:t>
      </w:r>
      <w:r>
        <w:rPr>
          <w:rFonts w:hint="eastAsia"/>
        </w:rPr>
        <w:t>16</w:t>
      </w:r>
      <w:r w:rsidRPr="00BB7943">
        <w:rPr>
          <w:rFonts w:hint="eastAsia"/>
        </w:rPr>
        <w:t>日</w:t>
      </w:r>
      <w:r>
        <w:rPr>
          <w:rFonts w:hint="eastAsia"/>
        </w:rPr>
        <w:t>赴法務部矯正署自強外役監獄</w:t>
      </w:r>
      <w:r w:rsidRPr="00BB7943">
        <w:rPr>
          <w:rFonts w:hint="eastAsia"/>
        </w:rPr>
        <w:t>詢</w:t>
      </w:r>
      <w:r w:rsidR="002F65AF">
        <w:rPr>
          <w:rFonts w:hint="eastAsia"/>
        </w:rPr>
        <w:t>問</w:t>
      </w:r>
      <w:r>
        <w:rPr>
          <w:rFonts w:hint="eastAsia"/>
        </w:rPr>
        <w:t>沈德亮、</w:t>
      </w:r>
      <w:r w:rsidRPr="004D585F">
        <w:rPr>
          <w:rFonts w:hint="eastAsia"/>
        </w:rPr>
        <w:t>107年2月1日派員赴臺灣高等法院閱覽原臺灣板橋地方法院檢察署90年度</w:t>
      </w:r>
      <w:proofErr w:type="gramStart"/>
      <w:r w:rsidRPr="004D585F">
        <w:rPr>
          <w:rFonts w:hint="eastAsia"/>
        </w:rPr>
        <w:t>偵</w:t>
      </w:r>
      <w:proofErr w:type="gramEnd"/>
      <w:r w:rsidRPr="004D585F">
        <w:rPr>
          <w:rFonts w:hint="eastAsia"/>
        </w:rPr>
        <w:t>字第23號案之相關卷證，</w:t>
      </w:r>
      <w:r w:rsidR="00815491">
        <w:rPr>
          <w:rFonts w:hint="eastAsia"/>
        </w:rPr>
        <w:t>全</w:t>
      </w:r>
      <w:proofErr w:type="gramStart"/>
      <w:r w:rsidR="00815491">
        <w:rPr>
          <w:rFonts w:hint="eastAsia"/>
        </w:rPr>
        <w:t>案業調查竣事</w:t>
      </w:r>
      <w:proofErr w:type="gramEnd"/>
      <w:r w:rsidR="00815491">
        <w:rPr>
          <w:rFonts w:hint="eastAsia"/>
        </w:rPr>
        <w:t>，調查意見如下：</w:t>
      </w:r>
    </w:p>
    <w:p w:rsidR="008E6591" w:rsidRPr="0004083D" w:rsidRDefault="00EC24AF" w:rsidP="00CB1DE5">
      <w:pPr>
        <w:pStyle w:val="2"/>
        <w:rPr>
          <w:b/>
        </w:rPr>
      </w:pPr>
      <w:r w:rsidRPr="0004083D">
        <w:rPr>
          <w:rFonts w:hint="eastAsia"/>
          <w:b/>
        </w:rPr>
        <w:t>本案</w:t>
      </w:r>
      <w:r w:rsidR="008E6591" w:rsidRPr="0004083D">
        <w:rPr>
          <w:rFonts w:hint="eastAsia"/>
          <w:b/>
        </w:rPr>
        <w:t>確定判決</w:t>
      </w:r>
      <w:r w:rsidRPr="0004083D">
        <w:rPr>
          <w:rFonts w:hint="eastAsia"/>
          <w:b/>
        </w:rPr>
        <w:t>以工程會90年2月5日(90)</w:t>
      </w:r>
      <w:proofErr w:type="gramStart"/>
      <w:r w:rsidRPr="0004083D">
        <w:rPr>
          <w:rFonts w:hint="eastAsia"/>
          <w:b/>
        </w:rPr>
        <w:t>工程術字第90003924號</w:t>
      </w:r>
      <w:proofErr w:type="gramEnd"/>
      <w:r w:rsidRPr="0004083D">
        <w:rPr>
          <w:rFonts w:hint="eastAsia"/>
          <w:b/>
        </w:rPr>
        <w:t>、98年4月21日工程</w:t>
      </w:r>
      <w:proofErr w:type="gramStart"/>
      <w:r w:rsidRPr="0004083D">
        <w:rPr>
          <w:rFonts w:hint="eastAsia"/>
          <w:b/>
        </w:rPr>
        <w:t>鑑</w:t>
      </w:r>
      <w:proofErr w:type="gramEnd"/>
      <w:r w:rsidRPr="0004083D">
        <w:rPr>
          <w:rFonts w:hint="eastAsia"/>
          <w:b/>
        </w:rPr>
        <w:t>字第09800143650號</w:t>
      </w:r>
      <w:r w:rsidR="00FC68C1" w:rsidRPr="0004083D">
        <w:rPr>
          <w:rFonts w:hint="eastAsia"/>
          <w:b/>
        </w:rPr>
        <w:t>等</w:t>
      </w:r>
      <w:r w:rsidRPr="0004083D">
        <w:rPr>
          <w:rFonts w:hint="eastAsia"/>
          <w:b/>
        </w:rPr>
        <w:t>函復</w:t>
      </w:r>
      <w:r w:rsidR="00FC68C1" w:rsidRPr="0004083D">
        <w:rPr>
          <w:rFonts w:hint="eastAsia"/>
          <w:b/>
        </w:rPr>
        <w:t>之</w:t>
      </w:r>
      <w:r w:rsidRPr="0004083D">
        <w:rPr>
          <w:rFonts w:hint="eastAsia"/>
          <w:b/>
        </w:rPr>
        <w:t>鑑定意見為據，</w:t>
      </w:r>
      <w:r w:rsidR="008E6591" w:rsidRPr="0004083D">
        <w:rPr>
          <w:rFonts w:hint="eastAsia"/>
          <w:b/>
        </w:rPr>
        <w:t>認定林文烈、沈德亮共謀</w:t>
      </w:r>
      <w:r w:rsidR="00FC68C1" w:rsidRPr="0004083D">
        <w:rPr>
          <w:rFonts w:hAnsi="標楷體" w:hint="eastAsia"/>
          <w:b/>
        </w:rPr>
        <w:t>「</w:t>
      </w:r>
      <w:r w:rsidR="008E6591" w:rsidRPr="0004083D">
        <w:rPr>
          <w:rFonts w:hint="eastAsia"/>
          <w:b/>
        </w:rPr>
        <w:t>浮編管理</w:t>
      </w:r>
      <w:r w:rsidR="002849D0" w:rsidRPr="0004083D">
        <w:rPr>
          <w:rFonts w:hint="eastAsia"/>
          <w:b/>
        </w:rPr>
        <w:t>及</w:t>
      </w:r>
      <w:r w:rsidR="008E6591" w:rsidRPr="0004083D">
        <w:rPr>
          <w:rFonts w:hint="eastAsia"/>
          <w:b/>
        </w:rPr>
        <w:t>利潤</w:t>
      </w:r>
      <w:r w:rsidR="009128DF" w:rsidRPr="0004083D">
        <w:rPr>
          <w:rFonts w:hint="eastAsia"/>
          <w:b/>
        </w:rPr>
        <w:t>等</w:t>
      </w:r>
      <w:r w:rsidR="008E6591" w:rsidRPr="0004083D">
        <w:rPr>
          <w:rFonts w:hint="eastAsia"/>
          <w:b/>
        </w:rPr>
        <w:t>費用6.07</w:t>
      </w:r>
      <w:r w:rsidRPr="0004083D">
        <w:rPr>
          <w:rFonts w:hint="eastAsia"/>
          <w:b/>
        </w:rPr>
        <w:t>億元</w:t>
      </w:r>
      <w:r w:rsidR="00FC68C1" w:rsidRPr="0004083D">
        <w:rPr>
          <w:rFonts w:hAnsi="標楷體" w:hint="eastAsia"/>
          <w:b/>
        </w:rPr>
        <w:t>」</w:t>
      </w:r>
      <w:r w:rsidRPr="0004083D">
        <w:rPr>
          <w:rFonts w:hint="eastAsia"/>
          <w:b/>
        </w:rPr>
        <w:t>；</w:t>
      </w:r>
      <w:proofErr w:type="gramStart"/>
      <w:r w:rsidR="0004083D" w:rsidRPr="0004083D">
        <w:rPr>
          <w:rFonts w:hAnsi="標楷體" w:hint="eastAsia"/>
          <w:b/>
          <w:szCs w:val="32"/>
        </w:rPr>
        <w:t>惟</w:t>
      </w:r>
      <w:proofErr w:type="gramEnd"/>
      <w:r w:rsidR="0004083D" w:rsidRPr="0004083D">
        <w:rPr>
          <w:rFonts w:hAnsi="標楷體" w:hint="eastAsia"/>
          <w:b/>
          <w:szCs w:val="32"/>
        </w:rPr>
        <w:t>依本院107年1月26日詢問工程會業管人員所得之新證據，並與</w:t>
      </w:r>
      <w:r w:rsidR="0004083D" w:rsidRPr="0004083D">
        <w:rPr>
          <w:rFonts w:hAnsi="標楷體"/>
          <w:b/>
          <w:szCs w:val="32"/>
        </w:rPr>
        <w:t>78</w:t>
      </w:r>
      <w:r w:rsidR="0004083D" w:rsidRPr="0004083D">
        <w:rPr>
          <w:rFonts w:hAnsi="標楷體" w:hint="eastAsia"/>
          <w:b/>
          <w:szCs w:val="32"/>
        </w:rPr>
        <w:t>年</w:t>
      </w:r>
      <w:r w:rsidR="0004083D" w:rsidRPr="0004083D">
        <w:rPr>
          <w:rFonts w:hAnsi="標楷體"/>
          <w:b/>
          <w:szCs w:val="32"/>
        </w:rPr>
        <w:t>8</w:t>
      </w:r>
      <w:r w:rsidR="0004083D" w:rsidRPr="0004083D">
        <w:rPr>
          <w:rFonts w:hAnsi="標楷體" w:hint="eastAsia"/>
          <w:b/>
          <w:szCs w:val="32"/>
        </w:rPr>
        <w:t>月</w:t>
      </w:r>
      <w:r w:rsidR="0004083D" w:rsidRPr="0004083D">
        <w:rPr>
          <w:rFonts w:hAnsi="標楷體"/>
          <w:b/>
          <w:szCs w:val="32"/>
        </w:rPr>
        <w:t>28</w:t>
      </w:r>
      <w:r w:rsidR="0004083D" w:rsidRPr="0004083D">
        <w:rPr>
          <w:rFonts w:hAnsi="標楷體" w:hint="eastAsia"/>
          <w:b/>
          <w:szCs w:val="32"/>
        </w:rPr>
        <w:t>日臺灣省政府七八府建四字第</w:t>
      </w:r>
      <w:r w:rsidR="0004083D" w:rsidRPr="0004083D">
        <w:rPr>
          <w:rFonts w:hAnsi="標楷體"/>
          <w:b/>
          <w:szCs w:val="32"/>
        </w:rPr>
        <w:t>156182</w:t>
      </w:r>
      <w:r w:rsidR="00610674">
        <w:rPr>
          <w:rFonts w:hAnsi="標楷體" w:hint="eastAsia"/>
          <w:b/>
          <w:szCs w:val="32"/>
        </w:rPr>
        <w:t>號函發布之「臺灣省對公共工程發包經常流標之因應措施」</w:t>
      </w:r>
      <w:r w:rsidR="0004083D" w:rsidRPr="0004083D">
        <w:rPr>
          <w:rFonts w:hAnsi="標楷體" w:hint="eastAsia"/>
          <w:b/>
          <w:szCs w:val="32"/>
        </w:rPr>
        <w:t>第</w:t>
      </w:r>
      <w:r w:rsidR="0004083D" w:rsidRPr="0004083D">
        <w:rPr>
          <w:rFonts w:hAnsi="標楷體"/>
          <w:b/>
          <w:szCs w:val="32"/>
        </w:rPr>
        <w:t>2</w:t>
      </w:r>
      <w:r w:rsidR="0004083D" w:rsidRPr="0004083D">
        <w:rPr>
          <w:rFonts w:hAnsi="標楷體" w:hint="eastAsia"/>
          <w:b/>
          <w:szCs w:val="32"/>
        </w:rPr>
        <w:t>點規定綜合判斷，發現原確定判決據以認定犯罪事實之上開鑑定意見存在嚴重</w:t>
      </w:r>
      <w:proofErr w:type="gramStart"/>
      <w:r w:rsidR="0004083D" w:rsidRPr="0004083D">
        <w:rPr>
          <w:rFonts w:hAnsi="標楷體" w:hint="eastAsia"/>
          <w:b/>
          <w:szCs w:val="32"/>
        </w:rPr>
        <w:t>之疏誤</w:t>
      </w:r>
      <w:proofErr w:type="gramEnd"/>
      <w:r w:rsidR="0004083D">
        <w:rPr>
          <w:rFonts w:hAnsi="標楷體" w:hint="eastAsia"/>
          <w:b/>
          <w:szCs w:val="32"/>
        </w:rPr>
        <w:t>，已足</w:t>
      </w:r>
      <w:r w:rsidR="0004083D" w:rsidRPr="0004083D">
        <w:rPr>
          <w:rFonts w:hAnsi="標楷體" w:hint="eastAsia"/>
          <w:b/>
          <w:szCs w:val="32"/>
        </w:rPr>
        <w:t>合理懷疑原已確認之犯罪事實並不實在，</w:t>
      </w:r>
      <w:r w:rsidR="0004083D">
        <w:rPr>
          <w:rFonts w:hAnsi="標楷體" w:hint="eastAsia"/>
          <w:b/>
          <w:szCs w:val="32"/>
        </w:rPr>
        <w:t>該當</w:t>
      </w:r>
      <w:r w:rsidR="0004083D" w:rsidRPr="0004083D">
        <w:rPr>
          <w:rFonts w:hAnsi="標楷體" w:hint="eastAsia"/>
          <w:b/>
          <w:szCs w:val="32"/>
        </w:rPr>
        <w:t>刑事訴訟法第420條第1項第6款所定之再審事由。</w:t>
      </w:r>
    </w:p>
    <w:p w:rsidR="005E1DCF" w:rsidRDefault="005F745B" w:rsidP="00610501">
      <w:pPr>
        <w:pStyle w:val="3"/>
      </w:pPr>
      <w:r>
        <w:rPr>
          <w:rFonts w:hint="eastAsia"/>
        </w:rPr>
        <w:t>按</w:t>
      </w:r>
      <w:r w:rsidR="00B87556" w:rsidRPr="002B63F7">
        <w:rPr>
          <w:rFonts w:hint="eastAsia"/>
        </w:rPr>
        <w:t>104年2月4日修正之刑事訴訟法第420條第1項第6款規定：「有罪之判決確定後，有下列情形之</w:t>
      </w:r>
      <w:proofErr w:type="gramStart"/>
      <w:r w:rsidR="00B87556" w:rsidRPr="002B63F7">
        <w:rPr>
          <w:rFonts w:hint="eastAsia"/>
        </w:rPr>
        <w:t>一</w:t>
      </w:r>
      <w:proofErr w:type="gramEnd"/>
      <w:r w:rsidR="00B87556" w:rsidRPr="002B63F7">
        <w:rPr>
          <w:rFonts w:hint="eastAsia"/>
        </w:rPr>
        <w:t>者，</w:t>
      </w:r>
      <w:r w:rsidR="00B87556" w:rsidRPr="002B63F7">
        <w:rPr>
          <w:rFonts w:hint="eastAsia"/>
        </w:rPr>
        <w:lastRenderedPageBreak/>
        <w:t>為受判決人之利益，得聲請再審：…</w:t>
      </w:r>
      <w:proofErr w:type="gramStart"/>
      <w:r w:rsidR="00B87556" w:rsidRPr="002B63F7">
        <w:rPr>
          <w:rFonts w:hint="eastAsia"/>
        </w:rPr>
        <w:t>…</w:t>
      </w:r>
      <w:proofErr w:type="gramEnd"/>
      <w:r w:rsidR="00B87556" w:rsidRPr="002B63F7">
        <w:rPr>
          <w:rFonts w:hint="eastAsia"/>
        </w:rPr>
        <w:t>六、因發現新事實或新證據，單獨或與先前之證據綜合判斷，足認受有罪判決之人應受無罪、</w:t>
      </w:r>
      <w:proofErr w:type="gramStart"/>
      <w:r w:rsidR="00B87556" w:rsidRPr="002B63F7">
        <w:rPr>
          <w:rFonts w:hint="eastAsia"/>
        </w:rPr>
        <w:t>免訴</w:t>
      </w:r>
      <w:proofErr w:type="gramEnd"/>
      <w:r w:rsidR="00B87556" w:rsidRPr="002B63F7">
        <w:rPr>
          <w:rFonts w:hint="eastAsia"/>
        </w:rPr>
        <w:t>、免刑或輕於原判決所認罪名之判決者」</w:t>
      </w:r>
      <w:r w:rsidR="0046628A">
        <w:rPr>
          <w:rFonts w:hint="eastAsia"/>
        </w:rPr>
        <w:t>；</w:t>
      </w:r>
      <w:r w:rsidR="00B87556" w:rsidRPr="002B63F7">
        <w:rPr>
          <w:rFonts w:hint="eastAsia"/>
        </w:rPr>
        <w:t>同條第3項規定</w:t>
      </w:r>
      <w:r w:rsidR="00B87556">
        <w:rPr>
          <w:rFonts w:hint="eastAsia"/>
        </w:rPr>
        <w:t>：</w:t>
      </w:r>
      <w:r w:rsidR="00B87556" w:rsidRPr="002B63F7">
        <w:rPr>
          <w:rFonts w:hint="eastAsia"/>
        </w:rPr>
        <w:t>「第</w:t>
      </w:r>
      <w:r w:rsidR="004B5324">
        <w:rPr>
          <w:rFonts w:hint="eastAsia"/>
        </w:rPr>
        <w:t>1</w:t>
      </w:r>
      <w:r w:rsidR="00B87556" w:rsidRPr="002B63F7">
        <w:rPr>
          <w:rFonts w:hint="eastAsia"/>
        </w:rPr>
        <w:t>項第</w:t>
      </w:r>
      <w:r w:rsidR="004B5324">
        <w:rPr>
          <w:rFonts w:hint="eastAsia"/>
        </w:rPr>
        <w:t>6</w:t>
      </w:r>
      <w:r w:rsidR="00B87556" w:rsidRPr="002B63F7">
        <w:rPr>
          <w:rFonts w:hint="eastAsia"/>
        </w:rPr>
        <w:t>款之新事實或新證據，指判決確定前已存在或成立而未及調查斟酌，及判決確定後始存在或成立之事實、證據。」</w:t>
      </w:r>
      <w:r w:rsidR="00610501">
        <w:rPr>
          <w:rFonts w:hint="eastAsia"/>
        </w:rPr>
        <w:t>最高法院</w:t>
      </w:r>
      <w:proofErr w:type="gramStart"/>
      <w:r w:rsidR="00610501">
        <w:rPr>
          <w:rFonts w:hint="eastAsia"/>
        </w:rPr>
        <w:t>104</w:t>
      </w:r>
      <w:proofErr w:type="gramEnd"/>
      <w:r w:rsidR="00610501">
        <w:rPr>
          <w:rFonts w:hint="eastAsia"/>
        </w:rPr>
        <w:t>年度</w:t>
      </w:r>
      <w:proofErr w:type="gramStart"/>
      <w:r w:rsidR="00610501">
        <w:rPr>
          <w:rFonts w:hint="eastAsia"/>
        </w:rPr>
        <w:t>台抗字</w:t>
      </w:r>
      <w:proofErr w:type="gramEnd"/>
      <w:r w:rsidR="00610501">
        <w:rPr>
          <w:rFonts w:hint="eastAsia"/>
        </w:rPr>
        <w:t>第125號裁定闡明：「</w:t>
      </w:r>
      <w:r w:rsidR="00610501" w:rsidRPr="00610501">
        <w:rPr>
          <w:rFonts w:hint="eastAsia"/>
        </w:rPr>
        <w:t>按再審制度，係為發現確實之事實真相，以實現公平正義，而於案件判決確定之後，另設救濟之特別管道，重在糾正原確定判決所認定之事實錯誤，但因不能排除某些人可能出於惡意或其他目的，利用此方式延宕、纏</w:t>
      </w:r>
      <w:proofErr w:type="gramStart"/>
      <w:r w:rsidR="00610501" w:rsidRPr="00610501">
        <w:rPr>
          <w:rFonts w:hint="eastAsia"/>
        </w:rPr>
        <w:t>訟</w:t>
      </w:r>
      <w:proofErr w:type="gramEnd"/>
      <w:r w:rsidR="00610501" w:rsidRPr="00610501">
        <w:rPr>
          <w:rFonts w:hint="eastAsia"/>
        </w:rPr>
        <w:t>，有害判決之安定性，</w:t>
      </w:r>
      <w:proofErr w:type="gramStart"/>
      <w:r w:rsidR="00610501" w:rsidRPr="00610501">
        <w:rPr>
          <w:rFonts w:hint="eastAsia"/>
        </w:rPr>
        <w:t>故</w:t>
      </w:r>
      <w:r w:rsidR="00610501">
        <w:rPr>
          <w:rFonts w:hint="eastAsia"/>
        </w:rPr>
        <w:t>立有</w:t>
      </w:r>
      <w:proofErr w:type="gramEnd"/>
      <w:r w:rsidR="00610501">
        <w:rPr>
          <w:rFonts w:hint="eastAsia"/>
        </w:rPr>
        <w:t>嚴格之條件限制。刑事訴訟法第420條第1項第6款原規定：『</w:t>
      </w:r>
      <w:r w:rsidR="00610501" w:rsidRPr="00610501">
        <w:rPr>
          <w:rFonts w:hint="eastAsia"/>
        </w:rPr>
        <w:t>因發現確實之新證據，足認</w:t>
      </w:r>
      <w:r w:rsidR="00610501">
        <w:rPr>
          <w:rFonts w:hint="eastAsia"/>
        </w:rPr>
        <w:t>受有罪判決之人應受無罪、</w:t>
      </w:r>
      <w:proofErr w:type="gramStart"/>
      <w:r w:rsidR="00610501">
        <w:rPr>
          <w:rFonts w:hint="eastAsia"/>
        </w:rPr>
        <w:t>免訴</w:t>
      </w:r>
      <w:proofErr w:type="gramEnd"/>
      <w:r w:rsidR="00610501">
        <w:rPr>
          <w:rFonts w:hint="eastAsia"/>
        </w:rPr>
        <w:t>、免刑或輕於原判決所認罪名之判決者』</w:t>
      </w:r>
      <w:r w:rsidR="00610501" w:rsidRPr="00610501">
        <w:rPr>
          <w:rFonts w:hint="eastAsia"/>
        </w:rPr>
        <w:t>，作為得聲請再審原因之一項類型，司法實務上認為該證據，必須兼具新穎性（又稱新</w:t>
      </w:r>
      <w:proofErr w:type="gramStart"/>
      <w:r w:rsidR="00610501" w:rsidRPr="00610501">
        <w:rPr>
          <w:rFonts w:hint="eastAsia"/>
        </w:rPr>
        <w:t>規</w:t>
      </w:r>
      <w:proofErr w:type="gramEnd"/>
      <w:r w:rsidR="00610501" w:rsidRPr="00610501">
        <w:rPr>
          <w:rFonts w:hint="eastAsia"/>
        </w:rPr>
        <w:t>性或嶄新性）及明確性（</w:t>
      </w:r>
      <w:r w:rsidR="0046628A">
        <w:rPr>
          <w:rFonts w:hint="eastAsia"/>
        </w:rPr>
        <w:t>又稱確實性）2</w:t>
      </w:r>
      <w:r w:rsidR="00610501">
        <w:rPr>
          <w:rFonts w:hint="eastAsia"/>
        </w:rPr>
        <w:t>種要件，始克相當。晚近修正將</w:t>
      </w:r>
      <w:proofErr w:type="gramStart"/>
      <w:r w:rsidR="00610501">
        <w:rPr>
          <w:rFonts w:hint="eastAsia"/>
        </w:rPr>
        <w:t>上揭第一句</w:t>
      </w:r>
      <w:proofErr w:type="gramEnd"/>
      <w:r w:rsidR="00610501">
        <w:rPr>
          <w:rFonts w:hint="eastAsia"/>
        </w:rPr>
        <w:t>文字，改為『因發現新事實、新證據，單獨或與先前之證據綜合判斷』，並增定第3項為：『第1項第6</w:t>
      </w:r>
      <w:r w:rsidR="00610501" w:rsidRPr="00610501">
        <w:rPr>
          <w:rFonts w:hint="eastAsia"/>
        </w:rPr>
        <w:t>款之新事實或新證據，指判決確定前已存</w:t>
      </w:r>
      <w:r w:rsidR="00610501">
        <w:rPr>
          <w:rFonts w:hint="eastAsia"/>
        </w:rPr>
        <w:t>在或成立而未及調查斟酌，及判決確定後始存在或成立之事實、證據。』放寬其條件限制，承認『罪證有</w:t>
      </w:r>
      <w:proofErr w:type="gramStart"/>
      <w:r w:rsidR="00610501">
        <w:rPr>
          <w:rFonts w:hint="eastAsia"/>
        </w:rPr>
        <w:t>疑</w:t>
      </w:r>
      <w:proofErr w:type="gramEnd"/>
      <w:r w:rsidR="00610501">
        <w:rPr>
          <w:rFonts w:hint="eastAsia"/>
        </w:rPr>
        <w:t>、</w:t>
      </w:r>
      <w:proofErr w:type="gramStart"/>
      <w:r w:rsidR="00610501">
        <w:rPr>
          <w:rFonts w:hint="eastAsia"/>
        </w:rPr>
        <w:t>利歸被告</w:t>
      </w:r>
      <w:proofErr w:type="gramEnd"/>
      <w:r w:rsidR="00610501">
        <w:rPr>
          <w:rFonts w:hint="eastAsia"/>
        </w:rPr>
        <w:t>』</w:t>
      </w:r>
      <w:r w:rsidR="00610501" w:rsidRPr="00610501">
        <w:rPr>
          <w:rFonts w:hint="eastAsia"/>
        </w:rPr>
        <w:t>原則，並非</w:t>
      </w:r>
      <w:proofErr w:type="gramStart"/>
      <w:r w:rsidR="00610501" w:rsidRPr="00610501">
        <w:rPr>
          <w:rFonts w:hint="eastAsia"/>
        </w:rPr>
        <w:t>祇</w:t>
      </w:r>
      <w:proofErr w:type="gramEnd"/>
      <w:r w:rsidR="00610501" w:rsidRPr="00610501">
        <w:rPr>
          <w:rFonts w:hint="eastAsia"/>
        </w:rPr>
        <w:t>存在法院一般審判之中，而於判罪確定後之聲請再審，仍有適用，不再刻意要求受判決人（被告）與事證間關係之新穎性，而應著重於事證和法院間之關係，亦即</w:t>
      </w:r>
      <w:proofErr w:type="gramStart"/>
      <w:r w:rsidR="00610501" w:rsidRPr="00610501">
        <w:rPr>
          <w:rFonts w:hint="eastAsia"/>
        </w:rPr>
        <w:t>祇</w:t>
      </w:r>
      <w:proofErr w:type="gramEnd"/>
      <w:r w:rsidR="00610501" w:rsidRPr="00610501">
        <w:rPr>
          <w:rFonts w:hint="eastAsia"/>
        </w:rPr>
        <w:t>要事證具有明確性，不管其出現係在判決確定之前或之後，亦無論係單獨（例如不在場證明、頂替證據、新鑑定報告或方</w:t>
      </w:r>
      <w:r w:rsidR="00610501" w:rsidRPr="00610501">
        <w:rPr>
          <w:rFonts w:hint="eastAsia"/>
        </w:rPr>
        <w:lastRenderedPageBreak/>
        <w:t>法），或結合先前已經存在卷內之各項證據資料（我國現制</w:t>
      </w:r>
      <w:proofErr w:type="gramStart"/>
      <w:r w:rsidR="00610501" w:rsidRPr="00610501">
        <w:rPr>
          <w:rFonts w:hint="eastAsia"/>
        </w:rPr>
        <w:t>採</w:t>
      </w:r>
      <w:proofErr w:type="gramEnd"/>
      <w:r w:rsidR="00610501" w:rsidRPr="00610501">
        <w:rPr>
          <w:rFonts w:hint="eastAsia"/>
        </w:rPr>
        <w:t>卷證</w:t>
      </w:r>
      <w:proofErr w:type="gramStart"/>
      <w:r w:rsidR="00610501" w:rsidRPr="00610501">
        <w:rPr>
          <w:rFonts w:hint="eastAsia"/>
        </w:rPr>
        <w:t>併</w:t>
      </w:r>
      <w:proofErr w:type="gramEnd"/>
      <w:r w:rsidR="00610501" w:rsidRPr="00610501">
        <w:rPr>
          <w:rFonts w:hint="eastAsia"/>
        </w:rPr>
        <w:t>送主義，不同於日本，不生證據開示問題，理論上無檢察官故意隱匿有利被告證據之疑慮），予以綜合判斷，若因此能產生合理之懷疑，而有足以推翻原確定判決所認事實之蓋然性，即已該當。申言之，各項新、舊證據綜合判斷結果，不以獲致原確定判決所認定之犯罪事實，應是不存在或較輕微之確實心證為必要，而僅以基於合理、正當之理由，懷疑原已確認之犯罪事實並不實在，可能影響判決之結果或本旨為已足。縱然如此，不必至鐵定翻案、毫無疑問之程度；但反面言之，倘無法產生合理懷疑，不足以動搖原確定判決所認定之事實者，仍非法之所許。至於事證是否符合明確性之法定要件，其認定當受客觀存在之經驗法則、論理法則所支配。又同法第</w:t>
      </w:r>
      <w:r w:rsidR="00610501">
        <w:rPr>
          <w:rFonts w:hint="eastAsia"/>
        </w:rPr>
        <w:t>421</w:t>
      </w:r>
      <w:r w:rsidR="00610501" w:rsidRPr="00610501">
        <w:rPr>
          <w:rFonts w:hint="eastAsia"/>
        </w:rPr>
        <w:t>條關於不得上訴於第三審法院之案件，就足以影響判決之重要證據漏未審酌，得聲請再審之規定，雖然</w:t>
      </w:r>
      <w:r w:rsidR="00610501">
        <w:rPr>
          <w:rFonts w:hint="eastAsia"/>
        </w:rPr>
        <w:t>未同時配合修正，且其中『重要證據』</w:t>
      </w:r>
      <w:r w:rsidR="00610501" w:rsidRPr="00610501">
        <w:rPr>
          <w:rFonts w:hint="eastAsia"/>
        </w:rPr>
        <w:t>之法文和</w:t>
      </w:r>
      <w:proofErr w:type="gramStart"/>
      <w:r w:rsidR="00610501" w:rsidRPr="00610501">
        <w:rPr>
          <w:rFonts w:hint="eastAsia"/>
        </w:rPr>
        <w:t>上揭新事</w:t>
      </w:r>
      <w:proofErr w:type="gramEnd"/>
      <w:r w:rsidR="00610501" w:rsidRPr="00610501">
        <w:rPr>
          <w:rFonts w:hint="eastAsia"/>
        </w:rPr>
        <w:t>證之規範文字不同，但涵義其實無異，應為相同之解釋；</w:t>
      </w:r>
      <w:proofErr w:type="gramStart"/>
      <w:r w:rsidR="00610501" w:rsidRPr="00610501">
        <w:rPr>
          <w:rFonts w:hint="eastAsia"/>
        </w:rPr>
        <w:t>從而，</w:t>
      </w:r>
      <w:proofErr w:type="gramEnd"/>
      <w:r w:rsidR="00610501" w:rsidRPr="00610501">
        <w:rPr>
          <w:rFonts w:hint="eastAsia"/>
        </w:rPr>
        <w:t>聲請人依憑其片面、主觀所主張之證據，無論新、舊、單獨或結合其他卷存證據觀察，綜合判斷之評價結果，如客觀上尚難認為足以動搖第二審確定判決所認定之事實者，同無准許再審之餘地。</w:t>
      </w:r>
      <w:r w:rsidR="00610501">
        <w:rPr>
          <w:rFonts w:hint="eastAsia"/>
        </w:rPr>
        <w:t>」</w:t>
      </w:r>
      <w:r w:rsidR="00882825">
        <w:rPr>
          <w:rFonts w:hint="eastAsia"/>
        </w:rPr>
        <w:t>最高法院</w:t>
      </w:r>
      <w:proofErr w:type="gramStart"/>
      <w:r w:rsidR="00882825">
        <w:rPr>
          <w:rFonts w:hint="eastAsia"/>
        </w:rPr>
        <w:t>104</w:t>
      </w:r>
      <w:proofErr w:type="gramEnd"/>
      <w:r w:rsidR="00882825">
        <w:rPr>
          <w:rFonts w:hint="eastAsia"/>
        </w:rPr>
        <w:t>年度</w:t>
      </w:r>
      <w:proofErr w:type="gramStart"/>
      <w:r w:rsidR="00882825">
        <w:rPr>
          <w:rFonts w:hint="eastAsia"/>
        </w:rPr>
        <w:t>台抗字</w:t>
      </w:r>
      <w:proofErr w:type="gramEnd"/>
      <w:r w:rsidR="00882825">
        <w:rPr>
          <w:rFonts w:hint="eastAsia"/>
        </w:rPr>
        <w:t>第425號裁定</w:t>
      </w:r>
      <w:r w:rsidR="00610501">
        <w:rPr>
          <w:rFonts w:hint="eastAsia"/>
        </w:rPr>
        <w:t>亦</w:t>
      </w:r>
      <w:r w:rsidR="00882825">
        <w:rPr>
          <w:rFonts w:hint="eastAsia"/>
        </w:rPr>
        <w:t>闡明：「修正後刑事訴訟法第420條第1項第6款所稱之『新事實』或『新證據』</w:t>
      </w:r>
      <w:r w:rsidR="00882825" w:rsidRPr="00882825">
        <w:rPr>
          <w:rFonts w:hint="eastAsia"/>
        </w:rPr>
        <w:t>，應係指該等事實或證據之出現，不論係單獨或與先前之證據綜合判斷，須使再審法院對原確定判決認定之事實產生合理之懷疑，並相信有足以動搖原確定判決而為有利受判決人之判決之蓋然性存在。又該等事實或證據是否足使再</w:t>
      </w:r>
      <w:r w:rsidR="00444B47">
        <w:rPr>
          <w:rFonts w:hint="eastAsia"/>
        </w:rPr>
        <w:t>審法院合</w:t>
      </w:r>
      <w:r w:rsidR="00444B47">
        <w:rPr>
          <w:rFonts w:hint="eastAsia"/>
        </w:rPr>
        <w:lastRenderedPageBreak/>
        <w:t>理相信足以動搖原有罪之確定判決，而開啟再審之程序，應以『</w:t>
      </w:r>
      <w:r w:rsidR="00882825" w:rsidRPr="00882825">
        <w:rPr>
          <w:rFonts w:hint="eastAsia"/>
        </w:rPr>
        <w:t>該等事實或證據若曾於作成確定判決之原審法院審理中予以提出，原審法院就該等事實或證據之本身或與</w:t>
      </w:r>
      <w:r w:rsidR="00444B47">
        <w:rPr>
          <w:rFonts w:hint="eastAsia"/>
        </w:rPr>
        <w:t>其他全部證據為綜合之評價，或許原確定判決即不會有如此</w:t>
      </w:r>
      <w:proofErr w:type="gramStart"/>
      <w:r w:rsidR="00444B47">
        <w:rPr>
          <w:rFonts w:hint="eastAsia"/>
        </w:rPr>
        <w:t>之</w:t>
      </w:r>
      <w:proofErr w:type="gramEnd"/>
      <w:r w:rsidR="00444B47">
        <w:rPr>
          <w:rFonts w:hint="eastAsia"/>
        </w:rPr>
        <w:t>事實認定』</w:t>
      </w:r>
      <w:r w:rsidR="00882825" w:rsidRPr="00882825">
        <w:rPr>
          <w:rFonts w:hint="eastAsia"/>
        </w:rPr>
        <w:t>，資為判斷應否准予開始再審之</w:t>
      </w:r>
      <w:proofErr w:type="gramStart"/>
      <w:r w:rsidR="00882825" w:rsidRPr="00882825">
        <w:rPr>
          <w:rFonts w:hint="eastAsia"/>
        </w:rPr>
        <w:t>準</w:t>
      </w:r>
      <w:proofErr w:type="gramEnd"/>
      <w:r w:rsidR="00882825" w:rsidRPr="00882825">
        <w:rPr>
          <w:rFonts w:hint="eastAsia"/>
        </w:rPr>
        <w:t>據。</w:t>
      </w:r>
      <w:r w:rsidR="00882825">
        <w:rPr>
          <w:rFonts w:hint="eastAsia"/>
        </w:rPr>
        <w:t>」</w:t>
      </w:r>
    </w:p>
    <w:p w:rsidR="00C467FD" w:rsidRPr="00C467FD" w:rsidRDefault="00D048F4" w:rsidP="00AD6BD7">
      <w:pPr>
        <w:pStyle w:val="3"/>
        <w:rPr>
          <w:szCs w:val="32"/>
        </w:rPr>
      </w:pPr>
      <w:r>
        <w:rPr>
          <w:rFonts w:hint="eastAsia"/>
        </w:rPr>
        <w:t>本案</w:t>
      </w:r>
      <w:r w:rsidR="002F584B" w:rsidRPr="00DA7555">
        <w:rPr>
          <w:rFonts w:hint="eastAsia"/>
        </w:rPr>
        <w:t>八里污水廠工程預算，於76年6月簽奉臺灣省政府同意委託技術顧問機構設計</w:t>
      </w:r>
      <w:proofErr w:type="gramStart"/>
      <w:r w:rsidR="009D209D" w:rsidRPr="009D209D">
        <w:rPr>
          <w:rFonts w:hint="eastAsia"/>
        </w:rPr>
        <w:t>【</w:t>
      </w:r>
      <w:proofErr w:type="gramEnd"/>
      <w:r w:rsidR="009D209D">
        <w:rPr>
          <w:rFonts w:hint="eastAsia"/>
        </w:rPr>
        <w:t>由美商</w:t>
      </w:r>
      <w:proofErr w:type="spellStart"/>
      <w:r w:rsidR="009D209D">
        <w:rPr>
          <w:rFonts w:hint="eastAsia"/>
        </w:rPr>
        <w:t>C.E.Maguire</w:t>
      </w:r>
      <w:proofErr w:type="spellEnd"/>
      <w:r w:rsidR="009D209D">
        <w:rPr>
          <w:rFonts w:hint="eastAsia"/>
        </w:rPr>
        <w:t>公司</w:t>
      </w:r>
      <w:r w:rsidR="009D209D" w:rsidRPr="009D209D">
        <w:rPr>
          <w:rFonts w:hint="eastAsia"/>
        </w:rPr>
        <w:t>（下稱馬格里公司</w:t>
      </w:r>
      <w:r w:rsidR="009D209D" w:rsidRPr="009D209D">
        <w:t>）</w:t>
      </w:r>
      <w:r w:rsidR="009D209D" w:rsidRPr="009D209D">
        <w:rPr>
          <w:rFonts w:hint="eastAsia"/>
        </w:rPr>
        <w:t>得標</w:t>
      </w:r>
      <w:proofErr w:type="gramStart"/>
      <w:r w:rsidR="009D209D" w:rsidRPr="009D209D">
        <w:rPr>
          <w:rFonts w:hint="eastAsia"/>
        </w:rPr>
        <w:t>】</w:t>
      </w:r>
      <w:proofErr w:type="gramEnd"/>
      <w:r w:rsidR="002F584B" w:rsidRPr="00DA7555">
        <w:rPr>
          <w:rFonts w:hint="eastAsia"/>
        </w:rPr>
        <w:t>，初估建造費約</w:t>
      </w:r>
      <w:r w:rsidR="00AD6BD7" w:rsidRPr="00AD6BD7">
        <w:rPr>
          <w:rFonts w:hint="eastAsia"/>
        </w:rPr>
        <w:t>（新臺幣，下同）</w:t>
      </w:r>
      <w:r w:rsidR="002F584B" w:rsidRPr="00DA7555">
        <w:rPr>
          <w:rFonts w:hint="eastAsia"/>
        </w:rPr>
        <w:t>6億元。</w:t>
      </w:r>
      <w:proofErr w:type="gramStart"/>
      <w:r w:rsidR="002F584B" w:rsidRPr="00DA7555">
        <w:rPr>
          <w:rFonts w:hint="eastAsia"/>
        </w:rPr>
        <w:t>嗣</w:t>
      </w:r>
      <w:proofErr w:type="gramEnd"/>
      <w:r w:rsidR="002F584B" w:rsidRPr="00DA7555">
        <w:rPr>
          <w:rFonts w:hint="eastAsia"/>
        </w:rPr>
        <w:t>經</w:t>
      </w:r>
      <w:r w:rsidRPr="009751BE">
        <w:rPr>
          <w:rFonts w:hint="eastAsia"/>
        </w:rPr>
        <w:t>前臺灣省政府住宅及都市發展局</w:t>
      </w:r>
      <w:r w:rsidRPr="009751BE">
        <w:t>(</w:t>
      </w:r>
      <w:r w:rsidRPr="009751BE">
        <w:rPr>
          <w:rFonts w:hint="eastAsia"/>
        </w:rPr>
        <w:t>下稱</w:t>
      </w:r>
      <w:r w:rsidRPr="00B93597">
        <w:rPr>
          <w:rFonts w:hint="eastAsia"/>
          <w:color w:val="000000" w:themeColor="text1"/>
        </w:rPr>
        <w:t>前省住都局</w:t>
      </w:r>
      <w:r>
        <w:rPr>
          <w:rFonts w:hint="eastAsia"/>
        </w:rPr>
        <w:t>；</w:t>
      </w:r>
      <w:r w:rsidRPr="00405BD8">
        <w:rPr>
          <w:rFonts w:hint="eastAsia"/>
        </w:rPr>
        <w:t>現</w:t>
      </w:r>
      <w:r>
        <w:rPr>
          <w:rFonts w:hint="eastAsia"/>
        </w:rPr>
        <w:t>業經整</w:t>
      </w:r>
      <w:proofErr w:type="gramStart"/>
      <w:r>
        <w:rPr>
          <w:rFonts w:hint="eastAsia"/>
        </w:rPr>
        <w:t>併</w:t>
      </w:r>
      <w:proofErr w:type="gramEnd"/>
      <w:r>
        <w:rPr>
          <w:rFonts w:hint="eastAsia"/>
        </w:rPr>
        <w:t>為</w:t>
      </w:r>
      <w:r w:rsidRPr="00944627">
        <w:t>內政部營建署城鄉發展分署</w:t>
      </w:r>
      <w:r w:rsidRPr="009751BE">
        <w:t>)</w:t>
      </w:r>
      <w:r w:rsidR="002F584B" w:rsidRPr="00DA7555">
        <w:rPr>
          <w:rFonts w:hint="eastAsia"/>
        </w:rPr>
        <w:t>設計單位審查，於78年11月29日核定施工</w:t>
      </w:r>
      <w:proofErr w:type="gramStart"/>
      <w:r w:rsidR="002F584B" w:rsidRPr="00DA7555">
        <w:rPr>
          <w:rFonts w:hint="eastAsia"/>
        </w:rPr>
        <w:t>預算書總工程</w:t>
      </w:r>
      <w:proofErr w:type="gramEnd"/>
      <w:r w:rsidR="002F584B" w:rsidRPr="00DA7555">
        <w:rPr>
          <w:rFonts w:hint="eastAsia"/>
        </w:rPr>
        <w:t>費為24億8,000萬元，行政院於79年6月20日台79內15580號</w:t>
      </w:r>
      <w:r>
        <w:rPr>
          <w:rFonts w:hint="eastAsia"/>
        </w:rPr>
        <w:t>函復</w:t>
      </w:r>
      <w:r w:rsidR="002F584B" w:rsidRPr="00DA7555">
        <w:rPr>
          <w:rFonts w:hint="eastAsia"/>
        </w:rPr>
        <w:t>意旨，暫估工程費為15億元</w:t>
      </w:r>
      <w:r w:rsidR="002F584B">
        <w:rPr>
          <w:rFonts w:hint="eastAsia"/>
        </w:rPr>
        <w:t>，</w:t>
      </w:r>
      <w:proofErr w:type="gramStart"/>
      <w:r w:rsidR="002F584B" w:rsidRPr="00DA7555">
        <w:rPr>
          <w:rFonts w:hint="eastAsia"/>
        </w:rPr>
        <w:t>嗣</w:t>
      </w:r>
      <w:proofErr w:type="gramEnd"/>
      <w:r w:rsidR="002F584B" w:rsidRPr="00DA7555">
        <w:rPr>
          <w:rFonts w:hint="eastAsia"/>
        </w:rPr>
        <w:t>於</w:t>
      </w:r>
      <w:r w:rsidR="002F584B" w:rsidRPr="009D209D">
        <w:rPr>
          <w:rFonts w:hint="eastAsia"/>
        </w:rPr>
        <w:t>79年3月14日</w:t>
      </w:r>
      <w:r w:rsidR="002F584B" w:rsidRPr="00DA7555">
        <w:rPr>
          <w:rFonts w:hint="eastAsia"/>
        </w:rPr>
        <w:t>、同年</w:t>
      </w:r>
      <w:r w:rsidR="002F584B" w:rsidRPr="009D209D">
        <w:rPr>
          <w:rFonts w:hint="eastAsia"/>
        </w:rPr>
        <w:t>5月1日</w:t>
      </w:r>
      <w:r w:rsidR="002F584B">
        <w:rPr>
          <w:rFonts w:hint="eastAsia"/>
        </w:rPr>
        <w:t>2次</w:t>
      </w:r>
      <w:r w:rsidR="002F584B" w:rsidRPr="00DA7555">
        <w:rPr>
          <w:rFonts w:hint="eastAsia"/>
        </w:rPr>
        <w:t>流標後，</w:t>
      </w:r>
      <w:r w:rsidR="002F584B">
        <w:rPr>
          <w:rFonts w:hint="eastAsia"/>
        </w:rPr>
        <w:t>前省住都局</w:t>
      </w:r>
      <w:r w:rsidR="002F584B" w:rsidRPr="00DA7555">
        <w:rPr>
          <w:rFonts w:hint="eastAsia"/>
        </w:rPr>
        <w:t>工務處將該工程預算及設計圖等資料退</w:t>
      </w:r>
      <w:r w:rsidR="002F584B">
        <w:rPr>
          <w:rFonts w:hint="eastAsia"/>
        </w:rPr>
        <w:t>回</w:t>
      </w:r>
      <w:r w:rsidR="00906530" w:rsidRPr="00405BD8">
        <w:rPr>
          <w:rFonts w:hint="eastAsia"/>
        </w:rPr>
        <w:t>環境工程處</w:t>
      </w:r>
      <w:r w:rsidR="002F584B" w:rsidRPr="00DA7555">
        <w:rPr>
          <w:rFonts w:hint="eastAsia"/>
        </w:rPr>
        <w:t>重新檢討，</w:t>
      </w:r>
      <w:r w:rsidR="00FA3301">
        <w:rPr>
          <w:rFonts w:hint="eastAsia"/>
        </w:rPr>
        <w:t>該局幫</w:t>
      </w:r>
      <w:r w:rsidR="00AD6BD7">
        <w:rPr>
          <w:rFonts w:hint="eastAsia"/>
        </w:rPr>
        <w:t>工程司</w:t>
      </w:r>
      <w:r w:rsidR="002F584B" w:rsidRPr="00DA7555">
        <w:rPr>
          <w:rFonts w:hint="eastAsia"/>
        </w:rPr>
        <w:t>沈德亮於</w:t>
      </w:r>
      <w:r w:rsidR="002F584B" w:rsidRPr="009D209D">
        <w:rPr>
          <w:rFonts w:hint="eastAsia"/>
        </w:rPr>
        <w:t>79年9月16日</w:t>
      </w:r>
      <w:r w:rsidR="002F584B" w:rsidRPr="00DA7555">
        <w:rPr>
          <w:rFonts w:hint="eastAsia"/>
        </w:rPr>
        <w:t>擬具修改招標資格及提高預算之簽呈及檢具將該工程預算提高至51億3,800萬元預算書1份，逐</w:t>
      </w:r>
      <w:r w:rsidR="006C0B31">
        <w:rPr>
          <w:rFonts w:hint="eastAsia"/>
        </w:rPr>
        <w:t>級呈交林有德、郭龍朗、林文烈等人在簽呈及預算書上核章以示同意</w:t>
      </w:r>
      <w:r w:rsidR="009A455A">
        <w:rPr>
          <w:rFonts w:hint="eastAsia"/>
        </w:rPr>
        <w:t>。</w:t>
      </w:r>
      <w:r w:rsidR="002F584B" w:rsidRPr="00DA7555">
        <w:rPr>
          <w:rFonts w:hint="eastAsia"/>
        </w:rPr>
        <w:t>該修正預算書於79年10月2日核准</w:t>
      </w:r>
      <w:r w:rsidR="002F584B" w:rsidRPr="004C4446">
        <w:rPr>
          <w:rFonts w:hint="eastAsia"/>
        </w:rPr>
        <w:t>，</w:t>
      </w:r>
      <w:r w:rsidR="006C0B31">
        <w:rPr>
          <w:rFonts w:hint="eastAsia"/>
        </w:rPr>
        <w:t>沈德亮另又以本案進口器材甚多，廠商須負擔龐</w:t>
      </w:r>
      <w:r w:rsidR="006C0B31" w:rsidRPr="009A455A">
        <w:rPr>
          <w:rFonts w:hint="eastAsia"/>
        </w:rPr>
        <w:t>大資</w:t>
      </w:r>
      <w:r w:rsidR="006C0B31" w:rsidRPr="00C467FD">
        <w:rPr>
          <w:rFonts w:hint="eastAsia"/>
          <w:szCs w:val="32"/>
        </w:rPr>
        <w:t>金等理由，於79年10月9日簽准同意支付得標額30%之預付款</w:t>
      </w:r>
      <w:r w:rsidR="009A455A" w:rsidRPr="00C467FD">
        <w:rPr>
          <w:rFonts w:hint="eastAsia"/>
          <w:szCs w:val="32"/>
        </w:rPr>
        <w:t>。</w:t>
      </w:r>
      <w:proofErr w:type="gramStart"/>
      <w:r w:rsidR="009A455A" w:rsidRPr="00C467FD">
        <w:rPr>
          <w:rFonts w:hint="eastAsia"/>
          <w:szCs w:val="32"/>
        </w:rPr>
        <w:t>嗣</w:t>
      </w:r>
      <w:proofErr w:type="gramEnd"/>
      <w:r w:rsidR="006C0B31" w:rsidRPr="00C467FD">
        <w:rPr>
          <w:rFonts w:hint="eastAsia"/>
          <w:szCs w:val="32"/>
        </w:rPr>
        <w:t>79年12月18日第3次開標，嘉成營造股份公司</w:t>
      </w:r>
      <w:r w:rsidR="00047C41" w:rsidRPr="00C467FD">
        <w:rPr>
          <w:rFonts w:hint="eastAsia"/>
          <w:szCs w:val="32"/>
        </w:rPr>
        <w:t>（下稱嘉成公司）以22億870萬元及馬克1億1,500萬元(折合新臺幣43億4,310萬元)得標</w:t>
      </w:r>
      <w:r w:rsidR="002353C2" w:rsidRPr="00C467FD">
        <w:rPr>
          <w:rFonts w:hint="eastAsia"/>
          <w:szCs w:val="32"/>
        </w:rPr>
        <w:t>。86年1月4日</w:t>
      </w:r>
      <w:r w:rsidR="009A455A" w:rsidRPr="00C467FD">
        <w:rPr>
          <w:rFonts w:hint="eastAsia"/>
          <w:szCs w:val="32"/>
        </w:rPr>
        <w:t>檢察官以沈德亮等人</w:t>
      </w:r>
      <w:r w:rsidR="00AD6BD7">
        <w:rPr>
          <w:rFonts w:hint="eastAsia"/>
          <w:szCs w:val="32"/>
        </w:rPr>
        <w:t>涉犯</w:t>
      </w:r>
      <w:r w:rsidR="009A455A" w:rsidRPr="00C467FD">
        <w:rPr>
          <w:rFonts w:hint="eastAsia"/>
          <w:szCs w:val="32"/>
        </w:rPr>
        <w:t>貪污治罪條例提起公訴，</w:t>
      </w:r>
      <w:proofErr w:type="gramStart"/>
      <w:r w:rsidR="00C467FD" w:rsidRPr="00C467FD">
        <w:rPr>
          <w:rFonts w:hint="eastAsia"/>
          <w:szCs w:val="32"/>
        </w:rPr>
        <w:t>遞經各</w:t>
      </w:r>
      <w:proofErr w:type="gramEnd"/>
      <w:r w:rsidR="00C467FD" w:rsidRPr="00C467FD">
        <w:rPr>
          <w:rFonts w:hint="eastAsia"/>
          <w:szCs w:val="32"/>
        </w:rPr>
        <w:t>級法院審理，於105年12月29日最高法院</w:t>
      </w:r>
      <w:proofErr w:type="gramStart"/>
      <w:r w:rsidR="00C467FD" w:rsidRPr="00C467FD">
        <w:rPr>
          <w:rFonts w:hint="eastAsia"/>
          <w:szCs w:val="32"/>
        </w:rPr>
        <w:t>105</w:t>
      </w:r>
      <w:proofErr w:type="gramEnd"/>
      <w:r w:rsidR="00C467FD" w:rsidRPr="00C467FD">
        <w:rPr>
          <w:rFonts w:hint="eastAsia"/>
          <w:szCs w:val="32"/>
        </w:rPr>
        <w:t>年度台上字第3447號判決</w:t>
      </w:r>
      <w:r w:rsidR="00C467FD" w:rsidRPr="009E4224">
        <w:rPr>
          <w:rFonts w:hint="eastAsia"/>
          <w:szCs w:val="32"/>
        </w:rPr>
        <w:t>沈德亮、林</w:t>
      </w:r>
      <w:r w:rsidR="009C2A64">
        <w:rPr>
          <w:rFonts w:hint="eastAsia"/>
          <w:szCs w:val="32"/>
        </w:rPr>
        <w:t>文烈</w:t>
      </w:r>
      <w:r w:rsidR="00C467FD" w:rsidRPr="009E4224">
        <w:rPr>
          <w:rFonts w:hint="eastAsia"/>
          <w:szCs w:val="32"/>
        </w:rPr>
        <w:t>等</w:t>
      </w:r>
      <w:r w:rsidR="00C467FD" w:rsidRPr="00C467FD">
        <w:rPr>
          <w:rFonts w:hint="eastAsia"/>
          <w:szCs w:val="32"/>
        </w:rPr>
        <w:t>共</w:t>
      </w:r>
      <w:r w:rsidR="00C467FD" w:rsidRPr="00C467FD">
        <w:rPr>
          <w:rFonts w:hint="eastAsia"/>
          <w:szCs w:val="32"/>
        </w:rPr>
        <w:lastRenderedPageBreak/>
        <w:t>同犯</w:t>
      </w:r>
      <w:r w:rsidR="00C467FD" w:rsidRPr="009E4224">
        <w:rPr>
          <w:rFonts w:hint="eastAsia"/>
          <w:szCs w:val="32"/>
        </w:rPr>
        <w:t>經辦公用工程浮報價額、對主管事務圖利等罪</w:t>
      </w:r>
      <w:r w:rsidR="00C467FD" w:rsidRPr="00C467FD">
        <w:rPr>
          <w:rFonts w:hint="eastAsia"/>
          <w:szCs w:val="32"/>
        </w:rPr>
        <w:t>確定</w:t>
      </w:r>
      <w:r w:rsidR="002F584B" w:rsidRPr="00C467FD">
        <w:rPr>
          <w:rFonts w:hint="eastAsia"/>
          <w:szCs w:val="32"/>
        </w:rPr>
        <w:t>。</w:t>
      </w:r>
    </w:p>
    <w:p w:rsidR="00444B47" w:rsidRPr="00D32E54" w:rsidRDefault="009E4224" w:rsidP="00A72ABA">
      <w:pPr>
        <w:pStyle w:val="3"/>
        <w:ind w:leftChars="200"/>
        <w:rPr>
          <w:szCs w:val="32"/>
        </w:rPr>
      </w:pPr>
      <w:r>
        <w:rPr>
          <w:rFonts w:hint="eastAsia"/>
        </w:rPr>
        <w:t>查</w:t>
      </w:r>
      <w:r w:rsidR="005F745B">
        <w:rPr>
          <w:rFonts w:hint="eastAsia"/>
        </w:rPr>
        <w:t>本案</w:t>
      </w:r>
      <w:r>
        <w:rPr>
          <w:rFonts w:hint="eastAsia"/>
        </w:rPr>
        <w:t>最後事實審</w:t>
      </w:r>
      <w:r w:rsidRPr="009E4224">
        <w:rPr>
          <w:rFonts w:hint="eastAsia"/>
        </w:rPr>
        <w:t>臺灣高等法院</w:t>
      </w:r>
      <w:proofErr w:type="gramStart"/>
      <w:r w:rsidRPr="009E4224">
        <w:rPr>
          <w:rFonts w:hint="eastAsia"/>
        </w:rPr>
        <w:t>101</w:t>
      </w:r>
      <w:proofErr w:type="gramEnd"/>
      <w:r w:rsidRPr="009E4224">
        <w:rPr>
          <w:rFonts w:hint="eastAsia"/>
        </w:rPr>
        <w:t>年度</w:t>
      </w:r>
      <w:proofErr w:type="gramStart"/>
      <w:r w:rsidRPr="009E4224">
        <w:rPr>
          <w:rFonts w:hint="eastAsia"/>
        </w:rPr>
        <w:t>重矚上更</w:t>
      </w:r>
      <w:proofErr w:type="gramEnd"/>
      <w:r w:rsidRPr="009E4224">
        <w:rPr>
          <w:rFonts w:hint="eastAsia"/>
        </w:rPr>
        <w:t>(二)字第108號判決</w:t>
      </w:r>
      <w:r w:rsidR="002849D0">
        <w:rPr>
          <w:rFonts w:hint="eastAsia"/>
        </w:rPr>
        <w:t>主要以90年2月5日工程會(90)</w:t>
      </w:r>
      <w:proofErr w:type="gramStart"/>
      <w:r w:rsidR="002849D0">
        <w:rPr>
          <w:rFonts w:hint="eastAsia"/>
        </w:rPr>
        <w:t>工程術字第90003924號</w:t>
      </w:r>
      <w:proofErr w:type="gramEnd"/>
      <w:r w:rsidR="002849D0">
        <w:rPr>
          <w:rFonts w:hint="eastAsia"/>
        </w:rPr>
        <w:t>函復鑑定意見書：「</w:t>
      </w:r>
      <w:r w:rsidR="002849D0" w:rsidRPr="00796E0D">
        <w:rPr>
          <w:rFonts w:hint="eastAsia"/>
          <w:b/>
          <w:u w:val="single"/>
        </w:rPr>
        <w:t>營建署資料除直接工程費用外，另外編列管理及利潤等費用</w:t>
      </w:r>
      <w:r w:rsidR="002849D0">
        <w:rPr>
          <w:rFonts w:hint="eastAsia"/>
        </w:rPr>
        <w:t>，</w:t>
      </w:r>
      <w:r w:rsidR="002849D0" w:rsidRPr="00796E0D">
        <w:rPr>
          <w:rFonts w:hint="eastAsia"/>
          <w:b/>
          <w:u w:val="single"/>
        </w:rPr>
        <w:t>而Maguire Group公司估價資料已包含其他費用、管理及利潤，因此營建署資料又再多出共約6.07億元</w:t>
      </w:r>
      <w:r w:rsidR="002849D0">
        <w:rPr>
          <w:rFonts w:hint="eastAsia"/>
        </w:rPr>
        <w:t>」</w:t>
      </w:r>
      <w:r w:rsidR="0046628A">
        <w:rPr>
          <w:rFonts w:hint="eastAsia"/>
        </w:rPr>
        <w:t>，</w:t>
      </w:r>
      <w:r w:rsidR="002849D0">
        <w:rPr>
          <w:rFonts w:hint="eastAsia"/>
        </w:rPr>
        <w:t>及98年4月21日工程會工程</w:t>
      </w:r>
      <w:proofErr w:type="gramStart"/>
      <w:r w:rsidR="002849D0">
        <w:rPr>
          <w:rFonts w:hint="eastAsia"/>
        </w:rPr>
        <w:t>鑑</w:t>
      </w:r>
      <w:proofErr w:type="gramEnd"/>
      <w:r w:rsidR="002849D0">
        <w:rPr>
          <w:rFonts w:hint="eastAsia"/>
        </w:rPr>
        <w:t>字第09800143650號函復鑑定意見書：「被告</w:t>
      </w:r>
      <w:r w:rsidR="002849D0" w:rsidRPr="00796E0D">
        <w:rPr>
          <w:rFonts w:hint="eastAsia"/>
          <w:b/>
          <w:u w:val="single"/>
        </w:rPr>
        <w:t>應先將</w:t>
      </w:r>
      <w:r w:rsidR="002849D0">
        <w:rPr>
          <w:rFonts w:hint="eastAsia"/>
        </w:rPr>
        <w:t>美商馬格里公司</w:t>
      </w:r>
      <w:r w:rsidR="00870CBF">
        <w:rPr>
          <w:rStyle w:val="afe"/>
        </w:rPr>
        <w:footnoteReference w:id="1"/>
      </w:r>
      <w:r w:rsidR="002849D0">
        <w:rPr>
          <w:rFonts w:hint="eastAsia"/>
        </w:rPr>
        <w:t>之</w:t>
      </w:r>
      <w:r w:rsidR="002849D0" w:rsidRPr="00796E0D">
        <w:rPr>
          <w:rFonts w:hint="eastAsia"/>
          <w:b/>
          <w:u w:val="single"/>
        </w:rPr>
        <w:t>估價資料先扣除間接費用、其他費用、管理及利潤費用後</w:t>
      </w:r>
      <w:r w:rsidR="002849D0">
        <w:rPr>
          <w:rFonts w:hint="eastAsia"/>
        </w:rPr>
        <w:t>，始依省府規定編列相關費用，</w:t>
      </w:r>
      <w:r w:rsidR="002849D0" w:rsidRPr="00796E0D">
        <w:rPr>
          <w:rFonts w:hint="eastAsia"/>
          <w:b/>
          <w:u w:val="single"/>
        </w:rPr>
        <w:t>才算合理</w:t>
      </w:r>
      <w:r w:rsidR="002849D0">
        <w:rPr>
          <w:rFonts w:hint="eastAsia"/>
        </w:rPr>
        <w:t>」為據，</w:t>
      </w:r>
      <w:r w:rsidR="00A72ABA">
        <w:rPr>
          <w:rFonts w:hint="eastAsia"/>
        </w:rPr>
        <w:t>而</w:t>
      </w:r>
      <w:r w:rsidR="002849D0" w:rsidRPr="00D32E54">
        <w:rPr>
          <w:rFonts w:hint="eastAsia"/>
          <w:szCs w:val="32"/>
        </w:rPr>
        <w:t>認被告林文烈、沈德亮</w:t>
      </w:r>
      <w:r w:rsidR="00E40289" w:rsidRPr="00D32E54">
        <w:rPr>
          <w:rFonts w:hint="eastAsia"/>
          <w:szCs w:val="32"/>
        </w:rPr>
        <w:t>重複</w:t>
      </w:r>
      <w:r w:rsidR="002849D0" w:rsidRPr="00D32E54">
        <w:rPr>
          <w:rFonts w:hint="eastAsia"/>
          <w:szCs w:val="32"/>
        </w:rPr>
        <w:t>編列</w:t>
      </w:r>
      <w:r w:rsidR="007A0F4D" w:rsidRPr="00D32E54">
        <w:rPr>
          <w:rFonts w:hAnsi="標楷體" w:hint="eastAsia"/>
          <w:szCs w:val="32"/>
        </w:rPr>
        <w:t>「</w:t>
      </w:r>
      <w:r w:rsidR="005772F8" w:rsidRPr="00D32E54">
        <w:rPr>
          <w:rFonts w:hint="eastAsia"/>
          <w:szCs w:val="32"/>
        </w:rPr>
        <w:t>管理及利潤費用</w:t>
      </w:r>
      <w:r w:rsidR="007A0F4D" w:rsidRPr="00D32E54">
        <w:rPr>
          <w:rFonts w:hAnsi="標楷體" w:hint="eastAsia"/>
          <w:szCs w:val="32"/>
        </w:rPr>
        <w:t>」</w:t>
      </w:r>
      <w:r w:rsidR="007A0F4D" w:rsidRPr="00D32E54">
        <w:rPr>
          <w:rFonts w:hint="eastAsia"/>
          <w:szCs w:val="32"/>
        </w:rPr>
        <w:t>6.07億元</w:t>
      </w:r>
      <w:r w:rsidR="00A86628">
        <w:rPr>
          <w:rFonts w:hint="eastAsia"/>
          <w:szCs w:val="32"/>
        </w:rPr>
        <w:t>，</w:t>
      </w:r>
      <w:r w:rsidR="00A72ABA">
        <w:rPr>
          <w:rFonts w:hint="eastAsia"/>
          <w:szCs w:val="32"/>
        </w:rPr>
        <w:t>並</w:t>
      </w:r>
      <w:r w:rsidR="00FD0B0D">
        <w:rPr>
          <w:rFonts w:hAnsi="標楷體" w:hint="eastAsia"/>
          <w:szCs w:val="32"/>
        </w:rPr>
        <w:t>論</w:t>
      </w:r>
      <w:r w:rsidR="00D32E54" w:rsidRPr="00D32E54">
        <w:rPr>
          <w:rFonts w:hAnsi="標楷體" w:hint="eastAsia"/>
          <w:szCs w:val="32"/>
        </w:rPr>
        <w:t>以</w:t>
      </w:r>
      <w:r w:rsidR="00367DE8" w:rsidRPr="00D32E54">
        <w:rPr>
          <w:rFonts w:hint="eastAsia"/>
          <w:szCs w:val="32"/>
        </w:rPr>
        <w:t>共同犯</w:t>
      </w:r>
      <w:r w:rsidR="00367DE8" w:rsidRPr="00D32E54">
        <w:rPr>
          <w:rFonts w:hint="eastAsia"/>
          <w:b/>
          <w:szCs w:val="32"/>
          <w:u w:val="single"/>
        </w:rPr>
        <w:t>經辦公用工程浮報</w:t>
      </w:r>
      <w:proofErr w:type="gramStart"/>
      <w:r w:rsidR="00367DE8" w:rsidRPr="00D32E54">
        <w:rPr>
          <w:rFonts w:hint="eastAsia"/>
          <w:b/>
          <w:szCs w:val="32"/>
          <w:u w:val="single"/>
        </w:rPr>
        <w:t>價額罪</w:t>
      </w:r>
      <w:proofErr w:type="gramEnd"/>
      <w:r w:rsidR="00A72ABA">
        <w:rPr>
          <w:rFonts w:hint="eastAsia"/>
          <w:szCs w:val="32"/>
        </w:rPr>
        <w:t>；</w:t>
      </w:r>
      <w:r w:rsidR="00A35D47">
        <w:rPr>
          <w:rFonts w:hint="eastAsia"/>
          <w:szCs w:val="32"/>
        </w:rPr>
        <w:t>有</w:t>
      </w:r>
      <w:r w:rsidR="00A86628" w:rsidRPr="00D32E54">
        <w:rPr>
          <w:rFonts w:hint="eastAsia"/>
          <w:szCs w:val="32"/>
        </w:rPr>
        <w:t>臺灣高等法院</w:t>
      </w:r>
      <w:proofErr w:type="gramStart"/>
      <w:r w:rsidR="00A86628" w:rsidRPr="00D32E54">
        <w:rPr>
          <w:rFonts w:hint="eastAsia"/>
          <w:szCs w:val="32"/>
        </w:rPr>
        <w:t>101</w:t>
      </w:r>
      <w:proofErr w:type="gramEnd"/>
      <w:r w:rsidR="00A86628" w:rsidRPr="00D32E54">
        <w:rPr>
          <w:rFonts w:hint="eastAsia"/>
          <w:szCs w:val="32"/>
        </w:rPr>
        <w:t>年度</w:t>
      </w:r>
      <w:proofErr w:type="gramStart"/>
      <w:r w:rsidR="00A86628" w:rsidRPr="00D32E54">
        <w:rPr>
          <w:rFonts w:hint="eastAsia"/>
          <w:szCs w:val="32"/>
        </w:rPr>
        <w:t>重矚上更</w:t>
      </w:r>
      <w:proofErr w:type="gramEnd"/>
      <w:r w:rsidR="00A86628" w:rsidRPr="00D32E54">
        <w:rPr>
          <w:rFonts w:hint="eastAsia"/>
          <w:szCs w:val="32"/>
        </w:rPr>
        <w:t>(二)字第108號判決</w:t>
      </w:r>
      <w:proofErr w:type="gramStart"/>
      <w:r w:rsidR="00A86628" w:rsidRPr="00D32E54">
        <w:rPr>
          <w:rFonts w:hint="eastAsia"/>
          <w:szCs w:val="32"/>
        </w:rPr>
        <w:t>理由欄貳</w:t>
      </w:r>
      <w:proofErr w:type="gramEnd"/>
      <w:r w:rsidR="00A86628" w:rsidRPr="00D32E54">
        <w:rPr>
          <w:rFonts w:hint="eastAsia"/>
          <w:szCs w:val="32"/>
        </w:rPr>
        <w:t>、二、(二)、3</w:t>
      </w:r>
      <w:r w:rsidR="00A86628">
        <w:rPr>
          <w:rFonts w:hint="eastAsia"/>
          <w:szCs w:val="32"/>
        </w:rPr>
        <w:t>，及</w:t>
      </w:r>
      <w:r w:rsidR="00A35D47" w:rsidRPr="00D32E54">
        <w:rPr>
          <w:rFonts w:hint="eastAsia"/>
          <w:szCs w:val="32"/>
        </w:rPr>
        <w:t>貳、</w:t>
      </w:r>
      <w:r w:rsidR="00A86628">
        <w:rPr>
          <w:rFonts w:hint="eastAsia"/>
          <w:szCs w:val="32"/>
        </w:rPr>
        <w:t>四</w:t>
      </w:r>
      <w:r w:rsidR="00A35D47">
        <w:rPr>
          <w:rFonts w:hint="eastAsia"/>
          <w:szCs w:val="32"/>
        </w:rPr>
        <w:t>、</w:t>
      </w:r>
      <w:r w:rsidR="00A35D47" w:rsidRPr="00D32E54">
        <w:rPr>
          <w:rFonts w:hint="eastAsia"/>
          <w:szCs w:val="32"/>
        </w:rPr>
        <w:t>(</w:t>
      </w:r>
      <w:r w:rsidR="00A35D47">
        <w:rPr>
          <w:rFonts w:hint="eastAsia"/>
          <w:szCs w:val="32"/>
        </w:rPr>
        <w:t>三</w:t>
      </w:r>
      <w:r w:rsidR="00A35D47" w:rsidRPr="00D32E54">
        <w:rPr>
          <w:rFonts w:hint="eastAsia"/>
          <w:szCs w:val="32"/>
        </w:rPr>
        <w:t>)、</w:t>
      </w:r>
      <w:r w:rsidR="00A35D47">
        <w:rPr>
          <w:rFonts w:hint="eastAsia"/>
          <w:szCs w:val="32"/>
        </w:rPr>
        <w:t>1</w:t>
      </w:r>
      <w:r w:rsidR="00A86628" w:rsidRPr="00D32E54">
        <w:rPr>
          <w:rFonts w:hint="eastAsia"/>
          <w:szCs w:val="32"/>
        </w:rPr>
        <w:t>所載</w:t>
      </w:r>
      <w:r w:rsidR="00A35D47">
        <w:rPr>
          <w:rFonts w:hAnsi="標楷體" w:hint="eastAsia"/>
          <w:szCs w:val="32"/>
        </w:rPr>
        <w:t>在卷可</w:t>
      </w:r>
      <w:proofErr w:type="gramStart"/>
      <w:r w:rsidR="00A35D47">
        <w:rPr>
          <w:rFonts w:hAnsi="標楷體" w:hint="eastAsia"/>
          <w:szCs w:val="32"/>
        </w:rPr>
        <w:t>稽</w:t>
      </w:r>
      <w:proofErr w:type="gramEnd"/>
      <w:r w:rsidR="00A35D47">
        <w:rPr>
          <w:rFonts w:hAnsi="標楷體" w:hint="eastAsia"/>
          <w:szCs w:val="32"/>
        </w:rPr>
        <w:t>。</w:t>
      </w:r>
    </w:p>
    <w:p w:rsidR="00F44434" w:rsidRDefault="00F44434" w:rsidP="00F44434">
      <w:pPr>
        <w:pStyle w:val="3"/>
      </w:pPr>
      <w:proofErr w:type="gramStart"/>
      <w:r>
        <w:rPr>
          <w:rFonts w:hint="eastAsia"/>
        </w:rPr>
        <w:t>然查</w:t>
      </w:r>
      <w:proofErr w:type="gramEnd"/>
      <w:r>
        <w:rPr>
          <w:rFonts w:hint="eastAsia"/>
        </w:rPr>
        <w:t>，</w:t>
      </w:r>
      <w:r w:rsidR="000A49AB" w:rsidRPr="000A49AB">
        <w:rPr>
          <w:rFonts w:hint="eastAsia"/>
        </w:rPr>
        <w:t>該6.07</w:t>
      </w:r>
      <w:r w:rsidR="000A49AB">
        <w:rPr>
          <w:rFonts w:hint="eastAsia"/>
        </w:rPr>
        <w:t>億元項目</w:t>
      </w:r>
      <w:r w:rsidR="000A49AB" w:rsidRPr="000A49AB">
        <w:rPr>
          <w:rFonts w:hint="eastAsia"/>
        </w:rPr>
        <w:t>為「操作施工圖製作費6,000,000元」、「施工中</w:t>
      </w:r>
      <w:r w:rsidR="009C34ED">
        <w:rPr>
          <w:rFonts w:hint="eastAsia"/>
        </w:rPr>
        <w:t>環境污染防治費</w:t>
      </w:r>
      <w:r w:rsidR="000A49AB" w:rsidRPr="000A49AB">
        <w:rPr>
          <w:rFonts w:hint="eastAsia"/>
        </w:rPr>
        <w:t>20,500,000元」、「施工中勞工安全衛生費20,500,000元」、「稅捐管理及利潤543,200,000元」、「營造綜合保險16,800,000元」等5項之合計</w:t>
      </w:r>
      <w:r>
        <w:rPr>
          <w:rFonts w:hint="eastAsia"/>
        </w:rPr>
        <w:t>。</w:t>
      </w:r>
      <w:r w:rsidR="000A49AB" w:rsidRPr="000A49AB">
        <w:rPr>
          <w:rFonts w:hint="eastAsia"/>
        </w:rPr>
        <w:t>在工程會鑑定意見之案情分析說明，係以本案設計廠商Maguire Group公司之估價資料與第2次</w:t>
      </w:r>
      <w:r w:rsidR="00CA3585" w:rsidRPr="000A49AB">
        <w:rPr>
          <w:rFonts w:hint="eastAsia"/>
        </w:rPr>
        <w:t>編列</w:t>
      </w:r>
      <w:r w:rsidR="00CA3585">
        <w:rPr>
          <w:rFonts w:hint="eastAsia"/>
        </w:rPr>
        <w:t>之</w:t>
      </w:r>
      <w:r w:rsidR="000A49AB" w:rsidRPr="000A49AB">
        <w:rPr>
          <w:rFonts w:hint="eastAsia"/>
        </w:rPr>
        <w:t>預算做比較，惟並未詳細說明該「重複編列6.07億元」之佐證出處？例如：至少應說明第2次</w:t>
      </w:r>
      <w:r w:rsidR="00CA3585" w:rsidRPr="000A49AB">
        <w:rPr>
          <w:rFonts w:hint="eastAsia"/>
        </w:rPr>
        <w:t>編列</w:t>
      </w:r>
      <w:r w:rsidR="00CA3585">
        <w:rPr>
          <w:rFonts w:hint="eastAsia"/>
        </w:rPr>
        <w:t>之</w:t>
      </w:r>
      <w:r w:rsidR="000A49AB" w:rsidRPr="000A49AB">
        <w:rPr>
          <w:rFonts w:hint="eastAsia"/>
        </w:rPr>
        <w:t>預算書哪些項目費用內有重複編列前揭之5項目費用？各為多少金額？</w:t>
      </w:r>
      <w:r w:rsidR="00900A1F">
        <w:rPr>
          <w:rFonts w:hint="eastAsia"/>
        </w:rPr>
        <w:t>而非</w:t>
      </w:r>
      <w:r>
        <w:rPr>
          <w:rFonts w:hint="eastAsia"/>
        </w:rPr>
        <w:t>僅於鑑定意見中模糊</w:t>
      </w:r>
      <w:proofErr w:type="gramStart"/>
      <w:r>
        <w:rPr>
          <w:rFonts w:hint="eastAsia"/>
        </w:rPr>
        <w:t>一</w:t>
      </w:r>
      <w:proofErr w:type="gramEnd"/>
      <w:r>
        <w:rPr>
          <w:rFonts w:hint="eastAsia"/>
        </w:rPr>
        <w:lastRenderedPageBreak/>
        <w:t>語帶過</w:t>
      </w:r>
      <w:r>
        <w:rPr>
          <w:rFonts w:hAnsi="標楷體" w:hint="eastAsia"/>
        </w:rPr>
        <w:t>「</w:t>
      </w:r>
      <w:r>
        <w:rPr>
          <w:rFonts w:hint="eastAsia"/>
        </w:rPr>
        <w:t>又再多出共約6.07億元</w:t>
      </w:r>
      <w:r>
        <w:rPr>
          <w:rFonts w:hAnsi="標楷體" w:hint="eastAsia"/>
        </w:rPr>
        <w:t>」</w:t>
      </w:r>
      <w:r w:rsidR="00F10A7D">
        <w:rPr>
          <w:rFonts w:hint="eastAsia"/>
        </w:rPr>
        <w:t>。</w:t>
      </w:r>
      <w:r w:rsidR="00D048F4">
        <w:rPr>
          <w:rFonts w:hint="eastAsia"/>
        </w:rPr>
        <w:t>前省住都局</w:t>
      </w:r>
      <w:r w:rsidR="000A49AB" w:rsidRPr="000A49AB">
        <w:rPr>
          <w:rFonts w:hint="eastAsia"/>
        </w:rPr>
        <w:t>第2次</w:t>
      </w:r>
      <w:r w:rsidR="00CA3585" w:rsidRPr="000A49AB">
        <w:rPr>
          <w:rFonts w:hint="eastAsia"/>
        </w:rPr>
        <w:t>編列</w:t>
      </w:r>
      <w:r w:rsidR="00CA3585">
        <w:rPr>
          <w:rFonts w:hint="eastAsia"/>
        </w:rPr>
        <w:t>之</w:t>
      </w:r>
      <w:r w:rsidR="000A49AB" w:rsidRPr="000A49AB">
        <w:rPr>
          <w:rFonts w:hint="eastAsia"/>
        </w:rPr>
        <w:t>預算</w:t>
      </w:r>
      <w:r w:rsidR="00CA3585">
        <w:rPr>
          <w:rFonts w:hint="eastAsia"/>
        </w:rPr>
        <w:t>所附</w:t>
      </w:r>
      <w:r w:rsidR="000A49AB" w:rsidRPr="000A49AB">
        <w:rPr>
          <w:rFonts w:hint="eastAsia"/>
        </w:rPr>
        <w:t>之詳細表、單價分析表，</w:t>
      </w:r>
      <w:proofErr w:type="gramStart"/>
      <w:r w:rsidR="000A49AB" w:rsidRPr="000A49AB">
        <w:rPr>
          <w:rFonts w:hint="eastAsia"/>
        </w:rPr>
        <w:t>亦尋無</w:t>
      </w:r>
      <w:proofErr w:type="gramEnd"/>
      <w:r w:rsidR="000A49AB" w:rsidRPr="000A49AB">
        <w:rPr>
          <w:rFonts w:hint="eastAsia"/>
        </w:rPr>
        <w:t>其指稱重複編列之項目金額。</w:t>
      </w:r>
    </w:p>
    <w:p w:rsidR="00585C54" w:rsidRPr="00F929E0" w:rsidRDefault="00122994" w:rsidP="000A49AB">
      <w:pPr>
        <w:pStyle w:val="3"/>
      </w:pPr>
      <w:r w:rsidRPr="00F929E0">
        <w:rPr>
          <w:rFonts w:hint="eastAsia"/>
        </w:rPr>
        <w:t>就此，工程</w:t>
      </w:r>
      <w:r>
        <w:rPr>
          <w:rFonts w:hint="eastAsia"/>
        </w:rPr>
        <w:t>會</w:t>
      </w:r>
      <w:r w:rsidRPr="00BB7943">
        <w:rPr>
          <w:rFonts w:hint="eastAsia"/>
        </w:rPr>
        <w:t>副主任</w:t>
      </w:r>
      <w:r w:rsidRPr="003A4838">
        <w:rPr>
          <w:rFonts w:hint="eastAsia"/>
        </w:rPr>
        <w:t>委員顏久榮</w:t>
      </w:r>
      <w:r w:rsidR="00796E0D">
        <w:rPr>
          <w:rFonts w:hint="eastAsia"/>
        </w:rPr>
        <w:t>及</w:t>
      </w:r>
      <w:r w:rsidRPr="003A4838">
        <w:rPr>
          <w:rFonts w:hint="eastAsia"/>
        </w:rPr>
        <w:t>該會</w:t>
      </w:r>
      <w:r w:rsidRPr="003A4838">
        <w:rPr>
          <w:rFonts w:hAnsi="標楷體" w:hint="eastAsia"/>
          <w:szCs w:val="32"/>
        </w:rPr>
        <w:t>工程技術鑑定委員會業管人員</w:t>
      </w:r>
      <w:r w:rsidR="00796E0D">
        <w:rPr>
          <w:rFonts w:hAnsi="標楷體" w:hint="eastAsia"/>
          <w:szCs w:val="32"/>
        </w:rPr>
        <w:t>於本院</w:t>
      </w:r>
      <w:r w:rsidR="00796E0D">
        <w:rPr>
          <w:rFonts w:hint="eastAsia"/>
        </w:rPr>
        <w:t>詢問時表示</w:t>
      </w:r>
      <w:r w:rsidRPr="003A4838">
        <w:rPr>
          <w:rFonts w:hAnsi="標楷體" w:hint="eastAsia"/>
          <w:szCs w:val="32"/>
        </w:rPr>
        <w:t>：「</w:t>
      </w:r>
      <w:r w:rsidRPr="003A4838">
        <w:rPr>
          <w:rFonts w:hAnsi="標楷體" w:hint="eastAsia"/>
        </w:rPr>
        <w:t>原來美國公司已包括間接費，那又編列間接費就是有異常，所以我們當初</w:t>
      </w:r>
      <w:proofErr w:type="gramStart"/>
      <w:r w:rsidRPr="003A4838">
        <w:rPr>
          <w:rFonts w:hAnsi="標楷體" w:hint="eastAsia"/>
        </w:rPr>
        <w:t>鑑定說有浮</w:t>
      </w:r>
      <w:proofErr w:type="gramEnd"/>
      <w:r w:rsidRPr="003A4838">
        <w:rPr>
          <w:rFonts w:hAnsi="標楷體" w:hint="eastAsia"/>
        </w:rPr>
        <w:t>編嫌疑</w:t>
      </w:r>
      <w:r w:rsidRPr="003A4838">
        <w:rPr>
          <w:rFonts w:hAnsi="標楷體" w:hint="eastAsia"/>
          <w:szCs w:val="32"/>
        </w:rPr>
        <w:t>」</w:t>
      </w:r>
      <w:r w:rsidR="000D00F2" w:rsidRPr="003A4838">
        <w:rPr>
          <w:rFonts w:hAnsi="標楷體" w:hint="eastAsia"/>
          <w:szCs w:val="32"/>
        </w:rPr>
        <w:t>，本案調查委員</w:t>
      </w:r>
      <w:proofErr w:type="gramStart"/>
      <w:r w:rsidR="000D00F2" w:rsidRPr="003A4838">
        <w:rPr>
          <w:rFonts w:hAnsi="標楷體" w:hint="eastAsia"/>
          <w:szCs w:val="32"/>
        </w:rPr>
        <w:t>爰</w:t>
      </w:r>
      <w:proofErr w:type="gramEnd"/>
      <w:r w:rsidR="000D00F2" w:rsidRPr="003A4838">
        <w:rPr>
          <w:rFonts w:hAnsi="標楷體" w:hint="eastAsia"/>
          <w:szCs w:val="32"/>
        </w:rPr>
        <w:t>詢問：「</w:t>
      </w:r>
      <w:proofErr w:type="gramStart"/>
      <w:r w:rsidR="000D00F2" w:rsidRPr="003A4838">
        <w:rPr>
          <w:rFonts w:hAnsi="標楷體" w:hint="eastAsia"/>
        </w:rPr>
        <w:t>你們說要扣除</w:t>
      </w:r>
      <w:proofErr w:type="gramEnd"/>
      <w:r w:rsidR="000D00F2" w:rsidRPr="003A4838">
        <w:rPr>
          <w:rFonts w:hAnsi="標楷體" w:hint="eastAsia"/>
        </w:rPr>
        <w:t>馬格里公司的間接費用再來編列才合理，那你們工程會是基於什麼資料來判斷原簽辦人編列工程費用時沒有扣除間接費用？</w:t>
      </w:r>
      <w:r w:rsidR="000D00F2" w:rsidRPr="003A4838">
        <w:rPr>
          <w:rFonts w:hAnsi="標楷體" w:hint="eastAsia"/>
          <w:szCs w:val="32"/>
        </w:rPr>
        <w:t>」以及「</w:t>
      </w:r>
      <w:r w:rsidR="000D00F2" w:rsidRPr="003A4838">
        <w:rPr>
          <w:rFonts w:hAnsi="標楷體" w:hint="eastAsia"/>
        </w:rPr>
        <w:t>這裡是認為營建署所提的施工費並沒有扣除間接費用的狀況，但這個前提貴會是如何去認定的？</w:t>
      </w:r>
      <w:r w:rsidR="000D00F2" w:rsidRPr="003A4838">
        <w:rPr>
          <w:rFonts w:hAnsi="標楷體" w:hint="eastAsia"/>
          <w:szCs w:val="32"/>
        </w:rPr>
        <w:t>」經工程會</w:t>
      </w:r>
      <w:proofErr w:type="gramStart"/>
      <w:r w:rsidR="000D00F2" w:rsidRPr="003A4838">
        <w:rPr>
          <w:rFonts w:hAnsi="標楷體" w:hint="eastAsia"/>
          <w:szCs w:val="32"/>
        </w:rPr>
        <w:t>人員復稱</w:t>
      </w:r>
      <w:proofErr w:type="gramEnd"/>
      <w:r w:rsidR="000D00F2" w:rsidRPr="003A4838">
        <w:rPr>
          <w:rFonts w:hAnsi="標楷體" w:hint="eastAsia"/>
          <w:szCs w:val="32"/>
        </w:rPr>
        <w:t>：「</w:t>
      </w:r>
      <w:r w:rsidR="000D00F2" w:rsidRPr="003A4838">
        <w:rPr>
          <w:rFonts w:hAnsi="標楷體" w:hint="eastAsia"/>
        </w:rPr>
        <w:t>要把間接費用另編是可以的</w:t>
      </w:r>
      <w:r w:rsidR="000D00F2" w:rsidRPr="003A4838">
        <w:rPr>
          <w:rFonts w:hAnsi="標楷體"/>
        </w:rPr>
        <w:t>…</w:t>
      </w:r>
      <w:proofErr w:type="gramStart"/>
      <w:r w:rsidR="000D00F2" w:rsidRPr="003A4838">
        <w:rPr>
          <w:rFonts w:hAnsi="標楷體"/>
        </w:rPr>
        <w:t>…</w:t>
      </w:r>
      <w:proofErr w:type="gramEnd"/>
      <w:r w:rsidR="000D00F2" w:rsidRPr="003A4838">
        <w:rPr>
          <w:rFonts w:hAnsi="標楷體" w:hint="eastAsia"/>
        </w:rPr>
        <w:t>營建署是把管理及利潤等相關間接費用另編</w:t>
      </w:r>
      <w:r w:rsidR="000D00F2" w:rsidRPr="003A4838">
        <w:rPr>
          <w:rFonts w:hAnsi="標楷體" w:hint="eastAsia"/>
          <w:szCs w:val="32"/>
        </w:rPr>
        <w:t>」，並坦承</w:t>
      </w:r>
      <w:r w:rsidR="00C41970">
        <w:rPr>
          <w:rFonts w:hAnsi="標楷體" w:hint="eastAsia"/>
          <w:szCs w:val="32"/>
        </w:rPr>
        <w:t>：</w:t>
      </w:r>
      <w:r w:rsidR="000D00F2" w:rsidRPr="003A4838">
        <w:rPr>
          <w:rFonts w:hAnsi="標楷體" w:hint="eastAsia"/>
          <w:szCs w:val="32"/>
        </w:rPr>
        <w:t>「</w:t>
      </w:r>
      <w:r w:rsidR="000D00F2" w:rsidRPr="003A4838">
        <w:rPr>
          <w:rFonts w:hAnsi="標楷體" w:hint="eastAsia"/>
        </w:rPr>
        <w:t>原鑑定</w:t>
      </w:r>
      <w:r w:rsidR="000D00F2">
        <w:rPr>
          <w:rFonts w:hAnsi="標楷體" w:hint="eastAsia"/>
        </w:rPr>
        <w:t>意見的確是基於馬格里公司估價資料已包含間接費用來定的；</w:t>
      </w:r>
      <w:r w:rsidR="000D00F2" w:rsidRPr="00B93597">
        <w:rPr>
          <w:rFonts w:hAnsi="標楷體" w:hint="eastAsia"/>
          <w:b/>
          <w:color w:val="000000" w:themeColor="text1"/>
          <w:u w:val="single"/>
        </w:rPr>
        <w:t>但營建署這裡當然也</w:t>
      </w:r>
      <w:proofErr w:type="gramStart"/>
      <w:r w:rsidR="000D00F2" w:rsidRPr="00B93597">
        <w:rPr>
          <w:rFonts w:hAnsi="標楷體" w:hint="eastAsia"/>
          <w:b/>
          <w:color w:val="000000" w:themeColor="text1"/>
          <w:u w:val="single"/>
        </w:rPr>
        <w:t>可以說其所</w:t>
      </w:r>
      <w:proofErr w:type="gramEnd"/>
      <w:r w:rsidR="000D00F2" w:rsidRPr="00B93597">
        <w:rPr>
          <w:rFonts w:hAnsi="標楷體" w:hint="eastAsia"/>
          <w:b/>
          <w:color w:val="000000" w:themeColor="text1"/>
          <w:u w:val="single"/>
        </w:rPr>
        <w:t>提的預算是已經扣除管理費用等的預算，而施工費是不含管理費的</w:t>
      </w:r>
      <w:r w:rsidR="000D00F2" w:rsidRPr="00B93597">
        <w:rPr>
          <w:rFonts w:hAnsi="標楷體" w:hint="eastAsia"/>
          <w:color w:val="000000" w:themeColor="text1"/>
          <w:szCs w:val="32"/>
        </w:rPr>
        <w:t>」</w:t>
      </w:r>
      <w:r w:rsidR="00796E0D" w:rsidRPr="003A4838">
        <w:rPr>
          <w:rFonts w:hAnsi="標楷體" w:hint="eastAsia"/>
          <w:szCs w:val="32"/>
        </w:rPr>
        <w:t>、「</w:t>
      </w:r>
      <w:r w:rsidR="00796E0D" w:rsidRPr="0030129A">
        <w:rPr>
          <w:rFonts w:hAnsi="標楷體" w:hint="eastAsia"/>
          <w:b/>
          <w:u w:val="single"/>
        </w:rPr>
        <w:t>我們沒有說這個項目浮編，</w:t>
      </w:r>
      <w:proofErr w:type="gramStart"/>
      <w:r w:rsidR="00796E0D" w:rsidRPr="0030129A">
        <w:rPr>
          <w:rFonts w:hAnsi="標楷體" w:hint="eastAsia"/>
          <w:b/>
          <w:u w:val="single"/>
        </w:rPr>
        <w:t>是說有嫌疑</w:t>
      </w:r>
      <w:proofErr w:type="gramEnd"/>
      <w:r w:rsidR="00796E0D" w:rsidRPr="0030129A">
        <w:rPr>
          <w:rFonts w:hAnsi="標楷體" w:hint="eastAsia"/>
          <w:b/>
          <w:u w:val="single"/>
        </w:rPr>
        <w:t>這樣</w:t>
      </w:r>
      <w:r w:rsidR="00796E0D" w:rsidRPr="003A4838">
        <w:rPr>
          <w:rFonts w:hAnsi="標楷體" w:hint="eastAsia"/>
          <w:szCs w:val="32"/>
        </w:rPr>
        <w:t>」</w:t>
      </w:r>
      <w:r w:rsidR="00DB2759">
        <w:rPr>
          <w:rFonts w:hAnsi="標楷體" w:hint="eastAsia"/>
          <w:szCs w:val="32"/>
        </w:rPr>
        <w:t>、「</w:t>
      </w:r>
      <w:r w:rsidR="00DB2759" w:rsidRPr="00DB2759">
        <w:rPr>
          <w:rFonts w:hAnsi="標楷體" w:hint="eastAsia"/>
          <w:b/>
          <w:u w:val="single"/>
        </w:rPr>
        <w:t>如果</w:t>
      </w:r>
      <w:r w:rsidR="00DB2759" w:rsidRPr="00DB2759">
        <w:rPr>
          <w:rFonts w:hAnsi="標楷體" w:hint="eastAsia"/>
        </w:rPr>
        <w:t>前面施工費是含間接費用，</w:t>
      </w:r>
      <w:r w:rsidR="00DB2759" w:rsidRPr="00B450C4">
        <w:rPr>
          <w:rFonts w:hAnsi="標楷體" w:hint="eastAsia"/>
          <w:b/>
          <w:u w:val="single"/>
        </w:rPr>
        <w:t>那</w:t>
      </w:r>
      <w:r w:rsidR="00DB2759" w:rsidRPr="00DB2759">
        <w:rPr>
          <w:rFonts w:hAnsi="標楷體" w:hint="eastAsia"/>
        </w:rPr>
        <w:t>另編間接費用</w:t>
      </w:r>
      <w:r w:rsidR="00DB2759" w:rsidRPr="00B450C4">
        <w:rPr>
          <w:rFonts w:hAnsi="標楷體" w:hint="eastAsia"/>
          <w:b/>
          <w:u w:val="single"/>
        </w:rPr>
        <w:t>就</w:t>
      </w:r>
      <w:r w:rsidR="00DB2759" w:rsidRPr="00DB2759">
        <w:rPr>
          <w:rFonts w:hAnsi="標楷體" w:hint="eastAsia"/>
        </w:rPr>
        <w:t>是有重複部分</w:t>
      </w:r>
      <w:r w:rsidR="00DB2759">
        <w:rPr>
          <w:rFonts w:hAnsi="標楷體" w:hint="eastAsia"/>
        </w:rPr>
        <w:t>，</w:t>
      </w:r>
      <w:r w:rsidR="00DB2759" w:rsidRPr="00231AD2">
        <w:rPr>
          <w:rFonts w:hAnsi="標楷體" w:hint="eastAsia"/>
          <w:b/>
          <w:u w:val="single"/>
        </w:rPr>
        <w:t>我們沒有說6.07億</w:t>
      </w:r>
      <w:r w:rsidR="00610674">
        <w:rPr>
          <w:rFonts w:hAnsi="標楷體" w:hint="eastAsia"/>
          <w:b/>
          <w:u w:val="single"/>
        </w:rPr>
        <w:t>元</w:t>
      </w:r>
      <w:r w:rsidR="00DB2759" w:rsidRPr="00231AD2">
        <w:rPr>
          <w:rFonts w:hAnsi="標楷體" w:hint="eastAsia"/>
          <w:b/>
          <w:u w:val="single"/>
        </w:rPr>
        <w:t>都是浮編</w:t>
      </w:r>
      <w:r w:rsidR="00DB2759" w:rsidRPr="00DB2759">
        <w:rPr>
          <w:rFonts w:hAnsi="標楷體" w:hint="eastAsia"/>
        </w:rPr>
        <w:t>」</w:t>
      </w:r>
      <w:r w:rsidR="000D00F2">
        <w:rPr>
          <w:rFonts w:hAnsi="標楷體" w:hint="eastAsia"/>
          <w:szCs w:val="32"/>
        </w:rPr>
        <w:t>等語</w:t>
      </w:r>
      <w:r w:rsidR="007E0BA2">
        <w:rPr>
          <w:rFonts w:hAnsi="標楷體" w:hint="eastAsia"/>
          <w:szCs w:val="32"/>
        </w:rPr>
        <w:t>，有本院107年1月15日詢問筆錄在卷可</w:t>
      </w:r>
      <w:proofErr w:type="gramStart"/>
      <w:r w:rsidR="007E0BA2">
        <w:rPr>
          <w:rFonts w:hAnsi="標楷體" w:hint="eastAsia"/>
          <w:szCs w:val="32"/>
        </w:rPr>
        <w:t>稽</w:t>
      </w:r>
      <w:proofErr w:type="gramEnd"/>
      <w:r w:rsidR="000D00F2">
        <w:rPr>
          <w:rFonts w:hAnsi="標楷體" w:hint="eastAsia"/>
          <w:szCs w:val="32"/>
        </w:rPr>
        <w:t>。</w:t>
      </w:r>
      <w:r w:rsidR="00585C54">
        <w:rPr>
          <w:rFonts w:hAnsi="標楷體" w:hint="eastAsia"/>
          <w:szCs w:val="32"/>
        </w:rPr>
        <w:t>可知工程會</w:t>
      </w:r>
      <w:r w:rsidR="00585C54">
        <w:rPr>
          <w:rFonts w:hint="eastAsia"/>
        </w:rPr>
        <w:t>90年2月5日及98年4月21日先後2次之鑑定意見認被告林文烈、沈德亮共同重複編列</w:t>
      </w:r>
      <w:r w:rsidR="00585C54">
        <w:rPr>
          <w:rFonts w:hAnsi="標楷體" w:hint="eastAsia"/>
        </w:rPr>
        <w:t>「</w:t>
      </w:r>
      <w:r w:rsidR="00585C54">
        <w:rPr>
          <w:rFonts w:hint="eastAsia"/>
        </w:rPr>
        <w:t>管理及利潤費用</w:t>
      </w:r>
      <w:r w:rsidR="00585C54">
        <w:rPr>
          <w:rFonts w:hAnsi="標楷體" w:hint="eastAsia"/>
        </w:rPr>
        <w:t>」</w:t>
      </w:r>
      <w:r w:rsidR="00585C54">
        <w:rPr>
          <w:rFonts w:hint="eastAsia"/>
        </w:rPr>
        <w:t>6.07億元，</w:t>
      </w:r>
      <w:r w:rsidR="00B450C4">
        <w:rPr>
          <w:rFonts w:hint="eastAsia"/>
        </w:rPr>
        <w:t>並</w:t>
      </w:r>
      <w:r w:rsidR="00C067C8" w:rsidRPr="00B450C4">
        <w:rPr>
          <w:rFonts w:hint="eastAsia"/>
        </w:rPr>
        <w:t>非</w:t>
      </w:r>
      <w:r w:rsidR="00B20D72">
        <w:rPr>
          <w:rFonts w:hint="eastAsia"/>
        </w:rPr>
        <w:t>基於</w:t>
      </w:r>
      <w:r w:rsidR="00C067C8" w:rsidRPr="00B450C4">
        <w:rPr>
          <w:rFonts w:hint="eastAsia"/>
          <w:b/>
          <w:u w:val="single"/>
        </w:rPr>
        <w:t>嚴謹</w:t>
      </w:r>
      <w:r w:rsidR="00585C54" w:rsidRPr="00B450C4">
        <w:rPr>
          <w:rFonts w:hint="eastAsia"/>
          <w:b/>
          <w:u w:val="single"/>
        </w:rPr>
        <w:t>之數據</w:t>
      </w:r>
      <w:r w:rsidR="00C067C8" w:rsidRPr="00B450C4">
        <w:rPr>
          <w:rFonts w:hint="eastAsia"/>
          <w:b/>
          <w:u w:val="single"/>
        </w:rPr>
        <w:t>估</w:t>
      </w:r>
      <w:r w:rsidR="00585C54" w:rsidRPr="00B450C4">
        <w:rPr>
          <w:rFonts w:hint="eastAsia"/>
          <w:b/>
          <w:u w:val="single"/>
        </w:rPr>
        <w:t>算</w:t>
      </w:r>
      <w:r w:rsidR="00585C54" w:rsidRPr="00B450C4">
        <w:rPr>
          <w:rFonts w:hint="eastAsia"/>
        </w:rPr>
        <w:t>為基礎</w:t>
      </w:r>
      <w:r w:rsidR="00E100AD">
        <w:rPr>
          <w:rFonts w:hint="eastAsia"/>
        </w:rPr>
        <w:t>，</w:t>
      </w:r>
      <w:r w:rsidR="00585C54">
        <w:rPr>
          <w:rFonts w:hint="eastAsia"/>
        </w:rPr>
        <w:t>僅</w:t>
      </w:r>
      <w:r w:rsidR="00E100AD">
        <w:rPr>
          <w:rFonts w:hint="eastAsia"/>
        </w:rPr>
        <w:t>係</w:t>
      </w:r>
      <w:r w:rsidR="00585C54">
        <w:rPr>
          <w:rFonts w:hint="eastAsia"/>
        </w:rPr>
        <w:t>因</w:t>
      </w:r>
      <w:r w:rsidR="00585C54" w:rsidRPr="000A49AB">
        <w:rPr>
          <w:rFonts w:hint="eastAsia"/>
        </w:rPr>
        <w:t>Maguire Group公司</w:t>
      </w:r>
      <w:r w:rsidR="00585C54">
        <w:rPr>
          <w:rFonts w:hint="eastAsia"/>
        </w:rPr>
        <w:t>所出具</w:t>
      </w:r>
      <w:r w:rsidR="00585C54" w:rsidRPr="000A49AB">
        <w:rPr>
          <w:rFonts w:hint="eastAsia"/>
        </w:rPr>
        <w:t>之估價資料</w:t>
      </w:r>
      <w:r w:rsidR="00585C54">
        <w:rPr>
          <w:rFonts w:hint="eastAsia"/>
        </w:rPr>
        <w:t>(如下表</w:t>
      </w:r>
      <w:r w:rsidR="002814BC">
        <w:rPr>
          <w:rFonts w:hint="eastAsia"/>
        </w:rPr>
        <w:t>1</w:t>
      </w:r>
      <w:r w:rsidR="00585C54">
        <w:rPr>
          <w:rFonts w:hint="eastAsia"/>
        </w:rPr>
        <w:t>)，其格式與前省住都局公務預算書格式</w:t>
      </w:r>
      <w:r w:rsidR="002814BC">
        <w:rPr>
          <w:rFonts w:ascii="新細明體" w:eastAsia="新細明體" w:hAnsi="新細明體" w:hint="eastAsia"/>
        </w:rPr>
        <w:t>（</w:t>
      </w:r>
      <w:r w:rsidR="002814BC">
        <w:rPr>
          <w:rFonts w:hint="eastAsia"/>
        </w:rPr>
        <w:t>如下表2</w:t>
      </w:r>
      <w:r w:rsidR="002814BC">
        <w:rPr>
          <w:rFonts w:ascii="細明體" w:eastAsia="細明體" w:hAnsi="細明體" w:hint="eastAsia"/>
        </w:rPr>
        <w:t>）</w:t>
      </w:r>
      <w:r w:rsidR="00585C54">
        <w:rPr>
          <w:rFonts w:hint="eastAsia"/>
        </w:rPr>
        <w:t>不同，</w:t>
      </w:r>
      <w:r w:rsidR="00D547D6">
        <w:rPr>
          <w:rFonts w:hint="eastAsia"/>
        </w:rPr>
        <w:t>該會即以</w:t>
      </w:r>
      <w:r w:rsidR="00585C54" w:rsidRPr="000A49AB">
        <w:rPr>
          <w:rFonts w:hint="eastAsia"/>
        </w:rPr>
        <w:t>Maguire Group公司估價資料</w:t>
      </w:r>
      <w:r w:rsidR="00585C54">
        <w:rPr>
          <w:rFonts w:hint="eastAsia"/>
        </w:rPr>
        <w:t>既已將管理及利潤等費用，以固定比例方式</w:t>
      </w:r>
      <w:r w:rsidR="00585C54" w:rsidRPr="00F564EA">
        <w:rPr>
          <w:rFonts w:hint="eastAsia"/>
          <w:b/>
          <w:u w:val="single"/>
        </w:rPr>
        <w:t>內含</w:t>
      </w:r>
      <w:r w:rsidR="00585C54">
        <w:rPr>
          <w:rFonts w:hint="eastAsia"/>
        </w:rPr>
        <w:t>於所列之</w:t>
      </w:r>
      <w:r w:rsidR="00585C54" w:rsidRPr="00412EFB">
        <w:rPr>
          <w:rFonts w:hint="eastAsia"/>
        </w:rPr>
        <w:t>「能源回收建物環境工程」</w:t>
      </w:r>
      <w:r w:rsidR="00585C54">
        <w:rPr>
          <w:rFonts w:hint="eastAsia"/>
        </w:rPr>
        <w:t>、</w:t>
      </w:r>
      <w:r w:rsidR="00585C54" w:rsidRPr="00231AD2">
        <w:rPr>
          <w:rFonts w:hint="eastAsia"/>
        </w:rPr>
        <w:t>「消化槽建物環境</w:t>
      </w:r>
      <w:r w:rsidR="00585C54" w:rsidRPr="00231AD2">
        <w:rPr>
          <w:rFonts w:hint="eastAsia"/>
        </w:rPr>
        <w:lastRenderedPageBreak/>
        <w:t>工程」…</w:t>
      </w:r>
      <w:proofErr w:type="gramStart"/>
      <w:r w:rsidR="00585C54" w:rsidRPr="00231AD2">
        <w:rPr>
          <w:rFonts w:hint="eastAsia"/>
        </w:rPr>
        <w:t>…</w:t>
      </w:r>
      <w:proofErr w:type="gramEnd"/>
      <w:r w:rsidR="00585C54">
        <w:rPr>
          <w:rFonts w:hint="eastAsia"/>
        </w:rPr>
        <w:t>等12項工程項目中，</w:t>
      </w:r>
      <w:r w:rsidR="00D547D6">
        <w:rPr>
          <w:rFonts w:hint="eastAsia"/>
        </w:rPr>
        <w:t>而</w:t>
      </w:r>
      <w:r w:rsidR="00585C54">
        <w:rPr>
          <w:rFonts w:hint="eastAsia"/>
        </w:rPr>
        <w:t>前省住都局</w:t>
      </w:r>
      <w:r w:rsidR="00585C54" w:rsidRPr="000A49AB">
        <w:rPr>
          <w:rFonts w:hint="eastAsia"/>
        </w:rPr>
        <w:t>第2次編列</w:t>
      </w:r>
      <w:r w:rsidR="00585C54">
        <w:rPr>
          <w:rFonts w:hint="eastAsia"/>
        </w:rPr>
        <w:t>之</w:t>
      </w:r>
      <w:r w:rsidR="00585C54" w:rsidRPr="000A49AB">
        <w:rPr>
          <w:rFonts w:hint="eastAsia"/>
        </w:rPr>
        <w:t>預算</w:t>
      </w:r>
      <w:r w:rsidR="00585C54">
        <w:rPr>
          <w:rFonts w:hint="eastAsia"/>
        </w:rPr>
        <w:t>書於</w:t>
      </w:r>
      <w:r w:rsidR="00585C54">
        <w:rPr>
          <w:rFonts w:hAnsi="標楷體" w:hint="eastAsia"/>
        </w:rPr>
        <w:t>「</w:t>
      </w:r>
      <w:r w:rsidR="00585C54">
        <w:rPr>
          <w:rFonts w:hint="eastAsia"/>
        </w:rPr>
        <w:t>土木</w:t>
      </w:r>
      <w:r w:rsidR="00585C54">
        <w:rPr>
          <w:rFonts w:hAnsi="標楷體" w:hint="eastAsia"/>
        </w:rPr>
        <w:t>」、「機械設備」、「電器設備」等直接費用之項目</w:t>
      </w:r>
      <w:r w:rsidR="00585C54">
        <w:rPr>
          <w:rFonts w:hint="eastAsia"/>
        </w:rPr>
        <w:t>外，</w:t>
      </w:r>
      <w:proofErr w:type="gramStart"/>
      <w:r w:rsidR="00585C54" w:rsidRPr="00B450C4">
        <w:rPr>
          <w:rFonts w:hAnsi="標楷體" w:hint="eastAsia"/>
        </w:rPr>
        <w:t>復</w:t>
      </w:r>
      <w:r w:rsidR="00B450C4">
        <w:rPr>
          <w:rFonts w:hint="eastAsia"/>
          <w:b/>
          <w:u w:val="single"/>
        </w:rPr>
        <w:t>外編</w:t>
      </w:r>
      <w:proofErr w:type="gramEnd"/>
      <w:r w:rsidR="00585C54" w:rsidRPr="000A49AB">
        <w:rPr>
          <w:rFonts w:hint="eastAsia"/>
        </w:rPr>
        <w:t>「操作施工圖製作費」、「施工中環境污染防治費」、「施工中勞工安全衛生費」、「稅捐管理及利潤」、「營造綜合保險」等5項</w:t>
      </w:r>
      <w:r w:rsidR="00585C54">
        <w:rPr>
          <w:rFonts w:hint="eastAsia"/>
        </w:rPr>
        <w:t>合計</w:t>
      </w:r>
      <w:r w:rsidR="00585C54" w:rsidRPr="000A49AB">
        <w:rPr>
          <w:rFonts w:hint="eastAsia"/>
        </w:rPr>
        <w:t>6.07</w:t>
      </w:r>
      <w:r w:rsidR="00585C54">
        <w:rPr>
          <w:rFonts w:hint="eastAsia"/>
        </w:rPr>
        <w:t>億元之管理及利潤等費用，</w:t>
      </w:r>
      <w:r w:rsidR="00B20D72">
        <w:rPr>
          <w:rFonts w:hint="eastAsia"/>
        </w:rPr>
        <w:t>即</w:t>
      </w:r>
      <w:proofErr w:type="gramStart"/>
      <w:r w:rsidR="00D547D6">
        <w:rPr>
          <w:rFonts w:hint="eastAsia"/>
        </w:rPr>
        <w:t>逕</w:t>
      </w:r>
      <w:proofErr w:type="gramEnd"/>
      <w:r w:rsidR="0030129A">
        <w:rPr>
          <w:rFonts w:hAnsi="標楷體" w:hint="eastAsia"/>
        </w:rPr>
        <w:t>「</w:t>
      </w:r>
      <w:r w:rsidR="00D547D6">
        <w:rPr>
          <w:rFonts w:hint="eastAsia"/>
        </w:rPr>
        <w:t>推論</w:t>
      </w:r>
      <w:r w:rsidR="0030129A">
        <w:rPr>
          <w:rFonts w:hAnsi="標楷體" w:hint="eastAsia"/>
        </w:rPr>
        <w:t>」</w:t>
      </w:r>
      <w:r w:rsidR="00D547D6">
        <w:rPr>
          <w:rFonts w:hint="eastAsia"/>
        </w:rPr>
        <w:t>該</w:t>
      </w:r>
      <w:r w:rsidR="00CF239D">
        <w:rPr>
          <w:rFonts w:hint="eastAsia"/>
        </w:rPr>
        <w:t>6.07億元係屬</w:t>
      </w:r>
      <w:r w:rsidR="00B450C4">
        <w:rPr>
          <w:rFonts w:hint="eastAsia"/>
        </w:rPr>
        <w:t>重複編列</w:t>
      </w:r>
      <w:r w:rsidR="00306AF9">
        <w:rPr>
          <w:rFonts w:hint="eastAsia"/>
        </w:rPr>
        <w:t>；卻未將</w:t>
      </w:r>
      <w:r w:rsidR="00E100AD" w:rsidRPr="00B20D72">
        <w:rPr>
          <w:rFonts w:hint="eastAsia"/>
          <w:b/>
          <w:u w:val="single"/>
        </w:rPr>
        <w:t>承辦人是否已將相關費用先予扣除</w:t>
      </w:r>
      <w:r w:rsidR="003E1320" w:rsidRPr="00B20D72">
        <w:rPr>
          <w:rFonts w:hint="eastAsia"/>
        </w:rPr>
        <w:t>之</w:t>
      </w:r>
      <w:r w:rsidR="003E1320" w:rsidRPr="00B20D72">
        <w:rPr>
          <w:rFonts w:hint="eastAsia"/>
          <w:b/>
          <w:u w:val="single"/>
        </w:rPr>
        <w:t>關鍵前提</w:t>
      </w:r>
      <w:r w:rsidR="00D547D6" w:rsidRPr="00B20D72">
        <w:rPr>
          <w:rFonts w:hint="eastAsia"/>
        </w:rPr>
        <w:t>納入</w:t>
      </w:r>
      <w:r w:rsidR="00CF239D" w:rsidRPr="00B20D72">
        <w:rPr>
          <w:rFonts w:hint="eastAsia"/>
        </w:rPr>
        <w:t>考量</w:t>
      </w:r>
      <w:r w:rsidR="00B20D72" w:rsidRPr="00B20D72">
        <w:rPr>
          <w:rFonts w:hint="eastAsia"/>
        </w:rPr>
        <w:t>，</w:t>
      </w:r>
      <w:r w:rsidR="00306AF9">
        <w:rPr>
          <w:rFonts w:hint="eastAsia"/>
        </w:rPr>
        <w:t>核</w:t>
      </w:r>
      <w:r w:rsidR="00B20D72" w:rsidRPr="00B20D72">
        <w:rPr>
          <w:rFonts w:hint="eastAsia"/>
        </w:rPr>
        <w:t>已</w:t>
      </w:r>
      <w:r w:rsidR="00D547D6" w:rsidRPr="00B20D72">
        <w:rPr>
          <w:rFonts w:hint="eastAsia"/>
        </w:rPr>
        <w:t>嚴重影響</w:t>
      </w:r>
      <w:r w:rsidR="002814BC">
        <w:rPr>
          <w:rFonts w:hint="eastAsia"/>
        </w:rPr>
        <w:t>該</w:t>
      </w:r>
      <w:r w:rsidR="00D547D6" w:rsidRPr="00B20D72">
        <w:rPr>
          <w:rFonts w:hint="eastAsia"/>
        </w:rPr>
        <w:t>鑑定意見之正確性</w:t>
      </w:r>
      <w:r w:rsidR="00B20D72" w:rsidRPr="00B20D72">
        <w:rPr>
          <w:rFonts w:hint="eastAsia"/>
        </w:rPr>
        <w:t>。</w:t>
      </w:r>
    </w:p>
    <w:p w:rsidR="00412EFB" w:rsidRPr="00336A21" w:rsidRDefault="002814BC" w:rsidP="00F35C46">
      <w:pPr>
        <w:pStyle w:val="13"/>
        <w:spacing w:before="60" w:after="60"/>
        <w:ind w:left="539" w:right="272" w:hanging="539"/>
        <w:jc w:val="both"/>
        <w:rPr>
          <w:szCs w:val="26"/>
        </w:rPr>
      </w:pPr>
      <w:r w:rsidRPr="00336A21">
        <w:rPr>
          <w:rFonts w:hint="eastAsia"/>
          <w:szCs w:val="26"/>
        </w:rPr>
        <w:t>表1.</w:t>
      </w:r>
      <w:r w:rsidR="00412EFB" w:rsidRPr="00336A21">
        <w:rPr>
          <w:szCs w:val="26"/>
        </w:rPr>
        <w:t xml:space="preserve">Maguire Group </w:t>
      </w:r>
      <w:r w:rsidR="00610674" w:rsidRPr="00336A21">
        <w:rPr>
          <w:rFonts w:hint="eastAsia"/>
          <w:szCs w:val="26"/>
        </w:rPr>
        <w:t>公司第3</w:t>
      </w:r>
      <w:r w:rsidR="00412EFB" w:rsidRPr="00336A21">
        <w:rPr>
          <w:rFonts w:hint="eastAsia"/>
          <w:szCs w:val="26"/>
        </w:rPr>
        <w:t>份估價資料總表</w:t>
      </w:r>
    </w:p>
    <w:tbl>
      <w:tblPr>
        <w:tblW w:w="993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6"/>
        <w:gridCol w:w="1275"/>
        <w:gridCol w:w="1157"/>
        <w:gridCol w:w="1320"/>
        <w:gridCol w:w="1200"/>
        <w:gridCol w:w="1200"/>
        <w:gridCol w:w="1320"/>
      </w:tblGrid>
      <w:tr w:rsidR="00DC19D6" w:rsidRPr="00DC19D6" w:rsidTr="00DC19D6">
        <w:trPr>
          <w:trHeight w:val="330"/>
        </w:trPr>
        <w:tc>
          <w:tcPr>
            <w:tcW w:w="2466" w:type="dxa"/>
            <w:vAlign w:val="center"/>
          </w:tcPr>
          <w:p w:rsidR="00412EFB" w:rsidRPr="007D208E" w:rsidRDefault="00412EFB" w:rsidP="00786561">
            <w:pPr>
              <w:jc w:val="center"/>
              <w:rPr>
                <w:rFonts w:asciiTheme="majorEastAsia" w:eastAsiaTheme="majorEastAsia" w:hAnsiTheme="majorEastAsia"/>
                <w:sz w:val="18"/>
                <w:szCs w:val="18"/>
              </w:rPr>
            </w:pPr>
            <w:r w:rsidRPr="007D208E">
              <w:rPr>
                <w:rFonts w:asciiTheme="majorEastAsia" w:eastAsiaTheme="majorEastAsia" w:hAnsiTheme="majorEastAsia" w:hint="eastAsia"/>
                <w:sz w:val="18"/>
                <w:szCs w:val="18"/>
              </w:rPr>
              <w:t>工程項目</w:t>
            </w:r>
          </w:p>
        </w:tc>
        <w:tc>
          <w:tcPr>
            <w:tcW w:w="1275" w:type="dxa"/>
            <w:vAlign w:val="center"/>
          </w:tcPr>
          <w:p w:rsidR="00412EFB" w:rsidRPr="007D208E" w:rsidRDefault="00412EFB" w:rsidP="00786561">
            <w:pPr>
              <w:jc w:val="center"/>
              <w:rPr>
                <w:rFonts w:asciiTheme="majorEastAsia" w:eastAsiaTheme="majorEastAsia" w:hAnsiTheme="majorEastAsia"/>
                <w:sz w:val="18"/>
                <w:szCs w:val="18"/>
              </w:rPr>
            </w:pPr>
            <w:r w:rsidRPr="007D208E">
              <w:rPr>
                <w:rFonts w:asciiTheme="majorEastAsia" w:eastAsiaTheme="majorEastAsia" w:hAnsiTheme="majorEastAsia" w:hint="eastAsia"/>
                <w:sz w:val="18"/>
                <w:szCs w:val="18"/>
              </w:rPr>
              <w:t>直接施工費</w:t>
            </w:r>
          </w:p>
        </w:tc>
        <w:tc>
          <w:tcPr>
            <w:tcW w:w="1157" w:type="dxa"/>
            <w:vAlign w:val="center"/>
          </w:tcPr>
          <w:p w:rsidR="00412EFB" w:rsidRPr="007D208E" w:rsidRDefault="00412EFB" w:rsidP="00786561">
            <w:pPr>
              <w:jc w:val="center"/>
              <w:rPr>
                <w:rFonts w:asciiTheme="majorEastAsia" w:eastAsiaTheme="majorEastAsia" w:hAnsiTheme="majorEastAsia"/>
                <w:sz w:val="18"/>
                <w:szCs w:val="18"/>
              </w:rPr>
            </w:pPr>
            <w:r w:rsidRPr="007D208E">
              <w:rPr>
                <w:rFonts w:asciiTheme="majorEastAsia" w:eastAsiaTheme="majorEastAsia" w:hAnsiTheme="majorEastAsia" w:hint="eastAsia"/>
                <w:sz w:val="18"/>
                <w:szCs w:val="18"/>
              </w:rPr>
              <w:t>間接施工費</w:t>
            </w:r>
          </w:p>
        </w:tc>
        <w:tc>
          <w:tcPr>
            <w:tcW w:w="1320" w:type="dxa"/>
            <w:vAlign w:val="center"/>
          </w:tcPr>
          <w:p w:rsidR="00412EFB" w:rsidRPr="007D208E" w:rsidRDefault="00412EFB" w:rsidP="00786561">
            <w:pPr>
              <w:jc w:val="center"/>
              <w:rPr>
                <w:rFonts w:asciiTheme="majorEastAsia" w:eastAsiaTheme="majorEastAsia" w:hAnsiTheme="majorEastAsia"/>
                <w:sz w:val="18"/>
                <w:szCs w:val="18"/>
              </w:rPr>
            </w:pPr>
            <w:r w:rsidRPr="007D208E">
              <w:rPr>
                <w:rFonts w:asciiTheme="majorEastAsia" w:eastAsiaTheme="majorEastAsia" w:hAnsiTheme="majorEastAsia" w:hint="eastAsia"/>
                <w:sz w:val="18"/>
                <w:szCs w:val="18"/>
              </w:rPr>
              <w:t>施工費合計</w:t>
            </w:r>
          </w:p>
        </w:tc>
        <w:tc>
          <w:tcPr>
            <w:tcW w:w="1200" w:type="dxa"/>
            <w:vAlign w:val="center"/>
          </w:tcPr>
          <w:p w:rsidR="00412EFB" w:rsidRPr="007D208E" w:rsidRDefault="00412EFB" w:rsidP="00786561">
            <w:pPr>
              <w:jc w:val="center"/>
              <w:rPr>
                <w:rFonts w:asciiTheme="majorEastAsia" w:eastAsiaTheme="majorEastAsia" w:hAnsiTheme="majorEastAsia"/>
                <w:sz w:val="18"/>
                <w:szCs w:val="18"/>
              </w:rPr>
            </w:pPr>
            <w:r w:rsidRPr="007D208E">
              <w:rPr>
                <w:rFonts w:asciiTheme="majorEastAsia" w:eastAsiaTheme="majorEastAsia" w:hAnsiTheme="majorEastAsia" w:hint="eastAsia"/>
                <w:sz w:val="18"/>
                <w:szCs w:val="18"/>
              </w:rPr>
              <w:t>其他費用</w:t>
            </w:r>
          </w:p>
        </w:tc>
        <w:tc>
          <w:tcPr>
            <w:tcW w:w="1200" w:type="dxa"/>
            <w:vAlign w:val="center"/>
          </w:tcPr>
          <w:p w:rsidR="00412EFB" w:rsidRPr="00B93597" w:rsidRDefault="00412EFB" w:rsidP="00786561">
            <w:pPr>
              <w:jc w:val="center"/>
              <w:rPr>
                <w:rFonts w:asciiTheme="majorEastAsia" w:eastAsiaTheme="majorEastAsia" w:hAnsiTheme="majorEastAsia"/>
                <w:sz w:val="18"/>
                <w:szCs w:val="18"/>
              </w:rPr>
            </w:pPr>
            <w:r w:rsidRPr="00B93597">
              <w:rPr>
                <w:rFonts w:asciiTheme="majorEastAsia" w:eastAsiaTheme="majorEastAsia" w:hAnsiTheme="majorEastAsia" w:hint="eastAsia"/>
                <w:color w:val="000000" w:themeColor="text1"/>
                <w:sz w:val="18"/>
                <w:szCs w:val="18"/>
              </w:rPr>
              <w:t>管理及利潤</w:t>
            </w:r>
          </w:p>
        </w:tc>
        <w:tc>
          <w:tcPr>
            <w:tcW w:w="1320" w:type="dxa"/>
            <w:vAlign w:val="center"/>
          </w:tcPr>
          <w:p w:rsidR="00412EFB" w:rsidRPr="007D208E" w:rsidRDefault="00412EFB" w:rsidP="00786561">
            <w:pPr>
              <w:jc w:val="center"/>
              <w:rPr>
                <w:rFonts w:asciiTheme="majorEastAsia" w:eastAsiaTheme="majorEastAsia" w:hAnsiTheme="majorEastAsia"/>
                <w:sz w:val="18"/>
                <w:szCs w:val="18"/>
              </w:rPr>
            </w:pPr>
            <w:r w:rsidRPr="007D208E">
              <w:rPr>
                <w:rFonts w:asciiTheme="majorEastAsia" w:eastAsiaTheme="majorEastAsia" w:hAnsiTheme="majorEastAsia" w:hint="eastAsia"/>
                <w:sz w:val="18"/>
                <w:szCs w:val="18"/>
              </w:rPr>
              <w:t>合計</w:t>
            </w:r>
          </w:p>
        </w:tc>
      </w:tr>
      <w:tr w:rsidR="00DC19D6" w:rsidRPr="00DC19D6" w:rsidTr="00DC19D6">
        <w:trPr>
          <w:trHeight w:val="170"/>
        </w:trPr>
        <w:tc>
          <w:tcPr>
            <w:tcW w:w="2466" w:type="dxa"/>
            <w:tcBorders>
              <w:bottom w:val="double" w:sz="4" w:space="0" w:color="auto"/>
            </w:tcBorders>
            <w:vAlign w:val="center"/>
          </w:tcPr>
          <w:p w:rsidR="00412EFB" w:rsidRPr="00DC19D6" w:rsidRDefault="00412EFB" w:rsidP="00786561">
            <w:pPr>
              <w:jc w:val="center"/>
              <w:rPr>
                <w:rFonts w:asciiTheme="majorEastAsia" w:eastAsiaTheme="majorEastAsia" w:hAnsiTheme="majorEastAsia"/>
                <w:sz w:val="18"/>
                <w:szCs w:val="18"/>
              </w:rPr>
            </w:pPr>
          </w:p>
        </w:tc>
        <w:tc>
          <w:tcPr>
            <w:tcW w:w="1275" w:type="dxa"/>
            <w:tcBorders>
              <w:bottom w:val="double" w:sz="4" w:space="0" w:color="auto"/>
            </w:tcBorders>
            <w:vAlign w:val="center"/>
          </w:tcPr>
          <w:p w:rsidR="00412EFB" w:rsidRPr="00DC19D6" w:rsidRDefault="00412EFB" w:rsidP="00786561">
            <w:pPr>
              <w:jc w:val="center"/>
              <w:rPr>
                <w:rFonts w:asciiTheme="majorEastAsia" w:eastAsiaTheme="majorEastAsia" w:hAnsiTheme="majorEastAsia"/>
                <w:sz w:val="20"/>
              </w:rPr>
            </w:pPr>
          </w:p>
        </w:tc>
        <w:tc>
          <w:tcPr>
            <w:tcW w:w="1157" w:type="dxa"/>
            <w:tcBorders>
              <w:bottom w:val="double" w:sz="4" w:space="0" w:color="auto"/>
            </w:tcBorders>
            <w:vAlign w:val="center"/>
          </w:tcPr>
          <w:p w:rsidR="00412EFB" w:rsidRPr="00DC19D6" w:rsidRDefault="00412EFB" w:rsidP="00786561">
            <w:pPr>
              <w:jc w:val="center"/>
              <w:rPr>
                <w:rFonts w:asciiTheme="majorEastAsia" w:eastAsiaTheme="majorEastAsia" w:hAnsiTheme="majorEastAsia"/>
                <w:sz w:val="16"/>
                <w:szCs w:val="16"/>
              </w:rPr>
            </w:pPr>
            <w:r w:rsidRPr="00DC19D6">
              <w:rPr>
                <w:rFonts w:asciiTheme="majorEastAsia" w:eastAsiaTheme="majorEastAsia" w:hAnsiTheme="majorEastAsia" w:hint="eastAsia"/>
                <w:sz w:val="16"/>
                <w:szCs w:val="16"/>
              </w:rPr>
              <w:t>直接施工費</w:t>
            </w:r>
            <w:r w:rsidRPr="00DC19D6">
              <w:rPr>
                <w:rFonts w:asciiTheme="majorEastAsia" w:eastAsiaTheme="majorEastAsia" w:hAnsiTheme="majorEastAsia"/>
                <w:sz w:val="16"/>
                <w:szCs w:val="16"/>
              </w:rPr>
              <w:t>5%</w:t>
            </w:r>
          </w:p>
        </w:tc>
        <w:tc>
          <w:tcPr>
            <w:tcW w:w="1320" w:type="dxa"/>
            <w:tcBorders>
              <w:bottom w:val="double" w:sz="4" w:space="0" w:color="auto"/>
            </w:tcBorders>
            <w:vAlign w:val="center"/>
          </w:tcPr>
          <w:p w:rsidR="00412EFB" w:rsidRPr="00DC19D6" w:rsidRDefault="00412EFB" w:rsidP="00786561">
            <w:pPr>
              <w:jc w:val="center"/>
              <w:rPr>
                <w:rFonts w:asciiTheme="majorEastAsia" w:eastAsiaTheme="majorEastAsia" w:hAnsiTheme="majorEastAsia"/>
                <w:sz w:val="16"/>
                <w:szCs w:val="16"/>
              </w:rPr>
            </w:pPr>
          </w:p>
        </w:tc>
        <w:tc>
          <w:tcPr>
            <w:tcW w:w="1200" w:type="dxa"/>
            <w:tcBorders>
              <w:bottom w:val="double" w:sz="4" w:space="0" w:color="auto"/>
            </w:tcBorders>
            <w:vAlign w:val="center"/>
          </w:tcPr>
          <w:p w:rsidR="00412EFB" w:rsidRPr="00DC19D6" w:rsidRDefault="00412EFB" w:rsidP="00786561">
            <w:pPr>
              <w:jc w:val="center"/>
              <w:rPr>
                <w:rFonts w:asciiTheme="majorEastAsia" w:eastAsiaTheme="majorEastAsia" w:hAnsiTheme="majorEastAsia"/>
                <w:sz w:val="16"/>
                <w:szCs w:val="16"/>
              </w:rPr>
            </w:pPr>
            <w:r w:rsidRPr="00DC19D6">
              <w:rPr>
                <w:rFonts w:asciiTheme="majorEastAsia" w:eastAsiaTheme="majorEastAsia" w:hAnsiTheme="majorEastAsia" w:hint="eastAsia"/>
                <w:sz w:val="16"/>
                <w:szCs w:val="16"/>
              </w:rPr>
              <w:t>施工費</w:t>
            </w:r>
            <w:r w:rsidRPr="00DC19D6">
              <w:rPr>
                <w:rFonts w:asciiTheme="majorEastAsia" w:eastAsiaTheme="majorEastAsia" w:hAnsiTheme="majorEastAsia"/>
                <w:sz w:val="16"/>
                <w:szCs w:val="16"/>
              </w:rPr>
              <w:t>10%</w:t>
            </w:r>
          </w:p>
        </w:tc>
        <w:tc>
          <w:tcPr>
            <w:tcW w:w="1200" w:type="dxa"/>
            <w:tcBorders>
              <w:bottom w:val="double" w:sz="4" w:space="0" w:color="auto"/>
            </w:tcBorders>
            <w:vAlign w:val="center"/>
          </w:tcPr>
          <w:p w:rsidR="00412EFB" w:rsidRPr="00DC19D6" w:rsidRDefault="00412EFB" w:rsidP="00786561">
            <w:pPr>
              <w:jc w:val="center"/>
              <w:rPr>
                <w:rFonts w:asciiTheme="majorEastAsia" w:eastAsiaTheme="majorEastAsia" w:hAnsiTheme="majorEastAsia"/>
                <w:sz w:val="16"/>
                <w:szCs w:val="16"/>
              </w:rPr>
            </w:pPr>
            <w:r w:rsidRPr="00DC19D6">
              <w:rPr>
                <w:rFonts w:asciiTheme="majorEastAsia" w:eastAsiaTheme="majorEastAsia" w:hAnsiTheme="majorEastAsia" w:hint="eastAsia"/>
                <w:sz w:val="16"/>
                <w:szCs w:val="16"/>
              </w:rPr>
              <w:t>全部費用</w:t>
            </w:r>
            <w:r w:rsidRPr="00DC19D6">
              <w:rPr>
                <w:rFonts w:asciiTheme="majorEastAsia" w:eastAsiaTheme="majorEastAsia" w:hAnsiTheme="majorEastAsia"/>
                <w:sz w:val="16"/>
                <w:szCs w:val="16"/>
              </w:rPr>
              <w:t>5%</w:t>
            </w:r>
          </w:p>
        </w:tc>
        <w:tc>
          <w:tcPr>
            <w:tcW w:w="1320" w:type="dxa"/>
            <w:tcBorders>
              <w:bottom w:val="double" w:sz="4" w:space="0" w:color="auto"/>
            </w:tcBorders>
            <w:vAlign w:val="center"/>
          </w:tcPr>
          <w:p w:rsidR="00412EFB" w:rsidRPr="00DC19D6" w:rsidRDefault="00412EFB" w:rsidP="00786561">
            <w:pPr>
              <w:jc w:val="center"/>
              <w:rPr>
                <w:rFonts w:asciiTheme="majorEastAsia" w:eastAsiaTheme="majorEastAsia" w:hAnsiTheme="majorEastAsia"/>
                <w:sz w:val="20"/>
              </w:rPr>
            </w:pPr>
          </w:p>
        </w:tc>
      </w:tr>
      <w:tr w:rsidR="00DC19D6" w:rsidRPr="00DC19D6" w:rsidTr="00DC19D6">
        <w:trPr>
          <w:trHeight w:val="330"/>
        </w:trPr>
        <w:tc>
          <w:tcPr>
            <w:tcW w:w="2466" w:type="dxa"/>
            <w:tcBorders>
              <w:top w:val="double" w:sz="4" w:space="0" w:color="auto"/>
            </w:tcBorders>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1.</w:t>
            </w:r>
            <w:r w:rsidRPr="00DC19D6">
              <w:rPr>
                <w:rFonts w:asciiTheme="majorEastAsia" w:eastAsiaTheme="majorEastAsia" w:hAnsiTheme="majorEastAsia" w:hint="eastAsia"/>
                <w:sz w:val="18"/>
                <w:szCs w:val="18"/>
              </w:rPr>
              <w:t>能源回收建物環境工程</w:t>
            </w:r>
          </w:p>
        </w:tc>
        <w:tc>
          <w:tcPr>
            <w:tcW w:w="1275"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133,994,241 </w:t>
            </w:r>
          </w:p>
        </w:tc>
        <w:tc>
          <w:tcPr>
            <w:tcW w:w="1157"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6,699,712 </w:t>
            </w:r>
          </w:p>
        </w:tc>
        <w:tc>
          <w:tcPr>
            <w:tcW w:w="132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140,693,953 </w:t>
            </w:r>
          </w:p>
        </w:tc>
        <w:tc>
          <w:tcPr>
            <w:tcW w:w="120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14,069,395 </w:t>
            </w:r>
          </w:p>
        </w:tc>
        <w:tc>
          <w:tcPr>
            <w:tcW w:w="120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23,214,502 </w:t>
            </w:r>
          </w:p>
        </w:tc>
        <w:tc>
          <w:tcPr>
            <w:tcW w:w="132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177,977,851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2.</w:t>
            </w:r>
            <w:r w:rsidRPr="00DC19D6">
              <w:rPr>
                <w:rFonts w:asciiTheme="majorEastAsia" w:eastAsiaTheme="majorEastAsia" w:hAnsiTheme="majorEastAsia" w:hint="eastAsia"/>
                <w:sz w:val="18"/>
                <w:szCs w:val="18"/>
              </w:rPr>
              <w:t>消化槽建物環境工程</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136,694,953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6,834,748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143,529,701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14,352,970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23,682,401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181,565,071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3.</w:t>
            </w:r>
            <w:r w:rsidRPr="00DC19D6">
              <w:rPr>
                <w:rFonts w:asciiTheme="majorEastAsia" w:eastAsiaTheme="majorEastAsia" w:hAnsiTheme="majorEastAsia" w:hint="eastAsia"/>
                <w:sz w:val="18"/>
                <w:szCs w:val="18"/>
              </w:rPr>
              <w:t>能源回收建物建築工程</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4,073,078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203,654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4,276,732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427,673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705,661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5,410,066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4.</w:t>
            </w:r>
            <w:r w:rsidRPr="00DC19D6">
              <w:rPr>
                <w:rFonts w:asciiTheme="majorEastAsia" w:eastAsiaTheme="majorEastAsia" w:hAnsiTheme="majorEastAsia" w:hint="eastAsia"/>
                <w:sz w:val="18"/>
                <w:szCs w:val="18"/>
              </w:rPr>
              <w:t>消化槽建物建築工程</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20,209,526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1,010,476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21,220,002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2,122,000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3,501,300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26,843,303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5.</w:t>
            </w:r>
            <w:r w:rsidRPr="00DC19D6">
              <w:rPr>
                <w:rFonts w:asciiTheme="majorEastAsia" w:eastAsiaTheme="majorEastAsia" w:hAnsiTheme="majorEastAsia" w:hint="eastAsia"/>
                <w:sz w:val="18"/>
                <w:szCs w:val="18"/>
              </w:rPr>
              <w:t>能源回收建物電力工程</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116,703,711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5,835,186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122,538,897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12,253,890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20,218,918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155,011,704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6.</w:t>
            </w:r>
            <w:r w:rsidRPr="00DC19D6">
              <w:rPr>
                <w:rFonts w:asciiTheme="majorEastAsia" w:eastAsiaTheme="majorEastAsia" w:hAnsiTheme="majorEastAsia" w:hint="eastAsia"/>
                <w:sz w:val="18"/>
                <w:szCs w:val="18"/>
              </w:rPr>
              <w:t>消化槽建物電力工程</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23,597,168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1,179,858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24,777,026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2,477,703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4,088,209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31,342,938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7.</w:t>
            </w:r>
            <w:r w:rsidRPr="00DC19D6">
              <w:rPr>
                <w:rFonts w:asciiTheme="majorEastAsia" w:eastAsiaTheme="majorEastAsia" w:hAnsiTheme="majorEastAsia" w:hint="eastAsia"/>
                <w:sz w:val="18"/>
                <w:szCs w:val="18"/>
              </w:rPr>
              <w:t>能源回收建物機械設備</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19,422,049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971,102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20,393,151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2,039,315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3,364,870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25,797,337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8.</w:t>
            </w:r>
            <w:r w:rsidRPr="00DC19D6">
              <w:rPr>
                <w:rFonts w:asciiTheme="majorEastAsia" w:eastAsiaTheme="majorEastAsia" w:hAnsiTheme="majorEastAsia" w:hint="eastAsia"/>
                <w:sz w:val="18"/>
                <w:szCs w:val="18"/>
              </w:rPr>
              <w:t>消化槽建物機械設備</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1,726,249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86,312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1,812,561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181,256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299,073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2,292,890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9.</w:t>
            </w:r>
            <w:r w:rsidRPr="00DC19D6">
              <w:rPr>
                <w:rFonts w:asciiTheme="majorEastAsia" w:eastAsiaTheme="majorEastAsia" w:hAnsiTheme="majorEastAsia" w:hint="eastAsia"/>
                <w:sz w:val="18"/>
                <w:szCs w:val="18"/>
              </w:rPr>
              <w:t>能源回收建物結構工程</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23,205,896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1,160,295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24,366,191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2,436,619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4,020,421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30,823,231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10.</w:t>
            </w:r>
            <w:r w:rsidRPr="00DC19D6">
              <w:rPr>
                <w:rFonts w:asciiTheme="majorEastAsia" w:eastAsiaTheme="majorEastAsia" w:hAnsiTheme="majorEastAsia" w:hint="eastAsia"/>
                <w:sz w:val="18"/>
                <w:szCs w:val="18"/>
              </w:rPr>
              <w:t>消化槽建物結構工程</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47,429,504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2,371,475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49,800,979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4,980,098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8,217,162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62,998,239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11.</w:t>
            </w:r>
            <w:r w:rsidRPr="00DC19D6">
              <w:rPr>
                <w:rFonts w:asciiTheme="majorEastAsia" w:eastAsiaTheme="majorEastAsia" w:hAnsiTheme="majorEastAsia" w:hint="eastAsia"/>
                <w:sz w:val="18"/>
                <w:szCs w:val="18"/>
              </w:rPr>
              <w:t>蛋形消化槽工程</w:t>
            </w:r>
            <w:r w:rsidRPr="00DC19D6">
              <w:rPr>
                <w:rFonts w:asciiTheme="majorEastAsia" w:eastAsiaTheme="majorEastAsia" w:hAnsiTheme="majorEastAsia"/>
                <w:sz w:val="18"/>
                <w:szCs w:val="18"/>
              </w:rPr>
              <w:t>(</w:t>
            </w:r>
            <w:proofErr w:type="gramStart"/>
            <w:r w:rsidRPr="00DC19D6">
              <w:rPr>
                <w:rFonts w:asciiTheme="majorEastAsia" w:eastAsiaTheme="majorEastAsia" w:hAnsiTheme="majorEastAsia" w:hint="eastAsia"/>
                <w:sz w:val="18"/>
                <w:szCs w:val="18"/>
              </w:rPr>
              <w:t>註</w:t>
            </w:r>
            <w:proofErr w:type="gramEnd"/>
            <w:r w:rsidRPr="00DC19D6">
              <w:rPr>
                <w:rFonts w:asciiTheme="majorEastAsia" w:eastAsiaTheme="majorEastAsia" w:hAnsiTheme="majorEastAsia"/>
                <w:sz w:val="18"/>
                <w:szCs w:val="18"/>
              </w:rPr>
              <w:t>)</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714,461,000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59,586,000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774,047,000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86,693,000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80,823,000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941,563,000 </w:t>
            </w:r>
          </w:p>
        </w:tc>
      </w:tr>
      <w:tr w:rsidR="00DC19D6" w:rsidRPr="00DC19D6" w:rsidTr="00DC19D6">
        <w:trPr>
          <w:trHeight w:val="330"/>
        </w:trPr>
        <w:tc>
          <w:tcPr>
            <w:tcW w:w="2466" w:type="dxa"/>
            <w:tcBorders>
              <w:bottom w:val="double" w:sz="4" w:space="0" w:color="auto"/>
            </w:tcBorders>
            <w:vAlign w:val="center"/>
          </w:tcPr>
          <w:p w:rsidR="00412EFB" w:rsidRPr="00DC19D6" w:rsidRDefault="00412EFB" w:rsidP="00786561">
            <w:pPr>
              <w:ind w:firstLine="160"/>
              <w:rPr>
                <w:rFonts w:asciiTheme="majorEastAsia" w:eastAsiaTheme="majorEastAsia" w:hAnsiTheme="majorEastAsia"/>
                <w:sz w:val="18"/>
                <w:szCs w:val="18"/>
              </w:rPr>
            </w:pPr>
            <w:r w:rsidRPr="00DC19D6">
              <w:rPr>
                <w:rFonts w:asciiTheme="majorEastAsia" w:eastAsiaTheme="majorEastAsia" w:hAnsiTheme="majorEastAsia" w:hint="eastAsia"/>
                <w:sz w:val="18"/>
                <w:szCs w:val="18"/>
              </w:rPr>
              <w:t>基樁</w:t>
            </w:r>
            <w:r w:rsidRPr="00DC19D6">
              <w:rPr>
                <w:rFonts w:asciiTheme="majorEastAsia" w:eastAsiaTheme="majorEastAsia" w:hAnsiTheme="majorEastAsia"/>
                <w:sz w:val="18"/>
                <w:szCs w:val="18"/>
              </w:rPr>
              <w:t>(</w:t>
            </w:r>
            <w:r w:rsidRPr="00DC19D6">
              <w:rPr>
                <w:rFonts w:asciiTheme="majorEastAsia" w:eastAsiaTheme="majorEastAsia" w:hAnsiTheme="majorEastAsia" w:hint="eastAsia"/>
                <w:sz w:val="18"/>
                <w:szCs w:val="18"/>
              </w:rPr>
              <w:t>已含於消化槽主體工程內</w:t>
            </w:r>
            <w:r w:rsidRPr="00DC19D6">
              <w:rPr>
                <w:rFonts w:asciiTheme="majorEastAsia" w:eastAsiaTheme="majorEastAsia" w:hAnsiTheme="majorEastAsia"/>
                <w:sz w:val="18"/>
                <w:szCs w:val="18"/>
              </w:rPr>
              <w:t>) (</w:t>
            </w:r>
            <w:proofErr w:type="gramStart"/>
            <w:r w:rsidRPr="00DC19D6">
              <w:rPr>
                <w:rFonts w:asciiTheme="majorEastAsia" w:eastAsiaTheme="majorEastAsia" w:hAnsiTheme="majorEastAsia" w:hint="eastAsia"/>
                <w:sz w:val="18"/>
                <w:szCs w:val="18"/>
              </w:rPr>
              <w:t>註</w:t>
            </w:r>
            <w:proofErr w:type="gramEnd"/>
            <w:r w:rsidRPr="00DC19D6">
              <w:rPr>
                <w:rFonts w:asciiTheme="majorEastAsia" w:eastAsiaTheme="majorEastAsia" w:hAnsiTheme="majorEastAsia"/>
                <w:sz w:val="18"/>
                <w:szCs w:val="18"/>
              </w:rPr>
              <w:t>)</w:t>
            </w:r>
          </w:p>
        </w:tc>
        <w:tc>
          <w:tcPr>
            <w:tcW w:w="1275"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130,633,000 </w:t>
            </w:r>
          </w:p>
        </w:tc>
        <w:tc>
          <w:tcPr>
            <w:tcW w:w="1157"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10,895,000 </w:t>
            </w:r>
          </w:p>
        </w:tc>
        <w:tc>
          <w:tcPr>
            <w:tcW w:w="132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141,528,000 </w:t>
            </w:r>
          </w:p>
        </w:tc>
        <w:tc>
          <w:tcPr>
            <w:tcW w:w="120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15,851,000 </w:t>
            </w:r>
          </w:p>
        </w:tc>
        <w:tc>
          <w:tcPr>
            <w:tcW w:w="120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14,778,000 </w:t>
            </w:r>
          </w:p>
        </w:tc>
        <w:tc>
          <w:tcPr>
            <w:tcW w:w="132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172,157,000 </w:t>
            </w:r>
          </w:p>
        </w:tc>
      </w:tr>
      <w:tr w:rsidR="00DC19D6" w:rsidRPr="00DC19D6" w:rsidTr="00DC19D6">
        <w:trPr>
          <w:trHeight w:val="330"/>
        </w:trPr>
        <w:tc>
          <w:tcPr>
            <w:tcW w:w="2466" w:type="dxa"/>
            <w:tcBorders>
              <w:top w:val="double" w:sz="4" w:space="0" w:color="auto"/>
            </w:tcBorders>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hint="eastAsia"/>
                <w:sz w:val="18"/>
                <w:szCs w:val="18"/>
              </w:rPr>
              <w:t>能源回收建物結構工程小計</w:t>
            </w:r>
          </w:p>
        </w:tc>
        <w:tc>
          <w:tcPr>
            <w:tcW w:w="1275"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297,398,975 </w:t>
            </w:r>
          </w:p>
        </w:tc>
        <w:tc>
          <w:tcPr>
            <w:tcW w:w="1157"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14,869,949 </w:t>
            </w:r>
          </w:p>
        </w:tc>
        <w:tc>
          <w:tcPr>
            <w:tcW w:w="132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312,268,924 </w:t>
            </w:r>
          </w:p>
        </w:tc>
        <w:tc>
          <w:tcPr>
            <w:tcW w:w="120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31,226,892 </w:t>
            </w:r>
          </w:p>
        </w:tc>
        <w:tc>
          <w:tcPr>
            <w:tcW w:w="120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51,524,372 </w:t>
            </w:r>
          </w:p>
        </w:tc>
        <w:tc>
          <w:tcPr>
            <w:tcW w:w="132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395,020,189 </w:t>
            </w:r>
          </w:p>
        </w:tc>
      </w:tr>
      <w:tr w:rsidR="00DC19D6" w:rsidRPr="00DC19D6" w:rsidTr="00DC19D6">
        <w:trPr>
          <w:trHeight w:val="330"/>
        </w:trPr>
        <w:tc>
          <w:tcPr>
            <w:tcW w:w="2466" w:type="dxa"/>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hint="eastAsia"/>
                <w:sz w:val="18"/>
                <w:szCs w:val="18"/>
              </w:rPr>
              <w:t>消化槽建物結構工程小計</w:t>
            </w:r>
          </w:p>
        </w:tc>
        <w:tc>
          <w:tcPr>
            <w:tcW w:w="1275"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229,657,400 </w:t>
            </w:r>
          </w:p>
        </w:tc>
        <w:tc>
          <w:tcPr>
            <w:tcW w:w="1157"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11,482,870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241,140,270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24,114,027 </w:t>
            </w:r>
          </w:p>
        </w:tc>
        <w:tc>
          <w:tcPr>
            <w:tcW w:w="120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39,788,145 </w:t>
            </w:r>
          </w:p>
        </w:tc>
        <w:tc>
          <w:tcPr>
            <w:tcW w:w="1320" w:type="dxa"/>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305,042,442 </w:t>
            </w:r>
          </w:p>
        </w:tc>
      </w:tr>
      <w:tr w:rsidR="00DC19D6" w:rsidRPr="00DC19D6" w:rsidTr="00DC19D6">
        <w:trPr>
          <w:trHeight w:val="330"/>
        </w:trPr>
        <w:tc>
          <w:tcPr>
            <w:tcW w:w="2466" w:type="dxa"/>
            <w:tcBorders>
              <w:bottom w:val="double" w:sz="4" w:space="0" w:color="auto"/>
            </w:tcBorders>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hint="eastAsia"/>
                <w:sz w:val="18"/>
                <w:szCs w:val="18"/>
              </w:rPr>
              <w:t>蛋形消化槽工程小計</w:t>
            </w:r>
          </w:p>
        </w:tc>
        <w:tc>
          <w:tcPr>
            <w:tcW w:w="1275"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714,461,000 </w:t>
            </w:r>
          </w:p>
        </w:tc>
        <w:tc>
          <w:tcPr>
            <w:tcW w:w="1157"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59,586,000 </w:t>
            </w:r>
          </w:p>
        </w:tc>
        <w:tc>
          <w:tcPr>
            <w:tcW w:w="132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774,047,000 </w:t>
            </w:r>
          </w:p>
        </w:tc>
        <w:tc>
          <w:tcPr>
            <w:tcW w:w="120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86,693,000 </w:t>
            </w:r>
          </w:p>
        </w:tc>
        <w:tc>
          <w:tcPr>
            <w:tcW w:w="120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80,823,000 </w:t>
            </w:r>
          </w:p>
        </w:tc>
        <w:tc>
          <w:tcPr>
            <w:tcW w:w="132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941,563,000 </w:t>
            </w:r>
          </w:p>
        </w:tc>
      </w:tr>
      <w:tr w:rsidR="00DC19D6" w:rsidRPr="00DC19D6" w:rsidTr="00DC19D6">
        <w:trPr>
          <w:trHeight w:val="330"/>
        </w:trPr>
        <w:tc>
          <w:tcPr>
            <w:tcW w:w="2466" w:type="dxa"/>
            <w:tcBorders>
              <w:top w:val="double" w:sz="4" w:space="0" w:color="auto"/>
            </w:tcBorders>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hint="eastAsia"/>
                <w:sz w:val="18"/>
                <w:szCs w:val="18"/>
              </w:rPr>
              <w:t>合計</w:t>
            </w:r>
          </w:p>
        </w:tc>
        <w:tc>
          <w:tcPr>
            <w:tcW w:w="1275"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1,241,517,375 </w:t>
            </w:r>
          </w:p>
        </w:tc>
        <w:tc>
          <w:tcPr>
            <w:tcW w:w="1157"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85,938,819 </w:t>
            </w:r>
          </w:p>
        </w:tc>
        <w:tc>
          <w:tcPr>
            <w:tcW w:w="132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1,327,456,194 </w:t>
            </w:r>
          </w:p>
        </w:tc>
        <w:tc>
          <w:tcPr>
            <w:tcW w:w="120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142,033,919 </w:t>
            </w:r>
          </w:p>
        </w:tc>
        <w:tc>
          <w:tcPr>
            <w:tcW w:w="120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172,135,517 </w:t>
            </w:r>
          </w:p>
        </w:tc>
        <w:tc>
          <w:tcPr>
            <w:tcW w:w="132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1,641,625,630 </w:t>
            </w:r>
          </w:p>
        </w:tc>
      </w:tr>
      <w:tr w:rsidR="00DC19D6" w:rsidRPr="00DC19D6" w:rsidTr="00DC19D6">
        <w:trPr>
          <w:trHeight w:val="330"/>
        </w:trPr>
        <w:tc>
          <w:tcPr>
            <w:tcW w:w="2466" w:type="dxa"/>
            <w:tcBorders>
              <w:bottom w:val="double" w:sz="4" w:space="0" w:color="auto"/>
            </w:tcBorders>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sz w:val="18"/>
                <w:szCs w:val="18"/>
              </w:rPr>
              <w:t>12.</w:t>
            </w:r>
            <w:r w:rsidRPr="00DC19D6">
              <w:rPr>
                <w:rFonts w:asciiTheme="majorEastAsia" w:eastAsiaTheme="majorEastAsia" w:hAnsiTheme="majorEastAsia" w:hint="eastAsia"/>
                <w:sz w:val="18"/>
                <w:szCs w:val="18"/>
              </w:rPr>
              <w:t>廠區管線</w:t>
            </w:r>
          </w:p>
        </w:tc>
        <w:tc>
          <w:tcPr>
            <w:tcW w:w="1275"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227,389,030 </w:t>
            </w:r>
          </w:p>
        </w:tc>
        <w:tc>
          <w:tcPr>
            <w:tcW w:w="1157" w:type="dxa"/>
            <w:tcBorders>
              <w:bottom w:val="double" w:sz="4" w:space="0" w:color="auto"/>
            </w:tcBorders>
            <w:vAlign w:val="center"/>
          </w:tcPr>
          <w:p w:rsidR="00412EFB" w:rsidRPr="00DC19D6" w:rsidRDefault="00412EFB" w:rsidP="00786561">
            <w:pPr>
              <w:jc w:val="center"/>
              <w:rPr>
                <w:rFonts w:asciiTheme="majorEastAsia" w:eastAsiaTheme="majorEastAsia" w:hAnsiTheme="majorEastAsia"/>
                <w:color w:val="FF0000"/>
                <w:sz w:val="20"/>
              </w:rPr>
            </w:pPr>
            <w:r w:rsidRPr="00DC19D6">
              <w:rPr>
                <w:rFonts w:asciiTheme="majorEastAsia" w:eastAsiaTheme="majorEastAsia" w:hAnsiTheme="majorEastAsia"/>
                <w:color w:val="FF0000"/>
                <w:sz w:val="20"/>
              </w:rPr>
              <w:t>-</w:t>
            </w:r>
          </w:p>
        </w:tc>
        <w:tc>
          <w:tcPr>
            <w:tcW w:w="132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227,389,030 </w:t>
            </w:r>
          </w:p>
        </w:tc>
        <w:tc>
          <w:tcPr>
            <w:tcW w:w="120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22,738,903 </w:t>
            </w:r>
          </w:p>
        </w:tc>
        <w:tc>
          <w:tcPr>
            <w:tcW w:w="120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37,519,190 </w:t>
            </w:r>
          </w:p>
        </w:tc>
        <w:tc>
          <w:tcPr>
            <w:tcW w:w="1320" w:type="dxa"/>
            <w:tcBorders>
              <w:bottom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287,647,123 </w:t>
            </w:r>
          </w:p>
        </w:tc>
      </w:tr>
      <w:tr w:rsidR="00DC19D6" w:rsidRPr="00DC19D6" w:rsidTr="00DC19D6">
        <w:trPr>
          <w:trHeight w:val="330"/>
        </w:trPr>
        <w:tc>
          <w:tcPr>
            <w:tcW w:w="2466" w:type="dxa"/>
            <w:tcBorders>
              <w:top w:val="double" w:sz="4" w:space="0" w:color="auto"/>
            </w:tcBorders>
            <w:vAlign w:val="center"/>
          </w:tcPr>
          <w:p w:rsidR="00412EFB" w:rsidRPr="00DC19D6" w:rsidRDefault="00412EFB" w:rsidP="00786561">
            <w:pPr>
              <w:rPr>
                <w:rFonts w:asciiTheme="majorEastAsia" w:eastAsiaTheme="majorEastAsia" w:hAnsiTheme="majorEastAsia"/>
                <w:sz w:val="18"/>
                <w:szCs w:val="18"/>
              </w:rPr>
            </w:pPr>
            <w:r w:rsidRPr="00DC19D6">
              <w:rPr>
                <w:rFonts w:asciiTheme="majorEastAsia" w:eastAsiaTheme="majorEastAsia" w:hAnsiTheme="majorEastAsia" w:hint="eastAsia"/>
                <w:sz w:val="18"/>
                <w:szCs w:val="18"/>
              </w:rPr>
              <w:t>總計</w:t>
            </w:r>
          </w:p>
        </w:tc>
        <w:tc>
          <w:tcPr>
            <w:tcW w:w="1275"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1,468,906,405 </w:t>
            </w:r>
          </w:p>
        </w:tc>
        <w:tc>
          <w:tcPr>
            <w:tcW w:w="1157"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85,938,819 </w:t>
            </w:r>
          </w:p>
        </w:tc>
        <w:tc>
          <w:tcPr>
            <w:tcW w:w="132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1,554,845,224 </w:t>
            </w:r>
          </w:p>
        </w:tc>
        <w:tc>
          <w:tcPr>
            <w:tcW w:w="120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164,772,822 </w:t>
            </w:r>
          </w:p>
        </w:tc>
        <w:tc>
          <w:tcPr>
            <w:tcW w:w="120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209,654,707 </w:t>
            </w:r>
          </w:p>
        </w:tc>
        <w:tc>
          <w:tcPr>
            <w:tcW w:w="1320" w:type="dxa"/>
            <w:tcBorders>
              <w:top w:val="double" w:sz="4" w:space="0" w:color="auto"/>
            </w:tcBorders>
            <w:vAlign w:val="center"/>
          </w:tcPr>
          <w:p w:rsidR="00412EFB" w:rsidRPr="00DC19D6" w:rsidRDefault="00412EFB" w:rsidP="00786561">
            <w:pPr>
              <w:jc w:val="right"/>
              <w:rPr>
                <w:rFonts w:asciiTheme="majorEastAsia" w:eastAsiaTheme="majorEastAsia" w:hAnsiTheme="majorEastAsia"/>
                <w:sz w:val="20"/>
              </w:rPr>
            </w:pPr>
            <w:r w:rsidRPr="00DC19D6">
              <w:rPr>
                <w:rFonts w:asciiTheme="majorEastAsia" w:eastAsiaTheme="majorEastAsia" w:hAnsiTheme="majorEastAsia"/>
                <w:sz w:val="20"/>
              </w:rPr>
              <w:t xml:space="preserve">1,929,272,753 </w:t>
            </w:r>
          </w:p>
        </w:tc>
      </w:tr>
    </w:tbl>
    <w:p w:rsidR="00412EFB" w:rsidRPr="004B5B01" w:rsidRDefault="00412EFB" w:rsidP="009E4224">
      <w:pPr>
        <w:pStyle w:val="3"/>
        <w:numPr>
          <w:ilvl w:val="0"/>
          <w:numId w:val="0"/>
        </w:numPr>
        <w:spacing w:line="160" w:lineRule="exact"/>
        <w:ind w:left="1361"/>
        <w:rPr>
          <w:sz w:val="24"/>
          <w:szCs w:val="24"/>
        </w:rPr>
      </w:pPr>
    </w:p>
    <w:p w:rsidR="00660E98" w:rsidRPr="0030643E" w:rsidRDefault="00660E98" w:rsidP="00336A21">
      <w:pPr>
        <w:pStyle w:val="13"/>
        <w:spacing w:before="60" w:after="60" w:line="240" w:lineRule="atLeast"/>
        <w:ind w:left="992" w:right="-369" w:hanging="567"/>
        <w:jc w:val="both"/>
        <w:rPr>
          <w:szCs w:val="26"/>
        </w:rPr>
      </w:pPr>
      <w:r w:rsidRPr="0030643E">
        <w:rPr>
          <w:rFonts w:hint="eastAsia"/>
          <w:szCs w:val="26"/>
        </w:rPr>
        <w:t>表2.前省住都局79年9月</w:t>
      </w:r>
      <w:r w:rsidR="004B5B01">
        <w:rPr>
          <w:rFonts w:hint="eastAsia"/>
          <w:szCs w:val="26"/>
        </w:rPr>
        <w:t>22</w:t>
      </w:r>
      <w:r w:rsidRPr="0030643E">
        <w:rPr>
          <w:rFonts w:hint="eastAsia"/>
          <w:szCs w:val="26"/>
        </w:rPr>
        <w:t>日奉核修正之第2次51.38億元預算書項目及金額一覽表</w:t>
      </w:r>
    </w:p>
    <w:tbl>
      <w:tblPr>
        <w:tblW w:w="878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6"/>
        <w:gridCol w:w="4252"/>
      </w:tblGrid>
      <w:tr w:rsidR="002B37A7" w:rsidRPr="00C15EA7" w:rsidTr="0030643E">
        <w:trPr>
          <w:trHeight w:val="353"/>
          <w:tblHeader/>
        </w:trPr>
        <w:tc>
          <w:tcPr>
            <w:tcW w:w="4536" w:type="dxa"/>
            <w:shd w:val="clear" w:color="auto" w:fill="auto"/>
            <w:noWrap/>
            <w:vAlign w:val="center"/>
            <w:hideMark/>
          </w:tcPr>
          <w:p w:rsidR="002B37A7" w:rsidRPr="00C15EA7" w:rsidRDefault="0030643E" w:rsidP="005E7B21">
            <w:pPr>
              <w:widowControl/>
              <w:adjustRightInd w:val="0"/>
              <w:snapToGrid w:val="0"/>
              <w:jc w:val="center"/>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預算</w:t>
            </w:r>
            <w:r w:rsidR="002B37A7" w:rsidRPr="00C15EA7">
              <w:rPr>
                <w:rFonts w:asciiTheme="majorEastAsia" w:eastAsiaTheme="majorEastAsia" w:hAnsiTheme="majorEastAsia" w:cs="新細明體" w:hint="eastAsia"/>
                <w:color w:val="000000"/>
                <w:kern w:val="0"/>
                <w:sz w:val="20"/>
              </w:rPr>
              <w:t>項目</w:t>
            </w:r>
          </w:p>
        </w:tc>
        <w:tc>
          <w:tcPr>
            <w:tcW w:w="4252" w:type="dxa"/>
            <w:shd w:val="clear" w:color="auto" w:fill="auto"/>
            <w:noWrap/>
            <w:vAlign w:val="center"/>
            <w:hideMark/>
          </w:tcPr>
          <w:p w:rsidR="002B37A7" w:rsidRPr="00C15EA7" w:rsidRDefault="002B37A7" w:rsidP="005E7B21">
            <w:pPr>
              <w:widowControl/>
              <w:adjustRightInd w:val="0"/>
              <w:snapToGrid w:val="0"/>
              <w:jc w:val="center"/>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預算</w:t>
            </w:r>
            <w:r w:rsidR="0030643E" w:rsidRPr="00C15EA7">
              <w:rPr>
                <w:rFonts w:asciiTheme="majorEastAsia" w:eastAsiaTheme="majorEastAsia" w:hAnsiTheme="majorEastAsia" w:cs="新細明體" w:hint="eastAsia"/>
                <w:color w:val="000000"/>
                <w:kern w:val="0"/>
                <w:sz w:val="20"/>
              </w:rPr>
              <w:t>金額</w:t>
            </w:r>
          </w:p>
        </w:tc>
      </w:tr>
      <w:tr w:rsidR="002B37A7" w:rsidRPr="00C15EA7" w:rsidTr="00336A21">
        <w:trPr>
          <w:trHeight w:val="340"/>
        </w:trPr>
        <w:tc>
          <w:tcPr>
            <w:tcW w:w="4536" w:type="dxa"/>
            <w:shd w:val="clear" w:color="auto" w:fill="auto"/>
            <w:noWrap/>
            <w:vAlign w:val="center"/>
            <w:hideMark/>
          </w:tcPr>
          <w:p w:rsidR="002B37A7" w:rsidRPr="00C15EA7" w:rsidRDefault="002B37A7" w:rsidP="005E7B21">
            <w:pPr>
              <w:widowControl/>
              <w:adjustRightInd w:val="0"/>
              <w:snapToGrid w:val="0"/>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施工費</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color w:val="000000"/>
                <w:kern w:val="0"/>
                <w:sz w:val="20"/>
              </w:rPr>
            </w:pPr>
          </w:p>
        </w:tc>
      </w:tr>
      <w:tr w:rsidR="002B37A7" w:rsidRPr="00C15EA7" w:rsidTr="0030643E">
        <w:trPr>
          <w:trHeight w:val="364"/>
        </w:trPr>
        <w:tc>
          <w:tcPr>
            <w:tcW w:w="4536" w:type="dxa"/>
            <w:shd w:val="clear" w:color="auto" w:fill="auto"/>
            <w:noWrap/>
            <w:vAlign w:val="center"/>
            <w:hideMark/>
          </w:tcPr>
          <w:p w:rsidR="002B37A7" w:rsidRPr="00C15EA7" w:rsidRDefault="002B37A7"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一</w:t>
            </w:r>
            <w:r w:rsidR="00753760">
              <w:rPr>
                <w:rFonts w:asciiTheme="majorEastAsia" w:eastAsiaTheme="majorEastAsia" w:hAnsiTheme="majorEastAsia" w:cs="新細明體" w:hint="eastAsia"/>
                <w:color w:val="000000"/>
                <w:kern w:val="0"/>
                <w:sz w:val="20"/>
              </w:rPr>
              <w:t>、</w:t>
            </w:r>
            <w:r w:rsidRPr="00C15EA7">
              <w:rPr>
                <w:rFonts w:asciiTheme="majorEastAsia" w:eastAsiaTheme="majorEastAsia" w:hAnsiTheme="majorEastAsia" w:cs="新細明體" w:hint="eastAsia"/>
                <w:color w:val="000000"/>
                <w:kern w:val="0"/>
                <w:sz w:val="20"/>
              </w:rPr>
              <w:t>土木部分</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color w:val="000000"/>
                <w:kern w:val="0"/>
                <w:sz w:val="20"/>
              </w:rPr>
            </w:pPr>
          </w:p>
        </w:tc>
      </w:tr>
      <w:tr w:rsidR="002B37A7" w:rsidRPr="00C15EA7" w:rsidTr="00336A21">
        <w:trPr>
          <w:trHeight w:val="322"/>
        </w:trPr>
        <w:tc>
          <w:tcPr>
            <w:tcW w:w="4536" w:type="dxa"/>
            <w:shd w:val="clear" w:color="auto" w:fill="auto"/>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lastRenderedPageBreak/>
              <w:t>臨時設施</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90,000,000</w:t>
            </w:r>
          </w:p>
        </w:tc>
      </w:tr>
      <w:tr w:rsidR="002B37A7" w:rsidRPr="00C15EA7" w:rsidTr="0030643E">
        <w:trPr>
          <w:trHeight w:val="298"/>
        </w:trPr>
        <w:tc>
          <w:tcPr>
            <w:tcW w:w="4536" w:type="dxa"/>
            <w:shd w:val="clear" w:color="auto" w:fill="auto"/>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蛋形消化槽</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738,000,000</w:t>
            </w:r>
          </w:p>
          <w:p w:rsidR="002B37A7" w:rsidRPr="00C15EA7" w:rsidRDefault="0030643E" w:rsidP="005E7B21">
            <w:pPr>
              <w:widowControl/>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 xml:space="preserve">進口     </w:t>
            </w:r>
            <w:r w:rsidR="002B37A7" w:rsidRPr="00C15EA7">
              <w:rPr>
                <w:rFonts w:asciiTheme="majorEastAsia" w:eastAsiaTheme="majorEastAsia" w:hAnsiTheme="majorEastAsia" w:cs="新細明體" w:hint="eastAsia"/>
                <w:color w:val="000000"/>
                <w:kern w:val="0"/>
                <w:sz w:val="20"/>
              </w:rPr>
              <w:t>US$</w:t>
            </w:r>
            <w:r w:rsidR="002B37A7" w:rsidRPr="00C15EA7">
              <w:rPr>
                <w:rFonts w:asciiTheme="majorEastAsia" w:eastAsiaTheme="majorEastAsia" w:hAnsiTheme="majorEastAsia" w:cs="新細明體"/>
                <w:color w:val="000000"/>
                <w:kern w:val="0"/>
                <w:sz w:val="20"/>
              </w:rPr>
              <w:t>33,180,000</w:t>
            </w:r>
          </w:p>
        </w:tc>
      </w:tr>
      <w:tr w:rsidR="002B37A7" w:rsidRPr="00C15EA7" w:rsidTr="0030643E">
        <w:trPr>
          <w:trHeight w:val="365"/>
        </w:trPr>
        <w:tc>
          <w:tcPr>
            <w:tcW w:w="4536" w:type="dxa"/>
            <w:shd w:val="clear" w:color="auto" w:fill="auto"/>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消化槽機房及水管廊</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150,000,000</w:t>
            </w:r>
          </w:p>
        </w:tc>
      </w:tr>
      <w:tr w:rsidR="002B37A7" w:rsidRPr="00C15EA7" w:rsidTr="0030643E">
        <w:trPr>
          <w:trHeight w:val="364"/>
        </w:trPr>
        <w:tc>
          <w:tcPr>
            <w:tcW w:w="4536" w:type="dxa"/>
            <w:shd w:val="clear" w:color="auto" w:fill="auto"/>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消化瓦斯貯槽</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13,500,000</w:t>
            </w:r>
          </w:p>
        </w:tc>
      </w:tr>
      <w:tr w:rsidR="002B37A7" w:rsidRPr="00C15EA7" w:rsidTr="0030643E">
        <w:trPr>
          <w:trHeight w:val="364"/>
        </w:trPr>
        <w:tc>
          <w:tcPr>
            <w:tcW w:w="4536" w:type="dxa"/>
            <w:shd w:val="clear" w:color="auto" w:fill="auto"/>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能源回收系統</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54,000,000</w:t>
            </w:r>
          </w:p>
        </w:tc>
      </w:tr>
      <w:tr w:rsidR="002B37A7" w:rsidRPr="00C15EA7" w:rsidTr="0030643E">
        <w:trPr>
          <w:trHeight w:val="364"/>
        </w:trPr>
        <w:tc>
          <w:tcPr>
            <w:tcW w:w="4536" w:type="dxa"/>
            <w:shd w:val="clear" w:color="auto" w:fill="auto"/>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系統管線埋設</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24,000,000</w:t>
            </w:r>
          </w:p>
        </w:tc>
      </w:tr>
      <w:tr w:rsidR="002B37A7" w:rsidRPr="00C15EA7" w:rsidTr="0030643E">
        <w:trPr>
          <w:trHeight w:val="364"/>
        </w:trPr>
        <w:tc>
          <w:tcPr>
            <w:tcW w:w="4536" w:type="dxa"/>
            <w:shd w:val="clear" w:color="auto" w:fill="auto"/>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廠區道路及管線</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67,500,000</w:t>
            </w:r>
          </w:p>
        </w:tc>
      </w:tr>
      <w:tr w:rsidR="002B37A7" w:rsidRPr="00C15EA7" w:rsidTr="0030643E">
        <w:trPr>
          <w:trHeight w:val="365"/>
        </w:trPr>
        <w:tc>
          <w:tcPr>
            <w:tcW w:w="4536" w:type="dxa"/>
            <w:shd w:val="clear" w:color="auto" w:fill="auto"/>
            <w:vAlign w:val="center"/>
            <w:hideMark/>
          </w:tcPr>
          <w:p w:rsidR="002B37A7" w:rsidRPr="00C15EA7" w:rsidRDefault="002B37A7" w:rsidP="005E7B21">
            <w:pPr>
              <w:widowControl/>
              <w:adjustRightInd w:val="0"/>
              <w:snapToGrid w:val="0"/>
              <w:jc w:val="center"/>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小計</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 xml:space="preserve">國產  </w:t>
            </w:r>
            <w:r w:rsidR="00C15EA7">
              <w:rPr>
                <w:rFonts w:asciiTheme="majorEastAsia" w:eastAsiaTheme="majorEastAsia" w:hAnsiTheme="majorEastAsia" w:cs="新細明體" w:hint="eastAsia"/>
                <w:color w:val="000000"/>
                <w:kern w:val="0"/>
                <w:sz w:val="20"/>
              </w:rPr>
              <w:t xml:space="preserve"> </w:t>
            </w: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1,137,000,000</w:t>
            </w:r>
          </w:p>
          <w:p w:rsidR="002B37A7" w:rsidRPr="00C15EA7" w:rsidRDefault="00C15EA7" w:rsidP="005E7B21">
            <w:pPr>
              <w:adjustRightInd w:val="0"/>
              <w:snapToGrid w:val="0"/>
              <w:jc w:val="right"/>
              <w:rPr>
                <w:rFonts w:asciiTheme="majorEastAsia" w:eastAsiaTheme="majorEastAsia" w:hAnsiTheme="majorEastAsia" w:cs="新細明體"/>
                <w:color w:val="000000"/>
                <w:kern w:val="0"/>
                <w:sz w:val="20"/>
              </w:rPr>
            </w:pPr>
            <w:r>
              <w:rPr>
                <w:rFonts w:asciiTheme="majorEastAsia" w:eastAsiaTheme="majorEastAsia" w:hAnsiTheme="majorEastAsia" w:cs="新細明體" w:hint="eastAsia"/>
                <w:color w:val="000000"/>
                <w:kern w:val="0"/>
                <w:sz w:val="20"/>
              </w:rPr>
              <w:t xml:space="preserve"> </w:t>
            </w:r>
            <w:r w:rsidR="0030643E" w:rsidRPr="00C15EA7">
              <w:rPr>
                <w:rFonts w:asciiTheme="majorEastAsia" w:eastAsiaTheme="majorEastAsia" w:hAnsiTheme="majorEastAsia" w:cs="新細明體" w:hint="eastAsia"/>
                <w:color w:val="000000"/>
                <w:kern w:val="0"/>
                <w:sz w:val="20"/>
              </w:rPr>
              <w:t xml:space="preserve">進口  </w:t>
            </w:r>
            <w:r>
              <w:rPr>
                <w:rFonts w:asciiTheme="majorEastAsia" w:eastAsiaTheme="majorEastAsia" w:hAnsiTheme="majorEastAsia" w:cs="新細明體" w:hint="eastAsia"/>
                <w:color w:val="000000"/>
                <w:kern w:val="0"/>
                <w:sz w:val="20"/>
              </w:rPr>
              <w:t xml:space="preserve"> </w:t>
            </w:r>
            <w:r w:rsidR="0030643E" w:rsidRPr="00C15EA7">
              <w:rPr>
                <w:rFonts w:asciiTheme="majorEastAsia" w:eastAsiaTheme="majorEastAsia" w:hAnsiTheme="majorEastAsia" w:cs="新細明體" w:hint="eastAsia"/>
                <w:color w:val="000000"/>
                <w:kern w:val="0"/>
                <w:sz w:val="20"/>
              </w:rPr>
              <w:t xml:space="preserve">  </w:t>
            </w:r>
            <w:r w:rsidR="002B37A7" w:rsidRPr="00C15EA7">
              <w:rPr>
                <w:rFonts w:asciiTheme="majorEastAsia" w:eastAsiaTheme="majorEastAsia" w:hAnsiTheme="majorEastAsia" w:cs="新細明體" w:hint="eastAsia"/>
                <w:color w:val="000000"/>
                <w:kern w:val="0"/>
                <w:sz w:val="20"/>
              </w:rPr>
              <w:t>US$</w:t>
            </w:r>
            <w:r w:rsidR="002B37A7" w:rsidRPr="00C15EA7">
              <w:rPr>
                <w:rFonts w:asciiTheme="majorEastAsia" w:eastAsiaTheme="majorEastAsia" w:hAnsiTheme="majorEastAsia" w:cs="新細明體"/>
                <w:color w:val="000000"/>
                <w:kern w:val="0"/>
                <w:sz w:val="20"/>
              </w:rPr>
              <w:t>33,180,000</w:t>
            </w:r>
          </w:p>
        </w:tc>
      </w:tr>
      <w:tr w:rsidR="002B37A7" w:rsidRPr="00C15EA7" w:rsidTr="0030643E">
        <w:trPr>
          <w:trHeight w:val="339"/>
        </w:trPr>
        <w:tc>
          <w:tcPr>
            <w:tcW w:w="4536" w:type="dxa"/>
            <w:shd w:val="clear" w:color="auto" w:fill="auto"/>
            <w:noWrap/>
            <w:vAlign w:val="center"/>
            <w:hideMark/>
          </w:tcPr>
          <w:p w:rsidR="002B37A7" w:rsidRPr="00C15EA7" w:rsidRDefault="002B37A7"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二</w:t>
            </w:r>
            <w:r w:rsidR="00753760">
              <w:rPr>
                <w:rFonts w:asciiTheme="majorEastAsia" w:eastAsiaTheme="majorEastAsia" w:hAnsiTheme="majorEastAsia" w:cs="新細明體" w:hint="eastAsia"/>
                <w:color w:val="000000"/>
                <w:kern w:val="0"/>
                <w:sz w:val="20"/>
              </w:rPr>
              <w:t>、</w:t>
            </w:r>
            <w:r w:rsidRPr="00C15EA7">
              <w:rPr>
                <w:rFonts w:asciiTheme="majorEastAsia" w:eastAsiaTheme="majorEastAsia" w:hAnsiTheme="majorEastAsia" w:cs="新細明體" w:hint="eastAsia"/>
                <w:color w:val="000000"/>
                <w:kern w:val="0"/>
                <w:sz w:val="20"/>
              </w:rPr>
              <w:t>機械設備</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color w:val="000000"/>
                <w:kern w:val="0"/>
                <w:sz w:val="20"/>
              </w:rPr>
            </w:pPr>
          </w:p>
        </w:tc>
      </w:tr>
      <w:tr w:rsidR="002B37A7" w:rsidRPr="00C15EA7" w:rsidTr="0030643E">
        <w:trPr>
          <w:trHeight w:val="79"/>
        </w:trPr>
        <w:tc>
          <w:tcPr>
            <w:tcW w:w="4536" w:type="dxa"/>
            <w:shd w:val="clear" w:color="auto" w:fill="auto"/>
            <w:noWrap/>
            <w:vAlign w:val="center"/>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污泥消化機械設備</w:t>
            </w:r>
          </w:p>
        </w:tc>
        <w:tc>
          <w:tcPr>
            <w:tcW w:w="4252" w:type="dxa"/>
            <w:shd w:val="clear" w:color="auto" w:fill="auto"/>
            <w:noWrap/>
            <w:vAlign w:val="center"/>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135,000,000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9,510,000</w:t>
            </w:r>
          </w:p>
        </w:tc>
      </w:tr>
      <w:tr w:rsidR="002B37A7" w:rsidRPr="00C15EA7" w:rsidTr="0030643E">
        <w:trPr>
          <w:trHeight w:val="324"/>
        </w:trPr>
        <w:tc>
          <w:tcPr>
            <w:tcW w:w="4536" w:type="dxa"/>
            <w:shd w:val="clear" w:color="auto" w:fill="auto"/>
            <w:noWrap/>
            <w:vAlign w:val="center"/>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消化瓦斯貯存系統</w:t>
            </w:r>
          </w:p>
        </w:tc>
        <w:tc>
          <w:tcPr>
            <w:tcW w:w="4252" w:type="dxa"/>
            <w:shd w:val="clear" w:color="auto" w:fill="auto"/>
            <w:noWrap/>
            <w:vAlign w:val="center"/>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76,500,000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7,950,000</w:t>
            </w:r>
          </w:p>
        </w:tc>
      </w:tr>
      <w:tr w:rsidR="002B37A7" w:rsidRPr="00C15EA7" w:rsidTr="0030643E">
        <w:trPr>
          <w:trHeight w:val="324"/>
        </w:trPr>
        <w:tc>
          <w:tcPr>
            <w:tcW w:w="4536" w:type="dxa"/>
            <w:shd w:val="clear" w:color="auto" w:fill="auto"/>
            <w:noWrap/>
            <w:vAlign w:val="center"/>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能源回收系統</w:t>
            </w:r>
          </w:p>
        </w:tc>
        <w:tc>
          <w:tcPr>
            <w:tcW w:w="4252" w:type="dxa"/>
            <w:shd w:val="clear" w:color="auto" w:fill="auto"/>
            <w:noWrap/>
            <w:vAlign w:val="center"/>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102,000,000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10,340,000</w:t>
            </w:r>
          </w:p>
        </w:tc>
      </w:tr>
      <w:tr w:rsidR="002B37A7" w:rsidRPr="00C15EA7" w:rsidTr="0030643E">
        <w:trPr>
          <w:trHeight w:val="324"/>
        </w:trPr>
        <w:tc>
          <w:tcPr>
            <w:tcW w:w="4536" w:type="dxa"/>
            <w:shd w:val="clear" w:color="auto" w:fill="auto"/>
            <w:noWrap/>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電力及中央控制設備</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93,000,000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6,470,000</w:t>
            </w:r>
          </w:p>
        </w:tc>
      </w:tr>
      <w:tr w:rsidR="002B37A7" w:rsidRPr="00C15EA7" w:rsidTr="0030643E">
        <w:trPr>
          <w:trHeight w:val="324"/>
        </w:trPr>
        <w:tc>
          <w:tcPr>
            <w:tcW w:w="4536" w:type="dxa"/>
            <w:shd w:val="clear" w:color="auto" w:fill="auto"/>
            <w:noWrap/>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系統管線機械設備</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124,500,000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3,320,000</w:t>
            </w:r>
          </w:p>
        </w:tc>
      </w:tr>
      <w:tr w:rsidR="002B37A7" w:rsidRPr="00C15EA7" w:rsidTr="0030643E">
        <w:trPr>
          <w:trHeight w:val="324"/>
        </w:trPr>
        <w:tc>
          <w:tcPr>
            <w:tcW w:w="4536" w:type="dxa"/>
            <w:shd w:val="clear" w:color="auto" w:fill="auto"/>
            <w:noWrap/>
            <w:vAlign w:val="center"/>
            <w:hideMark/>
          </w:tcPr>
          <w:p w:rsidR="002B37A7" w:rsidRPr="00C15EA7" w:rsidRDefault="002B37A7" w:rsidP="005E7B21">
            <w:pPr>
              <w:widowControl/>
              <w:adjustRightInd w:val="0"/>
              <w:snapToGrid w:val="0"/>
              <w:jc w:val="center"/>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小計</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531,000,000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37,590,000</w:t>
            </w:r>
          </w:p>
        </w:tc>
      </w:tr>
      <w:tr w:rsidR="002B37A7" w:rsidRPr="00C15EA7" w:rsidTr="0030643E">
        <w:trPr>
          <w:trHeight w:val="361"/>
        </w:trPr>
        <w:tc>
          <w:tcPr>
            <w:tcW w:w="4536" w:type="dxa"/>
            <w:shd w:val="clear" w:color="auto" w:fill="auto"/>
            <w:noWrap/>
            <w:vAlign w:val="center"/>
            <w:hideMark/>
          </w:tcPr>
          <w:p w:rsidR="002B37A7" w:rsidRPr="00C15EA7" w:rsidRDefault="002B37A7"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三</w:t>
            </w:r>
            <w:r w:rsidR="00753760">
              <w:rPr>
                <w:rFonts w:asciiTheme="majorEastAsia" w:eastAsiaTheme="majorEastAsia" w:hAnsiTheme="majorEastAsia" w:cs="新細明體" w:hint="eastAsia"/>
                <w:color w:val="000000"/>
                <w:kern w:val="0"/>
                <w:sz w:val="20"/>
              </w:rPr>
              <w:t>、</w:t>
            </w:r>
            <w:r w:rsidRPr="00C15EA7">
              <w:rPr>
                <w:rFonts w:asciiTheme="majorEastAsia" w:eastAsiaTheme="majorEastAsia" w:hAnsiTheme="majorEastAsia" w:cs="新細明體" w:hint="eastAsia"/>
                <w:color w:val="000000"/>
                <w:kern w:val="0"/>
                <w:sz w:val="20"/>
              </w:rPr>
              <w:t>電器設備</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color w:val="000000"/>
                <w:kern w:val="0"/>
                <w:sz w:val="20"/>
              </w:rPr>
            </w:pPr>
          </w:p>
        </w:tc>
      </w:tr>
      <w:tr w:rsidR="002B37A7" w:rsidRPr="00C15EA7" w:rsidTr="0030643E">
        <w:trPr>
          <w:trHeight w:val="324"/>
        </w:trPr>
        <w:tc>
          <w:tcPr>
            <w:tcW w:w="4536" w:type="dxa"/>
            <w:shd w:val="clear" w:color="auto" w:fill="auto"/>
            <w:noWrap/>
            <w:vAlign w:val="center"/>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污泥消化槽電器設備</w:t>
            </w:r>
          </w:p>
        </w:tc>
        <w:tc>
          <w:tcPr>
            <w:tcW w:w="4252" w:type="dxa"/>
            <w:shd w:val="clear" w:color="auto" w:fill="auto"/>
            <w:noWrap/>
            <w:vAlign w:val="center"/>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20,250,000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2,420,000</w:t>
            </w:r>
          </w:p>
        </w:tc>
      </w:tr>
      <w:tr w:rsidR="002B37A7" w:rsidRPr="00C15EA7" w:rsidTr="0030643E">
        <w:trPr>
          <w:trHeight w:val="324"/>
        </w:trPr>
        <w:tc>
          <w:tcPr>
            <w:tcW w:w="4536" w:type="dxa"/>
            <w:shd w:val="clear" w:color="auto" w:fill="auto"/>
            <w:noWrap/>
            <w:vAlign w:val="center"/>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消化瓦斯貯存系統電器設備</w:t>
            </w:r>
          </w:p>
        </w:tc>
        <w:tc>
          <w:tcPr>
            <w:tcW w:w="4252" w:type="dxa"/>
            <w:shd w:val="clear" w:color="auto" w:fill="auto"/>
            <w:noWrap/>
            <w:vAlign w:val="center"/>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27,600,000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3,310,000</w:t>
            </w:r>
          </w:p>
        </w:tc>
      </w:tr>
      <w:tr w:rsidR="002B37A7" w:rsidRPr="00C15EA7" w:rsidTr="0030643E">
        <w:trPr>
          <w:trHeight w:val="324"/>
        </w:trPr>
        <w:tc>
          <w:tcPr>
            <w:tcW w:w="4536" w:type="dxa"/>
            <w:shd w:val="clear" w:color="auto" w:fill="auto"/>
            <w:noWrap/>
            <w:vAlign w:val="center"/>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能源回收系統電器設備</w:t>
            </w:r>
          </w:p>
        </w:tc>
        <w:tc>
          <w:tcPr>
            <w:tcW w:w="4252" w:type="dxa"/>
            <w:shd w:val="clear" w:color="auto" w:fill="auto"/>
            <w:noWrap/>
            <w:vAlign w:val="center"/>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7,950,000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940,000</w:t>
            </w:r>
          </w:p>
        </w:tc>
      </w:tr>
      <w:tr w:rsidR="002B37A7" w:rsidRPr="00C15EA7" w:rsidTr="0030643E">
        <w:trPr>
          <w:trHeight w:val="324"/>
        </w:trPr>
        <w:tc>
          <w:tcPr>
            <w:tcW w:w="4536" w:type="dxa"/>
            <w:shd w:val="clear" w:color="auto" w:fill="auto"/>
            <w:noWrap/>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電力及中央控制電器設備</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3,150,000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360,000</w:t>
            </w:r>
          </w:p>
        </w:tc>
      </w:tr>
      <w:tr w:rsidR="002B37A7" w:rsidRPr="00C15EA7" w:rsidTr="0030643E">
        <w:trPr>
          <w:trHeight w:val="324"/>
        </w:trPr>
        <w:tc>
          <w:tcPr>
            <w:tcW w:w="4536" w:type="dxa"/>
            <w:shd w:val="clear" w:color="auto" w:fill="auto"/>
            <w:noWrap/>
            <w:vAlign w:val="center"/>
            <w:hideMark/>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系統管線電器設備</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20,550,000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2,470,000</w:t>
            </w:r>
          </w:p>
        </w:tc>
      </w:tr>
      <w:tr w:rsidR="002B37A7" w:rsidRPr="00C15EA7" w:rsidTr="0030643E">
        <w:trPr>
          <w:trHeight w:val="324"/>
        </w:trPr>
        <w:tc>
          <w:tcPr>
            <w:tcW w:w="4536" w:type="dxa"/>
            <w:shd w:val="clear" w:color="auto" w:fill="auto"/>
            <w:noWrap/>
            <w:vAlign w:val="center"/>
            <w:hideMark/>
          </w:tcPr>
          <w:p w:rsidR="002B37A7" w:rsidRPr="00C15EA7" w:rsidRDefault="002B37A7" w:rsidP="005E7B21">
            <w:pPr>
              <w:widowControl/>
              <w:adjustRightInd w:val="0"/>
              <w:snapToGrid w:val="0"/>
              <w:jc w:val="center"/>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小計</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79,500,000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9,500,000</w:t>
            </w:r>
          </w:p>
        </w:tc>
      </w:tr>
      <w:tr w:rsidR="002B37A7" w:rsidRPr="00C15EA7" w:rsidTr="0030643E">
        <w:trPr>
          <w:trHeight w:val="342"/>
        </w:trPr>
        <w:tc>
          <w:tcPr>
            <w:tcW w:w="4536" w:type="dxa"/>
            <w:shd w:val="clear" w:color="auto" w:fill="auto"/>
            <w:noWrap/>
            <w:vAlign w:val="center"/>
            <w:hideMark/>
          </w:tcPr>
          <w:p w:rsidR="002B37A7" w:rsidRPr="00C15EA7" w:rsidRDefault="002B37A7"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四</w:t>
            </w:r>
            <w:r w:rsidR="00753760">
              <w:rPr>
                <w:rFonts w:asciiTheme="majorEastAsia" w:eastAsiaTheme="majorEastAsia" w:hAnsiTheme="majorEastAsia" w:cs="新細明體" w:hint="eastAsia"/>
                <w:color w:val="000000"/>
                <w:kern w:val="0"/>
                <w:sz w:val="20"/>
              </w:rPr>
              <w:t>、</w:t>
            </w:r>
            <w:r w:rsidRPr="00C15EA7">
              <w:rPr>
                <w:rFonts w:asciiTheme="majorEastAsia" w:eastAsiaTheme="majorEastAsia" w:hAnsiTheme="majorEastAsia" w:cs="新細明體" w:hint="eastAsia"/>
                <w:color w:val="000000"/>
                <w:kern w:val="0"/>
                <w:sz w:val="20"/>
              </w:rPr>
              <w:t>其它</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color w:val="000000"/>
                <w:kern w:val="0"/>
                <w:sz w:val="20"/>
              </w:rPr>
            </w:pPr>
          </w:p>
        </w:tc>
      </w:tr>
      <w:tr w:rsidR="002B37A7" w:rsidRPr="00C15EA7" w:rsidTr="0030643E">
        <w:trPr>
          <w:trHeight w:val="324"/>
        </w:trPr>
        <w:tc>
          <w:tcPr>
            <w:tcW w:w="4536" w:type="dxa"/>
            <w:shd w:val="clear" w:color="auto" w:fill="auto"/>
            <w:noWrap/>
            <w:vAlign w:val="center"/>
          </w:tcPr>
          <w:p w:rsidR="002B37A7" w:rsidRPr="00C15EA7" w:rsidRDefault="00971C9E"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蛋形消化槽及能源回收專利權使用費</w:t>
            </w:r>
          </w:p>
        </w:tc>
        <w:tc>
          <w:tcPr>
            <w:tcW w:w="4252" w:type="dxa"/>
            <w:shd w:val="clear" w:color="auto" w:fill="auto"/>
            <w:noWrap/>
            <w:vAlign w:val="center"/>
          </w:tcPr>
          <w:p w:rsidR="002B37A7" w:rsidRPr="00C15EA7" w:rsidRDefault="002B37A7" w:rsidP="005E7B21">
            <w:pPr>
              <w:wordWrap w:val="0"/>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18,000,000</w:t>
            </w:r>
          </w:p>
          <w:p w:rsidR="002B37A7" w:rsidRPr="00C15EA7" w:rsidRDefault="002B37A7" w:rsidP="005E7B21">
            <w:pPr>
              <w:wordWrap w:val="0"/>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2,160,000</w:t>
            </w:r>
          </w:p>
        </w:tc>
      </w:tr>
      <w:tr w:rsidR="002B37A7" w:rsidRPr="00C15EA7" w:rsidTr="0030643E">
        <w:trPr>
          <w:trHeight w:val="324"/>
        </w:trPr>
        <w:tc>
          <w:tcPr>
            <w:tcW w:w="4536" w:type="dxa"/>
            <w:tcBorders>
              <w:bottom w:val="single" w:sz="4" w:space="0" w:color="auto"/>
            </w:tcBorders>
            <w:shd w:val="clear" w:color="auto" w:fill="auto"/>
            <w:noWrap/>
            <w:vAlign w:val="center"/>
          </w:tcPr>
          <w:p w:rsidR="002B37A7" w:rsidRPr="00C15EA7" w:rsidRDefault="002B37A7"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系統功能試車及操作人員訓練</w:t>
            </w:r>
          </w:p>
        </w:tc>
        <w:tc>
          <w:tcPr>
            <w:tcW w:w="4252" w:type="dxa"/>
            <w:tcBorders>
              <w:bottom w:val="single" w:sz="4" w:space="0" w:color="auto"/>
            </w:tcBorders>
            <w:shd w:val="clear" w:color="auto" w:fill="auto"/>
            <w:noWrap/>
            <w:vAlign w:val="center"/>
          </w:tcPr>
          <w:p w:rsidR="002B37A7" w:rsidRPr="00C15EA7" w:rsidRDefault="002B37A7" w:rsidP="005E7B21">
            <w:pPr>
              <w:wordWrap w:val="0"/>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國產     NT$</w:t>
            </w:r>
            <w:r w:rsidRPr="00C15EA7">
              <w:rPr>
                <w:rFonts w:asciiTheme="majorEastAsia" w:eastAsiaTheme="majorEastAsia" w:hAnsiTheme="majorEastAsia" w:cs="新細明體"/>
                <w:color w:val="000000"/>
                <w:kern w:val="0"/>
                <w:sz w:val="20"/>
              </w:rPr>
              <w:t>13,500,000</w:t>
            </w:r>
          </w:p>
          <w:p w:rsidR="002B37A7" w:rsidRPr="00C15EA7" w:rsidRDefault="002B37A7" w:rsidP="005E7B21">
            <w:pPr>
              <w:wordWrap w:val="0"/>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進口      US$</w:t>
            </w:r>
            <w:r w:rsidRPr="00C15EA7">
              <w:rPr>
                <w:rFonts w:asciiTheme="majorEastAsia" w:eastAsiaTheme="majorEastAsia" w:hAnsiTheme="majorEastAsia" w:cs="新細明體"/>
                <w:color w:val="000000"/>
                <w:kern w:val="0"/>
                <w:sz w:val="20"/>
              </w:rPr>
              <w:t>1,620,000</w:t>
            </w:r>
          </w:p>
        </w:tc>
      </w:tr>
      <w:tr w:rsidR="00753760" w:rsidRPr="00C15EA7" w:rsidTr="0030643E">
        <w:trPr>
          <w:trHeight w:val="324"/>
        </w:trPr>
        <w:tc>
          <w:tcPr>
            <w:tcW w:w="4536" w:type="dxa"/>
            <w:tcBorders>
              <w:bottom w:val="single" w:sz="4" w:space="0" w:color="auto"/>
            </w:tcBorders>
            <w:shd w:val="clear" w:color="auto" w:fill="auto"/>
            <w:noWrap/>
            <w:vAlign w:val="center"/>
          </w:tcPr>
          <w:p w:rsidR="00753760" w:rsidRPr="00C15EA7" w:rsidRDefault="00753760"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p>
        </w:tc>
        <w:tc>
          <w:tcPr>
            <w:tcW w:w="4252" w:type="dxa"/>
            <w:tcBorders>
              <w:bottom w:val="single" w:sz="4" w:space="0" w:color="auto"/>
            </w:tcBorders>
            <w:shd w:val="clear" w:color="auto" w:fill="auto"/>
            <w:noWrap/>
            <w:vAlign w:val="center"/>
          </w:tcPr>
          <w:p w:rsidR="00753760" w:rsidRPr="00C15EA7" w:rsidRDefault="00753760" w:rsidP="005E7B21">
            <w:pPr>
              <w:wordWrap w:val="0"/>
              <w:adjustRightInd w:val="0"/>
              <w:snapToGrid w:val="0"/>
              <w:jc w:val="right"/>
              <w:rPr>
                <w:rFonts w:asciiTheme="majorEastAsia" w:eastAsiaTheme="majorEastAsia" w:hAnsiTheme="majorEastAsia" w:cs="新細明體"/>
                <w:color w:val="000000"/>
                <w:kern w:val="0"/>
                <w:sz w:val="20"/>
              </w:rPr>
            </w:pPr>
          </w:p>
        </w:tc>
      </w:tr>
      <w:tr w:rsidR="002B37A7" w:rsidRPr="00C15EA7" w:rsidTr="0030643E">
        <w:trPr>
          <w:trHeight w:val="324"/>
        </w:trPr>
        <w:tc>
          <w:tcPr>
            <w:tcW w:w="4536" w:type="dxa"/>
            <w:shd w:val="clear" w:color="auto" w:fill="DAEEF3" w:themeFill="accent5" w:themeFillTint="33"/>
            <w:noWrap/>
            <w:vAlign w:val="center"/>
          </w:tcPr>
          <w:p w:rsidR="002B37A7" w:rsidRPr="00C15EA7" w:rsidRDefault="00C15EA7"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操作</w:t>
            </w:r>
            <w:r w:rsidR="002B37A7" w:rsidRPr="00C15EA7">
              <w:rPr>
                <w:rFonts w:asciiTheme="majorEastAsia" w:eastAsiaTheme="majorEastAsia" w:hAnsiTheme="majorEastAsia" w:cs="新細明體" w:hint="eastAsia"/>
                <w:color w:val="000000"/>
                <w:kern w:val="0"/>
                <w:sz w:val="20"/>
              </w:rPr>
              <w:t>施工圖製作費</w:t>
            </w:r>
          </w:p>
        </w:tc>
        <w:tc>
          <w:tcPr>
            <w:tcW w:w="4252" w:type="dxa"/>
            <w:shd w:val="clear" w:color="auto" w:fill="DAEEF3" w:themeFill="accent5" w:themeFillTint="33"/>
            <w:noWrap/>
            <w:vAlign w:val="center"/>
          </w:tcPr>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6,000,000</w:t>
            </w:r>
          </w:p>
        </w:tc>
      </w:tr>
      <w:tr w:rsidR="002B37A7" w:rsidRPr="00C15EA7" w:rsidTr="0030643E">
        <w:trPr>
          <w:trHeight w:val="324"/>
        </w:trPr>
        <w:tc>
          <w:tcPr>
            <w:tcW w:w="4536" w:type="dxa"/>
            <w:shd w:val="clear" w:color="auto" w:fill="DAEEF3" w:themeFill="accent5" w:themeFillTint="33"/>
            <w:noWrap/>
            <w:vAlign w:val="center"/>
          </w:tcPr>
          <w:p w:rsidR="002B37A7" w:rsidRPr="00C15EA7" w:rsidRDefault="002B37A7"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施工中</w:t>
            </w:r>
            <w:r w:rsidR="009C34ED">
              <w:rPr>
                <w:rFonts w:asciiTheme="majorEastAsia" w:eastAsiaTheme="majorEastAsia" w:hAnsiTheme="majorEastAsia" w:cs="新細明體" w:hint="eastAsia"/>
                <w:color w:val="000000"/>
                <w:kern w:val="0"/>
                <w:sz w:val="20"/>
              </w:rPr>
              <w:t>環境污染防治費</w:t>
            </w:r>
          </w:p>
        </w:tc>
        <w:tc>
          <w:tcPr>
            <w:tcW w:w="4252" w:type="dxa"/>
            <w:shd w:val="clear" w:color="auto" w:fill="DAEEF3" w:themeFill="accent5" w:themeFillTint="33"/>
            <w:noWrap/>
            <w:vAlign w:val="center"/>
          </w:tcPr>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20,500,000</w:t>
            </w:r>
          </w:p>
        </w:tc>
      </w:tr>
      <w:tr w:rsidR="002B37A7" w:rsidRPr="00C15EA7" w:rsidTr="0030643E">
        <w:trPr>
          <w:trHeight w:val="324"/>
        </w:trPr>
        <w:tc>
          <w:tcPr>
            <w:tcW w:w="4536" w:type="dxa"/>
            <w:shd w:val="clear" w:color="auto" w:fill="DAEEF3" w:themeFill="accent5" w:themeFillTint="33"/>
            <w:noWrap/>
            <w:vAlign w:val="center"/>
            <w:hideMark/>
          </w:tcPr>
          <w:p w:rsidR="002B37A7" w:rsidRPr="00C15EA7" w:rsidRDefault="002B37A7"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施工中勞工安全衛生費</w:t>
            </w:r>
          </w:p>
        </w:tc>
        <w:tc>
          <w:tcPr>
            <w:tcW w:w="4252" w:type="dxa"/>
            <w:shd w:val="clear" w:color="auto" w:fill="DAEEF3" w:themeFill="accent5" w:themeFillTint="33"/>
            <w:noWrap/>
            <w:vAlign w:val="center"/>
            <w:hideMark/>
          </w:tcPr>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20,500,000</w:t>
            </w:r>
          </w:p>
        </w:tc>
      </w:tr>
      <w:tr w:rsidR="002B37A7" w:rsidRPr="00C15EA7" w:rsidTr="0030643E">
        <w:trPr>
          <w:trHeight w:val="324"/>
        </w:trPr>
        <w:tc>
          <w:tcPr>
            <w:tcW w:w="4536" w:type="dxa"/>
            <w:shd w:val="clear" w:color="auto" w:fill="DAEEF3" w:themeFill="accent5" w:themeFillTint="33"/>
            <w:noWrap/>
            <w:vAlign w:val="center"/>
            <w:hideMark/>
          </w:tcPr>
          <w:p w:rsidR="002B37A7" w:rsidRPr="00C15EA7" w:rsidRDefault="002B37A7"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lastRenderedPageBreak/>
              <w:t>稅捐管理及利潤</w:t>
            </w:r>
          </w:p>
        </w:tc>
        <w:tc>
          <w:tcPr>
            <w:tcW w:w="4252" w:type="dxa"/>
            <w:shd w:val="clear" w:color="auto" w:fill="DAEEF3" w:themeFill="accent5" w:themeFillTint="33"/>
            <w:noWrap/>
            <w:vAlign w:val="center"/>
            <w:hideMark/>
          </w:tcPr>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543,200,000</w:t>
            </w:r>
          </w:p>
        </w:tc>
      </w:tr>
      <w:tr w:rsidR="002B37A7" w:rsidRPr="00C15EA7" w:rsidTr="0030643E">
        <w:trPr>
          <w:trHeight w:val="324"/>
        </w:trPr>
        <w:tc>
          <w:tcPr>
            <w:tcW w:w="4536" w:type="dxa"/>
            <w:shd w:val="clear" w:color="auto" w:fill="DAEEF3" w:themeFill="accent5" w:themeFillTint="33"/>
            <w:noWrap/>
            <w:vAlign w:val="center"/>
            <w:hideMark/>
          </w:tcPr>
          <w:p w:rsidR="002B37A7" w:rsidRPr="00C15EA7" w:rsidRDefault="002B37A7"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營造綜合保險</w:t>
            </w:r>
          </w:p>
        </w:tc>
        <w:tc>
          <w:tcPr>
            <w:tcW w:w="4252" w:type="dxa"/>
            <w:shd w:val="clear" w:color="auto" w:fill="DAEEF3" w:themeFill="accent5" w:themeFillTint="33"/>
            <w:noWrap/>
            <w:vAlign w:val="center"/>
            <w:hideMark/>
          </w:tcPr>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16,800,000</w:t>
            </w:r>
          </w:p>
        </w:tc>
      </w:tr>
      <w:tr w:rsidR="002B37A7" w:rsidRPr="00C15EA7" w:rsidTr="0030643E">
        <w:trPr>
          <w:trHeight w:val="324"/>
        </w:trPr>
        <w:tc>
          <w:tcPr>
            <w:tcW w:w="4536" w:type="dxa"/>
            <w:shd w:val="clear" w:color="auto" w:fill="auto"/>
            <w:noWrap/>
            <w:vAlign w:val="center"/>
          </w:tcPr>
          <w:p w:rsidR="002B37A7" w:rsidRPr="00C15EA7" w:rsidRDefault="002B37A7" w:rsidP="005E7B21">
            <w:pPr>
              <w:widowControl/>
              <w:adjustRightInd w:val="0"/>
              <w:snapToGrid w:val="0"/>
              <w:jc w:val="center"/>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小計</w:t>
            </w:r>
          </w:p>
        </w:tc>
        <w:tc>
          <w:tcPr>
            <w:tcW w:w="4252" w:type="dxa"/>
            <w:shd w:val="clear" w:color="auto" w:fill="auto"/>
            <w:noWrap/>
            <w:vAlign w:val="center"/>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NT$638,500,000</w:t>
            </w:r>
          </w:p>
          <w:p w:rsidR="002B37A7" w:rsidRPr="00C15EA7" w:rsidRDefault="002B37A7" w:rsidP="005E7B21">
            <w:pPr>
              <w:adjustRightInd w:val="0"/>
              <w:snapToGrid w:val="0"/>
              <w:jc w:val="right"/>
              <w:rPr>
                <w:rFonts w:asciiTheme="majorEastAsia" w:eastAsiaTheme="majorEastAsia" w:hAnsiTheme="majorEastAsia"/>
                <w:sz w:val="20"/>
              </w:rPr>
            </w:pPr>
            <w:r w:rsidRPr="00C15EA7">
              <w:rPr>
                <w:rFonts w:asciiTheme="majorEastAsia" w:eastAsiaTheme="majorEastAsia" w:hAnsiTheme="majorEastAsia" w:cs="新細明體" w:hint="eastAsia"/>
                <w:color w:val="000000"/>
                <w:kern w:val="0"/>
                <w:sz w:val="20"/>
              </w:rPr>
              <w:t>US$3,780,000</w:t>
            </w:r>
          </w:p>
        </w:tc>
      </w:tr>
      <w:tr w:rsidR="002B37A7" w:rsidRPr="00C15EA7" w:rsidTr="00774444">
        <w:trPr>
          <w:trHeight w:val="348"/>
        </w:trPr>
        <w:tc>
          <w:tcPr>
            <w:tcW w:w="4536" w:type="dxa"/>
            <w:shd w:val="clear" w:color="auto" w:fill="auto"/>
            <w:noWrap/>
            <w:vAlign w:val="center"/>
            <w:hideMark/>
          </w:tcPr>
          <w:p w:rsidR="002B37A7" w:rsidRPr="00C15EA7" w:rsidRDefault="002B37A7" w:rsidP="005E7B21">
            <w:pPr>
              <w:widowControl/>
              <w:adjustRightInd w:val="0"/>
              <w:snapToGrid w:val="0"/>
              <w:jc w:val="center"/>
              <w:rPr>
                <w:rFonts w:asciiTheme="majorEastAsia" w:eastAsiaTheme="majorEastAsia" w:hAnsiTheme="majorEastAsia" w:cs="新細明體"/>
                <w:b/>
                <w:color w:val="000000"/>
                <w:kern w:val="0"/>
                <w:sz w:val="20"/>
              </w:rPr>
            </w:pPr>
            <w:r w:rsidRPr="00C15EA7">
              <w:rPr>
                <w:rFonts w:asciiTheme="majorEastAsia" w:eastAsiaTheme="majorEastAsia" w:hAnsiTheme="majorEastAsia" w:cs="新細明體" w:hint="eastAsia"/>
                <w:b/>
                <w:color w:val="000000"/>
                <w:kern w:val="0"/>
                <w:sz w:val="20"/>
              </w:rPr>
              <w:t>合計</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cs="新細明體"/>
                <w:b/>
                <w:bCs/>
                <w:color w:val="000000"/>
                <w:kern w:val="0"/>
                <w:sz w:val="20"/>
                <w:highlight w:val="yellow"/>
              </w:rPr>
            </w:pPr>
            <w:r w:rsidRPr="00C15EA7">
              <w:rPr>
                <w:rFonts w:asciiTheme="majorEastAsia" w:eastAsiaTheme="majorEastAsia" w:hAnsiTheme="majorEastAsia" w:cs="新細明體" w:hint="eastAsia"/>
                <w:b/>
                <w:bCs/>
                <w:color w:val="000000"/>
                <w:kern w:val="0"/>
                <w:sz w:val="20"/>
                <w:highlight w:val="yellow"/>
              </w:rPr>
              <w:t>折合NT$</w:t>
            </w:r>
            <w:r w:rsidRPr="00C15EA7">
              <w:rPr>
                <w:rFonts w:asciiTheme="majorEastAsia" w:eastAsiaTheme="majorEastAsia" w:hAnsiTheme="majorEastAsia" w:cs="新細明體"/>
                <w:b/>
                <w:bCs/>
                <w:color w:val="000000"/>
                <w:kern w:val="0"/>
                <w:sz w:val="20"/>
                <w:highlight w:val="yellow"/>
              </w:rPr>
              <w:t>4,700,000,000</w:t>
            </w:r>
          </w:p>
        </w:tc>
      </w:tr>
      <w:tr w:rsidR="002B37A7" w:rsidRPr="00C15EA7" w:rsidTr="009E4224">
        <w:trPr>
          <w:trHeight w:val="246"/>
        </w:trPr>
        <w:tc>
          <w:tcPr>
            <w:tcW w:w="4536" w:type="dxa"/>
            <w:shd w:val="clear" w:color="auto" w:fill="auto"/>
            <w:noWrap/>
            <w:vAlign w:val="center"/>
          </w:tcPr>
          <w:p w:rsidR="002B37A7" w:rsidRPr="00C15EA7" w:rsidRDefault="002B37A7" w:rsidP="002B37A7">
            <w:pPr>
              <w:widowControl/>
              <w:adjustRightInd w:val="0"/>
              <w:snapToGrid w:val="0"/>
              <w:rPr>
                <w:rFonts w:asciiTheme="majorEastAsia" w:eastAsiaTheme="majorEastAsia" w:hAnsiTheme="majorEastAsia" w:cs="新細明體"/>
                <w:b/>
                <w:color w:val="000000"/>
                <w:kern w:val="0"/>
                <w:sz w:val="20"/>
              </w:rPr>
            </w:pPr>
          </w:p>
        </w:tc>
        <w:tc>
          <w:tcPr>
            <w:tcW w:w="4252" w:type="dxa"/>
            <w:shd w:val="clear" w:color="auto" w:fill="auto"/>
            <w:noWrap/>
            <w:vAlign w:val="center"/>
          </w:tcPr>
          <w:p w:rsidR="002B37A7" w:rsidRPr="00C15EA7" w:rsidRDefault="002B37A7" w:rsidP="005E7B21">
            <w:pPr>
              <w:adjustRightInd w:val="0"/>
              <w:snapToGrid w:val="0"/>
              <w:jc w:val="right"/>
              <w:rPr>
                <w:rFonts w:asciiTheme="majorEastAsia" w:eastAsiaTheme="majorEastAsia" w:hAnsiTheme="majorEastAsia" w:cs="新細明體"/>
                <w:b/>
                <w:bCs/>
                <w:color w:val="000000"/>
                <w:kern w:val="0"/>
                <w:sz w:val="20"/>
                <w:highlight w:val="yellow"/>
              </w:rPr>
            </w:pPr>
          </w:p>
        </w:tc>
      </w:tr>
      <w:tr w:rsidR="002B37A7" w:rsidRPr="00C15EA7" w:rsidTr="0030643E">
        <w:trPr>
          <w:trHeight w:val="324"/>
        </w:trPr>
        <w:tc>
          <w:tcPr>
            <w:tcW w:w="4536" w:type="dxa"/>
            <w:shd w:val="clear" w:color="auto" w:fill="auto"/>
            <w:noWrap/>
            <w:vAlign w:val="center"/>
            <w:hideMark/>
          </w:tcPr>
          <w:p w:rsidR="002B37A7" w:rsidRPr="00C15EA7" w:rsidRDefault="002B37A7" w:rsidP="005E7B21">
            <w:pPr>
              <w:widowControl/>
              <w:adjustRightInd w:val="0"/>
              <w:snapToGrid w:val="0"/>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預備金</w:t>
            </w:r>
          </w:p>
        </w:tc>
        <w:tc>
          <w:tcPr>
            <w:tcW w:w="4252" w:type="dxa"/>
            <w:shd w:val="clear" w:color="auto" w:fill="auto"/>
            <w:noWrap/>
            <w:vAlign w:val="center"/>
            <w:hideMark/>
          </w:tcPr>
          <w:p w:rsidR="002B37A7" w:rsidRPr="00C15EA7" w:rsidRDefault="002B37A7" w:rsidP="005E7B21">
            <w:pPr>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235,264,000</w:t>
            </w:r>
          </w:p>
        </w:tc>
      </w:tr>
      <w:tr w:rsidR="002B37A7" w:rsidRPr="00C15EA7" w:rsidTr="0030643E">
        <w:trPr>
          <w:trHeight w:val="324"/>
        </w:trPr>
        <w:tc>
          <w:tcPr>
            <w:tcW w:w="4536" w:type="dxa"/>
            <w:shd w:val="clear" w:color="auto" w:fill="auto"/>
            <w:noWrap/>
            <w:vAlign w:val="center"/>
            <w:hideMark/>
          </w:tcPr>
          <w:p w:rsidR="002B37A7" w:rsidRPr="00C15EA7" w:rsidRDefault="002B37A7" w:rsidP="005E7B21">
            <w:pPr>
              <w:widowControl/>
              <w:adjustRightInd w:val="0"/>
              <w:snapToGrid w:val="0"/>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工程管理費</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color w:val="000000"/>
                <w:kern w:val="0"/>
                <w:sz w:val="20"/>
              </w:rPr>
            </w:pPr>
            <w:r w:rsidRPr="00C15EA7">
              <w:rPr>
                <w:rFonts w:asciiTheme="majorEastAsia" w:eastAsiaTheme="majorEastAsia" w:hAnsiTheme="majorEastAsia" w:cs="新細明體" w:hint="eastAsia"/>
                <w:color w:val="000000"/>
                <w:kern w:val="0"/>
                <w:sz w:val="20"/>
              </w:rPr>
              <w:t>NT$</w:t>
            </w:r>
            <w:r w:rsidRPr="00C15EA7">
              <w:rPr>
                <w:rFonts w:asciiTheme="majorEastAsia" w:eastAsiaTheme="majorEastAsia" w:hAnsiTheme="majorEastAsia" w:cs="新細明體"/>
                <w:color w:val="000000"/>
                <w:kern w:val="0"/>
                <w:sz w:val="20"/>
              </w:rPr>
              <w:t>202,736,000</w:t>
            </w:r>
          </w:p>
        </w:tc>
      </w:tr>
      <w:tr w:rsidR="002B37A7" w:rsidRPr="00C15EA7" w:rsidTr="0030643E">
        <w:trPr>
          <w:trHeight w:val="324"/>
        </w:trPr>
        <w:tc>
          <w:tcPr>
            <w:tcW w:w="4536" w:type="dxa"/>
            <w:shd w:val="clear" w:color="auto" w:fill="auto"/>
            <w:noWrap/>
            <w:vAlign w:val="center"/>
            <w:hideMark/>
          </w:tcPr>
          <w:p w:rsidR="002B37A7" w:rsidRPr="00C15EA7" w:rsidRDefault="002B37A7" w:rsidP="005E7B21">
            <w:pPr>
              <w:widowControl/>
              <w:adjustRightInd w:val="0"/>
              <w:snapToGrid w:val="0"/>
              <w:jc w:val="center"/>
              <w:rPr>
                <w:rFonts w:asciiTheme="majorEastAsia" w:eastAsiaTheme="majorEastAsia" w:hAnsiTheme="majorEastAsia" w:cs="新細明體"/>
                <w:b/>
                <w:color w:val="000000"/>
                <w:kern w:val="0"/>
                <w:sz w:val="20"/>
              </w:rPr>
            </w:pPr>
            <w:r w:rsidRPr="00C15EA7">
              <w:rPr>
                <w:rFonts w:asciiTheme="majorEastAsia" w:eastAsiaTheme="majorEastAsia" w:hAnsiTheme="majorEastAsia" w:cs="新細明體" w:hint="eastAsia"/>
                <w:b/>
                <w:color w:val="000000"/>
                <w:kern w:val="0"/>
                <w:sz w:val="20"/>
              </w:rPr>
              <w:t>總工程費</w:t>
            </w:r>
          </w:p>
        </w:tc>
        <w:tc>
          <w:tcPr>
            <w:tcW w:w="4252" w:type="dxa"/>
            <w:shd w:val="clear" w:color="auto" w:fill="auto"/>
            <w:noWrap/>
            <w:vAlign w:val="center"/>
            <w:hideMark/>
          </w:tcPr>
          <w:p w:rsidR="002B37A7" w:rsidRPr="00C15EA7" w:rsidRDefault="002B37A7" w:rsidP="005E7B21">
            <w:pPr>
              <w:widowControl/>
              <w:adjustRightInd w:val="0"/>
              <w:snapToGrid w:val="0"/>
              <w:jc w:val="right"/>
              <w:rPr>
                <w:rFonts w:asciiTheme="majorEastAsia" w:eastAsiaTheme="majorEastAsia" w:hAnsiTheme="majorEastAsia" w:cs="新細明體"/>
                <w:b/>
                <w:color w:val="000000"/>
                <w:kern w:val="0"/>
                <w:sz w:val="20"/>
                <w:highlight w:val="yellow"/>
              </w:rPr>
            </w:pPr>
            <w:r w:rsidRPr="00C15EA7">
              <w:rPr>
                <w:rFonts w:asciiTheme="majorEastAsia" w:eastAsiaTheme="majorEastAsia" w:hAnsiTheme="majorEastAsia" w:cs="新細明體" w:hint="eastAsia"/>
                <w:b/>
                <w:color w:val="000000"/>
                <w:kern w:val="0"/>
                <w:sz w:val="20"/>
                <w:highlight w:val="yellow"/>
              </w:rPr>
              <w:t>NT$</w:t>
            </w:r>
            <w:r w:rsidRPr="00C15EA7">
              <w:rPr>
                <w:rFonts w:asciiTheme="majorEastAsia" w:eastAsiaTheme="majorEastAsia" w:hAnsiTheme="majorEastAsia" w:cs="新細明體"/>
                <w:b/>
                <w:color w:val="000000"/>
                <w:kern w:val="0"/>
                <w:sz w:val="20"/>
                <w:highlight w:val="yellow"/>
              </w:rPr>
              <w:t>5,138,000,000</w:t>
            </w:r>
          </w:p>
        </w:tc>
      </w:tr>
    </w:tbl>
    <w:p w:rsidR="0088397F" w:rsidRPr="00E469B7" w:rsidRDefault="009D3A91" w:rsidP="003A4838">
      <w:pPr>
        <w:pStyle w:val="3"/>
      </w:pPr>
      <w:r>
        <w:rPr>
          <w:rFonts w:hAnsi="標楷體" w:hint="eastAsia"/>
          <w:szCs w:val="32"/>
        </w:rPr>
        <w:t>再</w:t>
      </w:r>
      <w:r w:rsidR="0088397F">
        <w:rPr>
          <w:rFonts w:hAnsi="標楷體" w:hint="eastAsia"/>
          <w:szCs w:val="32"/>
        </w:rPr>
        <w:t>查</w:t>
      </w:r>
      <w:r>
        <w:rPr>
          <w:rFonts w:hAnsi="標楷體" w:hint="eastAsia"/>
          <w:szCs w:val="32"/>
        </w:rPr>
        <w:t>，</w:t>
      </w:r>
      <w:r w:rsidR="00306AF9">
        <w:rPr>
          <w:rFonts w:hAnsi="標楷體" w:hint="eastAsia"/>
          <w:szCs w:val="32"/>
        </w:rPr>
        <w:t>依</w:t>
      </w:r>
      <w:r w:rsidR="0088397F" w:rsidRPr="00076024">
        <w:rPr>
          <w:rFonts w:hAnsi="標楷體"/>
          <w:b/>
          <w:szCs w:val="32"/>
          <w:u w:val="single"/>
        </w:rPr>
        <w:t>78</w:t>
      </w:r>
      <w:r w:rsidR="0088397F" w:rsidRPr="00076024">
        <w:rPr>
          <w:rFonts w:hAnsi="標楷體" w:hint="eastAsia"/>
          <w:b/>
          <w:szCs w:val="32"/>
          <w:u w:val="single"/>
        </w:rPr>
        <w:t>年</w:t>
      </w:r>
      <w:r w:rsidR="0088397F" w:rsidRPr="00076024">
        <w:rPr>
          <w:rFonts w:hAnsi="標楷體"/>
          <w:b/>
          <w:szCs w:val="32"/>
          <w:u w:val="single"/>
        </w:rPr>
        <w:t>8</w:t>
      </w:r>
      <w:r w:rsidR="0088397F" w:rsidRPr="00076024">
        <w:rPr>
          <w:rFonts w:hAnsi="標楷體" w:hint="eastAsia"/>
          <w:b/>
          <w:szCs w:val="32"/>
          <w:u w:val="single"/>
        </w:rPr>
        <w:t>月</w:t>
      </w:r>
      <w:r w:rsidR="0088397F" w:rsidRPr="00076024">
        <w:rPr>
          <w:rFonts w:hAnsi="標楷體"/>
          <w:b/>
          <w:szCs w:val="32"/>
          <w:u w:val="single"/>
        </w:rPr>
        <w:t>28</w:t>
      </w:r>
      <w:r w:rsidR="0088397F" w:rsidRPr="00076024">
        <w:rPr>
          <w:rFonts w:hAnsi="標楷體" w:hint="eastAsia"/>
          <w:b/>
          <w:szCs w:val="32"/>
          <w:u w:val="single"/>
        </w:rPr>
        <w:t>日臺灣省政府七八府建四字第</w:t>
      </w:r>
      <w:r w:rsidR="0088397F" w:rsidRPr="00076024">
        <w:rPr>
          <w:rFonts w:hAnsi="標楷體"/>
          <w:b/>
          <w:szCs w:val="32"/>
          <w:u w:val="single"/>
        </w:rPr>
        <w:t>156182</w:t>
      </w:r>
      <w:r w:rsidR="0088397F" w:rsidRPr="00076024">
        <w:rPr>
          <w:rFonts w:hAnsi="標楷體" w:hint="eastAsia"/>
          <w:b/>
          <w:szCs w:val="32"/>
          <w:u w:val="single"/>
        </w:rPr>
        <w:t>號函</w:t>
      </w:r>
      <w:r w:rsidR="0088397F" w:rsidRPr="00076024">
        <w:rPr>
          <w:rFonts w:hAnsi="標楷體" w:hint="eastAsia"/>
          <w:szCs w:val="32"/>
        </w:rPr>
        <w:t>發布「臺灣省對公共工程發包經常流標之因應措施」，該措施第</w:t>
      </w:r>
      <w:r w:rsidR="0088397F" w:rsidRPr="00076024">
        <w:rPr>
          <w:rFonts w:hAnsi="標楷體"/>
          <w:szCs w:val="32"/>
        </w:rPr>
        <w:t>2</w:t>
      </w:r>
      <w:r w:rsidR="0088397F" w:rsidRPr="00076024">
        <w:rPr>
          <w:rFonts w:hAnsi="標楷體" w:hint="eastAsia"/>
          <w:szCs w:val="32"/>
        </w:rPr>
        <w:t>點預算方面規定：「</w:t>
      </w:r>
      <w:r w:rsidR="0088397F" w:rsidRPr="00076024">
        <w:rPr>
          <w:rFonts w:hAnsi="標楷體"/>
          <w:szCs w:val="32"/>
        </w:rPr>
        <w:t>(</w:t>
      </w:r>
      <w:r w:rsidR="0088397F" w:rsidRPr="00076024">
        <w:rPr>
          <w:rFonts w:hAnsi="標楷體" w:hint="eastAsia"/>
          <w:szCs w:val="32"/>
        </w:rPr>
        <w:t>四</w:t>
      </w:r>
      <w:r w:rsidR="0088397F" w:rsidRPr="00076024">
        <w:rPr>
          <w:rFonts w:hAnsi="標楷體"/>
          <w:szCs w:val="32"/>
        </w:rPr>
        <w:t>)</w:t>
      </w:r>
      <w:r w:rsidR="0088397F" w:rsidRPr="00076024">
        <w:rPr>
          <w:rFonts w:hAnsi="標楷體" w:hint="eastAsia"/>
          <w:szCs w:val="32"/>
        </w:rPr>
        <w:t>編列工程施工預算時，應專項提列『工程保險費』及『勞工安全衛生設備費』；並</w:t>
      </w:r>
      <w:r w:rsidR="0088397F" w:rsidRPr="00076024">
        <w:rPr>
          <w:rFonts w:hAnsi="標楷體" w:hint="eastAsia"/>
          <w:b/>
          <w:szCs w:val="32"/>
          <w:u w:val="single"/>
        </w:rPr>
        <w:t>將包商之</w:t>
      </w:r>
      <w:r w:rsidR="0088397F" w:rsidRPr="00076024">
        <w:rPr>
          <w:rFonts w:hAnsi="標楷體" w:hint="eastAsia"/>
          <w:szCs w:val="32"/>
        </w:rPr>
        <w:t>稅捐、</w:t>
      </w:r>
      <w:r w:rsidR="0088397F" w:rsidRPr="00076024">
        <w:rPr>
          <w:rFonts w:hAnsi="標楷體" w:hint="eastAsia"/>
          <w:b/>
          <w:szCs w:val="32"/>
          <w:u w:val="single"/>
        </w:rPr>
        <w:t>利潤、及管理費分別編列</w:t>
      </w:r>
      <w:r w:rsidR="0088397F" w:rsidRPr="00076024">
        <w:rPr>
          <w:rFonts w:hAnsi="標楷體" w:hint="eastAsia"/>
          <w:szCs w:val="32"/>
        </w:rPr>
        <w:t>，其中『管理費』應將『勞工保險』、『勞工退休金』及施工中所需管理費用，予以納入。」</w:t>
      </w:r>
      <w:r w:rsidR="0088397F">
        <w:rPr>
          <w:rFonts w:hAnsi="標楷體" w:hint="eastAsia"/>
          <w:szCs w:val="32"/>
        </w:rPr>
        <w:t>依</w:t>
      </w:r>
      <w:proofErr w:type="gramStart"/>
      <w:r w:rsidR="0088397F">
        <w:rPr>
          <w:rFonts w:hAnsi="標楷體" w:hint="eastAsia"/>
          <w:szCs w:val="32"/>
        </w:rPr>
        <w:t>上開函文</w:t>
      </w:r>
      <w:proofErr w:type="gramEnd"/>
      <w:r w:rsidR="0088397F">
        <w:rPr>
          <w:rFonts w:hAnsi="標楷體" w:hint="eastAsia"/>
          <w:szCs w:val="32"/>
        </w:rPr>
        <w:t>內容，</w:t>
      </w:r>
      <w:r w:rsidR="002939B3">
        <w:rPr>
          <w:rFonts w:hAnsi="標楷體" w:hint="eastAsia"/>
          <w:szCs w:val="32"/>
        </w:rPr>
        <w:t>本案前省住都局承辦人</w:t>
      </w:r>
      <w:r w:rsidR="0088397F">
        <w:rPr>
          <w:rFonts w:hAnsi="標楷體" w:hint="eastAsia"/>
          <w:szCs w:val="32"/>
        </w:rPr>
        <w:t>將</w:t>
      </w:r>
      <w:r w:rsidR="0088397F" w:rsidRPr="001D0582">
        <w:rPr>
          <w:rFonts w:hAnsi="標楷體" w:hint="eastAsia"/>
          <w:szCs w:val="32"/>
        </w:rPr>
        <w:t>Maguire Group公司第3份估價資料</w:t>
      </w:r>
      <w:r w:rsidR="0088397F" w:rsidRPr="001D0582">
        <w:rPr>
          <w:rFonts w:hAnsi="標楷體" w:hint="eastAsia"/>
          <w:b/>
          <w:szCs w:val="32"/>
          <w:u w:val="single"/>
        </w:rPr>
        <w:t>進行項目調整</w:t>
      </w:r>
      <w:r w:rsidR="0088397F" w:rsidRPr="001D0582">
        <w:rPr>
          <w:rFonts w:hAnsi="標楷體" w:hint="eastAsia"/>
          <w:szCs w:val="32"/>
        </w:rPr>
        <w:t>，</w:t>
      </w:r>
      <w:r w:rsidR="002939B3">
        <w:rPr>
          <w:rFonts w:hAnsi="標楷體" w:hint="eastAsia"/>
          <w:szCs w:val="32"/>
        </w:rPr>
        <w:t>把</w:t>
      </w:r>
      <w:r w:rsidR="0088397F">
        <w:rPr>
          <w:rFonts w:hAnsi="標楷體" w:hint="eastAsia"/>
          <w:szCs w:val="32"/>
        </w:rPr>
        <w:t>管理</w:t>
      </w:r>
      <w:r w:rsidR="0088397F" w:rsidRPr="00860D05">
        <w:rPr>
          <w:rFonts w:hAnsi="標楷體" w:hint="eastAsia"/>
          <w:szCs w:val="32"/>
        </w:rPr>
        <w:t>及利潤</w:t>
      </w:r>
      <w:r w:rsidR="0088397F">
        <w:rPr>
          <w:rFonts w:hAnsi="標楷體" w:hint="eastAsia"/>
          <w:szCs w:val="32"/>
        </w:rPr>
        <w:t>等</w:t>
      </w:r>
      <w:r w:rsidR="0088397F" w:rsidRPr="001D0582">
        <w:rPr>
          <w:rFonts w:hAnsi="標楷體" w:hint="eastAsia"/>
          <w:szCs w:val="32"/>
        </w:rPr>
        <w:t>5項費用</w:t>
      </w:r>
      <w:r w:rsidR="0088397F">
        <w:rPr>
          <w:rFonts w:hAnsi="標楷體" w:hint="eastAsia"/>
          <w:szCs w:val="32"/>
        </w:rPr>
        <w:t>單獨編列，</w:t>
      </w:r>
      <w:r w:rsidR="002939B3">
        <w:rPr>
          <w:rFonts w:hAnsi="標楷體" w:hint="eastAsia"/>
          <w:szCs w:val="32"/>
        </w:rPr>
        <w:t>尚</w:t>
      </w:r>
      <w:r w:rsidR="0088397F">
        <w:rPr>
          <w:rFonts w:hAnsi="標楷體" w:hint="eastAsia"/>
          <w:szCs w:val="32"/>
        </w:rPr>
        <w:t>非無據</w:t>
      </w:r>
      <w:r w:rsidR="00E70F9C">
        <w:rPr>
          <w:rFonts w:hAnsi="標楷體" w:hint="eastAsia"/>
          <w:szCs w:val="32"/>
        </w:rPr>
        <w:t>。</w:t>
      </w:r>
      <w:r w:rsidR="0088397F">
        <w:rPr>
          <w:rFonts w:hAnsi="標楷體" w:hint="eastAsia"/>
          <w:szCs w:val="32"/>
        </w:rPr>
        <w:t>且此種「單獨編列」之格式，</w:t>
      </w:r>
      <w:r w:rsidR="00306AF9">
        <w:rPr>
          <w:rFonts w:hAnsi="標楷體" w:hint="eastAsia"/>
          <w:szCs w:val="32"/>
        </w:rPr>
        <w:t>不</w:t>
      </w:r>
      <w:r w:rsidR="0088397F">
        <w:rPr>
          <w:rFonts w:hAnsi="標楷體" w:hint="eastAsia"/>
          <w:szCs w:val="32"/>
        </w:rPr>
        <w:t>僅</w:t>
      </w:r>
      <w:r w:rsidR="00306AF9">
        <w:rPr>
          <w:rFonts w:hAnsi="標楷體" w:hint="eastAsia"/>
          <w:szCs w:val="32"/>
        </w:rPr>
        <w:t>為</w:t>
      </w:r>
      <w:r w:rsidR="0088397F">
        <w:rPr>
          <w:rFonts w:hAnsi="標楷體" w:hint="eastAsia"/>
          <w:szCs w:val="32"/>
        </w:rPr>
        <w:t>該局</w:t>
      </w:r>
      <w:r w:rsidR="0088397F">
        <w:rPr>
          <w:rFonts w:hint="eastAsia"/>
        </w:rPr>
        <w:t>79年9月</w:t>
      </w:r>
      <w:r w:rsidR="002939B3">
        <w:rPr>
          <w:rFonts w:hint="eastAsia"/>
        </w:rPr>
        <w:t>22</w:t>
      </w:r>
      <w:r w:rsidR="0088397F">
        <w:rPr>
          <w:rFonts w:hint="eastAsia"/>
        </w:rPr>
        <w:t>日奉核修正之第2次51.38億元預算書</w:t>
      </w:r>
      <w:r w:rsidR="00306AF9">
        <w:rPr>
          <w:rFonts w:hint="eastAsia"/>
        </w:rPr>
        <w:t>所</w:t>
      </w:r>
      <w:proofErr w:type="gramStart"/>
      <w:r w:rsidR="00306AF9">
        <w:rPr>
          <w:rFonts w:hint="eastAsia"/>
        </w:rPr>
        <w:t>採</w:t>
      </w:r>
      <w:proofErr w:type="gramEnd"/>
      <w:r w:rsidR="0088397F">
        <w:rPr>
          <w:rFonts w:hint="eastAsia"/>
        </w:rPr>
        <w:t>，即78年11月29日奉核之第1次24.8億元預算書亦是</w:t>
      </w:r>
      <w:proofErr w:type="gramStart"/>
      <w:r w:rsidR="0088397F">
        <w:rPr>
          <w:rFonts w:hint="eastAsia"/>
        </w:rPr>
        <w:t>採</w:t>
      </w:r>
      <w:proofErr w:type="gramEnd"/>
      <w:r w:rsidR="00F113C2">
        <w:rPr>
          <w:rFonts w:hint="eastAsia"/>
        </w:rPr>
        <w:t>類似</w:t>
      </w:r>
      <w:r w:rsidR="0088397F">
        <w:rPr>
          <w:rFonts w:hint="eastAsia"/>
        </w:rPr>
        <w:t>之編列架構</w:t>
      </w:r>
      <w:r w:rsidR="00F113C2">
        <w:rPr>
          <w:rStyle w:val="afe"/>
        </w:rPr>
        <w:footnoteReference w:id="2"/>
      </w:r>
      <w:r w:rsidR="00F35C46">
        <w:rPr>
          <w:rFonts w:ascii="新細明體" w:eastAsia="新細明體" w:hAnsi="新細明體" w:hint="eastAsia"/>
        </w:rPr>
        <w:t>（</w:t>
      </w:r>
      <w:r w:rsidR="00F35C46">
        <w:rPr>
          <w:rFonts w:hint="eastAsia"/>
        </w:rPr>
        <w:t>如下表3</w:t>
      </w:r>
      <w:r w:rsidR="00F35C46">
        <w:rPr>
          <w:rFonts w:ascii="細明體" w:eastAsia="細明體" w:hAnsi="細明體" w:hint="eastAsia"/>
        </w:rPr>
        <w:t>）</w:t>
      </w:r>
      <w:r w:rsidR="0088397F">
        <w:rPr>
          <w:rFonts w:hint="eastAsia"/>
        </w:rPr>
        <w:t>；則若依工程會90年2月5日及98年4月21日鑑定意見之邏輯，</w:t>
      </w:r>
      <w:r w:rsidR="00C41970">
        <w:rPr>
          <w:rFonts w:hint="eastAsia"/>
        </w:rPr>
        <w:t>前省住都局第1次24.8億元</w:t>
      </w:r>
      <w:proofErr w:type="gramStart"/>
      <w:r w:rsidR="00C41970">
        <w:rPr>
          <w:rFonts w:hint="eastAsia"/>
        </w:rPr>
        <w:t>預算書豈不是</w:t>
      </w:r>
      <w:proofErr w:type="gramEnd"/>
      <w:r w:rsidR="00C41970">
        <w:rPr>
          <w:rFonts w:hint="eastAsia"/>
        </w:rPr>
        <w:t>亦有浮編之嫌?!</w:t>
      </w:r>
      <w:r w:rsidR="00E70F9C">
        <w:rPr>
          <w:rFonts w:hint="eastAsia"/>
        </w:rPr>
        <w:t>實則</w:t>
      </w:r>
      <w:r w:rsidR="00C41970">
        <w:rPr>
          <w:rFonts w:hint="eastAsia"/>
        </w:rPr>
        <w:t>工程會於本院詢問時</w:t>
      </w:r>
      <w:r w:rsidR="00E70F9C">
        <w:rPr>
          <w:rFonts w:hint="eastAsia"/>
        </w:rPr>
        <w:t>亦</w:t>
      </w:r>
      <w:r w:rsidR="00C41970">
        <w:rPr>
          <w:rFonts w:hint="eastAsia"/>
        </w:rPr>
        <w:t>說明：</w:t>
      </w:r>
      <w:r w:rsidR="00C41970">
        <w:rPr>
          <w:rFonts w:hAnsi="標楷體" w:hint="eastAsia"/>
        </w:rPr>
        <w:t>「</w:t>
      </w:r>
      <w:r w:rsidR="00C41970" w:rsidRPr="002D42A0">
        <w:rPr>
          <w:rFonts w:hAnsi="標楷體" w:hint="eastAsia"/>
          <w:b/>
          <w:u w:val="single"/>
        </w:rPr>
        <w:t>把間接費用拉出來是比較清楚的</w:t>
      </w:r>
      <w:r w:rsidR="00C41970">
        <w:rPr>
          <w:rFonts w:hAnsi="標楷體" w:hint="eastAsia"/>
        </w:rPr>
        <w:t>。</w:t>
      </w:r>
      <w:r w:rsidR="00C41970" w:rsidRPr="002D42A0">
        <w:rPr>
          <w:rFonts w:hAnsi="標楷體" w:hint="eastAsia"/>
          <w:b/>
          <w:u w:val="single"/>
        </w:rPr>
        <w:t>馬格里公司的是每項比例包含</w:t>
      </w:r>
      <w:r w:rsidR="00C41970" w:rsidRPr="002D42A0">
        <w:rPr>
          <w:rFonts w:hAnsi="標楷體" w:hint="eastAsia"/>
        </w:rPr>
        <w:t>；以</w:t>
      </w:r>
      <w:r w:rsidR="00C41970" w:rsidRPr="002D42A0">
        <w:rPr>
          <w:rFonts w:hAnsi="標楷體" w:hint="eastAsia"/>
          <w:b/>
          <w:u w:val="single"/>
        </w:rPr>
        <w:t>我們目前政府部門的編列，是以營建署的方式編列</w:t>
      </w:r>
      <w:r w:rsidR="00C41970">
        <w:rPr>
          <w:rFonts w:hAnsi="標楷體" w:hint="eastAsia"/>
        </w:rPr>
        <w:t>。」</w:t>
      </w:r>
      <w:r w:rsidR="00E70F9C">
        <w:rPr>
          <w:rFonts w:hAnsi="標楷體" w:hint="eastAsia"/>
        </w:rPr>
        <w:lastRenderedPageBreak/>
        <w:t>等語，有詢問筆錄在卷可</w:t>
      </w:r>
      <w:proofErr w:type="gramStart"/>
      <w:r w:rsidR="00E70F9C">
        <w:rPr>
          <w:rFonts w:hAnsi="標楷體" w:hint="eastAsia"/>
        </w:rPr>
        <w:t>憑</w:t>
      </w:r>
      <w:proofErr w:type="gramEnd"/>
      <w:r w:rsidR="00E70F9C">
        <w:rPr>
          <w:rFonts w:hAnsi="標楷體" w:hint="eastAsia"/>
        </w:rPr>
        <w:t>，</w:t>
      </w:r>
      <w:r w:rsidR="00C41970">
        <w:rPr>
          <w:rFonts w:hAnsi="標楷體" w:hint="eastAsia"/>
        </w:rPr>
        <w:t>更足證工程</w:t>
      </w:r>
      <w:r w:rsidR="00C41970">
        <w:rPr>
          <w:rFonts w:hint="eastAsia"/>
        </w:rPr>
        <w:t>會90年2月5日及98年4月21日鑑定意見</w:t>
      </w:r>
      <w:r w:rsidR="00C41970">
        <w:rPr>
          <w:rFonts w:hAnsi="標楷體" w:hint="eastAsia"/>
          <w:szCs w:val="32"/>
        </w:rPr>
        <w:t>在</w:t>
      </w:r>
      <w:r w:rsidR="00C41970" w:rsidRPr="0026142E">
        <w:rPr>
          <w:rFonts w:hAnsi="標楷體" w:hint="eastAsia"/>
          <w:b/>
          <w:szCs w:val="32"/>
          <w:u w:val="single"/>
        </w:rPr>
        <w:t>未能明確指明</w:t>
      </w:r>
      <w:r w:rsidR="00C41970">
        <w:rPr>
          <w:rFonts w:hAnsi="標楷體" w:hint="eastAsia"/>
          <w:szCs w:val="32"/>
        </w:rPr>
        <w:t>上開管理</w:t>
      </w:r>
      <w:r w:rsidR="00C41970" w:rsidRPr="00860D05">
        <w:rPr>
          <w:rFonts w:hAnsi="標楷體" w:hint="eastAsia"/>
          <w:szCs w:val="32"/>
        </w:rPr>
        <w:t>及利潤</w:t>
      </w:r>
      <w:r w:rsidR="00C41970">
        <w:rPr>
          <w:rFonts w:hAnsi="標楷體" w:hint="eastAsia"/>
          <w:szCs w:val="32"/>
        </w:rPr>
        <w:t>等</w:t>
      </w:r>
      <w:r w:rsidR="00C41970" w:rsidRPr="001D0582">
        <w:rPr>
          <w:rFonts w:hAnsi="標楷體" w:hint="eastAsia"/>
          <w:szCs w:val="32"/>
        </w:rPr>
        <w:t>5項</w:t>
      </w:r>
      <w:proofErr w:type="gramStart"/>
      <w:r w:rsidR="00C41970" w:rsidRPr="001D0582">
        <w:rPr>
          <w:rFonts w:hAnsi="標楷體" w:hint="eastAsia"/>
          <w:szCs w:val="32"/>
        </w:rPr>
        <w:t>費用</w:t>
      </w:r>
      <w:r w:rsidR="00C41970">
        <w:rPr>
          <w:rFonts w:hAnsi="標楷體" w:hint="eastAsia"/>
          <w:szCs w:val="32"/>
        </w:rPr>
        <w:t>各係如何</w:t>
      </w:r>
      <w:proofErr w:type="gramEnd"/>
      <w:r w:rsidR="00C41970">
        <w:rPr>
          <w:rFonts w:hAnsi="標楷體" w:hint="eastAsia"/>
          <w:szCs w:val="32"/>
        </w:rPr>
        <w:t>及若干金額重複編列，</w:t>
      </w:r>
      <w:r w:rsidR="00C41970" w:rsidRPr="00235720">
        <w:rPr>
          <w:rFonts w:hAnsi="標楷體" w:hint="eastAsia"/>
          <w:b/>
          <w:szCs w:val="32"/>
          <w:u w:val="single"/>
        </w:rPr>
        <w:t>且亦無法確信</w:t>
      </w:r>
      <w:r w:rsidR="00C41970">
        <w:rPr>
          <w:rFonts w:hAnsi="標楷體" w:hint="eastAsia"/>
          <w:szCs w:val="32"/>
        </w:rPr>
        <w:t>該局承辦人未將上開</w:t>
      </w:r>
      <w:r w:rsidR="00C41970" w:rsidRPr="001D0582">
        <w:rPr>
          <w:rFonts w:hAnsi="標楷體" w:hint="eastAsia"/>
          <w:szCs w:val="32"/>
        </w:rPr>
        <w:t>5項費用</w:t>
      </w:r>
      <w:r w:rsidR="00C41970">
        <w:rPr>
          <w:rFonts w:hAnsi="標楷體" w:hint="eastAsia"/>
          <w:szCs w:val="32"/>
        </w:rPr>
        <w:t>予以扣除之情形下，僅以「邏輯鑑定」方式，認定前省住都局承辦人重複編列管理</w:t>
      </w:r>
      <w:r w:rsidR="00C41970" w:rsidRPr="00860D05">
        <w:rPr>
          <w:rFonts w:hAnsi="標楷體" w:hint="eastAsia"/>
          <w:szCs w:val="32"/>
        </w:rPr>
        <w:t>及利潤</w:t>
      </w:r>
      <w:r w:rsidR="00C41970">
        <w:rPr>
          <w:rFonts w:hAnsi="標楷體" w:hint="eastAsia"/>
          <w:szCs w:val="32"/>
        </w:rPr>
        <w:t>等</w:t>
      </w:r>
      <w:r w:rsidR="00C41970" w:rsidRPr="001D0582">
        <w:rPr>
          <w:rFonts w:hAnsi="標楷體" w:hint="eastAsia"/>
          <w:szCs w:val="32"/>
        </w:rPr>
        <w:t>5項費用</w:t>
      </w:r>
      <w:r w:rsidR="00C41970" w:rsidRPr="006608F0">
        <w:rPr>
          <w:rFonts w:hAnsi="標楷體" w:hint="eastAsia"/>
          <w:szCs w:val="32"/>
        </w:rPr>
        <w:t>「多出共約</w:t>
      </w:r>
      <w:r w:rsidR="00C41970" w:rsidRPr="006608F0">
        <w:rPr>
          <w:rFonts w:hAnsi="標楷體"/>
          <w:szCs w:val="32"/>
        </w:rPr>
        <w:t>6.07</w:t>
      </w:r>
      <w:r w:rsidR="00C41970" w:rsidRPr="006608F0">
        <w:rPr>
          <w:rFonts w:hAnsi="標楷體" w:hint="eastAsia"/>
          <w:szCs w:val="32"/>
        </w:rPr>
        <w:t>億元」</w:t>
      </w:r>
      <w:r w:rsidR="00C41970">
        <w:rPr>
          <w:rFonts w:hAnsi="標楷體" w:hint="eastAsia"/>
          <w:szCs w:val="32"/>
        </w:rPr>
        <w:t>，實</w:t>
      </w:r>
      <w:r w:rsidR="00E70F9C">
        <w:rPr>
          <w:rFonts w:hAnsi="標楷體" w:hint="eastAsia"/>
          <w:szCs w:val="32"/>
        </w:rPr>
        <w:t>過於</w:t>
      </w:r>
      <w:r w:rsidR="00C41970">
        <w:rPr>
          <w:rFonts w:hAnsi="標楷體" w:hint="eastAsia"/>
          <w:szCs w:val="32"/>
        </w:rPr>
        <w:t>草率、武斷。</w:t>
      </w:r>
    </w:p>
    <w:p w:rsidR="00E469B7" w:rsidRPr="009344BD" w:rsidRDefault="00E469B7" w:rsidP="009344BD">
      <w:pPr>
        <w:pStyle w:val="3"/>
        <w:numPr>
          <w:ilvl w:val="0"/>
          <w:numId w:val="0"/>
        </w:numPr>
        <w:spacing w:line="240" w:lineRule="exact"/>
        <w:ind w:left="1361"/>
        <w:rPr>
          <w:sz w:val="24"/>
          <w:szCs w:val="24"/>
        </w:rPr>
      </w:pPr>
    </w:p>
    <w:p w:rsidR="00F35C46" w:rsidRPr="0030643E" w:rsidRDefault="00F35C46" w:rsidP="00F35C46">
      <w:pPr>
        <w:pStyle w:val="13"/>
        <w:spacing w:before="60" w:after="60"/>
        <w:ind w:left="993" w:right="-370" w:hanging="567"/>
        <w:jc w:val="both"/>
        <w:rPr>
          <w:szCs w:val="26"/>
        </w:rPr>
      </w:pPr>
      <w:r w:rsidRPr="0030643E">
        <w:rPr>
          <w:rFonts w:hint="eastAsia"/>
          <w:szCs w:val="26"/>
        </w:rPr>
        <w:t>表</w:t>
      </w:r>
      <w:r w:rsidR="0037794B">
        <w:rPr>
          <w:rFonts w:hint="eastAsia"/>
          <w:szCs w:val="26"/>
        </w:rPr>
        <w:t>3</w:t>
      </w:r>
      <w:r w:rsidRPr="0030643E">
        <w:rPr>
          <w:rFonts w:hint="eastAsia"/>
          <w:szCs w:val="26"/>
        </w:rPr>
        <w:t>.前省住都局</w:t>
      </w:r>
      <w:r w:rsidR="0037794B">
        <w:rPr>
          <w:rFonts w:hint="eastAsia"/>
        </w:rPr>
        <w:t>78年11月29日奉核之第1次24.8億元</w:t>
      </w:r>
      <w:r w:rsidRPr="0030643E">
        <w:rPr>
          <w:rFonts w:hint="eastAsia"/>
          <w:szCs w:val="26"/>
        </w:rPr>
        <w:t>預算書項目及金額一覽表</w:t>
      </w:r>
    </w:p>
    <w:tbl>
      <w:tblPr>
        <w:tblW w:w="878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6"/>
        <w:gridCol w:w="4252"/>
      </w:tblGrid>
      <w:tr w:rsidR="00F35C46" w:rsidRPr="00F54F75" w:rsidTr="005E7B21">
        <w:trPr>
          <w:trHeight w:val="353"/>
          <w:tblHeader/>
        </w:trPr>
        <w:tc>
          <w:tcPr>
            <w:tcW w:w="4536" w:type="dxa"/>
            <w:shd w:val="clear" w:color="auto" w:fill="auto"/>
            <w:noWrap/>
            <w:vAlign w:val="center"/>
            <w:hideMark/>
          </w:tcPr>
          <w:p w:rsidR="00F35C46" w:rsidRPr="00F54F75" w:rsidRDefault="00F35C46" w:rsidP="005E7B21">
            <w:pPr>
              <w:widowControl/>
              <w:adjustRightInd w:val="0"/>
              <w:snapToGrid w:val="0"/>
              <w:jc w:val="center"/>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預算項目</w:t>
            </w:r>
          </w:p>
        </w:tc>
        <w:tc>
          <w:tcPr>
            <w:tcW w:w="4252" w:type="dxa"/>
            <w:shd w:val="clear" w:color="auto" w:fill="auto"/>
            <w:noWrap/>
            <w:vAlign w:val="center"/>
            <w:hideMark/>
          </w:tcPr>
          <w:p w:rsidR="00F35C46" w:rsidRPr="00F54F75" w:rsidRDefault="00F35C46" w:rsidP="005E7B21">
            <w:pPr>
              <w:widowControl/>
              <w:adjustRightInd w:val="0"/>
              <w:snapToGrid w:val="0"/>
              <w:jc w:val="center"/>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預算金額</w:t>
            </w:r>
          </w:p>
        </w:tc>
      </w:tr>
      <w:tr w:rsidR="00F35C46" w:rsidRPr="00F54F75" w:rsidTr="005E7B21">
        <w:trPr>
          <w:trHeight w:val="274"/>
        </w:trPr>
        <w:tc>
          <w:tcPr>
            <w:tcW w:w="4536" w:type="dxa"/>
            <w:shd w:val="clear" w:color="auto" w:fill="auto"/>
            <w:noWrap/>
            <w:vAlign w:val="center"/>
            <w:hideMark/>
          </w:tcPr>
          <w:p w:rsidR="00F35C46" w:rsidRPr="00F54F75" w:rsidRDefault="00F35C46" w:rsidP="005E7B21">
            <w:pPr>
              <w:widowControl/>
              <w:adjustRightInd w:val="0"/>
              <w:snapToGrid w:val="0"/>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施工費</w:t>
            </w:r>
          </w:p>
        </w:tc>
        <w:tc>
          <w:tcPr>
            <w:tcW w:w="4252" w:type="dxa"/>
            <w:shd w:val="clear" w:color="auto" w:fill="auto"/>
            <w:noWrap/>
            <w:vAlign w:val="center"/>
            <w:hideMark/>
          </w:tcPr>
          <w:p w:rsidR="00F35C46" w:rsidRPr="00F54F75" w:rsidRDefault="00F35C46" w:rsidP="005E7B21">
            <w:pPr>
              <w:widowControl/>
              <w:adjustRightInd w:val="0"/>
              <w:snapToGrid w:val="0"/>
              <w:jc w:val="right"/>
              <w:rPr>
                <w:rFonts w:asciiTheme="majorEastAsia" w:eastAsiaTheme="majorEastAsia" w:hAnsiTheme="majorEastAsia" w:cs="新細明體"/>
                <w:color w:val="000000"/>
                <w:kern w:val="0"/>
                <w:sz w:val="20"/>
              </w:rPr>
            </w:pPr>
          </w:p>
        </w:tc>
      </w:tr>
      <w:tr w:rsidR="00F35C46" w:rsidRPr="00F54F75" w:rsidTr="005E7B21">
        <w:trPr>
          <w:trHeight w:val="364"/>
        </w:trPr>
        <w:tc>
          <w:tcPr>
            <w:tcW w:w="4536" w:type="dxa"/>
            <w:shd w:val="clear" w:color="auto" w:fill="auto"/>
            <w:noWrap/>
            <w:vAlign w:val="center"/>
            <w:hideMark/>
          </w:tcPr>
          <w:p w:rsidR="00F35C46" w:rsidRPr="00F54F75" w:rsidRDefault="00753760" w:rsidP="00753760">
            <w:pPr>
              <w:widowControl/>
              <w:adjustRightInd w:val="0"/>
              <w:snapToGrid w:val="0"/>
              <w:ind w:firstLineChars="67" w:firstLine="148"/>
              <w:rPr>
                <w:rFonts w:asciiTheme="majorEastAsia" w:eastAsiaTheme="majorEastAsia" w:hAnsiTheme="majorEastAsia" w:cs="新細明體"/>
                <w:color w:val="000000"/>
                <w:kern w:val="0"/>
                <w:sz w:val="20"/>
              </w:rPr>
            </w:pPr>
            <w:r>
              <w:rPr>
                <w:rFonts w:asciiTheme="majorEastAsia" w:eastAsiaTheme="majorEastAsia" w:hAnsiTheme="majorEastAsia" w:cs="新細明體" w:hint="eastAsia"/>
                <w:color w:val="000000"/>
                <w:kern w:val="0"/>
                <w:sz w:val="20"/>
              </w:rPr>
              <w:t>一、</w:t>
            </w:r>
            <w:r w:rsidR="00F35C46" w:rsidRPr="00F54F75">
              <w:rPr>
                <w:rFonts w:asciiTheme="majorEastAsia" w:eastAsiaTheme="majorEastAsia" w:hAnsiTheme="majorEastAsia" w:cs="新細明體" w:hint="eastAsia"/>
                <w:color w:val="000000"/>
                <w:kern w:val="0"/>
                <w:sz w:val="20"/>
              </w:rPr>
              <w:t>土木部分</w:t>
            </w:r>
          </w:p>
        </w:tc>
        <w:tc>
          <w:tcPr>
            <w:tcW w:w="4252" w:type="dxa"/>
            <w:shd w:val="clear" w:color="auto" w:fill="auto"/>
            <w:noWrap/>
            <w:vAlign w:val="center"/>
            <w:hideMark/>
          </w:tcPr>
          <w:p w:rsidR="00F35C46" w:rsidRPr="00F54F75" w:rsidRDefault="00F35C46" w:rsidP="005E7B21">
            <w:pPr>
              <w:widowControl/>
              <w:adjustRightInd w:val="0"/>
              <w:snapToGrid w:val="0"/>
              <w:jc w:val="right"/>
              <w:rPr>
                <w:rFonts w:asciiTheme="majorEastAsia" w:eastAsiaTheme="majorEastAsia" w:hAnsiTheme="majorEastAsia" w:cs="新細明體"/>
                <w:color w:val="000000"/>
                <w:kern w:val="0"/>
                <w:sz w:val="20"/>
              </w:rPr>
            </w:pPr>
          </w:p>
        </w:tc>
      </w:tr>
      <w:tr w:rsidR="00F54F75" w:rsidRPr="00F54F75" w:rsidTr="005E7B21">
        <w:trPr>
          <w:trHeight w:val="364"/>
        </w:trPr>
        <w:tc>
          <w:tcPr>
            <w:tcW w:w="4536" w:type="dxa"/>
            <w:shd w:val="clear" w:color="auto" w:fill="auto"/>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臨時設施</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NT$40,000,000</w:t>
            </w:r>
          </w:p>
        </w:tc>
      </w:tr>
      <w:tr w:rsidR="00F54F75" w:rsidRPr="00F54F75" w:rsidTr="005E7B21">
        <w:trPr>
          <w:trHeight w:val="298"/>
        </w:trPr>
        <w:tc>
          <w:tcPr>
            <w:tcW w:w="4536" w:type="dxa"/>
            <w:shd w:val="clear" w:color="auto" w:fill="auto"/>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蛋形消化槽</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NT$820,000,000</w:t>
            </w:r>
          </w:p>
        </w:tc>
      </w:tr>
      <w:tr w:rsidR="00F54F75" w:rsidRPr="00F54F75" w:rsidTr="005E7B21">
        <w:trPr>
          <w:trHeight w:val="365"/>
        </w:trPr>
        <w:tc>
          <w:tcPr>
            <w:tcW w:w="4536" w:type="dxa"/>
            <w:shd w:val="clear" w:color="auto" w:fill="auto"/>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消化槽機房及水管廊</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NT$67,000,000</w:t>
            </w:r>
          </w:p>
        </w:tc>
      </w:tr>
      <w:tr w:rsidR="00F54F75" w:rsidRPr="00F54F75" w:rsidTr="005E7B21">
        <w:trPr>
          <w:trHeight w:val="364"/>
        </w:trPr>
        <w:tc>
          <w:tcPr>
            <w:tcW w:w="4536" w:type="dxa"/>
            <w:shd w:val="clear" w:color="auto" w:fill="auto"/>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消化瓦斯貯槽</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NT$6,000,000</w:t>
            </w:r>
          </w:p>
        </w:tc>
      </w:tr>
      <w:tr w:rsidR="00F54F75" w:rsidRPr="00F54F75" w:rsidTr="005E7B21">
        <w:trPr>
          <w:trHeight w:val="364"/>
        </w:trPr>
        <w:tc>
          <w:tcPr>
            <w:tcW w:w="4536" w:type="dxa"/>
            <w:shd w:val="clear" w:color="auto" w:fill="auto"/>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能源回收系統</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NT$24,000,000</w:t>
            </w:r>
          </w:p>
        </w:tc>
      </w:tr>
      <w:tr w:rsidR="00F54F75" w:rsidRPr="00F54F75" w:rsidTr="005E7B21">
        <w:trPr>
          <w:trHeight w:val="364"/>
        </w:trPr>
        <w:tc>
          <w:tcPr>
            <w:tcW w:w="4536" w:type="dxa"/>
            <w:shd w:val="clear" w:color="auto" w:fill="auto"/>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系統管線埋設</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NT$11,000,000</w:t>
            </w:r>
          </w:p>
        </w:tc>
      </w:tr>
      <w:tr w:rsidR="00F54F75" w:rsidRPr="00F54F75" w:rsidTr="005E7B21">
        <w:trPr>
          <w:trHeight w:val="364"/>
        </w:trPr>
        <w:tc>
          <w:tcPr>
            <w:tcW w:w="4536" w:type="dxa"/>
            <w:shd w:val="clear" w:color="auto" w:fill="auto"/>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廠區道路及管線</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NT$30,000,000</w:t>
            </w:r>
          </w:p>
        </w:tc>
      </w:tr>
      <w:tr w:rsidR="00F54F75" w:rsidRPr="00F54F75" w:rsidTr="005E7B21">
        <w:trPr>
          <w:trHeight w:val="365"/>
        </w:trPr>
        <w:tc>
          <w:tcPr>
            <w:tcW w:w="4536" w:type="dxa"/>
            <w:shd w:val="clear" w:color="auto" w:fill="auto"/>
            <w:vAlign w:val="center"/>
            <w:hideMark/>
          </w:tcPr>
          <w:p w:rsidR="00F54F75" w:rsidRPr="00F54F75" w:rsidRDefault="00F54F75" w:rsidP="005E7B21">
            <w:pPr>
              <w:widowControl/>
              <w:adjustRightInd w:val="0"/>
              <w:snapToGrid w:val="0"/>
              <w:jc w:val="center"/>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小計</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NT$998,000,000</w:t>
            </w:r>
          </w:p>
        </w:tc>
      </w:tr>
      <w:tr w:rsidR="00F54F75" w:rsidRPr="00F54F75" w:rsidTr="005E7B21">
        <w:trPr>
          <w:trHeight w:val="339"/>
        </w:trPr>
        <w:tc>
          <w:tcPr>
            <w:tcW w:w="4536" w:type="dxa"/>
            <w:shd w:val="clear" w:color="auto" w:fill="auto"/>
            <w:noWrap/>
            <w:vAlign w:val="center"/>
            <w:hideMark/>
          </w:tcPr>
          <w:p w:rsidR="00F54F75" w:rsidRPr="00F54F75" w:rsidRDefault="00753760" w:rsidP="00753760">
            <w:pPr>
              <w:widowControl/>
              <w:adjustRightInd w:val="0"/>
              <w:snapToGrid w:val="0"/>
              <w:ind w:firstLineChars="67" w:firstLine="148"/>
              <w:rPr>
                <w:rFonts w:asciiTheme="majorEastAsia" w:eastAsiaTheme="majorEastAsia" w:hAnsiTheme="majorEastAsia" w:cs="新細明體"/>
                <w:color w:val="000000"/>
                <w:kern w:val="0"/>
                <w:sz w:val="20"/>
              </w:rPr>
            </w:pPr>
            <w:r>
              <w:rPr>
                <w:rFonts w:asciiTheme="majorEastAsia" w:eastAsiaTheme="majorEastAsia" w:hAnsiTheme="majorEastAsia" w:cs="新細明體" w:hint="eastAsia"/>
                <w:color w:val="000000"/>
                <w:kern w:val="0"/>
                <w:sz w:val="20"/>
              </w:rPr>
              <w:t>二、</w:t>
            </w:r>
            <w:r w:rsidR="00F54F75" w:rsidRPr="00F54F75">
              <w:rPr>
                <w:rFonts w:asciiTheme="majorEastAsia" w:eastAsiaTheme="majorEastAsia" w:hAnsiTheme="majorEastAsia" w:cs="新細明體" w:hint="eastAsia"/>
                <w:color w:val="000000"/>
                <w:kern w:val="0"/>
                <w:sz w:val="20"/>
              </w:rPr>
              <w:t>機械設備</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p>
        </w:tc>
      </w:tr>
      <w:tr w:rsidR="00F54F75" w:rsidRPr="00F54F75" w:rsidTr="005E7B21">
        <w:trPr>
          <w:trHeight w:val="79"/>
        </w:trPr>
        <w:tc>
          <w:tcPr>
            <w:tcW w:w="4536" w:type="dxa"/>
            <w:shd w:val="clear" w:color="auto" w:fill="auto"/>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污泥消化機械設備</w:t>
            </w:r>
          </w:p>
        </w:tc>
        <w:tc>
          <w:tcPr>
            <w:tcW w:w="4252" w:type="dxa"/>
            <w:shd w:val="clear" w:color="auto" w:fill="auto"/>
            <w:noWrap/>
            <w:vAlign w:val="center"/>
          </w:tcPr>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進口    NT$141,000,000</w:t>
            </w:r>
          </w:p>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國產     NT$59,700,000</w:t>
            </w:r>
          </w:p>
        </w:tc>
      </w:tr>
      <w:tr w:rsidR="00F54F75" w:rsidRPr="00F54F75" w:rsidTr="005E7B21">
        <w:trPr>
          <w:trHeight w:val="324"/>
        </w:trPr>
        <w:tc>
          <w:tcPr>
            <w:tcW w:w="4536" w:type="dxa"/>
            <w:shd w:val="clear" w:color="auto" w:fill="auto"/>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消化瓦斯貯存系統</w:t>
            </w:r>
          </w:p>
        </w:tc>
        <w:tc>
          <w:tcPr>
            <w:tcW w:w="4252" w:type="dxa"/>
            <w:shd w:val="clear" w:color="auto" w:fill="auto"/>
            <w:noWrap/>
            <w:vAlign w:val="center"/>
          </w:tcPr>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進口    NT$117,900,000</w:t>
            </w:r>
          </w:p>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國產     NT$34,100,000</w:t>
            </w:r>
          </w:p>
        </w:tc>
      </w:tr>
      <w:tr w:rsidR="00F54F75" w:rsidRPr="00F54F75" w:rsidTr="005E7B21">
        <w:trPr>
          <w:trHeight w:val="324"/>
        </w:trPr>
        <w:tc>
          <w:tcPr>
            <w:tcW w:w="4536" w:type="dxa"/>
            <w:shd w:val="clear" w:color="auto" w:fill="auto"/>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能源回收系統</w:t>
            </w:r>
          </w:p>
        </w:tc>
        <w:tc>
          <w:tcPr>
            <w:tcW w:w="4252" w:type="dxa"/>
            <w:shd w:val="clear" w:color="auto" w:fill="auto"/>
            <w:noWrap/>
            <w:vAlign w:val="center"/>
          </w:tcPr>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進口    NT$153,300,000</w:t>
            </w:r>
          </w:p>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國產     NT$45,500,000</w:t>
            </w:r>
          </w:p>
        </w:tc>
      </w:tr>
      <w:tr w:rsidR="00F54F75" w:rsidRPr="00F54F75" w:rsidTr="005E7B21">
        <w:trPr>
          <w:trHeight w:val="324"/>
        </w:trPr>
        <w:tc>
          <w:tcPr>
            <w:tcW w:w="4536" w:type="dxa"/>
            <w:shd w:val="clear" w:color="auto" w:fill="auto"/>
            <w:noWrap/>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電力及中央控制設備</w:t>
            </w:r>
          </w:p>
        </w:tc>
        <w:tc>
          <w:tcPr>
            <w:tcW w:w="4252" w:type="dxa"/>
            <w:shd w:val="clear" w:color="auto" w:fill="auto"/>
            <w:noWrap/>
            <w:vAlign w:val="center"/>
            <w:hideMark/>
          </w:tcPr>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進口     NT$96,000,000</w:t>
            </w:r>
          </w:p>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國產     NT$41,400,000</w:t>
            </w:r>
          </w:p>
        </w:tc>
      </w:tr>
      <w:tr w:rsidR="00F54F75" w:rsidRPr="00F54F75" w:rsidTr="005E7B21">
        <w:trPr>
          <w:trHeight w:val="324"/>
        </w:trPr>
        <w:tc>
          <w:tcPr>
            <w:tcW w:w="4536" w:type="dxa"/>
            <w:shd w:val="clear" w:color="auto" w:fill="auto"/>
            <w:noWrap/>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系統管線機械設備</w:t>
            </w:r>
          </w:p>
        </w:tc>
        <w:tc>
          <w:tcPr>
            <w:tcW w:w="4252" w:type="dxa"/>
            <w:shd w:val="clear" w:color="auto" w:fill="auto"/>
            <w:noWrap/>
            <w:vAlign w:val="center"/>
            <w:hideMark/>
          </w:tcPr>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進口     NT$49,200,000</w:t>
            </w:r>
          </w:p>
          <w:p w:rsidR="00F54F75" w:rsidRPr="00F54F75" w:rsidRDefault="00F54F75" w:rsidP="005E7B21">
            <w:pPr>
              <w:widowControl/>
              <w:wordWrap w:val="0"/>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國產     NT$55,400,000</w:t>
            </w:r>
          </w:p>
        </w:tc>
      </w:tr>
      <w:tr w:rsidR="00F54F75" w:rsidRPr="00F54F75" w:rsidTr="005E7B21">
        <w:trPr>
          <w:trHeight w:val="324"/>
        </w:trPr>
        <w:tc>
          <w:tcPr>
            <w:tcW w:w="4536" w:type="dxa"/>
            <w:shd w:val="clear" w:color="auto" w:fill="auto"/>
            <w:noWrap/>
            <w:vAlign w:val="center"/>
            <w:hideMark/>
          </w:tcPr>
          <w:p w:rsidR="00F54F75" w:rsidRPr="00F54F75" w:rsidRDefault="00F54F75" w:rsidP="005E7B21">
            <w:pPr>
              <w:widowControl/>
              <w:adjustRightInd w:val="0"/>
              <w:snapToGrid w:val="0"/>
              <w:jc w:val="center"/>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小計</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NT$793,500,000</w:t>
            </w:r>
          </w:p>
        </w:tc>
      </w:tr>
      <w:tr w:rsidR="00F54F75" w:rsidRPr="00F54F75" w:rsidTr="005E7B21">
        <w:trPr>
          <w:trHeight w:val="361"/>
        </w:trPr>
        <w:tc>
          <w:tcPr>
            <w:tcW w:w="4536" w:type="dxa"/>
            <w:shd w:val="clear" w:color="auto" w:fill="auto"/>
            <w:noWrap/>
            <w:vAlign w:val="center"/>
            <w:hideMark/>
          </w:tcPr>
          <w:p w:rsidR="00F54F75" w:rsidRPr="00F54F75" w:rsidRDefault="00F54F75"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三</w:t>
            </w:r>
            <w:r w:rsidR="00753760">
              <w:rPr>
                <w:rFonts w:asciiTheme="majorEastAsia" w:eastAsiaTheme="majorEastAsia" w:hAnsiTheme="majorEastAsia" w:cs="新細明體" w:hint="eastAsia"/>
                <w:color w:val="000000"/>
                <w:kern w:val="0"/>
                <w:sz w:val="20"/>
              </w:rPr>
              <w:t>、</w:t>
            </w:r>
            <w:r w:rsidRPr="00F54F75">
              <w:rPr>
                <w:rFonts w:asciiTheme="majorEastAsia" w:eastAsiaTheme="majorEastAsia" w:hAnsiTheme="majorEastAsia" w:cs="新細明體" w:hint="eastAsia"/>
                <w:color w:val="000000"/>
                <w:kern w:val="0"/>
                <w:sz w:val="20"/>
              </w:rPr>
              <w:t>電器設備</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p>
        </w:tc>
      </w:tr>
      <w:tr w:rsidR="00F54F75" w:rsidRPr="00F54F75" w:rsidTr="00385693">
        <w:trPr>
          <w:trHeight w:val="333"/>
        </w:trPr>
        <w:tc>
          <w:tcPr>
            <w:tcW w:w="4536" w:type="dxa"/>
            <w:shd w:val="clear" w:color="auto" w:fill="auto"/>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污泥消化槽電器設備</w:t>
            </w:r>
          </w:p>
        </w:tc>
        <w:tc>
          <w:tcPr>
            <w:tcW w:w="4252" w:type="dxa"/>
            <w:shd w:val="clear" w:color="auto" w:fill="auto"/>
            <w:noWrap/>
            <w:vAlign w:val="center"/>
          </w:tcPr>
          <w:p w:rsidR="00F54F75" w:rsidRPr="00F54F75" w:rsidRDefault="00A94137" w:rsidP="00A94137">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NT$44,900,000</w:t>
            </w:r>
          </w:p>
        </w:tc>
      </w:tr>
      <w:tr w:rsidR="00F54F75" w:rsidRPr="00F54F75" w:rsidTr="00385693">
        <w:trPr>
          <w:trHeight w:val="324"/>
        </w:trPr>
        <w:tc>
          <w:tcPr>
            <w:tcW w:w="4536" w:type="dxa"/>
            <w:shd w:val="clear" w:color="auto" w:fill="auto"/>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消化瓦斯貯存系統電器設備</w:t>
            </w:r>
          </w:p>
        </w:tc>
        <w:tc>
          <w:tcPr>
            <w:tcW w:w="4252" w:type="dxa"/>
            <w:shd w:val="clear" w:color="auto" w:fill="auto"/>
            <w:noWrap/>
            <w:vAlign w:val="center"/>
          </w:tcPr>
          <w:p w:rsidR="00F54F75" w:rsidRPr="00F54F75" w:rsidRDefault="00A94137" w:rsidP="00A94137">
            <w:pPr>
              <w:widowControl/>
              <w:adjustRightInd w:val="0"/>
              <w:snapToGrid w:val="0"/>
              <w:jc w:val="right"/>
              <w:rPr>
                <w:rFonts w:asciiTheme="majorEastAsia" w:eastAsiaTheme="majorEastAsia" w:hAnsiTheme="majorEastAsia" w:cs="新細明體"/>
                <w:color w:val="000000"/>
                <w:kern w:val="0"/>
                <w:sz w:val="20"/>
              </w:rPr>
            </w:pPr>
            <w:r>
              <w:rPr>
                <w:rFonts w:asciiTheme="majorEastAsia" w:eastAsiaTheme="majorEastAsia" w:hAnsiTheme="majorEastAsia" w:cs="新細明體" w:hint="eastAsia"/>
                <w:color w:val="000000"/>
                <w:kern w:val="0"/>
                <w:sz w:val="20"/>
              </w:rPr>
              <w:t>NT$61,400,000</w:t>
            </w:r>
          </w:p>
        </w:tc>
      </w:tr>
      <w:tr w:rsidR="00F54F75" w:rsidRPr="00F54F75" w:rsidTr="00DE71EE">
        <w:trPr>
          <w:trHeight w:val="392"/>
        </w:trPr>
        <w:tc>
          <w:tcPr>
            <w:tcW w:w="4536" w:type="dxa"/>
            <w:shd w:val="clear" w:color="auto" w:fill="auto"/>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能源回收系統電器設備</w:t>
            </w:r>
          </w:p>
        </w:tc>
        <w:tc>
          <w:tcPr>
            <w:tcW w:w="4252" w:type="dxa"/>
            <w:shd w:val="clear" w:color="auto" w:fill="auto"/>
            <w:noWrap/>
            <w:vAlign w:val="center"/>
          </w:tcPr>
          <w:p w:rsidR="00A94137" w:rsidRPr="00F54F75" w:rsidRDefault="00A94137" w:rsidP="00DE71EE">
            <w:pPr>
              <w:widowControl/>
              <w:adjustRightInd w:val="0"/>
              <w:snapToGrid w:val="0"/>
              <w:ind w:right="-28"/>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NT$17,500,000</w:t>
            </w:r>
          </w:p>
        </w:tc>
      </w:tr>
      <w:tr w:rsidR="00F54F75" w:rsidRPr="00F54F75" w:rsidTr="00385693">
        <w:trPr>
          <w:trHeight w:val="324"/>
        </w:trPr>
        <w:tc>
          <w:tcPr>
            <w:tcW w:w="4536" w:type="dxa"/>
            <w:shd w:val="clear" w:color="auto" w:fill="auto"/>
            <w:noWrap/>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電力及中央控制電器設備</w:t>
            </w:r>
          </w:p>
        </w:tc>
        <w:tc>
          <w:tcPr>
            <w:tcW w:w="4252" w:type="dxa"/>
            <w:shd w:val="clear" w:color="auto" w:fill="auto"/>
            <w:noWrap/>
            <w:vAlign w:val="center"/>
            <w:hideMark/>
          </w:tcPr>
          <w:p w:rsidR="00F54F75" w:rsidRPr="00F54F75" w:rsidRDefault="00A94137" w:rsidP="00A94137">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NT$6,700,000</w:t>
            </w:r>
          </w:p>
        </w:tc>
      </w:tr>
      <w:tr w:rsidR="00F54F75" w:rsidRPr="00F54F75" w:rsidTr="00385693">
        <w:trPr>
          <w:trHeight w:val="322"/>
        </w:trPr>
        <w:tc>
          <w:tcPr>
            <w:tcW w:w="4536" w:type="dxa"/>
            <w:shd w:val="clear" w:color="auto" w:fill="auto"/>
            <w:noWrap/>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系統管線電器設備</w:t>
            </w:r>
          </w:p>
        </w:tc>
        <w:tc>
          <w:tcPr>
            <w:tcW w:w="4252" w:type="dxa"/>
            <w:shd w:val="clear" w:color="auto" w:fill="auto"/>
            <w:noWrap/>
            <w:vAlign w:val="center"/>
            <w:hideMark/>
          </w:tcPr>
          <w:p w:rsidR="00F54F75" w:rsidRPr="00F54F75" w:rsidRDefault="00F54F75" w:rsidP="00DE71EE">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NT$45,750,000</w:t>
            </w:r>
          </w:p>
        </w:tc>
      </w:tr>
      <w:tr w:rsidR="00F54F75" w:rsidRPr="00F54F75" w:rsidTr="00385693">
        <w:trPr>
          <w:trHeight w:val="324"/>
        </w:trPr>
        <w:tc>
          <w:tcPr>
            <w:tcW w:w="4536" w:type="dxa"/>
            <w:shd w:val="clear" w:color="auto" w:fill="auto"/>
            <w:noWrap/>
            <w:vAlign w:val="center"/>
            <w:hideMark/>
          </w:tcPr>
          <w:p w:rsidR="00F54F75" w:rsidRPr="00F54F75" w:rsidRDefault="00F54F75" w:rsidP="005E7B21">
            <w:pPr>
              <w:widowControl/>
              <w:adjustRightInd w:val="0"/>
              <w:snapToGrid w:val="0"/>
              <w:jc w:val="center"/>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lastRenderedPageBreak/>
              <w:t>小計</w:t>
            </w:r>
          </w:p>
        </w:tc>
        <w:tc>
          <w:tcPr>
            <w:tcW w:w="4252" w:type="dxa"/>
            <w:shd w:val="clear" w:color="auto" w:fill="auto"/>
            <w:noWrap/>
            <w:vAlign w:val="center"/>
            <w:hideMark/>
          </w:tcPr>
          <w:p w:rsidR="00F54F75" w:rsidRPr="00F54F75" w:rsidRDefault="00F54F75" w:rsidP="00DE71EE">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NT$176,250,000</w:t>
            </w:r>
          </w:p>
        </w:tc>
      </w:tr>
      <w:tr w:rsidR="00F54F75" w:rsidRPr="00F54F75" w:rsidTr="00385693">
        <w:trPr>
          <w:trHeight w:val="342"/>
        </w:trPr>
        <w:tc>
          <w:tcPr>
            <w:tcW w:w="4536" w:type="dxa"/>
            <w:shd w:val="clear" w:color="auto" w:fill="auto"/>
            <w:noWrap/>
            <w:vAlign w:val="center"/>
            <w:hideMark/>
          </w:tcPr>
          <w:p w:rsidR="00F54F75" w:rsidRPr="00F54F75" w:rsidRDefault="00F54F75" w:rsidP="00753760">
            <w:pPr>
              <w:widowControl/>
              <w:adjustRightInd w:val="0"/>
              <w:snapToGrid w:val="0"/>
              <w:ind w:firstLineChars="67" w:firstLine="148"/>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四</w:t>
            </w:r>
            <w:r w:rsidR="00753760">
              <w:rPr>
                <w:rFonts w:asciiTheme="majorEastAsia" w:eastAsiaTheme="majorEastAsia" w:hAnsiTheme="majorEastAsia" w:cs="新細明體" w:hint="eastAsia"/>
                <w:color w:val="000000"/>
                <w:kern w:val="0"/>
                <w:sz w:val="20"/>
              </w:rPr>
              <w:t>、</w:t>
            </w:r>
            <w:r w:rsidRPr="00F54F75">
              <w:rPr>
                <w:rFonts w:asciiTheme="majorEastAsia" w:eastAsiaTheme="majorEastAsia" w:hAnsiTheme="majorEastAsia" w:cs="新細明體" w:hint="eastAsia"/>
                <w:color w:val="000000"/>
                <w:kern w:val="0"/>
                <w:sz w:val="20"/>
              </w:rPr>
              <w:t>其它</w:t>
            </w:r>
          </w:p>
        </w:tc>
        <w:tc>
          <w:tcPr>
            <w:tcW w:w="4252" w:type="dxa"/>
            <w:shd w:val="clear" w:color="auto" w:fill="auto"/>
            <w:noWrap/>
            <w:vAlign w:val="center"/>
            <w:hideMark/>
          </w:tcPr>
          <w:p w:rsidR="00F54F75" w:rsidRPr="00F54F75" w:rsidRDefault="00F54F75" w:rsidP="00385693">
            <w:pPr>
              <w:widowControl/>
              <w:adjustRightInd w:val="0"/>
              <w:snapToGrid w:val="0"/>
              <w:jc w:val="right"/>
              <w:rPr>
                <w:rFonts w:asciiTheme="majorEastAsia" w:eastAsiaTheme="majorEastAsia" w:hAnsiTheme="majorEastAsia" w:cs="新細明體"/>
                <w:color w:val="000000"/>
                <w:kern w:val="0"/>
                <w:sz w:val="20"/>
              </w:rPr>
            </w:pPr>
          </w:p>
        </w:tc>
      </w:tr>
      <w:tr w:rsidR="00F54F75" w:rsidRPr="00F54F75" w:rsidTr="00385693">
        <w:trPr>
          <w:trHeight w:val="324"/>
        </w:trPr>
        <w:tc>
          <w:tcPr>
            <w:tcW w:w="4536" w:type="dxa"/>
            <w:shd w:val="clear" w:color="auto" w:fill="auto"/>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蛋形消化槽及能源回收系統器材</w:t>
            </w:r>
            <w:proofErr w:type="gramStart"/>
            <w:r w:rsidRPr="00F54F75">
              <w:rPr>
                <w:rFonts w:asciiTheme="majorEastAsia" w:eastAsiaTheme="majorEastAsia" w:hAnsiTheme="majorEastAsia" w:cs="新細明體" w:hint="eastAsia"/>
                <w:color w:val="000000"/>
                <w:kern w:val="0"/>
                <w:sz w:val="20"/>
              </w:rPr>
              <w:t>運什費</w:t>
            </w:r>
            <w:proofErr w:type="gramEnd"/>
          </w:p>
        </w:tc>
        <w:tc>
          <w:tcPr>
            <w:tcW w:w="4252" w:type="dxa"/>
            <w:shd w:val="clear" w:color="auto" w:fill="auto"/>
            <w:noWrap/>
            <w:vAlign w:val="center"/>
          </w:tcPr>
          <w:p w:rsidR="00F54F75" w:rsidRPr="00F54F75" w:rsidRDefault="00F54F75" w:rsidP="00DE71EE">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40</w:t>
            </w:r>
            <w:r w:rsidRPr="00F54F75">
              <w:rPr>
                <w:rFonts w:asciiTheme="majorEastAsia" w:eastAsiaTheme="majorEastAsia" w:hAnsiTheme="majorEastAsia" w:cs="新細明體" w:hint="eastAsia"/>
                <w:color w:val="000000"/>
                <w:kern w:val="0"/>
                <w:sz w:val="20"/>
              </w:rPr>
              <w:t>,</w:t>
            </w:r>
            <w:r w:rsidRPr="00F54F75">
              <w:rPr>
                <w:rFonts w:asciiTheme="majorEastAsia" w:eastAsiaTheme="majorEastAsia" w:hAnsiTheme="majorEastAsia" w:cs="新細明體"/>
                <w:color w:val="000000"/>
                <w:kern w:val="0"/>
                <w:sz w:val="20"/>
              </w:rPr>
              <w:t>000</w:t>
            </w:r>
            <w:r w:rsidRPr="00F54F75">
              <w:rPr>
                <w:rFonts w:asciiTheme="majorEastAsia" w:eastAsiaTheme="majorEastAsia" w:hAnsiTheme="majorEastAsia" w:cs="新細明體" w:hint="eastAsia"/>
                <w:color w:val="000000"/>
                <w:kern w:val="0"/>
                <w:sz w:val="20"/>
              </w:rPr>
              <w:t>,</w:t>
            </w:r>
            <w:r w:rsidRPr="00F54F75">
              <w:rPr>
                <w:rFonts w:asciiTheme="majorEastAsia" w:eastAsiaTheme="majorEastAsia" w:hAnsiTheme="majorEastAsia" w:cs="新細明體"/>
                <w:color w:val="000000"/>
                <w:kern w:val="0"/>
                <w:sz w:val="20"/>
              </w:rPr>
              <w:t>000</w:t>
            </w:r>
          </w:p>
        </w:tc>
      </w:tr>
      <w:tr w:rsidR="00F54F75" w:rsidRPr="00F54F75" w:rsidTr="00385693">
        <w:trPr>
          <w:trHeight w:val="324"/>
        </w:trPr>
        <w:tc>
          <w:tcPr>
            <w:tcW w:w="4536" w:type="dxa"/>
            <w:tcBorders>
              <w:bottom w:val="single" w:sz="4" w:space="0" w:color="auto"/>
            </w:tcBorders>
            <w:shd w:val="clear" w:color="auto" w:fill="auto"/>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系統功能試車及操作人員訓練</w:t>
            </w:r>
          </w:p>
        </w:tc>
        <w:tc>
          <w:tcPr>
            <w:tcW w:w="4252" w:type="dxa"/>
            <w:tcBorders>
              <w:bottom w:val="single" w:sz="4" w:space="0" w:color="auto"/>
            </w:tcBorders>
            <w:shd w:val="clear" w:color="auto" w:fill="auto"/>
            <w:noWrap/>
            <w:vAlign w:val="center"/>
          </w:tcPr>
          <w:p w:rsidR="00F54F75" w:rsidRPr="00E469B7" w:rsidRDefault="00F54F75" w:rsidP="00E469B7">
            <w:pPr>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30</w:t>
            </w:r>
            <w:r w:rsidRPr="00F54F75">
              <w:rPr>
                <w:rFonts w:asciiTheme="majorEastAsia" w:eastAsiaTheme="majorEastAsia" w:hAnsiTheme="majorEastAsia" w:cs="新細明體" w:hint="eastAsia"/>
                <w:color w:val="000000"/>
                <w:kern w:val="0"/>
                <w:sz w:val="20"/>
              </w:rPr>
              <w:t>,</w:t>
            </w:r>
            <w:r w:rsidRPr="00F54F75">
              <w:rPr>
                <w:rFonts w:asciiTheme="majorEastAsia" w:eastAsiaTheme="majorEastAsia" w:hAnsiTheme="majorEastAsia" w:cs="新細明體"/>
                <w:color w:val="000000"/>
                <w:kern w:val="0"/>
                <w:sz w:val="20"/>
              </w:rPr>
              <w:t>000</w:t>
            </w:r>
            <w:r w:rsidRPr="00F54F75">
              <w:rPr>
                <w:rFonts w:asciiTheme="majorEastAsia" w:eastAsiaTheme="majorEastAsia" w:hAnsiTheme="majorEastAsia" w:cs="新細明體" w:hint="eastAsia"/>
                <w:color w:val="000000"/>
                <w:kern w:val="0"/>
                <w:sz w:val="20"/>
              </w:rPr>
              <w:t>,</w:t>
            </w:r>
            <w:r w:rsidRPr="00F54F75">
              <w:rPr>
                <w:rFonts w:asciiTheme="majorEastAsia" w:eastAsiaTheme="majorEastAsia" w:hAnsiTheme="majorEastAsia" w:cs="新細明體"/>
                <w:color w:val="000000"/>
                <w:kern w:val="0"/>
                <w:sz w:val="20"/>
              </w:rPr>
              <w:t>000</w:t>
            </w:r>
          </w:p>
        </w:tc>
      </w:tr>
      <w:tr w:rsidR="00F54F75" w:rsidRPr="00F54F75" w:rsidTr="005E7B21">
        <w:trPr>
          <w:trHeight w:val="324"/>
        </w:trPr>
        <w:tc>
          <w:tcPr>
            <w:tcW w:w="4536" w:type="dxa"/>
            <w:shd w:val="clear" w:color="auto" w:fill="DAEEF3" w:themeFill="accent5" w:themeFillTint="33"/>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操作施工圖製作費</w:t>
            </w:r>
          </w:p>
        </w:tc>
        <w:tc>
          <w:tcPr>
            <w:tcW w:w="4252" w:type="dxa"/>
            <w:shd w:val="clear" w:color="auto" w:fill="DAEEF3" w:themeFill="accent5" w:themeFillTint="33"/>
            <w:noWrap/>
            <w:vAlign w:val="center"/>
          </w:tcPr>
          <w:p w:rsidR="00F54F75" w:rsidRPr="00F54F75" w:rsidRDefault="00F54F75" w:rsidP="005E7B21">
            <w:pPr>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6,000,000</w:t>
            </w:r>
          </w:p>
        </w:tc>
      </w:tr>
      <w:tr w:rsidR="00F54F75" w:rsidRPr="00F54F75" w:rsidTr="005E7B21">
        <w:trPr>
          <w:trHeight w:val="324"/>
        </w:trPr>
        <w:tc>
          <w:tcPr>
            <w:tcW w:w="4536" w:type="dxa"/>
            <w:shd w:val="clear" w:color="auto" w:fill="DAEEF3" w:themeFill="accent5" w:themeFillTint="33"/>
            <w:noWrap/>
            <w:vAlign w:val="center"/>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施工中</w:t>
            </w:r>
            <w:r w:rsidR="009C34ED">
              <w:rPr>
                <w:rFonts w:asciiTheme="majorEastAsia" w:eastAsiaTheme="majorEastAsia" w:hAnsiTheme="majorEastAsia" w:cs="新細明體" w:hint="eastAsia"/>
                <w:color w:val="000000"/>
                <w:kern w:val="0"/>
                <w:sz w:val="20"/>
              </w:rPr>
              <w:t>環境污染防治費</w:t>
            </w:r>
          </w:p>
        </w:tc>
        <w:tc>
          <w:tcPr>
            <w:tcW w:w="4252" w:type="dxa"/>
            <w:shd w:val="clear" w:color="auto" w:fill="DAEEF3" w:themeFill="accent5" w:themeFillTint="33"/>
            <w:noWrap/>
            <w:vAlign w:val="center"/>
          </w:tcPr>
          <w:p w:rsidR="00F54F75" w:rsidRPr="00F54F75" w:rsidRDefault="00F54F75" w:rsidP="005E7B21">
            <w:pPr>
              <w:adjustRightInd w:val="0"/>
              <w:snapToGrid w:val="0"/>
              <w:jc w:val="right"/>
              <w:rPr>
                <w:rFonts w:asciiTheme="majorEastAsia" w:eastAsiaTheme="majorEastAsia" w:hAnsiTheme="majorEastAsia"/>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8,000,000</w:t>
            </w:r>
          </w:p>
        </w:tc>
      </w:tr>
      <w:tr w:rsidR="00F54F75" w:rsidRPr="00F54F75" w:rsidTr="005E7B21">
        <w:trPr>
          <w:trHeight w:val="324"/>
        </w:trPr>
        <w:tc>
          <w:tcPr>
            <w:tcW w:w="4536" w:type="dxa"/>
            <w:shd w:val="clear" w:color="auto" w:fill="DAEEF3" w:themeFill="accent5" w:themeFillTint="33"/>
            <w:noWrap/>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施工中勞工安全衛生費</w:t>
            </w:r>
          </w:p>
        </w:tc>
        <w:tc>
          <w:tcPr>
            <w:tcW w:w="4252" w:type="dxa"/>
            <w:shd w:val="clear" w:color="auto" w:fill="DAEEF3" w:themeFill="accent5" w:themeFillTint="33"/>
            <w:noWrap/>
            <w:vAlign w:val="center"/>
            <w:hideMark/>
          </w:tcPr>
          <w:p w:rsidR="00F54F75" w:rsidRPr="00F54F75" w:rsidRDefault="00F54F75" w:rsidP="005E7B21">
            <w:pPr>
              <w:adjustRightInd w:val="0"/>
              <w:snapToGrid w:val="0"/>
              <w:jc w:val="right"/>
              <w:rPr>
                <w:rFonts w:asciiTheme="majorEastAsia" w:eastAsiaTheme="majorEastAsia" w:hAnsiTheme="majorEastAsia"/>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10,000,000</w:t>
            </w:r>
          </w:p>
        </w:tc>
      </w:tr>
      <w:tr w:rsidR="00F54F75" w:rsidRPr="00F54F75" w:rsidTr="005E7B21">
        <w:trPr>
          <w:trHeight w:val="324"/>
        </w:trPr>
        <w:tc>
          <w:tcPr>
            <w:tcW w:w="4536" w:type="dxa"/>
            <w:shd w:val="clear" w:color="auto" w:fill="DAEEF3" w:themeFill="accent5" w:themeFillTint="33"/>
            <w:noWrap/>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稅捐管理及利潤</w:t>
            </w:r>
          </w:p>
        </w:tc>
        <w:tc>
          <w:tcPr>
            <w:tcW w:w="4252" w:type="dxa"/>
            <w:shd w:val="clear" w:color="auto" w:fill="DAEEF3" w:themeFill="accent5" w:themeFillTint="33"/>
            <w:noWrap/>
            <w:vAlign w:val="center"/>
            <w:hideMark/>
          </w:tcPr>
          <w:p w:rsidR="00F54F75" w:rsidRPr="00F54F75" w:rsidRDefault="00F54F75" w:rsidP="005E7B21">
            <w:pPr>
              <w:adjustRightInd w:val="0"/>
              <w:snapToGrid w:val="0"/>
              <w:jc w:val="right"/>
              <w:rPr>
                <w:rFonts w:asciiTheme="majorEastAsia" w:eastAsiaTheme="majorEastAsia" w:hAnsiTheme="majorEastAsia"/>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272,150,000</w:t>
            </w:r>
          </w:p>
        </w:tc>
      </w:tr>
      <w:tr w:rsidR="00F54F75" w:rsidRPr="00F54F75" w:rsidTr="005E7B21">
        <w:trPr>
          <w:trHeight w:val="324"/>
        </w:trPr>
        <w:tc>
          <w:tcPr>
            <w:tcW w:w="4536" w:type="dxa"/>
            <w:shd w:val="clear" w:color="auto" w:fill="DAEEF3" w:themeFill="accent5" w:themeFillTint="33"/>
            <w:noWrap/>
            <w:vAlign w:val="center"/>
            <w:hideMark/>
          </w:tcPr>
          <w:p w:rsidR="00F54F75" w:rsidRPr="00F54F75" w:rsidRDefault="00F54F75" w:rsidP="00753760">
            <w:pPr>
              <w:widowControl/>
              <w:adjustRightInd w:val="0"/>
              <w:snapToGrid w:val="0"/>
              <w:ind w:leftChars="125" w:left="425" w:firstLineChars="114" w:firstLine="251"/>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營造綜合保險</w:t>
            </w:r>
          </w:p>
        </w:tc>
        <w:tc>
          <w:tcPr>
            <w:tcW w:w="4252" w:type="dxa"/>
            <w:shd w:val="clear" w:color="auto" w:fill="DAEEF3" w:themeFill="accent5" w:themeFillTint="33"/>
            <w:noWrap/>
            <w:vAlign w:val="center"/>
            <w:hideMark/>
          </w:tcPr>
          <w:p w:rsidR="00F54F75" w:rsidRPr="00F54F75" w:rsidRDefault="00F54F75" w:rsidP="005E7B21">
            <w:pPr>
              <w:adjustRightInd w:val="0"/>
              <w:snapToGrid w:val="0"/>
              <w:jc w:val="right"/>
              <w:rPr>
                <w:rFonts w:asciiTheme="majorEastAsia" w:eastAsiaTheme="majorEastAsia" w:hAnsiTheme="majorEastAsia"/>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6,100,000</w:t>
            </w:r>
          </w:p>
        </w:tc>
      </w:tr>
      <w:tr w:rsidR="00F54F75" w:rsidRPr="00F54F75" w:rsidTr="005E7B21">
        <w:trPr>
          <w:trHeight w:val="324"/>
        </w:trPr>
        <w:tc>
          <w:tcPr>
            <w:tcW w:w="4536" w:type="dxa"/>
            <w:shd w:val="clear" w:color="auto" w:fill="auto"/>
            <w:noWrap/>
            <w:vAlign w:val="center"/>
          </w:tcPr>
          <w:p w:rsidR="00F54F75" w:rsidRPr="00F54F75" w:rsidRDefault="00F54F75" w:rsidP="005E7B21">
            <w:pPr>
              <w:widowControl/>
              <w:adjustRightInd w:val="0"/>
              <w:snapToGrid w:val="0"/>
              <w:jc w:val="center"/>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小計</w:t>
            </w:r>
          </w:p>
        </w:tc>
        <w:tc>
          <w:tcPr>
            <w:tcW w:w="4252" w:type="dxa"/>
            <w:shd w:val="clear" w:color="auto" w:fill="auto"/>
            <w:noWrap/>
            <w:vAlign w:val="center"/>
          </w:tcPr>
          <w:p w:rsidR="00F54F75" w:rsidRPr="00F54F75" w:rsidRDefault="00F54F75"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372,250,000</w:t>
            </w:r>
          </w:p>
        </w:tc>
      </w:tr>
      <w:tr w:rsidR="00F54F75" w:rsidRPr="00F54F75" w:rsidTr="00E469B7">
        <w:trPr>
          <w:trHeight w:val="335"/>
        </w:trPr>
        <w:tc>
          <w:tcPr>
            <w:tcW w:w="4536" w:type="dxa"/>
            <w:shd w:val="clear" w:color="auto" w:fill="auto"/>
            <w:noWrap/>
            <w:vAlign w:val="center"/>
            <w:hideMark/>
          </w:tcPr>
          <w:p w:rsidR="00F54F75" w:rsidRPr="00F54F75" w:rsidRDefault="00F54F75" w:rsidP="005E7B21">
            <w:pPr>
              <w:widowControl/>
              <w:adjustRightInd w:val="0"/>
              <w:snapToGrid w:val="0"/>
              <w:jc w:val="center"/>
              <w:rPr>
                <w:rFonts w:asciiTheme="majorEastAsia" w:eastAsiaTheme="majorEastAsia" w:hAnsiTheme="majorEastAsia" w:cs="新細明體"/>
                <w:b/>
                <w:color w:val="000000"/>
                <w:kern w:val="0"/>
                <w:sz w:val="20"/>
              </w:rPr>
            </w:pPr>
            <w:r w:rsidRPr="00F54F75">
              <w:rPr>
                <w:rFonts w:asciiTheme="majorEastAsia" w:eastAsiaTheme="majorEastAsia" w:hAnsiTheme="majorEastAsia" w:cs="新細明體" w:hint="eastAsia"/>
                <w:b/>
                <w:color w:val="000000"/>
                <w:kern w:val="0"/>
                <w:sz w:val="20"/>
              </w:rPr>
              <w:t>合計</w:t>
            </w:r>
          </w:p>
        </w:tc>
        <w:tc>
          <w:tcPr>
            <w:tcW w:w="4252" w:type="dxa"/>
            <w:shd w:val="clear" w:color="auto" w:fill="auto"/>
            <w:noWrap/>
            <w:vAlign w:val="center"/>
            <w:hideMark/>
          </w:tcPr>
          <w:p w:rsidR="00F54F75" w:rsidRPr="00F54F75" w:rsidRDefault="00F54F75" w:rsidP="005E7B21">
            <w:pPr>
              <w:widowControl/>
              <w:adjustRightInd w:val="0"/>
              <w:snapToGrid w:val="0"/>
              <w:jc w:val="right"/>
              <w:rPr>
                <w:rFonts w:asciiTheme="majorEastAsia" w:eastAsiaTheme="majorEastAsia" w:hAnsiTheme="majorEastAsia" w:cs="新細明體"/>
                <w:b/>
                <w:bCs/>
                <w:color w:val="000000"/>
                <w:kern w:val="0"/>
                <w:sz w:val="20"/>
                <w:highlight w:val="yellow"/>
              </w:rPr>
            </w:pPr>
            <w:r w:rsidRPr="00F54F75">
              <w:rPr>
                <w:rFonts w:asciiTheme="majorEastAsia" w:eastAsiaTheme="majorEastAsia" w:hAnsiTheme="majorEastAsia" w:cs="新細明體" w:hint="eastAsia"/>
                <w:b/>
                <w:bCs/>
                <w:color w:val="000000"/>
                <w:kern w:val="0"/>
                <w:sz w:val="20"/>
                <w:highlight w:val="yellow"/>
              </w:rPr>
              <w:t>NT$</w:t>
            </w:r>
            <w:r w:rsidRPr="00F54F75">
              <w:rPr>
                <w:rFonts w:asciiTheme="majorEastAsia" w:eastAsiaTheme="majorEastAsia" w:hAnsiTheme="majorEastAsia" w:cs="新細明體"/>
                <w:b/>
                <w:bCs/>
                <w:color w:val="000000"/>
                <w:kern w:val="0"/>
                <w:sz w:val="20"/>
                <w:highlight w:val="yellow"/>
              </w:rPr>
              <w:t>2,340,000,000</w:t>
            </w:r>
          </w:p>
        </w:tc>
      </w:tr>
      <w:tr w:rsidR="00F35C46" w:rsidRPr="00F54F75" w:rsidTr="005E7B21">
        <w:trPr>
          <w:trHeight w:val="303"/>
        </w:trPr>
        <w:tc>
          <w:tcPr>
            <w:tcW w:w="4536" w:type="dxa"/>
            <w:shd w:val="clear" w:color="auto" w:fill="auto"/>
            <w:noWrap/>
            <w:vAlign w:val="center"/>
          </w:tcPr>
          <w:p w:rsidR="00F35C46" w:rsidRPr="00F54F75" w:rsidRDefault="00F35C46" w:rsidP="005E7B21">
            <w:pPr>
              <w:widowControl/>
              <w:adjustRightInd w:val="0"/>
              <w:snapToGrid w:val="0"/>
              <w:rPr>
                <w:rFonts w:asciiTheme="majorEastAsia" w:eastAsiaTheme="majorEastAsia" w:hAnsiTheme="majorEastAsia" w:cs="新細明體"/>
                <w:b/>
                <w:color w:val="000000"/>
                <w:kern w:val="0"/>
                <w:sz w:val="20"/>
              </w:rPr>
            </w:pPr>
          </w:p>
        </w:tc>
        <w:tc>
          <w:tcPr>
            <w:tcW w:w="4252" w:type="dxa"/>
            <w:shd w:val="clear" w:color="auto" w:fill="auto"/>
            <w:noWrap/>
            <w:vAlign w:val="center"/>
          </w:tcPr>
          <w:p w:rsidR="00F35C46" w:rsidRPr="00F54F75" w:rsidRDefault="00F35C46" w:rsidP="005E7B21">
            <w:pPr>
              <w:adjustRightInd w:val="0"/>
              <w:snapToGrid w:val="0"/>
              <w:jc w:val="right"/>
              <w:rPr>
                <w:rFonts w:asciiTheme="majorEastAsia" w:eastAsiaTheme="majorEastAsia" w:hAnsiTheme="majorEastAsia" w:cs="新細明體"/>
                <w:b/>
                <w:bCs/>
                <w:color w:val="000000"/>
                <w:kern w:val="0"/>
                <w:sz w:val="20"/>
                <w:highlight w:val="yellow"/>
              </w:rPr>
            </w:pPr>
          </w:p>
        </w:tc>
      </w:tr>
      <w:tr w:rsidR="00F35C46" w:rsidRPr="00F54F75" w:rsidTr="005E7B21">
        <w:trPr>
          <w:trHeight w:val="324"/>
        </w:trPr>
        <w:tc>
          <w:tcPr>
            <w:tcW w:w="4536" w:type="dxa"/>
            <w:shd w:val="clear" w:color="auto" w:fill="auto"/>
            <w:noWrap/>
            <w:vAlign w:val="center"/>
            <w:hideMark/>
          </w:tcPr>
          <w:p w:rsidR="00F35C46" w:rsidRPr="00F54F75" w:rsidRDefault="00F35C46" w:rsidP="005E7B21">
            <w:pPr>
              <w:widowControl/>
              <w:adjustRightInd w:val="0"/>
              <w:snapToGrid w:val="0"/>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預備金</w:t>
            </w:r>
          </w:p>
        </w:tc>
        <w:tc>
          <w:tcPr>
            <w:tcW w:w="4252" w:type="dxa"/>
            <w:shd w:val="clear" w:color="auto" w:fill="auto"/>
            <w:noWrap/>
            <w:vAlign w:val="center"/>
            <w:hideMark/>
          </w:tcPr>
          <w:p w:rsidR="00F35C46" w:rsidRPr="00F54F75" w:rsidRDefault="001668DA" w:rsidP="005E7B21">
            <w:pPr>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34,340,000</w:t>
            </w:r>
          </w:p>
        </w:tc>
      </w:tr>
      <w:tr w:rsidR="00F35C46" w:rsidRPr="00F54F75" w:rsidTr="005E7B21">
        <w:trPr>
          <w:trHeight w:val="345"/>
        </w:trPr>
        <w:tc>
          <w:tcPr>
            <w:tcW w:w="4536" w:type="dxa"/>
            <w:shd w:val="clear" w:color="auto" w:fill="auto"/>
            <w:noWrap/>
            <w:vAlign w:val="center"/>
            <w:hideMark/>
          </w:tcPr>
          <w:p w:rsidR="00F35C46" w:rsidRPr="00F54F75" w:rsidRDefault="00F35C46" w:rsidP="005E7B21">
            <w:pPr>
              <w:widowControl/>
              <w:adjustRightInd w:val="0"/>
              <w:snapToGrid w:val="0"/>
              <w:rPr>
                <w:rFonts w:asciiTheme="majorEastAsia" w:eastAsiaTheme="majorEastAsia" w:hAnsiTheme="majorEastAsia" w:cs="新細明體"/>
                <w:color w:val="000000"/>
                <w:kern w:val="0"/>
                <w:sz w:val="20"/>
              </w:rPr>
            </w:pPr>
          </w:p>
        </w:tc>
        <w:tc>
          <w:tcPr>
            <w:tcW w:w="4252" w:type="dxa"/>
            <w:shd w:val="clear" w:color="auto" w:fill="auto"/>
            <w:noWrap/>
            <w:vAlign w:val="center"/>
            <w:hideMark/>
          </w:tcPr>
          <w:p w:rsidR="00F35C46" w:rsidRPr="00F54F75" w:rsidRDefault="00F35C46" w:rsidP="005E7B21">
            <w:pPr>
              <w:widowControl/>
              <w:adjustRightInd w:val="0"/>
              <w:snapToGrid w:val="0"/>
              <w:jc w:val="left"/>
              <w:rPr>
                <w:rFonts w:asciiTheme="majorEastAsia" w:eastAsiaTheme="majorEastAsia" w:hAnsiTheme="majorEastAsia" w:cs="新細明體"/>
                <w:color w:val="000000"/>
                <w:kern w:val="0"/>
                <w:sz w:val="20"/>
              </w:rPr>
            </w:pPr>
          </w:p>
        </w:tc>
      </w:tr>
      <w:tr w:rsidR="00F35C46" w:rsidRPr="00F54F75" w:rsidTr="005E7B21">
        <w:trPr>
          <w:trHeight w:val="324"/>
        </w:trPr>
        <w:tc>
          <w:tcPr>
            <w:tcW w:w="4536" w:type="dxa"/>
            <w:shd w:val="clear" w:color="auto" w:fill="auto"/>
            <w:noWrap/>
            <w:vAlign w:val="center"/>
            <w:hideMark/>
          </w:tcPr>
          <w:p w:rsidR="00F35C46" w:rsidRPr="00F54F75" w:rsidRDefault="00F35C46" w:rsidP="005E7B21">
            <w:pPr>
              <w:widowControl/>
              <w:adjustRightInd w:val="0"/>
              <w:snapToGrid w:val="0"/>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工程管理費</w:t>
            </w:r>
          </w:p>
        </w:tc>
        <w:tc>
          <w:tcPr>
            <w:tcW w:w="4252" w:type="dxa"/>
            <w:shd w:val="clear" w:color="auto" w:fill="auto"/>
            <w:noWrap/>
            <w:vAlign w:val="center"/>
            <w:hideMark/>
          </w:tcPr>
          <w:p w:rsidR="00F35C46" w:rsidRPr="00F54F75" w:rsidRDefault="001668DA" w:rsidP="005E7B21">
            <w:pPr>
              <w:widowControl/>
              <w:adjustRightInd w:val="0"/>
              <w:snapToGrid w:val="0"/>
              <w:jc w:val="right"/>
              <w:rPr>
                <w:rFonts w:asciiTheme="majorEastAsia" w:eastAsiaTheme="majorEastAsia" w:hAnsiTheme="majorEastAsia" w:cs="新細明體"/>
                <w:color w:val="000000"/>
                <w:kern w:val="0"/>
                <w:sz w:val="20"/>
              </w:rPr>
            </w:pPr>
            <w:r w:rsidRPr="00F54F75">
              <w:rPr>
                <w:rFonts w:asciiTheme="majorEastAsia" w:eastAsiaTheme="majorEastAsia" w:hAnsiTheme="majorEastAsia" w:cs="新細明體" w:hint="eastAsia"/>
                <w:color w:val="000000"/>
                <w:kern w:val="0"/>
                <w:sz w:val="20"/>
              </w:rPr>
              <w:t>NT$</w:t>
            </w:r>
            <w:r w:rsidRPr="00F54F75">
              <w:rPr>
                <w:rFonts w:asciiTheme="majorEastAsia" w:eastAsiaTheme="majorEastAsia" w:hAnsiTheme="majorEastAsia" w:cs="新細明體"/>
                <w:color w:val="000000"/>
                <w:kern w:val="0"/>
                <w:sz w:val="20"/>
              </w:rPr>
              <w:t>105,660,000</w:t>
            </w:r>
          </w:p>
        </w:tc>
      </w:tr>
      <w:tr w:rsidR="00F35C46" w:rsidRPr="00F54F75" w:rsidTr="005E7B21">
        <w:trPr>
          <w:trHeight w:val="324"/>
        </w:trPr>
        <w:tc>
          <w:tcPr>
            <w:tcW w:w="4536" w:type="dxa"/>
            <w:shd w:val="clear" w:color="auto" w:fill="auto"/>
            <w:noWrap/>
            <w:vAlign w:val="center"/>
            <w:hideMark/>
          </w:tcPr>
          <w:p w:rsidR="00F35C46" w:rsidRPr="00F54F75" w:rsidRDefault="00F35C46" w:rsidP="005E7B21">
            <w:pPr>
              <w:widowControl/>
              <w:adjustRightInd w:val="0"/>
              <w:snapToGrid w:val="0"/>
              <w:rPr>
                <w:rFonts w:asciiTheme="majorEastAsia" w:eastAsiaTheme="majorEastAsia" w:hAnsiTheme="majorEastAsia" w:cs="新細明體"/>
                <w:color w:val="000000"/>
                <w:kern w:val="0"/>
                <w:sz w:val="20"/>
              </w:rPr>
            </w:pPr>
          </w:p>
        </w:tc>
        <w:tc>
          <w:tcPr>
            <w:tcW w:w="4252" w:type="dxa"/>
            <w:shd w:val="clear" w:color="auto" w:fill="auto"/>
            <w:noWrap/>
            <w:vAlign w:val="center"/>
            <w:hideMark/>
          </w:tcPr>
          <w:p w:rsidR="00F35C46" w:rsidRPr="00F54F75" w:rsidRDefault="00F35C46" w:rsidP="005E7B21">
            <w:pPr>
              <w:widowControl/>
              <w:adjustRightInd w:val="0"/>
              <w:snapToGrid w:val="0"/>
              <w:jc w:val="left"/>
              <w:rPr>
                <w:rFonts w:asciiTheme="majorEastAsia" w:eastAsiaTheme="majorEastAsia" w:hAnsiTheme="majorEastAsia" w:cs="新細明體"/>
                <w:color w:val="000000"/>
                <w:kern w:val="0"/>
                <w:sz w:val="20"/>
              </w:rPr>
            </w:pPr>
          </w:p>
        </w:tc>
      </w:tr>
      <w:tr w:rsidR="00F35C46" w:rsidRPr="00F54F75" w:rsidTr="005E7B21">
        <w:trPr>
          <w:trHeight w:val="324"/>
        </w:trPr>
        <w:tc>
          <w:tcPr>
            <w:tcW w:w="4536" w:type="dxa"/>
            <w:shd w:val="clear" w:color="auto" w:fill="auto"/>
            <w:noWrap/>
            <w:vAlign w:val="center"/>
            <w:hideMark/>
          </w:tcPr>
          <w:p w:rsidR="00F35C46" w:rsidRPr="00F54F75" w:rsidRDefault="00F35C46" w:rsidP="005E7B21">
            <w:pPr>
              <w:widowControl/>
              <w:adjustRightInd w:val="0"/>
              <w:snapToGrid w:val="0"/>
              <w:rPr>
                <w:rFonts w:asciiTheme="majorEastAsia" w:eastAsiaTheme="majorEastAsia" w:hAnsiTheme="majorEastAsia" w:cs="新細明體"/>
                <w:color w:val="000000"/>
                <w:kern w:val="0"/>
                <w:sz w:val="20"/>
              </w:rPr>
            </w:pPr>
          </w:p>
        </w:tc>
        <w:tc>
          <w:tcPr>
            <w:tcW w:w="4252" w:type="dxa"/>
            <w:shd w:val="clear" w:color="auto" w:fill="auto"/>
            <w:noWrap/>
            <w:vAlign w:val="center"/>
            <w:hideMark/>
          </w:tcPr>
          <w:p w:rsidR="00F35C46" w:rsidRPr="00F54F75" w:rsidRDefault="00F35C46" w:rsidP="005E7B21">
            <w:pPr>
              <w:widowControl/>
              <w:adjustRightInd w:val="0"/>
              <w:snapToGrid w:val="0"/>
              <w:jc w:val="left"/>
              <w:rPr>
                <w:rFonts w:asciiTheme="majorEastAsia" w:eastAsiaTheme="majorEastAsia" w:hAnsiTheme="majorEastAsia" w:cs="新細明體"/>
                <w:color w:val="000000"/>
                <w:kern w:val="0"/>
                <w:sz w:val="20"/>
              </w:rPr>
            </w:pPr>
          </w:p>
        </w:tc>
      </w:tr>
      <w:tr w:rsidR="00F35C46" w:rsidRPr="00F54F75" w:rsidTr="005E7B21">
        <w:trPr>
          <w:trHeight w:val="324"/>
        </w:trPr>
        <w:tc>
          <w:tcPr>
            <w:tcW w:w="4536" w:type="dxa"/>
            <w:shd w:val="clear" w:color="auto" w:fill="auto"/>
            <w:noWrap/>
            <w:vAlign w:val="center"/>
            <w:hideMark/>
          </w:tcPr>
          <w:p w:rsidR="00F35C46" w:rsidRPr="00F54F75" w:rsidRDefault="00F35C46" w:rsidP="005E7B21">
            <w:pPr>
              <w:widowControl/>
              <w:adjustRightInd w:val="0"/>
              <w:snapToGrid w:val="0"/>
              <w:jc w:val="center"/>
              <w:rPr>
                <w:rFonts w:asciiTheme="majorEastAsia" w:eastAsiaTheme="majorEastAsia" w:hAnsiTheme="majorEastAsia" w:cs="新細明體"/>
                <w:b/>
                <w:color w:val="000000"/>
                <w:kern w:val="0"/>
                <w:sz w:val="20"/>
              </w:rPr>
            </w:pPr>
            <w:r w:rsidRPr="00F54F75">
              <w:rPr>
                <w:rFonts w:asciiTheme="majorEastAsia" w:eastAsiaTheme="majorEastAsia" w:hAnsiTheme="majorEastAsia" w:cs="新細明體" w:hint="eastAsia"/>
                <w:b/>
                <w:color w:val="000000"/>
                <w:kern w:val="0"/>
                <w:sz w:val="20"/>
              </w:rPr>
              <w:t>總工程費</w:t>
            </w:r>
          </w:p>
        </w:tc>
        <w:tc>
          <w:tcPr>
            <w:tcW w:w="4252" w:type="dxa"/>
            <w:shd w:val="clear" w:color="auto" w:fill="auto"/>
            <w:noWrap/>
            <w:vAlign w:val="center"/>
            <w:hideMark/>
          </w:tcPr>
          <w:p w:rsidR="00F35C46" w:rsidRPr="00F54F75" w:rsidRDefault="001668DA" w:rsidP="005E7B21">
            <w:pPr>
              <w:widowControl/>
              <w:adjustRightInd w:val="0"/>
              <w:snapToGrid w:val="0"/>
              <w:jc w:val="right"/>
              <w:rPr>
                <w:rFonts w:asciiTheme="majorEastAsia" w:eastAsiaTheme="majorEastAsia" w:hAnsiTheme="majorEastAsia" w:cs="新細明體"/>
                <w:b/>
                <w:color w:val="000000"/>
                <w:kern w:val="0"/>
                <w:sz w:val="20"/>
                <w:highlight w:val="yellow"/>
              </w:rPr>
            </w:pPr>
            <w:r w:rsidRPr="00F54F75">
              <w:rPr>
                <w:rFonts w:asciiTheme="majorEastAsia" w:eastAsiaTheme="majorEastAsia" w:hAnsiTheme="majorEastAsia" w:cs="新細明體" w:hint="eastAsia"/>
                <w:b/>
                <w:color w:val="000000"/>
                <w:kern w:val="0"/>
                <w:sz w:val="20"/>
                <w:highlight w:val="yellow"/>
              </w:rPr>
              <w:t>NT$</w:t>
            </w:r>
            <w:r w:rsidRPr="00F54F75">
              <w:rPr>
                <w:rFonts w:asciiTheme="majorEastAsia" w:eastAsiaTheme="majorEastAsia" w:hAnsiTheme="majorEastAsia" w:cs="新細明體"/>
                <w:b/>
                <w:color w:val="000000"/>
                <w:kern w:val="0"/>
                <w:sz w:val="20"/>
                <w:highlight w:val="yellow"/>
              </w:rPr>
              <w:t>2,480,000,000</w:t>
            </w:r>
          </w:p>
        </w:tc>
      </w:tr>
    </w:tbl>
    <w:p w:rsidR="00F35C46" w:rsidRPr="009344BD" w:rsidRDefault="00F35C46" w:rsidP="009344BD">
      <w:pPr>
        <w:pStyle w:val="3"/>
        <w:numPr>
          <w:ilvl w:val="0"/>
          <w:numId w:val="0"/>
        </w:numPr>
        <w:spacing w:line="240" w:lineRule="exact"/>
        <w:ind w:left="1361"/>
        <w:rPr>
          <w:sz w:val="24"/>
          <w:szCs w:val="24"/>
        </w:rPr>
      </w:pPr>
    </w:p>
    <w:p w:rsidR="00FF4E4A" w:rsidRPr="00FF4E4A" w:rsidRDefault="00CB506A" w:rsidP="00CB506A">
      <w:pPr>
        <w:pStyle w:val="3"/>
        <w:rPr>
          <w:rFonts w:hAnsi="標楷體"/>
          <w:szCs w:val="32"/>
        </w:rPr>
      </w:pPr>
      <w:r>
        <w:rPr>
          <w:rFonts w:hAnsi="標楷體" w:hint="eastAsia"/>
          <w:szCs w:val="32"/>
        </w:rPr>
        <w:t>綜上，</w:t>
      </w:r>
      <w:r w:rsidRPr="00FF4E4A">
        <w:rPr>
          <w:rFonts w:hAnsi="標楷體" w:hint="eastAsia"/>
          <w:szCs w:val="32"/>
        </w:rPr>
        <w:t>本案確定判決以工程會90年2月5日(90)</w:t>
      </w:r>
      <w:proofErr w:type="gramStart"/>
      <w:r w:rsidRPr="00FF4E4A">
        <w:rPr>
          <w:rFonts w:hAnsi="標楷體" w:hint="eastAsia"/>
          <w:szCs w:val="32"/>
        </w:rPr>
        <w:t>工程術字第90003924號</w:t>
      </w:r>
      <w:proofErr w:type="gramEnd"/>
      <w:r w:rsidRPr="00FF4E4A">
        <w:rPr>
          <w:rFonts w:hAnsi="標楷體" w:hint="eastAsia"/>
          <w:szCs w:val="32"/>
        </w:rPr>
        <w:t>、98年4月21日工程</w:t>
      </w:r>
      <w:proofErr w:type="gramStart"/>
      <w:r w:rsidRPr="00FF4E4A">
        <w:rPr>
          <w:rFonts w:hAnsi="標楷體" w:hint="eastAsia"/>
          <w:szCs w:val="32"/>
        </w:rPr>
        <w:t>鑑</w:t>
      </w:r>
      <w:proofErr w:type="gramEnd"/>
      <w:r w:rsidRPr="00FF4E4A">
        <w:rPr>
          <w:rFonts w:hAnsi="標楷體" w:hint="eastAsia"/>
          <w:szCs w:val="32"/>
        </w:rPr>
        <w:t>字第09800143650號等函復之鑑定意見為據，認定林文烈、沈德亮共謀「浮編管理及利潤等費用6.07億元」；</w:t>
      </w:r>
      <w:proofErr w:type="gramStart"/>
      <w:r w:rsidRPr="00FF4E4A">
        <w:rPr>
          <w:rFonts w:hAnsi="標楷體" w:hint="eastAsia"/>
          <w:szCs w:val="32"/>
        </w:rPr>
        <w:t>惟</w:t>
      </w:r>
      <w:proofErr w:type="gramEnd"/>
      <w:r w:rsidRPr="00FF4E4A">
        <w:rPr>
          <w:rFonts w:hAnsi="標楷體" w:hint="eastAsia"/>
          <w:szCs w:val="32"/>
        </w:rPr>
        <w:t>依本院107年1月26日詢問工程會業管人員</w:t>
      </w:r>
      <w:r w:rsidR="00202FD2" w:rsidRPr="00FF4E4A">
        <w:rPr>
          <w:rFonts w:hAnsi="標楷體" w:hint="eastAsia"/>
          <w:szCs w:val="32"/>
        </w:rPr>
        <w:t>所得之新證據</w:t>
      </w:r>
      <w:r w:rsidRPr="00FF4E4A">
        <w:rPr>
          <w:rFonts w:hAnsi="標楷體" w:hint="eastAsia"/>
          <w:szCs w:val="32"/>
        </w:rPr>
        <w:t>，</w:t>
      </w:r>
      <w:r w:rsidR="00FF4E4A" w:rsidRPr="00FF4E4A">
        <w:rPr>
          <w:rFonts w:hAnsi="標楷體" w:hint="eastAsia"/>
          <w:szCs w:val="32"/>
        </w:rPr>
        <w:t>並</w:t>
      </w:r>
      <w:r w:rsidR="00202FD2" w:rsidRPr="00FF4E4A">
        <w:rPr>
          <w:rFonts w:hAnsi="標楷體" w:hint="eastAsia"/>
          <w:szCs w:val="32"/>
        </w:rPr>
        <w:t>與</w:t>
      </w:r>
      <w:r w:rsidRPr="00FF4E4A">
        <w:rPr>
          <w:rFonts w:hAnsi="標楷體"/>
          <w:szCs w:val="32"/>
        </w:rPr>
        <w:t>78</w:t>
      </w:r>
      <w:r w:rsidRPr="00FF4E4A">
        <w:rPr>
          <w:rFonts w:hAnsi="標楷體" w:hint="eastAsia"/>
          <w:szCs w:val="32"/>
        </w:rPr>
        <w:t>年</w:t>
      </w:r>
      <w:r w:rsidRPr="00FF4E4A">
        <w:rPr>
          <w:rFonts w:hAnsi="標楷體"/>
          <w:szCs w:val="32"/>
        </w:rPr>
        <w:t>8</w:t>
      </w:r>
      <w:r w:rsidRPr="00FF4E4A">
        <w:rPr>
          <w:rFonts w:hAnsi="標楷體" w:hint="eastAsia"/>
          <w:szCs w:val="32"/>
        </w:rPr>
        <w:t>月</w:t>
      </w:r>
      <w:r w:rsidRPr="00FF4E4A">
        <w:rPr>
          <w:rFonts w:hAnsi="標楷體"/>
          <w:szCs w:val="32"/>
        </w:rPr>
        <w:t>28</w:t>
      </w:r>
      <w:r w:rsidRPr="00FF4E4A">
        <w:rPr>
          <w:rFonts w:hAnsi="標楷體" w:hint="eastAsia"/>
          <w:szCs w:val="32"/>
        </w:rPr>
        <w:t>日臺灣省政府七八府建四字第</w:t>
      </w:r>
      <w:r w:rsidRPr="00FF4E4A">
        <w:rPr>
          <w:rFonts w:hAnsi="標楷體"/>
          <w:szCs w:val="32"/>
        </w:rPr>
        <w:t>156182</w:t>
      </w:r>
      <w:r w:rsidRPr="00FF4E4A">
        <w:rPr>
          <w:rFonts w:hAnsi="標楷體" w:hint="eastAsia"/>
          <w:szCs w:val="32"/>
        </w:rPr>
        <w:t>號函發</w:t>
      </w:r>
      <w:r w:rsidRPr="00076024">
        <w:rPr>
          <w:rFonts w:hAnsi="標楷體" w:hint="eastAsia"/>
          <w:szCs w:val="32"/>
        </w:rPr>
        <w:t>布</w:t>
      </w:r>
      <w:r>
        <w:rPr>
          <w:rFonts w:hAnsi="標楷體" w:hint="eastAsia"/>
          <w:szCs w:val="32"/>
        </w:rPr>
        <w:t>之</w:t>
      </w:r>
      <w:r w:rsidRPr="00076024">
        <w:rPr>
          <w:rFonts w:hAnsi="標楷體" w:hint="eastAsia"/>
          <w:szCs w:val="32"/>
        </w:rPr>
        <w:t>「臺灣省對公共工程發包經常流標之因應措施」</w:t>
      </w:r>
      <w:r w:rsidR="00202FD2">
        <w:rPr>
          <w:rFonts w:hAnsi="標楷體" w:hint="eastAsia"/>
          <w:szCs w:val="32"/>
        </w:rPr>
        <w:t>之</w:t>
      </w:r>
      <w:r w:rsidR="00202FD2" w:rsidRPr="00076024">
        <w:rPr>
          <w:rFonts w:hAnsi="標楷體" w:hint="eastAsia"/>
          <w:szCs w:val="32"/>
        </w:rPr>
        <w:t>第</w:t>
      </w:r>
      <w:r w:rsidR="00202FD2" w:rsidRPr="00076024">
        <w:rPr>
          <w:rFonts w:hAnsi="標楷體"/>
          <w:szCs w:val="32"/>
        </w:rPr>
        <w:t>2</w:t>
      </w:r>
      <w:r w:rsidR="00202FD2" w:rsidRPr="00076024">
        <w:rPr>
          <w:rFonts w:hAnsi="標楷體" w:hint="eastAsia"/>
          <w:szCs w:val="32"/>
        </w:rPr>
        <w:t>點規定</w:t>
      </w:r>
      <w:r w:rsidR="00202FD2">
        <w:rPr>
          <w:rFonts w:hAnsi="標楷體" w:hint="eastAsia"/>
          <w:szCs w:val="32"/>
        </w:rPr>
        <w:t>綜合判斷</w:t>
      </w:r>
      <w:r w:rsidRPr="00CB506A">
        <w:rPr>
          <w:rFonts w:hAnsi="標楷體" w:hint="eastAsia"/>
          <w:szCs w:val="32"/>
        </w:rPr>
        <w:t>，</w:t>
      </w:r>
      <w:r w:rsidRPr="00FF4E4A">
        <w:rPr>
          <w:rFonts w:hAnsi="標楷體" w:hint="eastAsia"/>
          <w:szCs w:val="32"/>
        </w:rPr>
        <w:t>發現原確定判決據以認定犯罪事實之上開鑑定意見存在嚴重</w:t>
      </w:r>
      <w:proofErr w:type="gramStart"/>
      <w:r w:rsidRPr="00FF4E4A">
        <w:rPr>
          <w:rFonts w:hAnsi="標楷體" w:hint="eastAsia"/>
          <w:szCs w:val="32"/>
        </w:rPr>
        <w:t>之疏誤</w:t>
      </w:r>
      <w:proofErr w:type="gramEnd"/>
      <w:r w:rsidR="00455765" w:rsidRPr="00455765">
        <w:rPr>
          <w:rFonts w:hAnsi="標楷體" w:hint="eastAsia"/>
          <w:szCs w:val="32"/>
        </w:rPr>
        <w:t>，已足合理懷疑原已確認之犯罪事實並不實在，該當刑事訴訟法第420條第1項第6款所定之再審事由。</w:t>
      </w:r>
    </w:p>
    <w:p w:rsidR="00155AA4" w:rsidRDefault="00155AA4" w:rsidP="009E4224">
      <w:pPr>
        <w:pStyle w:val="3"/>
        <w:numPr>
          <w:ilvl w:val="0"/>
          <w:numId w:val="0"/>
        </w:numPr>
        <w:spacing w:line="240" w:lineRule="exact"/>
        <w:ind w:left="1361"/>
      </w:pPr>
    </w:p>
    <w:p w:rsidR="008E6591" w:rsidRPr="00984532" w:rsidRDefault="008E6591" w:rsidP="00984532">
      <w:pPr>
        <w:pStyle w:val="2"/>
        <w:rPr>
          <w:b/>
        </w:rPr>
      </w:pPr>
      <w:r w:rsidRPr="00984532">
        <w:rPr>
          <w:rFonts w:hint="eastAsia"/>
          <w:b/>
        </w:rPr>
        <w:t>確定判決</w:t>
      </w:r>
      <w:r w:rsidR="00613561" w:rsidRPr="00984532">
        <w:rPr>
          <w:rFonts w:hint="eastAsia"/>
          <w:b/>
        </w:rPr>
        <w:t>理由認定被告沈德亮、林文烈簽呈放寬投標廠商資格而</w:t>
      </w:r>
      <w:r w:rsidR="008F3826" w:rsidRPr="00984532">
        <w:rPr>
          <w:rFonts w:hint="eastAsia"/>
          <w:b/>
        </w:rPr>
        <w:t>取消「整廠蛋形消化槽能源回收系統設計</w:t>
      </w:r>
      <w:r w:rsidR="008F3826" w:rsidRPr="00984532">
        <w:rPr>
          <w:rFonts w:hint="eastAsia"/>
          <w:b/>
        </w:rPr>
        <w:lastRenderedPageBreak/>
        <w:t>監造及機電採購供應與安裝經驗之最近5年內之資格」，違反</w:t>
      </w:r>
      <w:r w:rsidRPr="00984532">
        <w:rPr>
          <w:rFonts w:hint="eastAsia"/>
          <w:b/>
        </w:rPr>
        <w:t>「行政院暨所屬各機關營</w:t>
      </w:r>
      <w:proofErr w:type="gramStart"/>
      <w:r w:rsidRPr="00984532">
        <w:rPr>
          <w:rFonts w:hint="eastAsia"/>
          <w:b/>
        </w:rPr>
        <w:t>繕</w:t>
      </w:r>
      <w:proofErr w:type="gramEnd"/>
      <w:r w:rsidRPr="00984532">
        <w:rPr>
          <w:rFonts w:hint="eastAsia"/>
          <w:b/>
        </w:rPr>
        <w:t>工程招標注意事項」</w:t>
      </w:r>
      <w:r w:rsidR="005772F8" w:rsidRPr="00984532">
        <w:rPr>
          <w:rFonts w:hint="eastAsia"/>
          <w:b/>
        </w:rPr>
        <w:t>第6、7</w:t>
      </w:r>
      <w:r w:rsidR="008F3826" w:rsidRPr="00984532">
        <w:rPr>
          <w:rFonts w:hint="eastAsia"/>
          <w:b/>
        </w:rPr>
        <w:t>點規定</w:t>
      </w:r>
      <w:r w:rsidR="00DB7BCE" w:rsidRPr="00984532">
        <w:rPr>
          <w:rFonts w:hint="eastAsia"/>
          <w:b/>
        </w:rPr>
        <w:t>。</w:t>
      </w:r>
      <w:proofErr w:type="gramStart"/>
      <w:r w:rsidR="006625D6" w:rsidRPr="00984532">
        <w:rPr>
          <w:rFonts w:hint="eastAsia"/>
          <w:b/>
        </w:rPr>
        <w:t>惟</w:t>
      </w:r>
      <w:r w:rsidR="00DB7BCE" w:rsidRPr="00984532">
        <w:rPr>
          <w:rFonts w:hint="eastAsia"/>
          <w:b/>
        </w:rPr>
        <w:t>查</w:t>
      </w:r>
      <w:r w:rsidR="00E2202B" w:rsidRPr="00984532">
        <w:rPr>
          <w:rFonts w:hint="eastAsia"/>
          <w:b/>
        </w:rPr>
        <w:t>前</w:t>
      </w:r>
      <w:proofErr w:type="gramEnd"/>
      <w:r w:rsidR="00E2202B" w:rsidRPr="00984532">
        <w:rPr>
          <w:rFonts w:hint="eastAsia"/>
          <w:b/>
        </w:rPr>
        <w:t>開行政院注意事項第6點規定係「主辦工程機關『得』規定投標資格」，依一般法律解釋原則之文義及目的解釋方法，主辦工程機關既得決定是否限制廠商資格，</w:t>
      </w:r>
      <w:r w:rsidR="00842B0F">
        <w:rPr>
          <w:rFonts w:hint="eastAsia"/>
          <w:b/>
        </w:rPr>
        <w:t>於報准限制後，自仍有裁量變更限制資格或不加限制之權限，此依</w:t>
      </w:r>
      <w:r w:rsidR="00E2202B" w:rsidRPr="00984532">
        <w:rPr>
          <w:rFonts w:hint="eastAsia"/>
          <w:b/>
        </w:rPr>
        <w:t>營建署及工程會見解</w:t>
      </w:r>
      <w:r w:rsidR="00F822F8" w:rsidRPr="00984532">
        <w:rPr>
          <w:rFonts w:hint="eastAsia"/>
          <w:b/>
        </w:rPr>
        <w:t>亦稱</w:t>
      </w:r>
      <w:r w:rsidR="00E2202B" w:rsidRPr="00984532">
        <w:rPr>
          <w:rFonts w:hint="eastAsia"/>
          <w:b/>
        </w:rPr>
        <w:t>係屬各機關常見之辦理方式</w:t>
      </w:r>
      <w:r w:rsidR="009D3A91">
        <w:rPr>
          <w:rFonts w:hint="eastAsia"/>
          <w:b/>
        </w:rPr>
        <w:t>。</w:t>
      </w:r>
      <w:r w:rsidR="00E2202B" w:rsidRPr="00984532">
        <w:rPr>
          <w:rFonts w:hint="eastAsia"/>
          <w:b/>
        </w:rPr>
        <w:t>復參照</w:t>
      </w:r>
      <w:r w:rsidR="00984532" w:rsidRPr="00984532">
        <w:rPr>
          <w:rFonts w:hint="eastAsia"/>
          <w:b/>
        </w:rPr>
        <w:t>臺灣省政府嗣後修正或訂定之</w:t>
      </w:r>
      <w:r w:rsidR="00DB7BCE" w:rsidRPr="00984532">
        <w:rPr>
          <w:rFonts w:hint="eastAsia"/>
          <w:b/>
        </w:rPr>
        <w:t>「臺灣省各機關營</w:t>
      </w:r>
      <w:proofErr w:type="gramStart"/>
      <w:r w:rsidR="00DB7BCE" w:rsidRPr="00984532">
        <w:rPr>
          <w:rFonts w:hint="eastAsia"/>
          <w:b/>
        </w:rPr>
        <w:t>繕</w:t>
      </w:r>
      <w:proofErr w:type="gramEnd"/>
      <w:r w:rsidR="00DB7BCE" w:rsidRPr="00984532">
        <w:rPr>
          <w:rFonts w:hint="eastAsia"/>
          <w:b/>
        </w:rPr>
        <w:t>工程投標須知及附件」</w:t>
      </w:r>
      <w:r w:rsidR="00984532" w:rsidRPr="00984532">
        <w:rPr>
          <w:rFonts w:hint="eastAsia"/>
          <w:b/>
        </w:rPr>
        <w:t>第2點、「臺灣省對公共工程發包經常流標之因應措施」第3點，</w:t>
      </w:r>
      <w:proofErr w:type="gramStart"/>
      <w:r w:rsidR="00984532" w:rsidRPr="00984532">
        <w:rPr>
          <w:rFonts w:hint="eastAsia"/>
          <w:b/>
        </w:rPr>
        <w:t>均未</w:t>
      </w:r>
      <w:r w:rsidR="00DB7BCE" w:rsidRPr="00984532">
        <w:rPr>
          <w:rFonts w:hint="eastAsia"/>
          <w:b/>
        </w:rPr>
        <w:t>規定</w:t>
      </w:r>
      <w:proofErr w:type="gramEnd"/>
      <w:r w:rsidR="00DB7BCE" w:rsidRPr="00984532">
        <w:rPr>
          <w:rFonts w:hint="eastAsia"/>
          <w:b/>
        </w:rPr>
        <w:t>原已報准</w:t>
      </w:r>
      <w:r w:rsidR="00984532">
        <w:rPr>
          <w:rFonts w:hint="eastAsia"/>
          <w:b/>
        </w:rPr>
        <w:t>限制</w:t>
      </w:r>
      <w:r w:rsidR="00DB7BCE" w:rsidRPr="00984532">
        <w:rPr>
          <w:rFonts w:hint="eastAsia"/>
          <w:b/>
        </w:rPr>
        <w:t>廠商資格，嗣後簽辦</w:t>
      </w:r>
      <w:r w:rsidR="00984532" w:rsidRPr="00984532">
        <w:rPr>
          <w:rFonts w:hint="eastAsia"/>
          <w:b/>
        </w:rPr>
        <w:t>核准</w:t>
      </w:r>
      <w:r w:rsidR="00DB7BCE" w:rsidRPr="00984532">
        <w:rPr>
          <w:rFonts w:hint="eastAsia"/>
          <w:b/>
        </w:rPr>
        <w:t>放寬</w:t>
      </w:r>
      <w:r w:rsidR="00984532" w:rsidRPr="00984532">
        <w:rPr>
          <w:rFonts w:hint="eastAsia"/>
          <w:b/>
        </w:rPr>
        <w:t>資格限制之舉係屬違法，</w:t>
      </w:r>
      <w:r w:rsidR="00BC140A" w:rsidRPr="00984532">
        <w:rPr>
          <w:rFonts w:hint="eastAsia"/>
          <w:b/>
        </w:rPr>
        <w:t>是則</w:t>
      </w:r>
      <w:r w:rsidR="008F3826" w:rsidRPr="00984532">
        <w:rPr>
          <w:rFonts w:hint="eastAsia"/>
          <w:b/>
        </w:rPr>
        <w:t>確定判決</w:t>
      </w:r>
      <w:r w:rsidR="00E2202B" w:rsidRPr="00984532">
        <w:rPr>
          <w:rFonts w:hint="eastAsia"/>
          <w:b/>
        </w:rPr>
        <w:t>理由認</w:t>
      </w:r>
      <w:r w:rsidR="008F3826" w:rsidRPr="00984532">
        <w:rPr>
          <w:rFonts w:hint="eastAsia"/>
          <w:b/>
        </w:rPr>
        <w:t>被告等人</w:t>
      </w:r>
      <w:r w:rsidR="005367CF">
        <w:rPr>
          <w:rFonts w:hint="eastAsia"/>
          <w:b/>
        </w:rPr>
        <w:t>仍不得違背</w:t>
      </w:r>
      <w:r w:rsidR="00E2202B" w:rsidRPr="00984532">
        <w:rPr>
          <w:rFonts w:hint="eastAsia"/>
          <w:b/>
        </w:rPr>
        <w:t>行政院之注意事項</w:t>
      </w:r>
      <w:r w:rsidR="009D3A91">
        <w:rPr>
          <w:rFonts w:hint="eastAsia"/>
          <w:b/>
        </w:rPr>
        <w:t>一節</w:t>
      </w:r>
      <w:r w:rsidR="00E2202B" w:rsidRPr="00984532">
        <w:rPr>
          <w:rFonts w:hint="eastAsia"/>
          <w:b/>
        </w:rPr>
        <w:t>，顯有</w:t>
      </w:r>
      <w:r w:rsidR="00984532" w:rsidRPr="00984532">
        <w:rPr>
          <w:rFonts w:hint="eastAsia"/>
          <w:b/>
        </w:rPr>
        <w:t>對一般</w:t>
      </w:r>
      <w:r w:rsidR="00E2202B" w:rsidRPr="00984532">
        <w:rPr>
          <w:rFonts w:hint="eastAsia"/>
          <w:b/>
        </w:rPr>
        <w:t>法律</w:t>
      </w:r>
      <w:r w:rsidR="00984532" w:rsidRPr="00984532">
        <w:rPr>
          <w:rFonts w:hint="eastAsia"/>
          <w:b/>
        </w:rPr>
        <w:t>解釋原則之適用法則</w:t>
      </w:r>
      <w:r w:rsidR="00984532">
        <w:rPr>
          <w:rFonts w:hint="eastAsia"/>
          <w:b/>
        </w:rPr>
        <w:t>不當</w:t>
      </w:r>
      <w:r w:rsidR="00984532" w:rsidRPr="00984532">
        <w:rPr>
          <w:rFonts w:hint="eastAsia"/>
          <w:b/>
        </w:rPr>
        <w:t>或消極不適用法則之違誤；</w:t>
      </w:r>
      <w:r w:rsidR="00E2202B" w:rsidRPr="00984532">
        <w:rPr>
          <w:rFonts w:hint="eastAsia"/>
          <w:b/>
        </w:rPr>
        <w:t>又</w:t>
      </w:r>
      <w:r w:rsidR="0033575C" w:rsidRPr="00984532">
        <w:rPr>
          <w:rFonts w:hint="eastAsia"/>
          <w:b/>
        </w:rPr>
        <w:t>確定判決對</w:t>
      </w:r>
      <w:r w:rsidR="00984532" w:rsidRPr="00984532">
        <w:rPr>
          <w:rFonts w:hint="eastAsia"/>
          <w:b/>
        </w:rPr>
        <w:t>於營建署及工程會見解，既屬被告等人有利之證據</w:t>
      </w:r>
      <w:r w:rsidR="00E2202B" w:rsidRPr="00984532">
        <w:rPr>
          <w:rFonts w:hint="eastAsia"/>
          <w:b/>
        </w:rPr>
        <w:t>，</w:t>
      </w:r>
      <w:r w:rsidR="00984532" w:rsidRPr="00984532">
        <w:rPr>
          <w:rFonts w:hint="eastAsia"/>
          <w:b/>
        </w:rPr>
        <w:t>惟為何不予採納之理由</w:t>
      </w:r>
      <w:r w:rsidR="00E2202B" w:rsidRPr="00984532">
        <w:rPr>
          <w:rFonts w:hint="eastAsia"/>
          <w:b/>
        </w:rPr>
        <w:t>全</w:t>
      </w:r>
      <w:r w:rsidR="00EB6CBD" w:rsidRPr="00984532">
        <w:rPr>
          <w:rFonts w:hint="eastAsia"/>
          <w:b/>
        </w:rPr>
        <w:t>未論及</w:t>
      </w:r>
      <w:r w:rsidR="004E076E" w:rsidRPr="00984532">
        <w:rPr>
          <w:rFonts w:hint="eastAsia"/>
          <w:b/>
        </w:rPr>
        <w:t>，</w:t>
      </w:r>
      <w:r w:rsidR="000A49AB">
        <w:rPr>
          <w:rFonts w:hint="eastAsia"/>
          <w:b/>
        </w:rPr>
        <w:t>對於被告等人如何違反</w:t>
      </w:r>
      <w:r w:rsidR="000A49AB" w:rsidRPr="00984532">
        <w:rPr>
          <w:rFonts w:hint="eastAsia"/>
          <w:b/>
        </w:rPr>
        <w:t>「行政院暨所屬各機關營</w:t>
      </w:r>
      <w:proofErr w:type="gramStart"/>
      <w:r w:rsidR="000A49AB" w:rsidRPr="00984532">
        <w:rPr>
          <w:rFonts w:hint="eastAsia"/>
          <w:b/>
        </w:rPr>
        <w:t>繕</w:t>
      </w:r>
      <w:proofErr w:type="gramEnd"/>
      <w:r w:rsidR="000A49AB" w:rsidRPr="00984532">
        <w:rPr>
          <w:rFonts w:hint="eastAsia"/>
          <w:b/>
        </w:rPr>
        <w:t>工程招標注意事項」</w:t>
      </w:r>
      <w:r w:rsidR="000A49AB">
        <w:rPr>
          <w:rFonts w:hint="eastAsia"/>
          <w:b/>
        </w:rPr>
        <w:t>亦乏說明，</w:t>
      </w:r>
      <w:r w:rsidR="00984532" w:rsidRPr="00984532">
        <w:rPr>
          <w:rFonts w:hint="eastAsia"/>
          <w:b/>
        </w:rPr>
        <w:t>除屬判決不載</w:t>
      </w:r>
      <w:r w:rsidR="00E2202B" w:rsidRPr="00984532">
        <w:rPr>
          <w:rFonts w:hint="eastAsia"/>
          <w:b/>
        </w:rPr>
        <w:t>理由</w:t>
      </w:r>
      <w:r w:rsidR="009D3A91">
        <w:rPr>
          <w:rFonts w:hint="eastAsia"/>
          <w:b/>
        </w:rPr>
        <w:t>之外</w:t>
      </w:r>
      <w:r w:rsidR="00E2202B" w:rsidRPr="00984532">
        <w:rPr>
          <w:rFonts w:hint="eastAsia"/>
          <w:b/>
        </w:rPr>
        <w:t>，亦顯</w:t>
      </w:r>
      <w:r w:rsidR="00BC140A" w:rsidRPr="00984532">
        <w:rPr>
          <w:rFonts w:hint="eastAsia"/>
          <w:b/>
        </w:rPr>
        <w:t>不足為適用法律之</w:t>
      </w:r>
      <w:proofErr w:type="gramStart"/>
      <w:r w:rsidR="00BC140A" w:rsidRPr="00984532">
        <w:rPr>
          <w:rFonts w:hint="eastAsia"/>
          <w:b/>
        </w:rPr>
        <w:t>準</w:t>
      </w:r>
      <w:proofErr w:type="gramEnd"/>
      <w:r w:rsidR="00BC140A" w:rsidRPr="00984532">
        <w:rPr>
          <w:rFonts w:hint="eastAsia"/>
          <w:b/>
        </w:rPr>
        <w:t>據，</w:t>
      </w:r>
      <w:proofErr w:type="gramStart"/>
      <w:r w:rsidR="00E2202B" w:rsidRPr="00984532">
        <w:rPr>
          <w:rFonts w:hint="eastAsia"/>
          <w:b/>
        </w:rPr>
        <w:t>均</w:t>
      </w:r>
      <w:r w:rsidR="00BC140A" w:rsidRPr="00984532">
        <w:rPr>
          <w:rFonts w:hint="eastAsia"/>
          <w:b/>
        </w:rPr>
        <w:t>有</w:t>
      </w:r>
      <w:r w:rsidR="00851612" w:rsidRPr="00984532">
        <w:rPr>
          <w:rFonts w:hint="eastAsia"/>
          <w:b/>
        </w:rPr>
        <w:t>違背</w:t>
      </w:r>
      <w:proofErr w:type="gramEnd"/>
      <w:r w:rsidR="00851612" w:rsidRPr="00984532">
        <w:rPr>
          <w:rFonts w:hint="eastAsia"/>
          <w:b/>
        </w:rPr>
        <w:t>法令</w:t>
      </w:r>
      <w:r w:rsidR="00BC140A" w:rsidRPr="00984532">
        <w:rPr>
          <w:rFonts w:hint="eastAsia"/>
          <w:b/>
        </w:rPr>
        <w:t>之嫌</w:t>
      </w:r>
      <w:r w:rsidR="004E076E" w:rsidRPr="00984532">
        <w:rPr>
          <w:rFonts w:hint="eastAsia"/>
          <w:b/>
        </w:rPr>
        <w:t>。</w:t>
      </w:r>
      <w:r w:rsidR="008A7DBD" w:rsidRPr="008A7DBD">
        <w:rPr>
          <w:rFonts w:hint="eastAsia"/>
          <w:b/>
        </w:rPr>
        <w:t>考量本件確定判決所</w:t>
      </w:r>
      <w:proofErr w:type="gramStart"/>
      <w:r w:rsidR="008A7DBD" w:rsidRPr="008A7DBD">
        <w:rPr>
          <w:rFonts w:hint="eastAsia"/>
          <w:b/>
        </w:rPr>
        <w:t>採</w:t>
      </w:r>
      <w:proofErr w:type="gramEnd"/>
      <w:r w:rsidR="008A7DBD" w:rsidRPr="008A7DBD">
        <w:rPr>
          <w:rFonts w:hint="eastAsia"/>
          <w:b/>
        </w:rPr>
        <w:t>不符實務常規之獨門見解，將造成國內辦理工程人員人人自危，縱使工程</w:t>
      </w:r>
      <w:proofErr w:type="gramStart"/>
      <w:r w:rsidR="008A7DBD" w:rsidRPr="008A7DBD">
        <w:rPr>
          <w:rFonts w:hint="eastAsia"/>
          <w:b/>
        </w:rPr>
        <w:t>會函訂之</w:t>
      </w:r>
      <w:proofErr w:type="gramEnd"/>
      <w:r w:rsidR="008A7DBD" w:rsidRPr="008A7DBD">
        <w:rPr>
          <w:rFonts w:hint="eastAsia"/>
          <w:b/>
        </w:rPr>
        <w:t>「政府採購錯誤行為態樣」已將「一再開標流標廢標不知檢討，妨礙採購效率」列為不法不當行為，期促使機關提升行政效率；然</w:t>
      </w:r>
      <w:proofErr w:type="gramStart"/>
      <w:r w:rsidR="008A7DBD" w:rsidRPr="008A7DBD">
        <w:rPr>
          <w:rFonts w:hint="eastAsia"/>
          <w:b/>
        </w:rPr>
        <w:t>懍</w:t>
      </w:r>
      <w:proofErr w:type="gramEnd"/>
      <w:r w:rsidR="008A7DBD" w:rsidRPr="008A7DBD">
        <w:rPr>
          <w:rFonts w:hint="eastAsia"/>
          <w:b/>
        </w:rPr>
        <w:t>於遭受類如本案刑事司法事後訴究之不確定性，實難期待其等人員能有勇於任事「以身試法」之勇氣；是本件確定判決適用法規之不當若不予矯正，</w:t>
      </w:r>
      <w:proofErr w:type="gramStart"/>
      <w:r w:rsidR="008A7DBD" w:rsidRPr="008A7DBD">
        <w:rPr>
          <w:rFonts w:hint="eastAsia"/>
          <w:b/>
        </w:rPr>
        <w:t>除事涉</w:t>
      </w:r>
      <w:proofErr w:type="gramEnd"/>
      <w:r w:rsidR="008A7DBD" w:rsidRPr="008A7DBD">
        <w:rPr>
          <w:rFonts w:hint="eastAsia"/>
          <w:b/>
        </w:rPr>
        <w:t>被告林文烈、沈德亮個人之司法人權保障，更干係國家公共工程辦理機制能否健全發展之重大公益</w:t>
      </w:r>
      <w:r w:rsidR="00A53BD9">
        <w:rPr>
          <w:rFonts w:hint="eastAsia"/>
          <w:b/>
        </w:rPr>
        <w:t>，</w:t>
      </w:r>
      <w:r w:rsidR="008A7DBD" w:rsidRPr="008A7DBD">
        <w:rPr>
          <w:rFonts w:hint="eastAsia"/>
          <w:b/>
        </w:rPr>
        <w:t>法務部允應確實審慎</w:t>
      </w:r>
      <w:proofErr w:type="gramStart"/>
      <w:r w:rsidR="008A7DBD" w:rsidRPr="008A7DBD">
        <w:rPr>
          <w:rFonts w:hint="eastAsia"/>
          <w:b/>
        </w:rPr>
        <w:t>研究妥處</w:t>
      </w:r>
      <w:proofErr w:type="gramEnd"/>
      <w:r w:rsidR="008A7DBD" w:rsidRPr="008A7DBD">
        <w:rPr>
          <w:rFonts w:hint="eastAsia"/>
          <w:b/>
        </w:rPr>
        <w:t>。</w:t>
      </w:r>
    </w:p>
    <w:p w:rsidR="00EB6CBD" w:rsidRDefault="00EB6CBD" w:rsidP="00B57BC7">
      <w:pPr>
        <w:pStyle w:val="3"/>
      </w:pPr>
      <w:r>
        <w:rPr>
          <w:rFonts w:hint="eastAsia"/>
        </w:rPr>
        <w:lastRenderedPageBreak/>
        <w:t>按「判決確定後，</w:t>
      </w:r>
      <w:proofErr w:type="gramStart"/>
      <w:r>
        <w:rPr>
          <w:rFonts w:hint="eastAsia"/>
        </w:rPr>
        <w:t>發見該</w:t>
      </w:r>
      <w:proofErr w:type="gramEnd"/>
      <w:r>
        <w:rPr>
          <w:rFonts w:hint="eastAsia"/>
        </w:rPr>
        <w:t>案件之審判</w:t>
      </w:r>
      <w:r w:rsidR="00842B0F">
        <w:rPr>
          <w:rFonts w:hint="eastAsia"/>
        </w:rPr>
        <w:t>係</w:t>
      </w:r>
      <w:r>
        <w:rPr>
          <w:rFonts w:hint="eastAsia"/>
        </w:rPr>
        <w:t>違背法令者，最高法院檢察署檢察總長得向最高法院提起非常上訴」、「判決不適用法則或適用不當者，為違背法令</w:t>
      </w:r>
      <w:r w:rsidR="008F3E12">
        <w:rPr>
          <w:rFonts w:hint="eastAsia"/>
        </w:rPr>
        <w:t>」</w:t>
      </w:r>
      <w:r w:rsidR="00E2202B">
        <w:rPr>
          <w:rFonts w:hint="eastAsia"/>
        </w:rPr>
        <w:t>、</w:t>
      </w:r>
      <w:r>
        <w:rPr>
          <w:rFonts w:hint="eastAsia"/>
        </w:rPr>
        <w:t>刑事訴訟法第441條、第378條分別定有明文。</w:t>
      </w:r>
      <w:r w:rsidR="00B57BC7">
        <w:rPr>
          <w:rFonts w:hint="eastAsia"/>
        </w:rPr>
        <w:t>又同法第310條第2款亦明定，有罪之判決書，應於判決理由內記載對於被告有利之證據不採納之</w:t>
      </w:r>
      <w:r w:rsidR="00B57BC7" w:rsidRPr="00B57BC7">
        <w:rPr>
          <w:rFonts w:hint="eastAsia"/>
        </w:rPr>
        <w:t>理由</w:t>
      </w:r>
      <w:r w:rsidR="00B57BC7">
        <w:rPr>
          <w:rFonts w:hint="eastAsia"/>
        </w:rPr>
        <w:t>，復依同法第379條第14款前段規定，判決不載理由者，為當然違背法令。</w:t>
      </w:r>
    </w:p>
    <w:p w:rsidR="00593C62" w:rsidRDefault="00851612" w:rsidP="00C56AAB">
      <w:pPr>
        <w:pStyle w:val="3"/>
      </w:pPr>
      <w:r>
        <w:rPr>
          <w:rFonts w:hint="eastAsia"/>
        </w:rPr>
        <w:t>對於</w:t>
      </w:r>
      <w:r w:rsidR="00BC140A">
        <w:rPr>
          <w:rFonts w:hint="eastAsia"/>
        </w:rPr>
        <w:t>確定判決認定</w:t>
      </w:r>
      <w:r>
        <w:rPr>
          <w:rFonts w:hint="eastAsia"/>
        </w:rPr>
        <w:t>被告</w:t>
      </w:r>
      <w:r w:rsidR="00AF4A27">
        <w:rPr>
          <w:rFonts w:hint="eastAsia"/>
        </w:rPr>
        <w:t>林文烈</w:t>
      </w:r>
      <w:r>
        <w:rPr>
          <w:rFonts w:hint="eastAsia"/>
        </w:rPr>
        <w:t>、</w:t>
      </w:r>
      <w:r w:rsidR="00AF4A27">
        <w:rPr>
          <w:rFonts w:hint="eastAsia"/>
        </w:rPr>
        <w:t>沈德亮</w:t>
      </w:r>
      <w:r>
        <w:rPr>
          <w:rFonts w:hint="eastAsia"/>
        </w:rPr>
        <w:t>簽呈放寬</w:t>
      </w:r>
      <w:r w:rsidRPr="00613561">
        <w:rPr>
          <w:rFonts w:hint="eastAsia"/>
        </w:rPr>
        <w:t>投標廠商資格而</w:t>
      </w:r>
      <w:r>
        <w:rPr>
          <w:rFonts w:hint="eastAsia"/>
        </w:rPr>
        <w:t>取</w:t>
      </w:r>
      <w:r w:rsidR="00586CF1">
        <w:rPr>
          <w:rFonts w:hint="eastAsia"/>
        </w:rPr>
        <w:t>消「最近5年內需有整廠蛋形消化槽能源回收系統設計監造及機電採購供應與安裝經驗</w:t>
      </w:r>
      <w:r>
        <w:rPr>
          <w:rFonts w:hint="eastAsia"/>
        </w:rPr>
        <w:t>」</w:t>
      </w:r>
      <w:r w:rsidR="00C56AAB">
        <w:rPr>
          <w:rFonts w:hint="eastAsia"/>
        </w:rPr>
        <w:t>，</w:t>
      </w:r>
      <w:r w:rsidR="00BC140A">
        <w:rPr>
          <w:rFonts w:hint="eastAsia"/>
        </w:rPr>
        <w:t>而涉有</w:t>
      </w:r>
      <w:r w:rsidR="00BC140A" w:rsidRPr="00BC140A">
        <w:rPr>
          <w:rFonts w:hint="eastAsia"/>
        </w:rPr>
        <w:t>共同犯經辦公用工程浮報</w:t>
      </w:r>
      <w:proofErr w:type="gramStart"/>
      <w:r w:rsidR="00BC140A" w:rsidRPr="00BC140A">
        <w:rPr>
          <w:rFonts w:hint="eastAsia"/>
        </w:rPr>
        <w:t>價額罪</w:t>
      </w:r>
      <w:r>
        <w:rPr>
          <w:rFonts w:hint="eastAsia"/>
        </w:rPr>
        <w:t>部分</w:t>
      </w:r>
      <w:proofErr w:type="gramEnd"/>
      <w:r>
        <w:rPr>
          <w:rFonts w:hint="eastAsia"/>
        </w:rPr>
        <w:t>，</w:t>
      </w:r>
      <w:r w:rsidR="00593C62">
        <w:rPr>
          <w:rFonts w:hint="eastAsia"/>
        </w:rPr>
        <w:t>主要為</w:t>
      </w:r>
      <w:r w:rsidR="00EB6CBD" w:rsidRPr="0008494B">
        <w:rPr>
          <w:rFonts w:hint="eastAsia"/>
          <w:u w:val="single"/>
        </w:rPr>
        <w:t>確定判決</w:t>
      </w:r>
      <w:proofErr w:type="gramStart"/>
      <w:r w:rsidRPr="0008494B">
        <w:rPr>
          <w:rFonts w:hint="eastAsia"/>
          <w:u w:val="single"/>
        </w:rPr>
        <w:t>理由欄貳</w:t>
      </w:r>
      <w:proofErr w:type="gramEnd"/>
      <w:r w:rsidRPr="0008494B">
        <w:rPr>
          <w:rFonts w:hint="eastAsia"/>
          <w:u w:val="single"/>
        </w:rPr>
        <w:t>、二、(二)</w:t>
      </w:r>
      <w:r w:rsidR="00593C62" w:rsidRPr="0008494B">
        <w:rPr>
          <w:rFonts w:hint="eastAsia"/>
          <w:u w:val="single"/>
        </w:rPr>
        <w:t>、1</w:t>
      </w:r>
      <w:r w:rsidR="00EB6CBD">
        <w:rPr>
          <w:rFonts w:hint="eastAsia"/>
        </w:rPr>
        <w:t>所載：「</w:t>
      </w:r>
      <w:r w:rsidR="003F3A56">
        <w:rPr>
          <w:rFonts w:hint="eastAsia"/>
        </w:rPr>
        <w:t>依臺灣省政府76年8月17日轉頒『</w:t>
      </w:r>
      <w:r w:rsidR="003F3A56" w:rsidRPr="0008494B">
        <w:rPr>
          <w:rFonts w:hint="eastAsia"/>
          <w:b/>
          <w:u w:val="single"/>
        </w:rPr>
        <w:t>行政院暨所屬各機關營</w:t>
      </w:r>
      <w:proofErr w:type="gramStart"/>
      <w:r w:rsidR="003F3A56" w:rsidRPr="0008494B">
        <w:rPr>
          <w:rFonts w:hint="eastAsia"/>
          <w:b/>
          <w:u w:val="single"/>
        </w:rPr>
        <w:t>繕</w:t>
      </w:r>
      <w:proofErr w:type="gramEnd"/>
      <w:r w:rsidR="003F3A56" w:rsidRPr="0008494B">
        <w:rPr>
          <w:rFonts w:hint="eastAsia"/>
          <w:b/>
          <w:u w:val="single"/>
        </w:rPr>
        <w:t>工程招標注意事項』第6、7</w:t>
      </w:r>
      <w:r w:rsidR="00842B0F" w:rsidRPr="0008494B">
        <w:rPr>
          <w:rFonts w:hint="eastAsia"/>
          <w:b/>
          <w:u w:val="single"/>
        </w:rPr>
        <w:t>點</w:t>
      </w:r>
      <w:r w:rsidR="003F3A56">
        <w:rPr>
          <w:rFonts w:hint="eastAsia"/>
        </w:rPr>
        <w:t>規定，工程主管機關舉辦特殊或</w:t>
      </w:r>
      <w:proofErr w:type="gramStart"/>
      <w:r w:rsidR="003F3A56">
        <w:rPr>
          <w:rFonts w:hint="eastAsia"/>
        </w:rPr>
        <w:t>鉅</w:t>
      </w:r>
      <w:proofErr w:type="gramEnd"/>
      <w:r w:rsidR="003F3A56">
        <w:rPr>
          <w:rFonts w:hint="eastAsia"/>
        </w:rPr>
        <w:t>大工程，必須具有相當之工程經驗、實績暨財力</w:t>
      </w:r>
      <w:r w:rsidR="00842B0F">
        <w:rPr>
          <w:rFonts w:hint="eastAsia"/>
        </w:rPr>
        <w:t>、設備等之廠商始能擔任者，</w:t>
      </w:r>
      <w:r w:rsidR="00842B0F" w:rsidRPr="00B93597">
        <w:rPr>
          <w:rFonts w:hint="eastAsia"/>
          <w:b/>
          <w:u w:val="single"/>
        </w:rPr>
        <w:t>得</w:t>
      </w:r>
      <w:r w:rsidR="00842B0F">
        <w:rPr>
          <w:rFonts w:hint="eastAsia"/>
        </w:rPr>
        <w:t>規定投標資格，其中工程實績應有最近5</w:t>
      </w:r>
      <w:r w:rsidR="003F3A56">
        <w:rPr>
          <w:rFonts w:hint="eastAsia"/>
        </w:rPr>
        <w:t>年完成同性質或相當之工程之證明</w:t>
      </w:r>
      <w:r w:rsidR="00593C62">
        <w:rPr>
          <w:rFonts w:hint="eastAsia"/>
        </w:rPr>
        <w:t>…</w:t>
      </w:r>
      <w:proofErr w:type="gramStart"/>
      <w:r w:rsidR="00593C62">
        <w:rPr>
          <w:rFonts w:hint="eastAsia"/>
        </w:rPr>
        <w:t>…詎</w:t>
      </w:r>
      <w:proofErr w:type="gramEnd"/>
      <w:r w:rsidR="00593C62">
        <w:rPr>
          <w:rFonts w:hint="eastAsia"/>
        </w:rPr>
        <w:t>被告沈德亮竟放寬</w:t>
      </w:r>
      <w:r w:rsidR="00076D12">
        <w:rPr>
          <w:rFonts w:hint="eastAsia"/>
        </w:rPr>
        <w:t>第3次</w:t>
      </w:r>
      <w:r w:rsidR="00593C62">
        <w:rPr>
          <w:rFonts w:hint="eastAsia"/>
        </w:rPr>
        <w:t>投標廠商限制條件，</w:t>
      </w:r>
      <w:r w:rsidR="003F3A56">
        <w:rPr>
          <w:rFonts w:hint="eastAsia"/>
        </w:rPr>
        <w:t>…</w:t>
      </w:r>
      <w:proofErr w:type="gramStart"/>
      <w:r w:rsidR="003F3A56">
        <w:rPr>
          <w:rFonts w:hint="eastAsia"/>
        </w:rPr>
        <w:t>…</w:t>
      </w:r>
      <w:proofErr w:type="gramEnd"/>
      <w:r w:rsidR="00593C62">
        <w:rPr>
          <w:rFonts w:hint="eastAsia"/>
        </w:rPr>
        <w:t>，顯然違背上開『</w:t>
      </w:r>
      <w:r>
        <w:rPr>
          <w:rFonts w:hint="eastAsia"/>
        </w:rPr>
        <w:t>行政院暨所屬各機關營</w:t>
      </w:r>
      <w:proofErr w:type="gramStart"/>
      <w:r>
        <w:rPr>
          <w:rFonts w:hint="eastAsia"/>
        </w:rPr>
        <w:t>繕</w:t>
      </w:r>
      <w:proofErr w:type="gramEnd"/>
      <w:r>
        <w:rPr>
          <w:rFonts w:hint="eastAsia"/>
        </w:rPr>
        <w:t>工程招標</w:t>
      </w:r>
      <w:r w:rsidR="00593C62">
        <w:rPr>
          <w:rFonts w:hint="eastAsia"/>
        </w:rPr>
        <w:t>注意事項』</w:t>
      </w:r>
      <w:r>
        <w:rPr>
          <w:rFonts w:hint="eastAsia"/>
        </w:rPr>
        <w:t>第6、7</w:t>
      </w:r>
      <w:r w:rsidR="00842B0F">
        <w:rPr>
          <w:rFonts w:hint="eastAsia"/>
        </w:rPr>
        <w:t>點</w:t>
      </w:r>
      <w:r>
        <w:rPr>
          <w:rFonts w:hint="eastAsia"/>
        </w:rPr>
        <w:t>規定。雖限制投標廠商資格於報經臺灣省政府核准</w:t>
      </w:r>
      <w:r w:rsidR="00842B0F">
        <w:rPr>
          <w:rFonts w:hint="eastAsia"/>
        </w:rPr>
        <w:t>後，如須變更，但係放寬或取消限制，</w:t>
      </w:r>
      <w:r w:rsidR="00842B0F" w:rsidRPr="00323A90">
        <w:rPr>
          <w:rFonts w:hint="eastAsia"/>
          <w:b/>
          <w:u w:val="single"/>
        </w:rPr>
        <w:t>無須</w:t>
      </w:r>
      <w:r w:rsidR="00842B0F">
        <w:rPr>
          <w:rFonts w:hint="eastAsia"/>
        </w:rPr>
        <w:t>再報府核定等情，固有</w:t>
      </w:r>
      <w:r w:rsidRPr="00323A90">
        <w:rPr>
          <w:rFonts w:hint="eastAsia"/>
          <w:b/>
          <w:u w:val="single"/>
        </w:rPr>
        <w:t>營建署89年9月26日89</w:t>
      </w:r>
      <w:proofErr w:type="gramStart"/>
      <w:r w:rsidRPr="00323A90">
        <w:rPr>
          <w:rFonts w:hint="eastAsia"/>
          <w:b/>
          <w:u w:val="single"/>
        </w:rPr>
        <w:t>營署工務</w:t>
      </w:r>
      <w:proofErr w:type="gramEnd"/>
      <w:r w:rsidRPr="00323A90">
        <w:rPr>
          <w:rFonts w:hint="eastAsia"/>
          <w:b/>
          <w:u w:val="single"/>
        </w:rPr>
        <w:t>字第35184號</w:t>
      </w:r>
      <w:r w:rsidR="00D048F4" w:rsidRPr="00323A90">
        <w:rPr>
          <w:rFonts w:hint="eastAsia"/>
          <w:b/>
          <w:u w:val="single"/>
        </w:rPr>
        <w:t>函復</w:t>
      </w:r>
      <w:r>
        <w:rPr>
          <w:rFonts w:hint="eastAsia"/>
        </w:rPr>
        <w:t>1紙在卷可</w:t>
      </w:r>
      <w:proofErr w:type="gramStart"/>
      <w:r>
        <w:rPr>
          <w:rFonts w:hint="eastAsia"/>
        </w:rPr>
        <w:t>稽</w:t>
      </w:r>
      <w:proofErr w:type="gramEnd"/>
      <w:r>
        <w:rPr>
          <w:rFonts w:hint="eastAsia"/>
        </w:rPr>
        <w:t>。然參酌被告駱水順陳稱：</w:t>
      </w:r>
      <w:r w:rsidR="003F3A56">
        <w:rPr>
          <w:rFonts w:hint="eastAsia"/>
        </w:rPr>
        <w:t>…</w:t>
      </w:r>
      <w:proofErr w:type="gramStart"/>
      <w:r w:rsidR="003F3A56">
        <w:rPr>
          <w:rFonts w:hint="eastAsia"/>
        </w:rPr>
        <w:t>…</w:t>
      </w:r>
      <w:proofErr w:type="gramEnd"/>
      <w:r w:rsidR="00593C62">
        <w:rPr>
          <w:rFonts w:hint="eastAsia"/>
        </w:rPr>
        <w:t>千吉公司與光輝公司於</w:t>
      </w:r>
      <w:r w:rsidR="00076D12">
        <w:rPr>
          <w:rFonts w:hint="eastAsia"/>
        </w:rPr>
        <w:t>第3次</w:t>
      </w:r>
      <w:r w:rsidR="00593C62">
        <w:rPr>
          <w:rFonts w:hint="eastAsia"/>
        </w:rPr>
        <w:t>投標時，除『投標廠商合作證明書』、『業績證明』</w:t>
      </w:r>
      <w:r>
        <w:rPr>
          <w:rFonts w:hint="eastAsia"/>
        </w:rPr>
        <w:t>由鼎台企業集團準備外，另代該</w:t>
      </w:r>
      <w:r w:rsidR="002939B3">
        <w:rPr>
          <w:rFonts w:hint="eastAsia"/>
        </w:rPr>
        <w:t>2</w:t>
      </w:r>
      <w:r>
        <w:rPr>
          <w:rFonts w:hint="eastAsia"/>
        </w:rPr>
        <w:t>家公司準備技術規範、替代方案、標</w:t>
      </w:r>
      <w:r w:rsidR="00593C62">
        <w:rPr>
          <w:rFonts w:hint="eastAsia"/>
        </w:rPr>
        <w:t>單、工程估價單等。『投標廠商合作證明書』由我與陶</w:t>
      </w:r>
      <w:proofErr w:type="gramStart"/>
      <w:r w:rsidR="00593C62">
        <w:rPr>
          <w:rFonts w:hint="eastAsia"/>
        </w:rPr>
        <w:t>恒生攜</w:t>
      </w:r>
      <w:proofErr w:type="gramEnd"/>
      <w:r w:rsidR="00593C62">
        <w:rPr>
          <w:rFonts w:hint="eastAsia"/>
        </w:rPr>
        <w:t>赴德國交給克</w:t>
      </w:r>
      <w:proofErr w:type="gramStart"/>
      <w:r w:rsidR="00593C62">
        <w:rPr>
          <w:rFonts w:hint="eastAsia"/>
        </w:rPr>
        <w:t>洛</w:t>
      </w:r>
      <w:proofErr w:type="gramEnd"/>
      <w:r w:rsidR="00593C62">
        <w:rPr>
          <w:rFonts w:hint="eastAsia"/>
        </w:rPr>
        <w:t>克公司處</w:t>
      </w:r>
      <w:r w:rsidR="00593C62">
        <w:rPr>
          <w:rFonts w:hint="eastAsia"/>
        </w:rPr>
        <w:lastRenderedPageBreak/>
        <w:t>理，該公司並提供『業績證明』</w:t>
      </w:r>
      <w:r>
        <w:rPr>
          <w:rFonts w:hint="eastAsia"/>
        </w:rPr>
        <w:t>後，由本人於79年11月6日持向</w:t>
      </w:r>
      <w:proofErr w:type="gramStart"/>
      <w:r>
        <w:rPr>
          <w:rFonts w:hint="eastAsia"/>
        </w:rPr>
        <w:t>臺</w:t>
      </w:r>
      <w:proofErr w:type="gramEnd"/>
      <w:r>
        <w:rPr>
          <w:rFonts w:hint="eastAsia"/>
        </w:rPr>
        <w:t>北經濟文化辦事處波昂總處辦理簽證後，再帶回國內給千吉及光輝公司作為投標用。參加八里污水廠工程投標小組有陶</w:t>
      </w:r>
      <w:proofErr w:type="gramStart"/>
      <w:r>
        <w:rPr>
          <w:rFonts w:hint="eastAsia"/>
        </w:rPr>
        <w:t>恒</w:t>
      </w:r>
      <w:proofErr w:type="gramEnd"/>
      <w:r>
        <w:rPr>
          <w:rFonts w:hint="eastAsia"/>
        </w:rPr>
        <w:t>生、郭鈾揚。陶</w:t>
      </w:r>
      <w:proofErr w:type="gramStart"/>
      <w:r>
        <w:rPr>
          <w:rFonts w:hint="eastAsia"/>
        </w:rPr>
        <w:t>恒</w:t>
      </w:r>
      <w:proofErr w:type="gramEnd"/>
      <w:r>
        <w:rPr>
          <w:rFonts w:hint="eastAsia"/>
        </w:rPr>
        <w:t>生、郭鈾揚負責技術，與德商洽談3家公司合作證明部分由我負責。</w:t>
      </w:r>
      <w:proofErr w:type="gramStart"/>
      <w:r>
        <w:rPr>
          <w:rFonts w:hint="eastAsia"/>
        </w:rPr>
        <w:t>（</w:t>
      </w:r>
      <w:proofErr w:type="gramEnd"/>
      <w:r>
        <w:rPr>
          <w:rFonts w:hint="eastAsia"/>
        </w:rPr>
        <w:t>問：圍標的事他們知道？）他們應都有準備3家資料。陶</w:t>
      </w:r>
      <w:proofErr w:type="gramStart"/>
      <w:r>
        <w:rPr>
          <w:rFonts w:hint="eastAsia"/>
        </w:rPr>
        <w:t>恒</w:t>
      </w:r>
      <w:proofErr w:type="gramEnd"/>
      <w:r>
        <w:rPr>
          <w:rFonts w:hint="eastAsia"/>
        </w:rPr>
        <w:t>生、郭鈾揚知道要用這3家去投標，公司有獎勵，陶</w:t>
      </w:r>
      <w:proofErr w:type="gramStart"/>
      <w:r>
        <w:rPr>
          <w:rFonts w:hint="eastAsia"/>
        </w:rPr>
        <w:t>恒生拿</w:t>
      </w:r>
      <w:proofErr w:type="gramEnd"/>
      <w:r>
        <w:rPr>
          <w:rFonts w:hint="eastAsia"/>
        </w:rPr>
        <w:t>60萬元，郭鈾揚拿20或30萬元，我拿200萬元，吳開南給我的。又吳開南陳稱：鼎台公司承攬八里污水廠工程，由駱水順負責處理，我完全授權。沈德亮陳稱：</w:t>
      </w:r>
      <w:r w:rsidR="00076D12">
        <w:rPr>
          <w:rFonts w:hint="eastAsia"/>
        </w:rPr>
        <w:t>第3次</w:t>
      </w:r>
      <w:r w:rsidR="00842B0F">
        <w:rPr>
          <w:rFonts w:hint="eastAsia"/>
        </w:rPr>
        <w:t>招標</w:t>
      </w:r>
      <w:r>
        <w:rPr>
          <w:rFonts w:hint="eastAsia"/>
        </w:rPr>
        <w:t>公</w:t>
      </w:r>
      <w:r w:rsidR="00593C62">
        <w:rPr>
          <w:rFonts w:hint="eastAsia"/>
        </w:rPr>
        <w:t>告前已流標</w:t>
      </w:r>
      <w:r w:rsidR="00842B0F">
        <w:rPr>
          <w:rFonts w:hint="eastAsia"/>
        </w:rPr>
        <w:t>2次，林有德為此與我討論，並表示為放寬資格，要求我將『最近5</w:t>
      </w:r>
      <w:r w:rsidR="00593C62">
        <w:rPr>
          <w:rFonts w:hint="eastAsia"/>
        </w:rPr>
        <w:t>年內』之業績限制取消、刪除國外合作廠商負連帶保證之責。另將『</w:t>
      </w:r>
      <w:r>
        <w:rPr>
          <w:rFonts w:hint="eastAsia"/>
        </w:rPr>
        <w:t>國外廠商如分別</w:t>
      </w:r>
      <w:r w:rsidR="00593C62">
        <w:rPr>
          <w:rFonts w:hint="eastAsia"/>
        </w:rPr>
        <w:t>…</w:t>
      </w:r>
      <w:proofErr w:type="gramStart"/>
      <w:r w:rsidR="00593C62">
        <w:rPr>
          <w:rFonts w:hint="eastAsia"/>
        </w:rPr>
        <w:t>…</w:t>
      </w:r>
      <w:proofErr w:type="gramEnd"/>
      <w:r w:rsidR="00593C62">
        <w:rPr>
          <w:rFonts w:hint="eastAsia"/>
        </w:rPr>
        <w:t>協議書』改為『</w:t>
      </w:r>
      <w:r>
        <w:rPr>
          <w:rFonts w:hint="eastAsia"/>
        </w:rPr>
        <w:t>國外廠商如係數家廠商結合具(1)(2)</w:t>
      </w:r>
      <w:r w:rsidR="00593C62">
        <w:rPr>
          <w:rFonts w:hint="eastAsia"/>
        </w:rPr>
        <w:t>項共同合作者，需檢附相互間對本工程之合作協議書』</w:t>
      </w:r>
      <w:r>
        <w:rPr>
          <w:rFonts w:hint="eastAsia"/>
        </w:rPr>
        <w:t>而放寬外商資格，招徠更多廠商投標。因我奉林有德指示修正時，即係為讓原來不合格而有意願之廠商能跨越限制前來競標。</w:t>
      </w:r>
      <w:proofErr w:type="gramStart"/>
      <w:r>
        <w:rPr>
          <w:rFonts w:hint="eastAsia"/>
        </w:rPr>
        <w:t>參以卷附千</w:t>
      </w:r>
      <w:proofErr w:type="gramEnd"/>
      <w:r>
        <w:rPr>
          <w:rFonts w:hint="eastAsia"/>
        </w:rPr>
        <w:t>吉公司、光輝</w:t>
      </w:r>
      <w:proofErr w:type="gramStart"/>
      <w:r>
        <w:rPr>
          <w:rFonts w:hint="eastAsia"/>
        </w:rPr>
        <w:t>公司所檢具</w:t>
      </w:r>
      <w:proofErr w:type="gramEnd"/>
      <w:r>
        <w:rPr>
          <w:rFonts w:hint="eastAsia"/>
        </w:rPr>
        <w:t>之資格標資料所示，吳開南、駱水順為達圍標目的而尋覓之陪標</w:t>
      </w:r>
      <w:proofErr w:type="gramStart"/>
      <w:r>
        <w:rPr>
          <w:rFonts w:hint="eastAsia"/>
        </w:rPr>
        <w:t>廠商即千吉</w:t>
      </w:r>
      <w:proofErr w:type="gramEnd"/>
      <w:r>
        <w:rPr>
          <w:rFonts w:hint="eastAsia"/>
        </w:rPr>
        <w:t>、光輝公司，其合作國外廠商德國</w:t>
      </w:r>
      <w:proofErr w:type="spellStart"/>
      <w:r>
        <w:rPr>
          <w:rFonts w:hint="eastAsia"/>
        </w:rPr>
        <w:t>Roediger</w:t>
      </w:r>
      <w:proofErr w:type="spellEnd"/>
      <w:r>
        <w:rPr>
          <w:rFonts w:hint="eastAsia"/>
        </w:rPr>
        <w:t>公司之業績證明係在1972年（民國61年）、德國</w:t>
      </w:r>
      <w:proofErr w:type="spellStart"/>
      <w:r>
        <w:rPr>
          <w:rFonts w:hint="eastAsia"/>
        </w:rPr>
        <w:t>Rompf</w:t>
      </w:r>
      <w:proofErr w:type="spellEnd"/>
      <w:r>
        <w:rPr>
          <w:rFonts w:hint="eastAsia"/>
        </w:rPr>
        <w:t>公司之業績證明係在1983年（民國72年），均超過原規定</w:t>
      </w:r>
      <w:r w:rsidR="00842B0F">
        <w:rPr>
          <w:rFonts w:hint="eastAsia"/>
        </w:rPr>
        <w:t>5年</w:t>
      </w:r>
      <w:r>
        <w:rPr>
          <w:rFonts w:hint="eastAsia"/>
        </w:rPr>
        <w:t>內之資格限制，且上開業績證明</w:t>
      </w:r>
      <w:proofErr w:type="gramStart"/>
      <w:r>
        <w:rPr>
          <w:rFonts w:hint="eastAsia"/>
        </w:rPr>
        <w:t>文件均早在</w:t>
      </w:r>
      <w:proofErr w:type="gramEnd"/>
      <w:r>
        <w:rPr>
          <w:rFonts w:hint="eastAsia"/>
        </w:rPr>
        <w:t>1990年（民國79年）3月5日即取得。可知如非伍澤元與吳開南有共識，吳開南指示駱水順，而陶</w:t>
      </w:r>
      <w:proofErr w:type="gramStart"/>
      <w:r>
        <w:rPr>
          <w:rFonts w:hint="eastAsia"/>
        </w:rPr>
        <w:t>恒</w:t>
      </w:r>
      <w:proofErr w:type="gramEnd"/>
      <w:r>
        <w:rPr>
          <w:rFonts w:hint="eastAsia"/>
        </w:rPr>
        <w:t>生、駱水順與葛路門、</w:t>
      </w:r>
      <w:proofErr w:type="gramStart"/>
      <w:r>
        <w:rPr>
          <w:rFonts w:hint="eastAsia"/>
        </w:rPr>
        <w:t>赫</w:t>
      </w:r>
      <w:proofErr w:type="gramEnd"/>
      <w:r>
        <w:rPr>
          <w:rFonts w:hint="eastAsia"/>
        </w:rPr>
        <w:t>門斯接洽合作，駱水順</w:t>
      </w:r>
      <w:proofErr w:type="gramStart"/>
      <w:r>
        <w:rPr>
          <w:rFonts w:hint="eastAsia"/>
        </w:rPr>
        <w:t>再找遭誤導</w:t>
      </w:r>
      <w:proofErr w:type="gramEnd"/>
      <w:r>
        <w:rPr>
          <w:rFonts w:hint="eastAsia"/>
        </w:rPr>
        <w:t>之林銘輝，由駱水順、陶</w:t>
      </w:r>
      <w:proofErr w:type="gramStart"/>
      <w:r>
        <w:rPr>
          <w:rFonts w:hint="eastAsia"/>
        </w:rPr>
        <w:t>恒</w:t>
      </w:r>
      <w:proofErr w:type="gramEnd"/>
      <w:r>
        <w:rPr>
          <w:rFonts w:hint="eastAsia"/>
        </w:rPr>
        <w:t>生攜帶相關資料至</w:t>
      </w:r>
      <w:r w:rsidR="00593C62">
        <w:rPr>
          <w:rFonts w:hint="eastAsia"/>
        </w:rPr>
        <w:t>德國，由德商克洛克公司負責備妥</w:t>
      </w:r>
      <w:r w:rsidR="00593C62">
        <w:rPr>
          <w:rFonts w:hint="eastAsia"/>
        </w:rPr>
        <w:lastRenderedPageBreak/>
        <w:t>『</w:t>
      </w:r>
      <w:r w:rsidR="00C56AAB">
        <w:rPr>
          <w:rFonts w:hint="eastAsia"/>
        </w:rPr>
        <w:t>投標廠商合作證明書』、『業績證明』</w:t>
      </w:r>
      <w:r>
        <w:rPr>
          <w:rFonts w:hint="eastAsia"/>
        </w:rPr>
        <w:t>始返</w:t>
      </w:r>
      <w:proofErr w:type="gramStart"/>
      <w:r>
        <w:rPr>
          <w:rFonts w:hint="eastAsia"/>
        </w:rPr>
        <w:t>臺</w:t>
      </w:r>
      <w:proofErr w:type="gramEnd"/>
      <w:r>
        <w:rPr>
          <w:rFonts w:hint="eastAsia"/>
        </w:rPr>
        <w:t>參與投標，顯然其等早已於79年10月9日</w:t>
      </w:r>
      <w:r w:rsidR="00076D12">
        <w:rPr>
          <w:rFonts w:hint="eastAsia"/>
        </w:rPr>
        <w:t>第3次</w:t>
      </w:r>
      <w:r>
        <w:rPr>
          <w:rFonts w:hint="eastAsia"/>
        </w:rPr>
        <w:t>招標公告前，已先取得不合規定之國外廠商業績證明文件以備標，是放寬投標廠商資格限制，顯為協助鼎台企業集團達成圍標之目的甚明。故雖</w:t>
      </w:r>
      <w:r w:rsidRPr="0008494B">
        <w:rPr>
          <w:rFonts w:hint="eastAsia"/>
          <w:b/>
          <w:u w:val="single"/>
        </w:rPr>
        <w:t>工程會100年1月21日工程</w:t>
      </w:r>
      <w:proofErr w:type="gramStart"/>
      <w:r w:rsidRPr="0008494B">
        <w:rPr>
          <w:rFonts w:hint="eastAsia"/>
          <w:b/>
          <w:u w:val="single"/>
        </w:rPr>
        <w:t>鑑</w:t>
      </w:r>
      <w:proofErr w:type="gramEnd"/>
      <w:r w:rsidRPr="0008494B">
        <w:rPr>
          <w:rFonts w:hint="eastAsia"/>
          <w:b/>
          <w:u w:val="single"/>
        </w:rPr>
        <w:t>字第10000031420</w:t>
      </w:r>
      <w:r w:rsidR="00C56AAB" w:rsidRPr="0008494B">
        <w:rPr>
          <w:rFonts w:hint="eastAsia"/>
          <w:b/>
          <w:u w:val="single"/>
        </w:rPr>
        <w:t>號鑑定書</w:t>
      </w:r>
      <w:r w:rsidR="00C56AAB">
        <w:rPr>
          <w:rFonts w:hint="eastAsia"/>
        </w:rPr>
        <w:t>認『</w:t>
      </w:r>
      <w:r>
        <w:rPr>
          <w:rFonts w:hint="eastAsia"/>
        </w:rPr>
        <w:t>流標如為家數不足造成，則檢討承商資格限制及材料規範，係屬各</w:t>
      </w:r>
      <w:r w:rsidR="00C56AAB">
        <w:rPr>
          <w:rFonts w:hint="eastAsia"/>
        </w:rPr>
        <w:t>機關常見之辦理方式』，然仍不得違背『</w:t>
      </w:r>
      <w:r>
        <w:rPr>
          <w:rFonts w:hint="eastAsia"/>
        </w:rPr>
        <w:t>行政院暨所屬各機關營</w:t>
      </w:r>
      <w:proofErr w:type="gramStart"/>
      <w:r>
        <w:rPr>
          <w:rFonts w:hint="eastAsia"/>
        </w:rPr>
        <w:t>繕</w:t>
      </w:r>
      <w:proofErr w:type="gramEnd"/>
      <w:r>
        <w:rPr>
          <w:rFonts w:hint="eastAsia"/>
        </w:rPr>
        <w:t>工程招標注</w:t>
      </w:r>
      <w:r w:rsidR="00C56AAB">
        <w:rPr>
          <w:rFonts w:hint="eastAsia"/>
        </w:rPr>
        <w:t>意事項』</w:t>
      </w:r>
      <w:r>
        <w:rPr>
          <w:rFonts w:hint="eastAsia"/>
        </w:rPr>
        <w:t>之規定，故沈德亮簽呈放寬投標廠商資格而取消(1)國內外廠商合作證明文件應載明共同連帶負責完成本工程。(2)其合作協議書中譯本需經法院公證之相關資格限制規定作為附件等規定，固屬各機關辦理公用工程投標，在家數不足造成流標時，所可</w:t>
      </w:r>
      <w:proofErr w:type="gramStart"/>
      <w:r>
        <w:rPr>
          <w:rFonts w:hint="eastAsia"/>
        </w:rPr>
        <w:t>採</w:t>
      </w:r>
      <w:proofErr w:type="gramEnd"/>
      <w:r>
        <w:rPr>
          <w:rFonts w:hint="eastAsia"/>
        </w:rPr>
        <w:t>行之辦理方式，然取消整廠蛋形消化槽能源回收系統設計監造及機電採購供應與安裝經驗之最近</w:t>
      </w:r>
      <w:r w:rsidR="00842B0F">
        <w:rPr>
          <w:rFonts w:hint="eastAsia"/>
        </w:rPr>
        <w:t>5年</w:t>
      </w:r>
      <w:r w:rsidR="003F3A56">
        <w:rPr>
          <w:rFonts w:hint="eastAsia"/>
        </w:rPr>
        <w:t>內之資格，既違反『</w:t>
      </w:r>
      <w:r>
        <w:rPr>
          <w:rFonts w:hint="eastAsia"/>
        </w:rPr>
        <w:t>行政院暨所屬各機關營</w:t>
      </w:r>
      <w:proofErr w:type="gramStart"/>
      <w:r>
        <w:rPr>
          <w:rFonts w:hint="eastAsia"/>
        </w:rPr>
        <w:t>繕</w:t>
      </w:r>
      <w:proofErr w:type="gramEnd"/>
      <w:r>
        <w:rPr>
          <w:rFonts w:hint="eastAsia"/>
        </w:rPr>
        <w:t>工程招標注</w:t>
      </w:r>
      <w:r w:rsidR="003F3A56">
        <w:rPr>
          <w:rFonts w:hint="eastAsia"/>
        </w:rPr>
        <w:t>意事項』</w:t>
      </w:r>
      <w:r>
        <w:rPr>
          <w:rFonts w:hint="eastAsia"/>
        </w:rPr>
        <w:t>第6、7</w:t>
      </w:r>
      <w:r w:rsidR="00842B0F">
        <w:rPr>
          <w:rFonts w:hint="eastAsia"/>
        </w:rPr>
        <w:t>點</w:t>
      </w:r>
      <w:r>
        <w:rPr>
          <w:rFonts w:hint="eastAsia"/>
        </w:rPr>
        <w:t>規定，自難以上開工程會之鑑定意見及三越企業股份有限公司、富台工程股份有限公司曾函請</w:t>
      </w:r>
      <w:r w:rsidR="002939B3">
        <w:rPr>
          <w:rFonts w:hint="eastAsia"/>
        </w:rPr>
        <w:t>前</w:t>
      </w:r>
      <w:r w:rsidR="00E675AB">
        <w:rPr>
          <w:rFonts w:hint="eastAsia"/>
        </w:rPr>
        <w:t>省住都局</w:t>
      </w:r>
      <w:r>
        <w:rPr>
          <w:rFonts w:hint="eastAsia"/>
        </w:rPr>
        <w:t>放寬投標廠商資格等情，據為有利於被告林文烈、沈德亮之認定。</w:t>
      </w:r>
      <w:r w:rsidR="00EB6CBD">
        <w:rPr>
          <w:rFonts w:hint="eastAsia"/>
        </w:rPr>
        <w:t>」</w:t>
      </w:r>
      <w:r w:rsidR="00593C62">
        <w:rPr>
          <w:rFonts w:hint="eastAsia"/>
        </w:rPr>
        <w:t>及</w:t>
      </w:r>
      <w:r w:rsidR="00593C62" w:rsidRPr="0008494B">
        <w:rPr>
          <w:rFonts w:hint="eastAsia"/>
          <w:u w:val="single"/>
        </w:rPr>
        <w:t>確定判決</w:t>
      </w:r>
      <w:proofErr w:type="gramStart"/>
      <w:r w:rsidR="00593C62" w:rsidRPr="0008494B">
        <w:rPr>
          <w:rFonts w:hint="eastAsia"/>
          <w:u w:val="single"/>
        </w:rPr>
        <w:t>理由欄貳</w:t>
      </w:r>
      <w:proofErr w:type="gramEnd"/>
      <w:r w:rsidR="00593C62" w:rsidRPr="0008494B">
        <w:rPr>
          <w:rFonts w:hint="eastAsia"/>
          <w:u w:val="single"/>
        </w:rPr>
        <w:t>、二、(二)、2</w:t>
      </w:r>
      <w:r w:rsidR="00593C62">
        <w:rPr>
          <w:rFonts w:hint="eastAsia"/>
        </w:rPr>
        <w:t>所載</w:t>
      </w:r>
      <w:r w:rsidR="003F3A56">
        <w:rPr>
          <w:rFonts w:hint="eastAsia"/>
        </w:rPr>
        <w:t>：「</w:t>
      </w:r>
      <w:r w:rsidR="00C56AAB">
        <w:rPr>
          <w:rFonts w:hint="eastAsia"/>
        </w:rPr>
        <w:t>…</w:t>
      </w:r>
      <w:proofErr w:type="gramStart"/>
      <w:r w:rsidR="00C56AAB">
        <w:rPr>
          <w:rFonts w:hint="eastAsia"/>
        </w:rPr>
        <w:t>…</w:t>
      </w:r>
      <w:proofErr w:type="gramEnd"/>
      <w:r w:rsidR="00C56AAB">
        <w:rPr>
          <w:rFonts w:hint="eastAsia"/>
        </w:rPr>
        <w:t>另沈德亮於79年9月16日簽呈增加預算，亦未檢附馬格里公司修改資料，</w:t>
      </w:r>
      <w:proofErr w:type="gramStart"/>
      <w:r w:rsidR="00C56AAB">
        <w:rPr>
          <w:rFonts w:hint="eastAsia"/>
        </w:rPr>
        <w:t>復無修正</w:t>
      </w:r>
      <w:proofErr w:type="gramEnd"/>
      <w:r w:rsidR="00C56AAB">
        <w:rPr>
          <w:rFonts w:hint="eastAsia"/>
        </w:rPr>
        <w:t>後之投標廠商資格及投標補充說明，其不合理及不尋常之處甚為明顯，林文烈、郭龍朗為</w:t>
      </w:r>
      <w:r w:rsidR="002939B3">
        <w:rPr>
          <w:rFonts w:hint="eastAsia"/>
        </w:rPr>
        <w:t>前</w:t>
      </w:r>
      <w:r w:rsidR="00E675AB">
        <w:rPr>
          <w:rFonts w:hint="eastAsia"/>
        </w:rPr>
        <w:t>省住都局</w:t>
      </w:r>
      <w:r w:rsidR="00C56AAB">
        <w:rPr>
          <w:rFonts w:hint="eastAsia"/>
        </w:rPr>
        <w:t>高</w:t>
      </w:r>
      <w:r w:rsidR="007D4017">
        <w:rPr>
          <w:rFonts w:hint="eastAsia"/>
        </w:rPr>
        <w:t>級公務員，對『</w:t>
      </w:r>
      <w:r w:rsidR="00C56AAB">
        <w:rPr>
          <w:rFonts w:hint="eastAsia"/>
        </w:rPr>
        <w:t>行政院暨所屬各機關營</w:t>
      </w:r>
      <w:proofErr w:type="gramStart"/>
      <w:r w:rsidR="00C56AAB">
        <w:rPr>
          <w:rFonts w:hint="eastAsia"/>
        </w:rPr>
        <w:t>繕</w:t>
      </w:r>
      <w:proofErr w:type="gramEnd"/>
      <w:r w:rsidR="00C56AAB">
        <w:rPr>
          <w:rFonts w:hint="eastAsia"/>
        </w:rPr>
        <w:t>工程招標注意事項</w:t>
      </w:r>
      <w:r w:rsidR="007D4017">
        <w:rPr>
          <w:rFonts w:hint="eastAsia"/>
        </w:rPr>
        <w:t>』</w:t>
      </w:r>
      <w:r w:rsidR="00C56AAB">
        <w:rPr>
          <w:rFonts w:hint="eastAsia"/>
        </w:rPr>
        <w:t>有關限制投標廠商資格之規定，應知之甚</w:t>
      </w:r>
      <w:proofErr w:type="gramStart"/>
      <w:r w:rsidR="00C56AAB">
        <w:rPr>
          <w:rFonts w:hint="eastAsia"/>
        </w:rPr>
        <w:t>稔</w:t>
      </w:r>
      <w:proofErr w:type="gramEnd"/>
      <w:r w:rsidR="00C56AAB">
        <w:rPr>
          <w:rFonts w:hint="eastAsia"/>
        </w:rPr>
        <w:t>，乃林文烈、</w:t>
      </w:r>
      <w:r w:rsidR="007D4017">
        <w:rPr>
          <w:rFonts w:hint="eastAsia"/>
        </w:rPr>
        <w:t>郭龍朗竟無視沈陳成之簽</w:t>
      </w:r>
      <w:proofErr w:type="gramStart"/>
      <w:r w:rsidR="007D4017">
        <w:rPr>
          <w:rFonts w:hint="eastAsia"/>
        </w:rPr>
        <w:t>註</w:t>
      </w:r>
      <w:proofErr w:type="gramEnd"/>
      <w:r w:rsidR="007D4017">
        <w:rPr>
          <w:rFonts w:hint="eastAsia"/>
        </w:rPr>
        <w:t>，在無何提高預算依據及違背『行政院暨所屬各機關營</w:t>
      </w:r>
      <w:proofErr w:type="gramStart"/>
      <w:r w:rsidR="007D4017">
        <w:rPr>
          <w:rFonts w:hint="eastAsia"/>
        </w:rPr>
        <w:t>繕</w:t>
      </w:r>
      <w:proofErr w:type="gramEnd"/>
      <w:r w:rsidR="007D4017">
        <w:rPr>
          <w:rFonts w:hint="eastAsia"/>
        </w:rPr>
        <w:t>工程招標注意事</w:t>
      </w:r>
      <w:r w:rsidR="007D4017">
        <w:rPr>
          <w:rFonts w:hint="eastAsia"/>
        </w:rPr>
        <w:lastRenderedPageBreak/>
        <w:t>項』</w:t>
      </w:r>
      <w:r w:rsidR="00C56AAB">
        <w:rPr>
          <w:rFonts w:hint="eastAsia"/>
        </w:rPr>
        <w:t>規定而放寬投標廠商資格之合理說明情況下，率予核章，若謂其2人不知其中有浮報價額、配合吳開南圍標而放寬投標廠商資格之情，孰能置信。是</w:t>
      </w:r>
      <w:proofErr w:type="gramStart"/>
      <w:r w:rsidR="00C56AAB">
        <w:rPr>
          <w:rFonts w:hint="eastAsia"/>
        </w:rPr>
        <w:t>以</w:t>
      </w:r>
      <w:proofErr w:type="gramEnd"/>
      <w:r w:rsidR="00C56AAB">
        <w:rPr>
          <w:rFonts w:hint="eastAsia"/>
        </w:rPr>
        <w:t>，其等明知事有蹊蹺，仍用印於沈德亮簽呈上，表示同意提高預算、放寬投標廠商資格，顯然與沈德亮、林有德、伍澤元等人有犯意聯絡及行為分擔，要無疑義。</w:t>
      </w:r>
      <w:r w:rsidR="003F3A56">
        <w:rPr>
          <w:rFonts w:hint="eastAsia"/>
        </w:rPr>
        <w:t>」</w:t>
      </w:r>
      <w:r w:rsidR="00790D06">
        <w:rPr>
          <w:rFonts w:hint="eastAsia"/>
        </w:rPr>
        <w:t>等理由為據。</w:t>
      </w:r>
    </w:p>
    <w:p w:rsidR="00EB6CBD" w:rsidRDefault="00593C62" w:rsidP="00790D06">
      <w:pPr>
        <w:pStyle w:val="3"/>
      </w:pPr>
      <w:r>
        <w:rPr>
          <w:rFonts w:hint="eastAsia"/>
        </w:rPr>
        <w:t>確定判決上開認定理由，主要以伍澤元與吳開南有共識，而</w:t>
      </w:r>
      <w:r w:rsidR="003F3A56" w:rsidRPr="003F3A56">
        <w:rPr>
          <w:rFonts w:hint="eastAsia"/>
        </w:rPr>
        <w:t>鼎台企業集團</w:t>
      </w:r>
      <w:proofErr w:type="gramStart"/>
      <w:r w:rsidR="003F3A56">
        <w:rPr>
          <w:rFonts w:hint="eastAsia"/>
        </w:rPr>
        <w:t>所找千吉</w:t>
      </w:r>
      <w:proofErr w:type="gramEnd"/>
      <w:r w:rsidR="003F3A56">
        <w:rPr>
          <w:rFonts w:hint="eastAsia"/>
        </w:rPr>
        <w:t>、光輝公司參與圍標之合作國外廠商，其等業績證明文件均不符5年內之資格限制，並以</w:t>
      </w:r>
      <w:r w:rsidR="00790D06">
        <w:rPr>
          <w:rFonts w:hint="eastAsia"/>
        </w:rPr>
        <w:t>該放寬資格限制違反</w:t>
      </w:r>
      <w:r w:rsidR="003F3A56">
        <w:rPr>
          <w:rFonts w:hint="eastAsia"/>
        </w:rPr>
        <w:t>「</w:t>
      </w:r>
      <w:r w:rsidR="00790D06">
        <w:rPr>
          <w:rFonts w:hint="eastAsia"/>
        </w:rPr>
        <w:t>行政院暨所屬各機關營</w:t>
      </w:r>
      <w:proofErr w:type="gramStart"/>
      <w:r w:rsidR="00790D06">
        <w:rPr>
          <w:rFonts w:hint="eastAsia"/>
        </w:rPr>
        <w:t>繕</w:t>
      </w:r>
      <w:proofErr w:type="gramEnd"/>
      <w:r w:rsidR="00790D06">
        <w:rPr>
          <w:rFonts w:hint="eastAsia"/>
        </w:rPr>
        <w:t>工程招標注意事項」第6、</w:t>
      </w:r>
      <w:r w:rsidR="00842B0F">
        <w:rPr>
          <w:rFonts w:hint="eastAsia"/>
        </w:rPr>
        <w:t>7點</w:t>
      </w:r>
      <w:r w:rsidR="00790D06">
        <w:rPr>
          <w:rFonts w:hint="eastAsia"/>
        </w:rPr>
        <w:t>規定</w:t>
      </w:r>
      <w:r w:rsidR="00D40B71">
        <w:rPr>
          <w:rFonts w:hint="eastAsia"/>
        </w:rPr>
        <w:t>。</w:t>
      </w:r>
      <w:r w:rsidR="00790D06">
        <w:rPr>
          <w:rFonts w:hint="eastAsia"/>
        </w:rPr>
        <w:t>然</w:t>
      </w:r>
      <w:r w:rsidR="003F3A56">
        <w:rPr>
          <w:rFonts w:hint="eastAsia"/>
        </w:rPr>
        <w:t>其中</w:t>
      </w:r>
      <w:r w:rsidR="00790D06">
        <w:rPr>
          <w:rFonts w:hint="eastAsia"/>
        </w:rPr>
        <w:t>認定</w:t>
      </w:r>
      <w:r w:rsidR="003F3A56">
        <w:rPr>
          <w:rFonts w:hint="eastAsia"/>
        </w:rPr>
        <w:t>伍澤元與吳開南有共識，其等之合意如何擴及沈德亮、林文烈等人，已有疑問，而</w:t>
      </w:r>
      <w:r w:rsidR="00076D12">
        <w:rPr>
          <w:rFonts w:hint="eastAsia"/>
        </w:rPr>
        <w:t>第3次</w:t>
      </w:r>
      <w:r w:rsidR="003F3A56">
        <w:rPr>
          <w:rFonts w:hint="eastAsia"/>
        </w:rPr>
        <w:t>招標之參標廠商業績證明文件均不符原「5年以內之限制」部分，參以前</w:t>
      </w:r>
      <w:r w:rsidR="00842B0F">
        <w:rPr>
          <w:rFonts w:hint="eastAsia"/>
        </w:rPr>
        <w:t>2次</w:t>
      </w:r>
      <w:r w:rsidR="003F3A56">
        <w:rPr>
          <w:rFonts w:hint="eastAsia"/>
        </w:rPr>
        <w:t>有此限制之招標均</w:t>
      </w:r>
      <w:r w:rsidR="00790D06">
        <w:rPr>
          <w:rFonts w:hint="eastAsia"/>
        </w:rPr>
        <w:t>無人投標</w:t>
      </w:r>
      <w:r w:rsidR="003F3A56">
        <w:rPr>
          <w:rFonts w:hint="eastAsia"/>
        </w:rPr>
        <w:t>流標，</w:t>
      </w:r>
      <w:r w:rsidR="00790D06">
        <w:rPr>
          <w:rFonts w:hint="eastAsia"/>
        </w:rPr>
        <w:t>反證資格</w:t>
      </w:r>
      <w:proofErr w:type="gramStart"/>
      <w:r w:rsidR="00790D06">
        <w:rPr>
          <w:rFonts w:hint="eastAsia"/>
        </w:rPr>
        <w:t>訂定恐有</w:t>
      </w:r>
      <w:proofErr w:type="gramEnd"/>
      <w:r w:rsidR="00790D06">
        <w:rPr>
          <w:rFonts w:hint="eastAsia"/>
        </w:rPr>
        <w:t>不當，亦有三越企業股份有限公司、富台工程股份有限公司曾函請</w:t>
      </w:r>
      <w:r w:rsidR="002939B3">
        <w:rPr>
          <w:rFonts w:hint="eastAsia"/>
        </w:rPr>
        <w:t>前</w:t>
      </w:r>
      <w:r w:rsidR="00E675AB">
        <w:rPr>
          <w:rFonts w:hint="eastAsia"/>
        </w:rPr>
        <w:t>省住都局</w:t>
      </w:r>
      <w:r w:rsidR="00790D06">
        <w:rPr>
          <w:rFonts w:hint="eastAsia"/>
        </w:rPr>
        <w:t>放寬投標廠商資格等情，</w:t>
      </w:r>
      <w:r w:rsidR="003F3A56">
        <w:rPr>
          <w:rFonts w:hint="eastAsia"/>
        </w:rPr>
        <w:t>則</w:t>
      </w:r>
      <w:r w:rsidR="00790D06">
        <w:rPr>
          <w:rFonts w:hint="eastAsia"/>
        </w:rPr>
        <w:t>確定判決理由</w:t>
      </w:r>
      <w:r w:rsidR="003F3A56">
        <w:rPr>
          <w:rFonts w:hint="eastAsia"/>
        </w:rPr>
        <w:t>以第3次招標</w:t>
      </w:r>
      <w:r w:rsidR="00BC140A">
        <w:rPr>
          <w:rFonts w:hint="eastAsia"/>
        </w:rPr>
        <w:t>無此限制，倒推沈德亮等人係配合廠商之認定，顯有倒果為因之嫌。是則最主要之理由，</w:t>
      </w:r>
      <w:r w:rsidR="00790D06">
        <w:rPr>
          <w:rFonts w:hint="eastAsia"/>
        </w:rPr>
        <w:t>乃在</w:t>
      </w:r>
      <w:r w:rsidR="00F822F8" w:rsidRPr="00AF4A27">
        <w:rPr>
          <w:rFonts w:hint="eastAsia"/>
          <w:u w:val="single"/>
        </w:rPr>
        <w:t>被告等先經報准限制廠商資格，嗣後再簽呈</w:t>
      </w:r>
      <w:r w:rsidR="002939B3">
        <w:rPr>
          <w:rFonts w:hint="eastAsia"/>
          <w:u w:val="single"/>
        </w:rPr>
        <w:t>前</w:t>
      </w:r>
      <w:r w:rsidR="00E675AB" w:rsidRPr="00AF4A27">
        <w:rPr>
          <w:rFonts w:hint="eastAsia"/>
          <w:u w:val="single"/>
        </w:rPr>
        <w:t>省住都局</w:t>
      </w:r>
      <w:r w:rsidR="00F822F8" w:rsidRPr="00AF4A27">
        <w:rPr>
          <w:rFonts w:hint="eastAsia"/>
          <w:u w:val="single"/>
        </w:rPr>
        <w:t>核准</w:t>
      </w:r>
      <w:r w:rsidR="00790D06" w:rsidRPr="00AF4A27">
        <w:rPr>
          <w:rFonts w:hint="eastAsia"/>
          <w:u w:val="single"/>
        </w:rPr>
        <w:t>放寬廠商資格，是否違反「行政院暨所屬各機關營</w:t>
      </w:r>
      <w:proofErr w:type="gramStart"/>
      <w:r w:rsidR="00790D06" w:rsidRPr="00AF4A27">
        <w:rPr>
          <w:rFonts w:hint="eastAsia"/>
          <w:u w:val="single"/>
        </w:rPr>
        <w:t>繕</w:t>
      </w:r>
      <w:proofErr w:type="gramEnd"/>
      <w:r w:rsidR="00790D06" w:rsidRPr="00AF4A27">
        <w:rPr>
          <w:rFonts w:hint="eastAsia"/>
          <w:u w:val="single"/>
        </w:rPr>
        <w:t>工程招標注意事項」第6、</w:t>
      </w:r>
      <w:r w:rsidR="00842B0F" w:rsidRPr="00AF4A27">
        <w:rPr>
          <w:rFonts w:hint="eastAsia"/>
          <w:u w:val="single"/>
        </w:rPr>
        <w:t>7點</w:t>
      </w:r>
      <w:r w:rsidR="00790D06" w:rsidRPr="00AF4A27">
        <w:rPr>
          <w:rFonts w:hint="eastAsia"/>
          <w:u w:val="single"/>
        </w:rPr>
        <w:t>規定</w:t>
      </w:r>
      <w:r w:rsidR="00C93B62">
        <w:rPr>
          <w:rFonts w:hint="eastAsia"/>
        </w:rPr>
        <w:t>，惟</w:t>
      </w:r>
      <w:r w:rsidR="00F822F8">
        <w:rPr>
          <w:rFonts w:hint="eastAsia"/>
        </w:rPr>
        <w:t>就此部分，確定判決理由涉</w:t>
      </w:r>
      <w:r w:rsidR="00C93B62">
        <w:rPr>
          <w:rFonts w:hint="eastAsia"/>
        </w:rPr>
        <w:t>有違背法令：</w:t>
      </w:r>
    </w:p>
    <w:p w:rsidR="00790D06" w:rsidRDefault="00790D06" w:rsidP="00C93B62">
      <w:pPr>
        <w:pStyle w:val="4"/>
      </w:pPr>
      <w:r>
        <w:rPr>
          <w:rFonts w:hint="eastAsia"/>
        </w:rPr>
        <w:t>經查，</w:t>
      </w:r>
      <w:r w:rsidR="00C93B62" w:rsidRPr="00C93B62">
        <w:rPr>
          <w:rFonts w:hint="eastAsia"/>
        </w:rPr>
        <w:t>行政院76年7月29日</w:t>
      </w:r>
      <w:proofErr w:type="gramStart"/>
      <w:r w:rsidR="00C93B62" w:rsidRPr="00C93B62">
        <w:rPr>
          <w:rFonts w:hint="eastAsia"/>
        </w:rPr>
        <w:t>臺</w:t>
      </w:r>
      <w:proofErr w:type="gramEnd"/>
      <w:r w:rsidR="00C93B62" w:rsidRPr="00C93B62">
        <w:rPr>
          <w:rFonts w:hint="eastAsia"/>
        </w:rPr>
        <w:t>76內字</w:t>
      </w:r>
      <w:proofErr w:type="gramStart"/>
      <w:r w:rsidR="00C93B62" w:rsidRPr="00C93B62">
        <w:rPr>
          <w:rFonts w:hint="eastAsia"/>
        </w:rPr>
        <w:t>第17221號函頒修正</w:t>
      </w:r>
      <w:proofErr w:type="gramEnd"/>
      <w:r w:rsidR="00C93B62" w:rsidRPr="00C93B62">
        <w:rPr>
          <w:rFonts w:hint="eastAsia"/>
        </w:rPr>
        <w:t>之「行政院暨所屬各機關營</w:t>
      </w:r>
      <w:proofErr w:type="gramStart"/>
      <w:r w:rsidR="00C93B62" w:rsidRPr="00C93B62">
        <w:rPr>
          <w:rFonts w:hint="eastAsia"/>
        </w:rPr>
        <w:t>繕</w:t>
      </w:r>
      <w:proofErr w:type="gramEnd"/>
      <w:r w:rsidR="00C93B62" w:rsidRPr="00C93B62">
        <w:rPr>
          <w:rFonts w:hint="eastAsia"/>
        </w:rPr>
        <w:t>工程招標注意事項」第6、7點規定：「主辦工程機關舉辦</w:t>
      </w:r>
      <w:r w:rsidR="00C93B62" w:rsidRPr="00C648BD">
        <w:rPr>
          <w:rFonts w:hint="eastAsia"/>
          <w:b/>
          <w:u w:val="single"/>
        </w:rPr>
        <w:t>特殊或</w:t>
      </w:r>
      <w:proofErr w:type="gramStart"/>
      <w:r w:rsidR="00C93B62" w:rsidRPr="00C648BD">
        <w:rPr>
          <w:rFonts w:hint="eastAsia"/>
          <w:b/>
          <w:u w:val="single"/>
        </w:rPr>
        <w:t>鉅</w:t>
      </w:r>
      <w:proofErr w:type="gramEnd"/>
      <w:r w:rsidR="00C93B62" w:rsidRPr="00C648BD">
        <w:rPr>
          <w:rFonts w:hint="eastAsia"/>
          <w:b/>
          <w:u w:val="single"/>
        </w:rPr>
        <w:t>大</w:t>
      </w:r>
      <w:r w:rsidR="00C93B62" w:rsidRPr="00C93B62">
        <w:rPr>
          <w:rFonts w:hint="eastAsia"/>
        </w:rPr>
        <w:t>工程，必須具有相當之工程經驗、實績暨財力、設備等之廠商始能擔任者，主辦工程機關</w:t>
      </w:r>
      <w:r w:rsidR="00C93B62" w:rsidRPr="00C93B62">
        <w:rPr>
          <w:rFonts w:hint="eastAsia"/>
          <w:b/>
        </w:rPr>
        <w:lastRenderedPageBreak/>
        <w:t>『得』</w:t>
      </w:r>
      <w:r w:rsidR="00C93B62" w:rsidRPr="00C93B62">
        <w:rPr>
          <w:rFonts w:hint="eastAsia"/>
        </w:rPr>
        <w:t>規定投標資格。」、「第6點之工程投標廠商資格審查項目及應附資料如左：…</w:t>
      </w:r>
      <w:proofErr w:type="gramStart"/>
      <w:r w:rsidR="00C93B62" w:rsidRPr="00C93B62">
        <w:rPr>
          <w:rFonts w:hint="eastAsia"/>
        </w:rPr>
        <w:t>…</w:t>
      </w:r>
      <w:proofErr w:type="gramEnd"/>
      <w:r w:rsidR="00C93B62" w:rsidRPr="00C93B62">
        <w:rPr>
          <w:rFonts w:hint="eastAsia"/>
        </w:rPr>
        <w:t>（二）工程實績：最近5年完成同性質或相當之工程，其一次金額應不低於招標工程預算金額之三分之一，或累計金額不低於招標工程預算金額為原則。…</w:t>
      </w:r>
      <w:proofErr w:type="gramStart"/>
      <w:r w:rsidR="00C93B62" w:rsidRPr="00C93B62">
        <w:rPr>
          <w:rFonts w:hint="eastAsia"/>
        </w:rPr>
        <w:t>…</w:t>
      </w:r>
      <w:proofErr w:type="gramEnd"/>
      <w:r w:rsidR="00C93B62" w:rsidRPr="00C93B62">
        <w:rPr>
          <w:rFonts w:hint="eastAsia"/>
        </w:rPr>
        <w:t>」。</w:t>
      </w:r>
      <w:r w:rsidR="00C93B62">
        <w:rPr>
          <w:rFonts w:hint="eastAsia"/>
        </w:rPr>
        <w:t>經臺灣省政府76年8月17日</w:t>
      </w:r>
      <w:r w:rsidR="0092454C">
        <w:rPr>
          <w:rFonts w:hint="eastAsia"/>
        </w:rPr>
        <w:t>76</w:t>
      </w:r>
      <w:r w:rsidR="00C93B62">
        <w:rPr>
          <w:rFonts w:hint="eastAsia"/>
        </w:rPr>
        <w:t>府建四字第70253</w:t>
      </w:r>
      <w:r w:rsidR="0092454C">
        <w:rPr>
          <w:rFonts w:hint="eastAsia"/>
        </w:rPr>
        <w:t>號</w:t>
      </w:r>
      <w:r w:rsidR="00C93B62">
        <w:rPr>
          <w:rFonts w:hint="eastAsia"/>
        </w:rPr>
        <w:t>函</w:t>
      </w:r>
      <w:proofErr w:type="gramStart"/>
      <w:r w:rsidR="00C93B62">
        <w:rPr>
          <w:rFonts w:hint="eastAsia"/>
        </w:rPr>
        <w:t>轉頒該注意事項</w:t>
      </w:r>
      <w:proofErr w:type="gramEnd"/>
      <w:r w:rsidR="00C93B62">
        <w:rPr>
          <w:rFonts w:hint="eastAsia"/>
        </w:rPr>
        <w:t>，惟該函說明二：「本省營</w:t>
      </w:r>
      <w:proofErr w:type="gramStart"/>
      <w:r w:rsidR="00C93B62">
        <w:rPr>
          <w:rFonts w:hint="eastAsia"/>
        </w:rPr>
        <w:t>繕</w:t>
      </w:r>
      <w:proofErr w:type="gramEnd"/>
      <w:r w:rsidR="00C93B62">
        <w:rPr>
          <w:rFonts w:hint="eastAsia"/>
        </w:rPr>
        <w:t>工程</w:t>
      </w:r>
      <w:r w:rsidR="00C93B62" w:rsidRPr="00984532">
        <w:rPr>
          <w:rFonts w:hint="eastAsia"/>
        </w:rPr>
        <w:t>投標須知未配合修正前</w:t>
      </w:r>
      <w:r w:rsidR="00C93B62">
        <w:rPr>
          <w:rFonts w:hint="eastAsia"/>
        </w:rPr>
        <w:t>，兩者不符部分，應依本注意事項規定辦理。」</w:t>
      </w:r>
      <w:proofErr w:type="gramStart"/>
      <w:r w:rsidR="00C93B62">
        <w:rPr>
          <w:rFonts w:hint="eastAsia"/>
        </w:rPr>
        <w:t>嗣</w:t>
      </w:r>
      <w:proofErr w:type="gramEnd"/>
      <w:r w:rsidR="00C93B62" w:rsidRPr="00C648BD">
        <w:rPr>
          <w:rFonts w:hint="eastAsia"/>
          <w:b/>
          <w:u w:val="single"/>
        </w:rPr>
        <w:t>臺灣省政府78年1月6日78府建四字</w:t>
      </w:r>
      <w:proofErr w:type="gramStart"/>
      <w:r w:rsidR="00C93B62" w:rsidRPr="00C648BD">
        <w:rPr>
          <w:rFonts w:hint="eastAsia"/>
          <w:b/>
          <w:u w:val="single"/>
        </w:rPr>
        <w:t>第141030號函</w:t>
      </w:r>
      <w:r w:rsidR="00984532">
        <w:rPr>
          <w:rFonts w:hint="eastAsia"/>
        </w:rPr>
        <w:t>乃配合</w:t>
      </w:r>
      <w:proofErr w:type="gramEnd"/>
      <w:r w:rsidR="00C93B62" w:rsidRPr="00C93B62">
        <w:rPr>
          <w:rFonts w:hint="eastAsia"/>
        </w:rPr>
        <w:t>修正「臺灣省各機關營</w:t>
      </w:r>
      <w:proofErr w:type="gramStart"/>
      <w:r w:rsidR="00C93B62" w:rsidRPr="00C93B62">
        <w:rPr>
          <w:rFonts w:hint="eastAsia"/>
        </w:rPr>
        <w:t>繕</w:t>
      </w:r>
      <w:proofErr w:type="gramEnd"/>
      <w:r w:rsidR="00C93B62" w:rsidRPr="00C93B62">
        <w:rPr>
          <w:rFonts w:hint="eastAsia"/>
        </w:rPr>
        <w:t>工程投標須知及附件」第2點規定：「工程招標</w:t>
      </w:r>
      <w:r w:rsidR="00C93B62" w:rsidRPr="00C648BD">
        <w:rPr>
          <w:rFonts w:hint="eastAsia"/>
          <w:b/>
          <w:u w:val="single"/>
        </w:rPr>
        <w:t>除</w:t>
      </w:r>
      <w:r w:rsidR="00C93B62" w:rsidRPr="00C93B62">
        <w:rPr>
          <w:rFonts w:hint="eastAsia"/>
        </w:rPr>
        <w:t>特殊、</w:t>
      </w:r>
      <w:proofErr w:type="gramStart"/>
      <w:r w:rsidR="00C93B62" w:rsidRPr="00C93B62">
        <w:rPr>
          <w:rFonts w:hint="eastAsia"/>
        </w:rPr>
        <w:t>鉅</w:t>
      </w:r>
      <w:proofErr w:type="gramEnd"/>
      <w:r w:rsidR="00C93B62" w:rsidRPr="00C93B62">
        <w:rPr>
          <w:rFonts w:hint="eastAsia"/>
        </w:rPr>
        <w:t>大工程或新工法、新技術得依有關法令規定，報請本府核准者外，應依有關法令規定辦理，</w:t>
      </w:r>
      <w:r w:rsidR="00C93B62" w:rsidRPr="00C648BD">
        <w:rPr>
          <w:rFonts w:hint="eastAsia"/>
          <w:b/>
          <w:u w:val="single"/>
        </w:rPr>
        <w:t>不得另行限制投標廠商資格</w:t>
      </w:r>
      <w:r w:rsidR="00C93B62" w:rsidRPr="00C93B62">
        <w:rPr>
          <w:rFonts w:hint="eastAsia"/>
        </w:rPr>
        <w:t>。」</w:t>
      </w:r>
      <w:r w:rsidR="00C93B62">
        <w:rPr>
          <w:rFonts w:hint="eastAsia"/>
        </w:rPr>
        <w:t>而</w:t>
      </w:r>
      <w:r w:rsidR="00C93B62" w:rsidRPr="00C93B62">
        <w:rPr>
          <w:rFonts w:hint="eastAsia"/>
        </w:rPr>
        <w:t>臺灣省政府78年8月28日78府建4字第156182號函送「臺灣省對公共工程發包經常流標之因應措施」第3點招標方面</w:t>
      </w:r>
      <w:r w:rsidR="00C93B62">
        <w:rPr>
          <w:rFonts w:hint="eastAsia"/>
        </w:rPr>
        <w:t>亦</w:t>
      </w:r>
      <w:r w:rsidR="00C93B62" w:rsidRPr="00C93B62">
        <w:rPr>
          <w:rFonts w:hint="eastAsia"/>
        </w:rPr>
        <w:t>規定：「（一）依照規定妥為訂定投標資格，對於</w:t>
      </w:r>
      <w:r w:rsidR="00C93B62" w:rsidRPr="00C648BD">
        <w:rPr>
          <w:rFonts w:hint="eastAsia"/>
          <w:b/>
          <w:u w:val="single"/>
        </w:rPr>
        <w:t>一般</w:t>
      </w:r>
      <w:r w:rsidR="00C93B62" w:rsidRPr="00C93B62">
        <w:rPr>
          <w:rFonts w:hint="eastAsia"/>
        </w:rPr>
        <w:t>工程應</w:t>
      </w:r>
      <w:r w:rsidR="00C93B62" w:rsidRPr="00C648BD">
        <w:rPr>
          <w:rFonts w:hint="eastAsia"/>
          <w:u w:val="single"/>
        </w:rPr>
        <w:t>避免</w:t>
      </w:r>
      <w:r w:rsidR="00C93B62" w:rsidRPr="00C648BD">
        <w:rPr>
          <w:rFonts w:hint="eastAsia"/>
          <w:b/>
          <w:u w:val="single"/>
        </w:rPr>
        <w:t>不必要之限制</w:t>
      </w:r>
      <w:r w:rsidR="00C93B62" w:rsidRPr="00C93B62">
        <w:rPr>
          <w:rFonts w:hint="eastAsia"/>
        </w:rPr>
        <w:t>，導致無人投標。…</w:t>
      </w:r>
      <w:proofErr w:type="gramStart"/>
      <w:r w:rsidR="00C93B62" w:rsidRPr="00C93B62">
        <w:rPr>
          <w:rFonts w:hint="eastAsia"/>
        </w:rPr>
        <w:t>…</w:t>
      </w:r>
      <w:proofErr w:type="gramEnd"/>
      <w:r w:rsidR="00C93B62" w:rsidRPr="00C93B62">
        <w:rPr>
          <w:rFonts w:hint="eastAsia"/>
        </w:rPr>
        <w:t>」</w:t>
      </w:r>
      <w:r w:rsidR="00C93B62">
        <w:rPr>
          <w:rFonts w:hint="eastAsia"/>
        </w:rPr>
        <w:t>。</w:t>
      </w:r>
    </w:p>
    <w:p w:rsidR="00F822F8" w:rsidRDefault="00984532" w:rsidP="00984532">
      <w:pPr>
        <w:pStyle w:val="4"/>
      </w:pPr>
      <w:r>
        <w:rPr>
          <w:rFonts w:hint="eastAsia"/>
        </w:rPr>
        <w:t>確定判決理由</w:t>
      </w:r>
      <w:r w:rsidR="00F822F8">
        <w:rPr>
          <w:rFonts w:hint="eastAsia"/>
        </w:rPr>
        <w:t>違反一般法律解釋原則，有</w:t>
      </w:r>
      <w:r w:rsidRPr="00984532">
        <w:rPr>
          <w:rFonts w:hint="eastAsia"/>
        </w:rPr>
        <w:t>適用法則</w:t>
      </w:r>
      <w:r w:rsidR="00864043">
        <w:rPr>
          <w:rFonts w:hint="eastAsia"/>
        </w:rPr>
        <w:t>不當</w:t>
      </w:r>
      <w:r w:rsidRPr="00984532">
        <w:rPr>
          <w:rFonts w:hint="eastAsia"/>
        </w:rPr>
        <w:t>或消極不適用法則之違誤</w:t>
      </w:r>
      <w:r>
        <w:rPr>
          <w:rFonts w:hint="eastAsia"/>
        </w:rPr>
        <w:t>：</w:t>
      </w:r>
    </w:p>
    <w:p w:rsidR="007D4017" w:rsidRDefault="00C93B62" w:rsidP="00984532">
      <w:pPr>
        <w:pStyle w:val="5"/>
      </w:pPr>
      <w:r>
        <w:rPr>
          <w:rFonts w:hint="eastAsia"/>
        </w:rPr>
        <w:t>自上開相關法令觀之，</w:t>
      </w:r>
      <w:r w:rsidRPr="00C93B62">
        <w:rPr>
          <w:rFonts w:hint="eastAsia"/>
        </w:rPr>
        <w:t>「行政院暨所屬各機關營</w:t>
      </w:r>
      <w:proofErr w:type="gramStart"/>
      <w:r w:rsidRPr="00C93B62">
        <w:rPr>
          <w:rFonts w:hint="eastAsia"/>
        </w:rPr>
        <w:t>繕</w:t>
      </w:r>
      <w:proofErr w:type="gramEnd"/>
      <w:r w:rsidRPr="00C93B62">
        <w:rPr>
          <w:rFonts w:hint="eastAsia"/>
        </w:rPr>
        <w:t>工程招標注意事項」</w:t>
      </w:r>
      <w:r>
        <w:rPr>
          <w:rFonts w:hint="eastAsia"/>
        </w:rPr>
        <w:t>第6點之用語為「得」，則依</w:t>
      </w:r>
      <w:r w:rsidR="000A786D">
        <w:rPr>
          <w:rFonts w:hint="eastAsia"/>
        </w:rPr>
        <w:t>法律之文義</w:t>
      </w:r>
      <w:r>
        <w:rPr>
          <w:rFonts w:hint="eastAsia"/>
        </w:rPr>
        <w:t>解釋，</w:t>
      </w:r>
      <w:r w:rsidR="000A786D">
        <w:rPr>
          <w:rFonts w:hint="eastAsia"/>
        </w:rPr>
        <w:t>主辦工程機關本得決定是否為投標資格限制，復依該規定之目的解釋，該注意事項第6點前段係在處理特殊或</w:t>
      </w:r>
      <w:proofErr w:type="gramStart"/>
      <w:r w:rsidR="000A786D">
        <w:rPr>
          <w:rFonts w:hint="eastAsia"/>
        </w:rPr>
        <w:t>鉅</w:t>
      </w:r>
      <w:proofErr w:type="gramEnd"/>
      <w:r w:rsidR="000A786D">
        <w:rPr>
          <w:rFonts w:hint="eastAsia"/>
        </w:rPr>
        <w:t>大工程之廠商資格，而依</w:t>
      </w:r>
      <w:r w:rsidR="007032E0">
        <w:rPr>
          <w:rFonts w:hint="eastAsia"/>
        </w:rPr>
        <w:t>工程</w:t>
      </w:r>
      <w:r w:rsidR="000A786D">
        <w:rPr>
          <w:rFonts w:hint="eastAsia"/>
        </w:rPr>
        <w:t>招標一般情形，除有限制廠商資格以保證工程品質之考量外，亦有避免限制廠商資格以造成不公平競爭或量身打造資格而形成綁標、圍標之情事，故主辦工程</w:t>
      </w:r>
      <w:r w:rsidR="000A786D">
        <w:rPr>
          <w:rFonts w:hint="eastAsia"/>
        </w:rPr>
        <w:lastRenderedPageBreak/>
        <w:t>機關於</w:t>
      </w:r>
      <w:r w:rsidR="007032E0">
        <w:rPr>
          <w:rFonts w:hint="eastAsia"/>
        </w:rPr>
        <w:t>是否限制廠商資格，</w:t>
      </w:r>
      <w:r w:rsidR="000A786D">
        <w:rPr>
          <w:rFonts w:hint="eastAsia"/>
        </w:rPr>
        <w:t>實</w:t>
      </w:r>
      <w:r w:rsidR="007032E0">
        <w:rPr>
          <w:rFonts w:hint="eastAsia"/>
        </w:rPr>
        <w:t>應於個案</w:t>
      </w:r>
      <w:r w:rsidR="000A786D">
        <w:rPr>
          <w:rFonts w:hint="eastAsia"/>
        </w:rPr>
        <w:t>有裁量之權限。是依文義解釋或目的解釋，</w:t>
      </w:r>
      <w:r w:rsidR="000A786D" w:rsidRPr="00C93B62">
        <w:rPr>
          <w:rFonts w:hint="eastAsia"/>
        </w:rPr>
        <w:t>「行政院暨所屬各機關營</w:t>
      </w:r>
      <w:proofErr w:type="gramStart"/>
      <w:r w:rsidR="000A786D" w:rsidRPr="00C93B62">
        <w:rPr>
          <w:rFonts w:hint="eastAsia"/>
        </w:rPr>
        <w:t>繕</w:t>
      </w:r>
      <w:proofErr w:type="gramEnd"/>
      <w:r w:rsidR="000A786D" w:rsidRPr="00C93B62">
        <w:rPr>
          <w:rFonts w:hint="eastAsia"/>
        </w:rPr>
        <w:t>工程招標注意事項」</w:t>
      </w:r>
      <w:r w:rsidR="007032E0">
        <w:rPr>
          <w:rFonts w:hint="eastAsia"/>
        </w:rPr>
        <w:t>第6點所規定特殊、</w:t>
      </w:r>
      <w:proofErr w:type="gramStart"/>
      <w:r w:rsidR="007032E0">
        <w:rPr>
          <w:rFonts w:hint="eastAsia"/>
        </w:rPr>
        <w:t>鉅</w:t>
      </w:r>
      <w:proofErr w:type="gramEnd"/>
      <w:r w:rsidR="007032E0">
        <w:rPr>
          <w:rFonts w:hint="eastAsia"/>
        </w:rPr>
        <w:t>大工程，廠商資格是否限制，主辦工程機關應有裁量之權限，而縱使原先已報准限制，嗣後因應</w:t>
      </w:r>
      <w:r w:rsidR="00AD6BD7">
        <w:rPr>
          <w:rFonts w:hint="eastAsia"/>
        </w:rPr>
        <w:t>先前</w:t>
      </w:r>
      <w:r w:rsidR="007032E0">
        <w:rPr>
          <w:rFonts w:hint="eastAsia"/>
        </w:rPr>
        <w:t>2</w:t>
      </w:r>
      <w:r w:rsidR="00984532">
        <w:rPr>
          <w:rFonts w:hint="eastAsia"/>
        </w:rPr>
        <w:t>次流標</w:t>
      </w:r>
      <w:r w:rsidR="0033133B">
        <w:rPr>
          <w:rFonts w:hint="eastAsia"/>
        </w:rPr>
        <w:t>而放寬資格限制，依</w:t>
      </w:r>
      <w:r w:rsidR="007032E0" w:rsidRPr="00AD3AB0">
        <w:rPr>
          <w:rFonts w:ascii="Times New Roman" w:hAnsi="Times New Roman" w:hint="eastAsia"/>
        </w:rPr>
        <w:t>營建署</w:t>
      </w:r>
      <w:r w:rsidR="007032E0" w:rsidRPr="00AD3AB0">
        <w:rPr>
          <w:rFonts w:ascii="Times New Roman" w:hAnsi="Times New Roman"/>
        </w:rPr>
        <w:t>89</w:t>
      </w:r>
      <w:r w:rsidR="007032E0" w:rsidRPr="00AD3AB0">
        <w:rPr>
          <w:rFonts w:ascii="Times New Roman" w:hAnsi="Times New Roman" w:hint="eastAsia"/>
        </w:rPr>
        <w:t>年</w:t>
      </w:r>
      <w:r w:rsidR="007032E0" w:rsidRPr="00AD3AB0">
        <w:rPr>
          <w:rFonts w:ascii="Times New Roman" w:hAnsi="Times New Roman"/>
        </w:rPr>
        <w:t>9</w:t>
      </w:r>
      <w:r w:rsidR="007032E0" w:rsidRPr="00AD3AB0">
        <w:rPr>
          <w:rFonts w:ascii="Times New Roman" w:hAnsi="Times New Roman" w:hint="eastAsia"/>
        </w:rPr>
        <w:t>月</w:t>
      </w:r>
      <w:r w:rsidR="007032E0" w:rsidRPr="00AD3AB0">
        <w:rPr>
          <w:rFonts w:ascii="Times New Roman" w:hAnsi="Times New Roman"/>
        </w:rPr>
        <w:t>26</w:t>
      </w:r>
      <w:r w:rsidR="007032E0" w:rsidRPr="00AD3AB0">
        <w:rPr>
          <w:rFonts w:ascii="Times New Roman" w:hAnsi="Times New Roman" w:hint="eastAsia"/>
        </w:rPr>
        <w:t>日</w:t>
      </w:r>
      <w:r w:rsidR="007032E0" w:rsidRPr="00AD3AB0">
        <w:rPr>
          <w:rFonts w:ascii="Times New Roman" w:hAnsi="Times New Roman" w:hint="eastAsia"/>
        </w:rPr>
        <w:t>89</w:t>
      </w:r>
      <w:proofErr w:type="gramStart"/>
      <w:r w:rsidR="007032E0" w:rsidRPr="00AD3AB0">
        <w:rPr>
          <w:rFonts w:ascii="Times New Roman" w:hAnsi="Times New Roman" w:hint="eastAsia"/>
        </w:rPr>
        <w:t>營署工務</w:t>
      </w:r>
      <w:proofErr w:type="gramEnd"/>
      <w:r w:rsidR="007032E0" w:rsidRPr="00AD3AB0">
        <w:rPr>
          <w:rFonts w:ascii="Times New Roman" w:hAnsi="Times New Roman" w:hint="eastAsia"/>
        </w:rPr>
        <w:t>字第</w:t>
      </w:r>
      <w:r w:rsidR="007032E0" w:rsidRPr="00AD3AB0">
        <w:rPr>
          <w:rFonts w:ascii="Times New Roman" w:hAnsi="Times New Roman" w:hint="eastAsia"/>
        </w:rPr>
        <w:t>35184</w:t>
      </w:r>
      <w:r w:rsidR="007032E0" w:rsidRPr="00AD3AB0">
        <w:rPr>
          <w:rFonts w:ascii="Times New Roman" w:hAnsi="Times New Roman" w:hint="eastAsia"/>
        </w:rPr>
        <w:t>號函復</w:t>
      </w:r>
      <w:r w:rsidR="002939B3">
        <w:rPr>
          <w:rFonts w:ascii="Times New Roman" w:hAnsi="Times New Roman" w:hint="eastAsia"/>
        </w:rPr>
        <w:t>原</w:t>
      </w:r>
      <w:r w:rsidR="007032E0">
        <w:rPr>
          <w:rFonts w:ascii="Times New Roman" w:hAnsi="Times New Roman" w:hint="eastAsia"/>
        </w:rPr>
        <w:t>臺灣</w:t>
      </w:r>
      <w:r w:rsidR="007032E0" w:rsidRPr="00AD3AB0">
        <w:rPr>
          <w:rFonts w:ascii="Times New Roman" w:hAnsi="Times New Roman" w:hint="eastAsia"/>
        </w:rPr>
        <w:t>板橋地方法院</w:t>
      </w:r>
      <w:r w:rsidR="007032E0">
        <w:rPr>
          <w:rFonts w:ascii="Times New Roman" w:hAnsi="Times New Roman" w:hint="eastAsia"/>
        </w:rPr>
        <w:t>(</w:t>
      </w:r>
      <w:r w:rsidR="005A47EA">
        <w:rPr>
          <w:rFonts w:ascii="Times New Roman" w:hAnsi="Times New Roman" w:hint="eastAsia"/>
        </w:rPr>
        <w:t>後改稱</w:t>
      </w:r>
      <w:r w:rsidR="007032E0">
        <w:rPr>
          <w:rFonts w:ascii="Times New Roman" w:hAnsi="Times New Roman" w:hint="eastAsia"/>
        </w:rPr>
        <w:t>為臺灣新北地方法院</w:t>
      </w:r>
      <w:r w:rsidR="007032E0">
        <w:rPr>
          <w:rFonts w:ascii="Times New Roman" w:hAnsi="Times New Roman" w:hint="eastAsia"/>
        </w:rPr>
        <w:t>)</w:t>
      </w:r>
      <w:r w:rsidR="007032E0" w:rsidRPr="00AD3AB0">
        <w:rPr>
          <w:rFonts w:ascii="Times New Roman" w:hAnsi="Times New Roman" w:hint="eastAsia"/>
        </w:rPr>
        <w:t>略</w:t>
      </w:r>
      <w:proofErr w:type="gramStart"/>
      <w:r w:rsidR="007032E0" w:rsidRPr="00AD3AB0">
        <w:rPr>
          <w:rFonts w:ascii="Times New Roman" w:hAnsi="Times New Roman" w:hint="eastAsia"/>
        </w:rPr>
        <w:t>以</w:t>
      </w:r>
      <w:proofErr w:type="gramEnd"/>
      <w:r w:rsidR="007032E0" w:rsidRPr="00AD3AB0">
        <w:rPr>
          <w:rFonts w:ascii="Times New Roman" w:hAnsi="Times New Roman" w:hint="eastAsia"/>
        </w:rPr>
        <w:t>：「核准後如須變更但係放寬或取消限制無須再報府核定；</w:t>
      </w:r>
      <w:proofErr w:type="gramStart"/>
      <w:r w:rsidR="007032E0" w:rsidRPr="00AD3AB0">
        <w:rPr>
          <w:rFonts w:ascii="Times New Roman" w:hAnsi="Times New Roman" w:hint="eastAsia"/>
        </w:rPr>
        <w:t>反之，</w:t>
      </w:r>
      <w:proofErr w:type="gramEnd"/>
      <w:r w:rsidR="007032E0" w:rsidRPr="00AD3AB0">
        <w:rPr>
          <w:rFonts w:ascii="Times New Roman" w:hAnsi="Times New Roman" w:hint="eastAsia"/>
        </w:rPr>
        <w:t>如有進一步限制廠商資格仍須報核。」工程會亦於</w:t>
      </w:r>
      <w:r w:rsidR="007032E0" w:rsidRPr="00AD3AB0">
        <w:rPr>
          <w:rFonts w:ascii="Times New Roman" w:hAnsi="Times New Roman"/>
        </w:rPr>
        <w:t>100</w:t>
      </w:r>
      <w:r w:rsidR="007032E0" w:rsidRPr="00AD3AB0">
        <w:rPr>
          <w:rFonts w:ascii="Times New Roman" w:hAnsi="Times New Roman" w:hint="eastAsia"/>
        </w:rPr>
        <w:t>年</w:t>
      </w:r>
      <w:r w:rsidR="007032E0" w:rsidRPr="00AD3AB0">
        <w:rPr>
          <w:rFonts w:ascii="Times New Roman" w:hAnsi="Times New Roman"/>
        </w:rPr>
        <w:t>1</w:t>
      </w:r>
      <w:r w:rsidR="007032E0" w:rsidRPr="00AD3AB0">
        <w:rPr>
          <w:rFonts w:ascii="Times New Roman" w:hAnsi="Times New Roman" w:hint="eastAsia"/>
        </w:rPr>
        <w:t>月</w:t>
      </w:r>
      <w:r w:rsidR="007032E0" w:rsidRPr="00AD3AB0">
        <w:rPr>
          <w:rFonts w:ascii="Times New Roman" w:hAnsi="Times New Roman"/>
        </w:rPr>
        <w:t>21</w:t>
      </w:r>
      <w:r w:rsidR="007032E0" w:rsidRPr="00AD3AB0">
        <w:rPr>
          <w:rFonts w:ascii="Times New Roman" w:hAnsi="Times New Roman" w:hint="eastAsia"/>
        </w:rPr>
        <w:t>日工程</w:t>
      </w:r>
      <w:proofErr w:type="gramStart"/>
      <w:r w:rsidR="007032E0" w:rsidRPr="00AD3AB0">
        <w:rPr>
          <w:rFonts w:ascii="Times New Roman" w:hAnsi="Times New Roman" w:hint="eastAsia"/>
        </w:rPr>
        <w:t>鑑</w:t>
      </w:r>
      <w:proofErr w:type="gramEnd"/>
      <w:r w:rsidR="007032E0" w:rsidRPr="00AD3AB0">
        <w:rPr>
          <w:rFonts w:ascii="Times New Roman" w:hAnsi="Times New Roman" w:hint="eastAsia"/>
        </w:rPr>
        <w:t>字第</w:t>
      </w:r>
      <w:r w:rsidR="007032E0" w:rsidRPr="00AD3AB0">
        <w:rPr>
          <w:rFonts w:ascii="Times New Roman" w:hAnsi="Times New Roman" w:hint="eastAsia"/>
        </w:rPr>
        <w:t>10000031420</w:t>
      </w:r>
      <w:r w:rsidR="007032E0" w:rsidRPr="00AD3AB0">
        <w:rPr>
          <w:rFonts w:ascii="Times New Roman" w:hAnsi="Times New Roman" w:hint="eastAsia"/>
        </w:rPr>
        <w:t>號函復臺灣高等法院諮詢意見略</w:t>
      </w:r>
      <w:proofErr w:type="gramStart"/>
      <w:r w:rsidR="007032E0" w:rsidRPr="00AD3AB0">
        <w:rPr>
          <w:rFonts w:ascii="Times New Roman" w:hAnsi="Times New Roman" w:hint="eastAsia"/>
        </w:rPr>
        <w:t>以</w:t>
      </w:r>
      <w:proofErr w:type="gramEnd"/>
      <w:r w:rsidR="007032E0" w:rsidRPr="00AD3AB0">
        <w:rPr>
          <w:rFonts w:ascii="Times New Roman" w:hAnsi="Times New Roman" w:hint="eastAsia"/>
        </w:rPr>
        <w:t>：「流標如為家數不足造成流標，則僅檢討承商資格限制及材料規範，屬各機關常見之辦理方式。」</w:t>
      </w:r>
      <w:r w:rsidR="007032E0">
        <w:rPr>
          <w:rFonts w:ascii="Times New Roman" w:hAnsi="Times New Roman" w:hint="eastAsia"/>
        </w:rPr>
        <w:t>等，足見</w:t>
      </w:r>
      <w:r w:rsidR="007032E0">
        <w:rPr>
          <w:rFonts w:hint="eastAsia"/>
        </w:rPr>
        <w:t>主辦工程機關對於嗣後是否放寬仍有</w:t>
      </w:r>
      <w:r w:rsidR="007032E0" w:rsidRPr="000C12D7">
        <w:rPr>
          <w:rFonts w:hint="eastAsia"/>
          <w:b/>
          <w:u w:val="single"/>
        </w:rPr>
        <w:t>裁量</w:t>
      </w:r>
      <w:r w:rsidR="007032E0">
        <w:rPr>
          <w:rFonts w:hint="eastAsia"/>
        </w:rPr>
        <w:t>之權限。</w:t>
      </w:r>
    </w:p>
    <w:p w:rsidR="00984532" w:rsidRDefault="007D4017" w:rsidP="00984532">
      <w:pPr>
        <w:pStyle w:val="5"/>
      </w:pPr>
      <w:r>
        <w:rPr>
          <w:rFonts w:hint="eastAsia"/>
        </w:rPr>
        <w:t>復參照臺灣省政府於76年8月17日轉頒行政院之注意</w:t>
      </w:r>
      <w:r w:rsidR="0092454C">
        <w:rPr>
          <w:rFonts w:hint="eastAsia"/>
        </w:rPr>
        <w:t>事項</w:t>
      </w:r>
      <w:r>
        <w:rPr>
          <w:rFonts w:hint="eastAsia"/>
        </w:rPr>
        <w:t>時於說明二稱：「本省營</w:t>
      </w:r>
      <w:proofErr w:type="gramStart"/>
      <w:r>
        <w:rPr>
          <w:rFonts w:hint="eastAsia"/>
        </w:rPr>
        <w:t>繕</w:t>
      </w:r>
      <w:proofErr w:type="gramEnd"/>
      <w:r>
        <w:rPr>
          <w:rFonts w:hint="eastAsia"/>
        </w:rPr>
        <w:t>工程</w:t>
      </w:r>
      <w:r w:rsidRPr="007D4017">
        <w:rPr>
          <w:rFonts w:hint="eastAsia"/>
        </w:rPr>
        <w:t>投標須知未配合修正前</w:t>
      </w:r>
      <w:r>
        <w:rPr>
          <w:rFonts w:hint="eastAsia"/>
        </w:rPr>
        <w:t>，兩者不符部分，應依本注意事項規定辦理。」</w:t>
      </w:r>
      <w:proofErr w:type="gramStart"/>
      <w:r>
        <w:rPr>
          <w:rFonts w:hint="eastAsia"/>
        </w:rPr>
        <w:t>嗣</w:t>
      </w:r>
      <w:proofErr w:type="gramEnd"/>
      <w:r w:rsidRPr="00C93B62">
        <w:rPr>
          <w:rFonts w:hint="eastAsia"/>
        </w:rPr>
        <w:t>臺灣省政府78年1月6日</w:t>
      </w:r>
      <w:r w:rsidR="00F822F8">
        <w:rPr>
          <w:rFonts w:hint="eastAsia"/>
        </w:rPr>
        <w:t>即配合</w:t>
      </w:r>
      <w:r w:rsidRPr="00C93B62">
        <w:rPr>
          <w:rFonts w:hint="eastAsia"/>
        </w:rPr>
        <w:t>修正「臺灣省各機關營</w:t>
      </w:r>
      <w:proofErr w:type="gramStart"/>
      <w:r w:rsidRPr="00C93B62">
        <w:rPr>
          <w:rFonts w:hint="eastAsia"/>
        </w:rPr>
        <w:t>繕</w:t>
      </w:r>
      <w:proofErr w:type="gramEnd"/>
      <w:r w:rsidRPr="00C93B62">
        <w:rPr>
          <w:rFonts w:hint="eastAsia"/>
        </w:rPr>
        <w:t>工程投標須知及附件」第2點規定</w:t>
      </w:r>
      <w:r w:rsidR="0092454C">
        <w:rPr>
          <w:rFonts w:hint="eastAsia"/>
        </w:rPr>
        <w:t>：</w:t>
      </w:r>
      <w:r w:rsidRPr="00C93B62">
        <w:rPr>
          <w:rFonts w:hint="eastAsia"/>
        </w:rPr>
        <w:t>「工程招標除特殊、</w:t>
      </w:r>
      <w:proofErr w:type="gramStart"/>
      <w:r w:rsidRPr="00C93B62">
        <w:rPr>
          <w:rFonts w:hint="eastAsia"/>
        </w:rPr>
        <w:t>鉅</w:t>
      </w:r>
      <w:proofErr w:type="gramEnd"/>
      <w:r w:rsidRPr="00C93B62">
        <w:rPr>
          <w:rFonts w:hint="eastAsia"/>
        </w:rPr>
        <w:t>大工程或新工法、新技術得依有關法令規定，報請本府核准者外，應依有關法令規定辦理，不得另行限制投標廠商資格。」</w:t>
      </w:r>
      <w:r>
        <w:rPr>
          <w:rFonts w:hint="eastAsia"/>
        </w:rPr>
        <w:t>而</w:t>
      </w:r>
      <w:r w:rsidRPr="00C93B62">
        <w:rPr>
          <w:rFonts w:hint="eastAsia"/>
        </w:rPr>
        <w:t>臺灣省政府78年8月28日78府建4字第156182號函送「臺灣省對公共工程發包經常流標之因應措施」第3點招標方面</w:t>
      </w:r>
      <w:r>
        <w:rPr>
          <w:rFonts w:hint="eastAsia"/>
        </w:rPr>
        <w:t>亦</w:t>
      </w:r>
      <w:r w:rsidRPr="00C93B62">
        <w:rPr>
          <w:rFonts w:hint="eastAsia"/>
        </w:rPr>
        <w:t>規定：「（一）依照規定妥為訂定投標資格，對於一般工程應避免不必要之限制，導致無人投標。…</w:t>
      </w:r>
      <w:proofErr w:type="gramStart"/>
      <w:r w:rsidRPr="00C93B62">
        <w:rPr>
          <w:rFonts w:hint="eastAsia"/>
        </w:rPr>
        <w:t>…</w:t>
      </w:r>
      <w:proofErr w:type="gramEnd"/>
      <w:r w:rsidRPr="00C93B62">
        <w:rPr>
          <w:rFonts w:hint="eastAsia"/>
        </w:rPr>
        <w:t>」</w:t>
      </w:r>
      <w:r w:rsidR="00F822F8">
        <w:rPr>
          <w:rFonts w:hint="eastAsia"/>
        </w:rPr>
        <w:t>。細</w:t>
      </w:r>
      <w:proofErr w:type="gramStart"/>
      <w:r w:rsidR="00F822F8">
        <w:rPr>
          <w:rFonts w:hint="eastAsia"/>
        </w:rPr>
        <w:t>繹</w:t>
      </w:r>
      <w:proofErr w:type="gramEnd"/>
      <w:r w:rsidR="002939B3">
        <w:rPr>
          <w:rFonts w:hint="eastAsia"/>
        </w:rPr>
        <w:t>上舉臺灣省政府嗣後</w:t>
      </w:r>
      <w:r w:rsidR="002939B3">
        <w:rPr>
          <w:rFonts w:hint="eastAsia"/>
        </w:rPr>
        <w:lastRenderedPageBreak/>
        <w:t>修正或訂定之2</w:t>
      </w:r>
      <w:r>
        <w:rPr>
          <w:rFonts w:hint="eastAsia"/>
        </w:rPr>
        <w:t>種規則，</w:t>
      </w:r>
      <w:r w:rsidR="00F822F8">
        <w:rPr>
          <w:rFonts w:hint="eastAsia"/>
        </w:rPr>
        <w:t>僅為原則例外之體例用語差異，惟</w:t>
      </w:r>
      <w:r>
        <w:rPr>
          <w:rFonts w:hint="eastAsia"/>
        </w:rPr>
        <w:t>其</w:t>
      </w:r>
      <w:r w:rsidR="00F822F8">
        <w:rPr>
          <w:rFonts w:hint="eastAsia"/>
        </w:rPr>
        <w:t>實質</w:t>
      </w:r>
      <w:r>
        <w:rPr>
          <w:rFonts w:hint="eastAsia"/>
        </w:rPr>
        <w:t>內容與行政院之注意事項</w:t>
      </w:r>
      <w:r w:rsidR="00F822F8">
        <w:rPr>
          <w:rFonts w:hint="eastAsia"/>
        </w:rPr>
        <w:t>並無不同，足證</w:t>
      </w:r>
      <w:r>
        <w:rPr>
          <w:rFonts w:hint="eastAsia"/>
        </w:rPr>
        <w:t>對於</w:t>
      </w:r>
      <w:r w:rsidRPr="00C93B62">
        <w:rPr>
          <w:rFonts w:hint="eastAsia"/>
        </w:rPr>
        <w:t>特殊、</w:t>
      </w:r>
      <w:proofErr w:type="gramStart"/>
      <w:r w:rsidRPr="00C93B62">
        <w:rPr>
          <w:rFonts w:hint="eastAsia"/>
        </w:rPr>
        <w:t>鉅</w:t>
      </w:r>
      <w:proofErr w:type="gramEnd"/>
      <w:r w:rsidRPr="00C93B62">
        <w:rPr>
          <w:rFonts w:hint="eastAsia"/>
        </w:rPr>
        <w:t>大工程</w:t>
      </w:r>
      <w:r>
        <w:rPr>
          <w:rFonts w:hint="eastAsia"/>
        </w:rPr>
        <w:t>，得報請核准限制投標廠商資格，一般工程應</w:t>
      </w:r>
      <w:r w:rsidR="00F822F8">
        <w:rPr>
          <w:rFonts w:hint="eastAsia"/>
        </w:rPr>
        <w:t>避免不必要限制</w:t>
      </w:r>
      <w:proofErr w:type="gramStart"/>
      <w:r w:rsidR="00F822F8">
        <w:rPr>
          <w:rFonts w:hint="eastAsia"/>
        </w:rPr>
        <w:t>之旨並無</w:t>
      </w:r>
      <w:proofErr w:type="gramEnd"/>
      <w:r w:rsidR="00F822F8">
        <w:rPr>
          <w:rFonts w:hint="eastAsia"/>
        </w:rPr>
        <w:t>二致，尚</w:t>
      </w:r>
      <w:r>
        <w:rPr>
          <w:rFonts w:hint="eastAsia"/>
        </w:rPr>
        <w:t>無特別規定</w:t>
      </w:r>
      <w:r w:rsidRPr="00C93B62">
        <w:rPr>
          <w:rFonts w:hint="eastAsia"/>
        </w:rPr>
        <w:t>特殊、</w:t>
      </w:r>
      <w:proofErr w:type="gramStart"/>
      <w:r w:rsidRPr="00C93B62">
        <w:rPr>
          <w:rFonts w:hint="eastAsia"/>
        </w:rPr>
        <w:t>鉅</w:t>
      </w:r>
      <w:proofErr w:type="gramEnd"/>
      <w:r w:rsidRPr="00C93B62">
        <w:rPr>
          <w:rFonts w:hint="eastAsia"/>
        </w:rPr>
        <w:t>大工程</w:t>
      </w:r>
      <w:r>
        <w:rPr>
          <w:rFonts w:hint="eastAsia"/>
        </w:rPr>
        <w:t>即</w:t>
      </w:r>
      <w:r w:rsidR="00F822F8">
        <w:rPr>
          <w:rFonts w:hint="eastAsia"/>
        </w:rPr>
        <w:t>應</w:t>
      </w:r>
      <w:r>
        <w:rPr>
          <w:rFonts w:hint="eastAsia"/>
        </w:rPr>
        <w:t>一律限制廠商資格，更遑論</w:t>
      </w:r>
      <w:r w:rsidR="00F822F8">
        <w:rPr>
          <w:rFonts w:hint="eastAsia"/>
        </w:rPr>
        <w:t>原已限制廠商資格，</w:t>
      </w:r>
      <w:proofErr w:type="gramStart"/>
      <w:r w:rsidR="00F822F8">
        <w:rPr>
          <w:rFonts w:hint="eastAsia"/>
        </w:rPr>
        <w:t>嗣</w:t>
      </w:r>
      <w:proofErr w:type="gramEnd"/>
      <w:r w:rsidR="00F822F8">
        <w:rPr>
          <w:rFonts w:hint="eastAsia"/>
        </w:rPr>
        <w:t>因多次流標而解除廠商資格限制等</w:t>
      </w:r>
      <w:r w:rsidR="00F822F8" w:rsidRPr="0008494B">
        <w:rPr>
          <w:rFonts w:hint="eastAsia"/>
          <w:u w:val="single"/>
        </w:rPr>
        <w:t>各機關常見</w:t>
      </w:r>
      <w:r w:rsidR="00F822F8">
        <w:rPr>
          <w:rFonts w:hint="eastAsia"/>
        </w:rPr>
        <w:t>辦理方式係屬違法。</w:t>
      </w:r>
      <w:r w:rsidR="000B2FDE">
        <w:t xml:space="preserve"> </w:t>
      </w:r>
    </w:p>
    <w:p w:rsidR="00C93B62" w:rsidRDefault="00984532" w:rsidP="00E667D7">
      <w:pPr>
        <w:pStyle w:val="5"/>
      </w:pPr>
      <w:r>
        <w:rPr>
          <w:rFonts w:hint="eastAsia"/>
        </w:rPr>
        <w:t>綜上，</w:t>
      </w:r>
      <w:r w:rsidR="00F822F8" w:rsidRPr="007D4017">
        <w:rPr>
          <w:rFonts w:hint="eastAsia"/>
        </w:rPr>
        <w:t>確定判決理由</w:t>
      </w:r>
      <w:r w:rsidR="00F822F8">
        <w:rPr>
          <w:rFonts w:hint="eastAsia"/>
        </w:rPr>
        <w:t>認為被告等人違反「行政院暨所屬各機關營</w:t>
      </w:r>
      <w:proofErr w:type="gramStart"/>
      <w:r w:rsidR="00F822F8">
        <w:rPr>
          <w:rFonts w:hint="eastAsia"/>
        </w:rPr>
        <w:t>繕</w:t>
      </w:r>
      <w:proofErr w:type="gramEnd"/>
      <w:r w:rsidR="00F822F8">
        <w:rPr>
          <w:rFonts w:hint="eastAsia"/>
        </w:rPr>
        <w:t>工程招標注意事項」</w:t>
      </w:r>
      <w:r w:rsidR="00F822F8" w:rsidRPr="007D4017">
        <w:rPr>
          <w:rFonts w:hint="eastAsia"/>
        </w:rPr>
        <w:t>第6、7點之規定</w:t>
      </w:r>
      <w:r w:rsidR="00F822F8">
        <w:rPr>
          <w:rFonts w:hint="eastAsia"/>
        </w:rPr>
        <w:t>，</w:t>
      </w:r>
      <w:r w:rsidR="00F822F8" w:rsidRPr="0094154B">
        <w:rPr>
          <w:rFonts w:hint="eastAsia"/>
          <w:b/>
          <w:u w:val="single"/>
        </w:rPr>
        <w:t>似將該注意事項第6點解</w:t>
      </w:r>
      <w:r w:rsidR="009D3A91">
        <w:rPr>
          <w:rFonts w:hint="eastAsia"/>
          <w:b/>
          <w:u w:val="single"/>
        </w:rPr>
        <w:t>釋</w:t>
      </w:r>
      <w:r w:rsidR="00F822F8" w:rsidRPr="0094154B">
        <w:rPr>
          <w:rFonts w:hint="eastAsia"/>
          <w:b/>
          <w:u w:val="single"/>
        </w:rPr>
        <w:t>為主辦工程機關僅能限制資格而不得變更</w:t>
      </w:r>
      <w:r w:rsidR="00F822F8">
        <w:rPr>
          <w:rFonts w:hint="eastAsia"/>
        </w:rPr>
        <w:t>，</w:t>
      </w:r>
      <w:r w:rsidR="00E667D7" w:rsidRPr="0008494B">
        <w:rPr>
          <w:rFonts w:hint="eastAsia"/>
          <w:b/>
          <w:u w:val="single"/>
        </w:rPr>
        <w:t>顯然</w:t>
      </w:r>
      <w:proofErr w:type="gramStart"/>
      <w:r w:rsidR="00E667D7" w:rsidRPr="0008494B">
        <w:rPr>
          <w:rFonts w:hint="eastAsia"/>
          <w:b/>
          <w:u w:val="single"/>
        </w:rPr>
        <w:t>悖離</w:t>
      </w:r>
      <w:proofErr w:type="gramEnd"/>
      <w:r w:rsidR="00E667D7" w:rsidRPr="0008494B">
        <w:rPr>
          <w:rFonts w:hint="eastAsia"/>
          <w:b/>
          <w:u w:val="single"/>
        </w:rPr>
        <w:t>立法本旨</w:t>
      </w:r>
      <w:r w:rsidR="00E667D7">
        <w:rPr>
          <w:rFonts w:hint="eastAsia"/>
        </w:rPr>
        <w:t>，不符一般法律解釋原則，有乖一般法理</w:t>
      </w:r>
      <w:r w:rsidR="00F822F8">
        <w:rPr>
          <w:rFonts w:hint="eastAsia"/>
        </w:rPr>
        <w:t>，</w:t>
      </w:r>
      <w:r>
        <w:rPr>
          <w:rFonts w:hint="eastAsia"/>
        </w:rPr>
        <w:t>而有刑事訴訟法第3</w:t>
      </w:r>
      <w:r w:rsidR="00E667D7">
        <w:rPr>
          <w:rFonts w:hint="eastAsia"/>
        </w:rPr>
        <w:t>78條判決適用法則不當或消極不適用法則之違誤。</w:t>
      </w:r>
    </w:p>
    <w:p w:rsidR="007032E0" w:rsidRDefault="007D4017" w:rsidP="007D4017">
      <w:pPr>
        <w:pStyle w:val="4"/>
      </w:pPr>
      <w:r w:rsidRPr="007D4017">
        <w:rPr>
          <w:rFonts w:hint="eastAsia"/>
        </w:rPr>
        <w:t>確定判決理由</w:t>
      </w:r>
      <w:r w:rsidR="0033133B">
        <w:rPr>
          <w:rFonts w:hint="eastAsia"/>
        </w:rPr>
        <w:t>不予</w:t>
      </w:r>
      <w:proofErr w:type="gramStart"/>
      <w:r w:rsidR="0033133B">
        <w:rPr>
          <w:rFonts w:hint="eastAsia"/>
        </w:rPr>
        <w:t>採</w:t>
      </w:r>
      <w:proofErr w:type="gramEnd"/>
      <w:r w:rsidR="0033133B">
        <w:rPr>
          <w:rFonts w:hint="eastAsia"/>
        </w:rPr>
        <w:t>認</w:t>
      </w:r>
      <w:r w:rsidR="00E667D7">
        <w:rPr>
          <w:rFonts w:hint="eastAsia"/>
        </w:rPr>
        <w:t>營建署及工程會</w:t>
      </w:r>
      <w:r w:rsidRPr="007D4017">
        <w:rPr>
          <w:rFonts w:hint="eastAsia"/>
        </w:rPr>
        <w:t>鑑定意見，</w:t>
      </w:r>
      <w:proofErr w:type="gramStart"/>
      <w:r w:rsidR="00E667D7">
        <w:rPr>
          <w:rFonts w:hint="eastAsia"/>
        </w:rPr>
        <w:t>逕</w:t>
      </w:r>
      <w:proofErr w:type="gramEnd"/>
      <w:r w:rsidR="00E667D7">
        <w:rPr>
          <w:rFonts w:hint="eastAsia"/>
        </w:rPr>
        <w:t>以</w:t>
      </w:r>
      <w:r w:rsidR="005367CF">
        <w:rPr>
          <w:rFonts w:hint="eastAsia"/>
        </w:rPr>
        <w:t>「仍不得違背</w:t>
      </w:r>
      <w:r w:rsidRPr="007D4017">
        <w:rPr>
          <w:rFonts w:hint="eastAsia"/>
        </w:rPr>
        <w:t>『行政院暨所屬各機關營</w:t>
      </w:r>
      <w:proofErr w:type="gramStart"/>
      <w:r w:rsidRPr="007D4017">
        <w:rPr>
          <w:rFonts w:hint="eastAsia"/>
        </w:rPr>
        <w:t>繕</w:t>
      </w:r>
      <w:proofErr w:type="gramEnd"/>
      <w:r w:rsidRPr="007D4017">
        <w:rPr>
          <w:rFonts w:hint="eastAsia"/>
        </w:rPr>
        <w:t>工程招標注意事項』第6、7點之規定」</w:t>
      </w:r>
      <w:r w:rsidR="00E667D7">
        <w:rPr>
          <w:rFonts w:hint="eastAsia"/>
        </w:rPr>
        <w:t>等語認定</w:t>
      </w:r>
      <w:r w:rsidRPr="007D4017">
        <w:rPr>
          <w:rFonts w:hint="eastAsia"/>
        </w:rPr>
        <w:t>，</w:t>
      </w:r>
      <w:r w:rsidR="00E667D7">
        <w:rPr>
          <w:rFonts w:hint="eastAsia"/>
        </w:rPr>
        <w:t>未敘明不</w:t>
      </w:r>
      <w:proofErr w:type="gramStart"/>
      <w:r w:rsidR="00E667D7">
        <w:rPr>
          <w:rFonts w:hint="eastAsia"/>
        </w:rPr>
        <w:t>採</w:t>
      </w:r>
      <w:proofErr w:type="gramEnd"/>
      <w:r w:rsidR="00E667D7">
        <w:rPr>
          <w:rFonts w:hint="eastAsia"/>
        </w:rPr>
        <w:t>之理由，有判決不備理由之違誤，亦顯不足以作為適用法律當否之</w:t>
      </w:r>
      <w:proofErr w:type="gramStart"/>
      <w:r w:rsidR="00E667D7">
        <w:rPr>
          <w:rFonts w:hint="eastAsia"/>
        </w:rPr>
        <w:t>準</w:t>
      </w:r>
      <w:proofErr w:type="gramEnd"/>
      <w:r w:rsidR="00E667D7">
        <w:rPr>
          <w:rFonts w:hint="eastAsia"/>
        </w:rPr>
        <w:t>據：</w:t>
      </w:r>
    </w:p>
    <w:p w:rsidR="00E667D7" w:rsidRDefault="0033133B" w:rsidP="00E667D7">
      <w:pPr>
        <w:pStyle w:val="5"/>
      </w:pPr>
      <w:r>
        <w:rPr>
          <w:rFonts w:hint="eastAsia"/>
        </w:rPr>
        <w:t>依據前開所述</w:t>
      </w:r>
      <w:r w:rsidR="0008494B">
        <w:rPr>
          <w:rFonts w:hint="eastAsia"/>
        </w:rPr>
        <w:t>，</w:t>
      </w:r>
      <w:r w:rsidR="00E667D7">
        <w:rPr>
          <w:rFonts w:hint="eastAsia"/>
        </w:rPr>
        <w:t>營建署</w:t>
      </w:r>
      <w:r w:rsidR="00623474" w:rsidRPr="00AD3AB0">
        <w:rPr>
          <w:rFonts w:ascii="Times New Roman" w:hAnsi="Times New Roman"/>
        </w:rPr>
        <w:t>89</w:t>
      </w:r>
      <w:r w:rsidR="00623474" w:rsidRPr="00AD3AB0">
        <w:rPr>
          <w:rFonts w:ascii="Times New Roman" w:hAnsi="Times New Roman" w:hint="eastAsia"/>
        </w:rPr>
        <w:t>年</w:t>
      </w:r>
      <w:r w:rsidR="00623474" w:rsidRPr="00AD3AB0">
        <w:rPr>
          <w:rFonts w:ascii="Times New Roman" w:hAnsi="Times New Roman"/>
        </w:rPr>
        <w:t>9</w:t>
      </w:r>
      <w:r w:rsidR="00623474" w:rsidRPr="00AD3AB0">
        <w:rPr>
          <w:rFonts w:ascii="Times New Roman" w:hAnsi="Times New Roman" w:hint="eastAsia"/>
        </w:rPr>
        <w:t>月</w:t>
      </w:r>
      <w:r w:rsidR="00623474" w:rsidRPr="00AD3AB0">
        <w:rPr>
          <w:rFonts w:ascii="Times New Roman" w:hAnsi="Times New Roman"/>
        </w:rPr>
        <w:t>26</w:t>
      </w:r>
      <w:r w:rsidR="00623474" w:rsidRPr="00AD3AB0">
        <w:rPr>
          <w:rFonts w:ascii="Times New Roman" w:hAnsi="Times New Roman" w:hint="eastAsia"/>
        </w:rPr>
        <w:t>日</w:t>
      </w:r>
      <w:r w:rsidR="00623474" w:rsidRPr="00AD3AB0">
        <w:rPr>
          <w:rFonts w:ascii="Times New Roman" w:hAnsi="Times New Roman" w:hint="eastAsia"/>
        </w:rPr>
        <w:t>89</w:t>
      </w:r>
      <w:proofErr w:type="gramStart"/>
      <w:r w:rsidR="00623474" w:rsidRPr="00AD3AB0">
        <w:rPr>
          <w:rFonts w:ascii="Times New Roman" w:hAnsi="Times New Roman" w:hint="eastAsia"/>
        </w:rPr>
        <w:t>營署工務</w:t>
      </w:r>
      <w:proofErr w:type="gramEnd"/>
      <w:r w:rsidR="00623474" w:rsidRPr="00AD3AB0">
        <w:rPr>
          <w:rFonts w:ascii="Times New Roman" w:hAnsi="Times New Roman" w:hint="eastAsia"/>
        </w:rPr>
        <w:t>字第</w:t>
      </w:r>
      <w:r w:rsidR="00623474" w:rsidRPr="00AD3AB0">
        <w:rPr>
          <w:rFonts w:ascii="Times New Roman" w:hAnsi="Times New Roman" w:hint="eastAsia"/>
        </w:rPr>
        <w:t>35184</w:t>
      </w:r>
      <w:r w:rsidR="00623474" w:rsidRPr="00AD3AB0">
        <w:rPr>
          <w:rFonts w:ascii="Times New Roman" w:hAnsi="Times New Roman" w:hint="eastAsia"/>
        </w:rPr>
        <w:t>號</w:t>
      </w:r>
      <w:r w:rsidR="0008494B" w:rsidRPr="00AD3AB0">
        <w:rPr>
          <w:rFonts w:ascii="Times New Roman" w:hAnsi="Times New Roman" w:hint="eastAsia"/>
        </w:rPr>
        <w:t>函</w:t>
      </w:r>
      <w:r w:rsidR="0008494B">
        <w:rPr>
          <w:rFonts w:ascii="Times New Roman" w:hAnsi="Times New Roman" w:hint="eastAsia"/>
        </w:rPr>
        <w:t>復：</w:t>
      </w:r>
      <w:r w:rsidR="0008494B">
        <w:rPr>
          <w:rFonts w:hAnsi="標楷體" w:hint="eastAsia"/>
        </w:rPr>
        <w:t>「</w:t>
      </w:r>
      <w:r w:rsidR="0008494B">
        <w:rPr>
          <w:rFonts w:hint="eastAsia"/>
        </w:rPr>
        <w:t>限制投標廠商資格於報經臺灣省政府核准後，如須變更，但係放寬或取消限制，</w:t>
      </w:r>
      <w:r w:rsidR="0008494B" w:rsidRPr="00323A90">
        <w:rPr>
          <w:rFonts w:hint="eastAsia"/>
          <w:b/>
          <w:u w:val="single"/>
        </w:rPr>
        <w:t>無須</w:t>
      </w:r>
      <w:r w:rsidR="0008494B">
        <w:rPr>
          <w:rFonts w:hint="eastAsia"/>
        </w:rPr>
        <w:t>再報府核定</w:t>
      </w:r>
      <w:r w:rsidR="0008494B">
        <w:rPr>
          <w:rFonts w:hAnsi="標楷體" w:hint="eastAsia"/>
        </w:rPr>
        <w:t>」，</w:t>
      </w:r>
      <w:r w:rsidR="00623474">
        <w:rPr>
          <w:rFonts w:ascii="Times New Roman" w:hAnsi="Times New Roman" w:hint="eastAsia"/>
        </w:rPr>
        <w:t>及</w:t>
      </w:r>
      <w:r w:rsidR="00623474" w:rsidRPr="00AD3AB0">
        <w:rPr>
          <w:rFonts w:ascii="Times New Roman" w:hAnsi="Times New Roman" w:hint="eastAsia"/>
        </w:rPr>
        <w:t>工程</w:t>
      </w:r>
      <w:r w:rsidR="00623474">
        <w:rPr>
          <w:rFonts w:ascii="Times New Roman" w:hAnsi="Times New Roman" w:hint="eastAsia"/>
        </w:rPr>
        <w:t>會</w:t>
      </w:r>
      <w:r w:rsidR="00623474" w:rsidRPr="00AD3AB0">
        <w:rPr>
          <w:rFonts w:ascii="Times New Roman" w:hAnsi="Times New Roman"/>
        </w:rPr>
        <w:t>100</w:t>
      </w:r>
      <w:r w:rsidR="00623474" w:rsidRPr="00AD3AB0">
        <w:rPr>
          <w:rFonts w:ascii="Times New Roman" w:hAnsi="Times New Roman" w:hint="eastAsia"/>
        </w:rPr>
        <w:t>年</w:t>
      </w:r>
      <w:r w:rsidR="00623474" w:rsidRPr="00AD3AB0">
        <w:rPr>
          <w:rFonts w:ascii="Times New Roman" w:hAnsi="Times New Roman"/>
        </w:rPr>
        <w:t>1</w:t>
      </w:r>
      <w:r w:rsidR="00623474" w:rsidRPr="00AD3AB0">
        <w:rPr>
          <w:rFonts w:ascii="Times New Roman" w:hAnsi="Times New Roman" w:hint="eastAsia"/>
        </w:rPr>
        <w:t>月</w:t>
      </w:r>
      <w:r w:rsidR="00623474" w:rsidRPr="00AD3AB0">
        <w:rPr>
          <w:rFonts w:ascii="Times New Roman" w:hAnsi="Times New Roman"/>
        </w:rPr>
        <w:t>21</w:t>
      </w:r>
      <w:r w:rsidR="00623474" w:rsidRPr="00AD3AB0">
        <w:rPr>
          <w:rFonts w:ascii="Times New Roman" w:hAnsi="Times New Roman" w:hint="eastAsia"/>
        </w:rPr>
        <w:t>日工程</w:t>
      </w:r>
      <w:proofErr w:type="gramStart"/>
      <w:r w:rsidR="00623474" w:rsidRPr="00AD3AB0">
        <w:rPr>
          <w:rFonts w:ascii="Times New Roman" w:hAnsi="Times New Roman" w:hint="eastAsia"/>
        </w:rPr>
        <w:t>鑑</w:t>
      </w:r>
      <w:proofErr w:type="gramEnd"/>
      <w:r w:rsidR="00623474" w:rsidRPr="00AD3AB0">
        <w:rPr>
          <w:rFonts w:ascii="Times New Roman" w:hAnsi="Times New Roman" w:hint="eastAsia"/>
        </w:rPr>
        <w:t>字第</w:t>
      </w:r>
      <w:r w:rsidR="00623474" w:rsidRPr="00AD3AB0">
        <w:rPr>
          <w:rFonts w:ascii="Times New Roman" w:hAnsi="Times New Roman" w:hint="eastAsia"/>
        </w:rPr>
        <w:t>10000031420</w:t>
      </w:r>
      <w:r w:rsidR="00623474" w:rsidRPr="00AD3AB0">
        <w:rPr>
          <w:rFonts w:ascii="Times New Roman" w:hAnsi="Times New Roman" w:hint="eastAsia"/>
        </w:rPr>
        <w:t>號函</w:t>
      </w:r>
      <w:r w:rsidR="0008494B">
        <w:rPr>
          <w:rFonts w:ascii="Times New Roman" w:hAnsi="Times New Roman" w:hint="eastAsia"/>
        </w:rPr>
        <w:t>：</w:t>
      </w:r>
      <w:r w:rsidR="0008494B">
        <w:rPr>
          <w:rFonts w:hAnsi="標楷體" w:hint="eastAsia"/>
        </w:rPr>
        <w:t>「</w:t>
      </w:r>
      <w:r w:rsidR="0008494B">
        <w:rPr>
          <w:rFonts w:hint="eastAsia"/>
        </w:rPr>
        <w:t>流標如為家數不足造成，則</w:t>
      </w:r>
      <w:r w:rsidR="0008494B" w:rsidRPr="00DD66DC">
        <w:rPr>
          <w:rFonts w:hint="eastAsia"/>
          <w:b/>
          <w:u w:val="single"/>
        </w:rPr>
        <w:t>檢討承商資格限制</w:t>
      </w:r>
      <w:r w:rsidR="0008494B">
        <w:rPr>
          <w:rFonts w:hint="eastAsia"/>
        </w:rPr>
        <w:t>及材料規範，係屬各機關</w:t>
      </w:r>
      <w:r w:rsidR="0008494B" w:rsidRPr="00DD66DC">
        <w:rPr>
          <w:rFonts w:hint="eastAsia"/>
          <w:b/>
          <w:u w:val="single"/>
        </w:rPr>
        <w:t>常見</w:t>
      </w:r>
      <w:r w:rsidR="0008494B">
        <w:rPr>
          <w:rFonts w:hint="eastAsia"/>
        </w:rPr>
        <w:t>之辦理方式</w:t>
      </w:r>
      <w:r w:rsidR="0008494B">
        <w:rPr>
          <w:rFonts w:hAnsi="標楷體" w:hint="eastAsia"/>
        </w:rPr>
        <w:t>」</w:t>
      </w:r>
      <w:r w:rsidR="00623474">
        <w:rPr>
          <w:rFonts w:ascii="Times New Roman" w:hAnsi="Times New Roman" w:hint="eastAsia"/>
        </w:rPr>
        <w:t>之鑑定意見，顯係對於被告</w:t>
      </w:r>
      <w:r w:rsidR="007550FD">
        <w:rPr>
          <w:rFonts w:ascii="Times New Roman" w:hAnsi="Times New Roman" w:hint="eastAsia"/>
        </w:rPr>
        <w:t>林文烈</w:t>
      </w:r>
      <w:r w:rsidR="00623474">
        <w:rPr>
          <w:rFonts w:ascii="Times New Roman" w:hAnsi="Times New Roman" w:hint="eastAsia"/>
        </w:rPr>
        <w:t>、</w:t>
      </w:r>
      <w:r w:rsidR="007550FD">
        <w:rPr>
          <w:rFonts w:ascii="Times New Roman" w:hAnsi="Times New Roman" w:hint="eastAsia"/>
        </w:rPr>
        <w:t>沈德亮</w:t>
      </w:r>
      <w:r w:rsidR="00623474">
        <w:rPr>
          <w:rFonts w:ascii="Times New Roman" w:hAnsi="Times New Roman" w:hint="eastAsia"/>
        </w:rPr>
        <w:t>有利事項，確定判決對於該等證據不予採納，則應依刑事訴訟法</w:t>
      </w:r>
      <w:r w:rsidR="00623474">
        <w:rPr>
          <w:rFonts w:hint="eastAsia"/>
        </w:rPr>
        <w:t>第310條第2款</w:t>
      </w:r>
      <w:r w:rsidR="009D3A91">
        <w:rPr>
          <w:rFonts w:hint="eastAsia"/>
        </w:rPr>
        <w:t>之規定</w:t>
      </w:r>
      <w:r w:rsidR="00623474">
        <w:rPr>
          <w:rFonts w:hint="eastAsia"/>
        </w:rPr>
        <w:t>於判決書內載明不</w:t>
      </w:r>
      <w:proofErr w:type="gramStart"/>
      <w:r w:rsidR="00623474">
        <w:rPr>
          <w:rFonts w:hint="eastAsia"/>
        </w:rPr>
        <w:lastRenderedPageBreak/>
        <w:t>採</w:t>
      </w:r>
      <w:proofErr w:type="gramEnd"/>
      <w:r w:rsidR="00623474">
        <w:rPr>
          <w:rFonts w:hint="eastAsia"/>
        </w:rPr>
        <w:t>之理由。</w:t>
      </w:r>
    </w:p>
    <w:p w:rsidR="00623474" w:rsidRDefault="0033133B" w:rsidP="00E667D7">
      <w:pPr>
        <w:pStyle w:val="5"/>
      </w:pPr>
      <w:r>
        <w:rPr>
          <w:rFonts w:hint="eastAsia"/>
        </w:rPr>
        <w:t>然確定判決對於上開</w:t>
      </w:r>
      <w:r w:rsidR="00623474">
        <w:rPr>
          <w:rFonts w:hint="eastAsia"/>
        </w:rPr>
        <w:t>營建署及工程會</w:t>
      </w:r>
      <w:r w:rsidR="00623474" w:rsidRPr="007D4017">
        <w:rPr>
          <w:rFonts w:hint="eastAsia"/>
        </w:rPr>
        <w:t>鑑定意見</w:t>
      </w:r>
      <w:r w:rsidR="00623474">
        <w:rPr>
          <w:rFonts w:hint="eastAsia"/>
        </w:rPr>
        <w:t>，</w:t>
      </w:r>
      <w:r w:rsidR="005367CF">
        <w:rPr>
          <w:rFonts w:hint="eastAsia"/>
        </w:rPr>
        <w:t>僅</w:t>
      </w:r>
      <w:r w:rsidR="00623474">
        <w:rPr>
          <w:rFonts w:hint="eastAsia"/>
        </w:rPr>
        <w:t>以</w:t>
      </w:r>
      <w:r w:rsidR="00623474" w:rsidRPr="007D4017">
        <w:rPr>
          <w:rFonts w:hint="eastAsia"/>
        </w:rPr>
        <w:t>「仍不得違</w:t>
      </w:r>
      <w:r w:rsidR="005367CF">
        <w:rPr>
          <w:rFonts w:hint="eastAsia"/>
        </w:rPr>
        <w:t>背</w:t>
      </w:r>
      <w:r w:rsidR="00623474" w:rsidRPr="007D4017">
        <w:rPr>
          <w:rFonts w:hint="eastAsia"/>
        </w:rPr>
        <w:t>『行政院暨所屬各機關營</w:t>
      </w:r>
      <w:proofErr w:type="gramStart"/>
      <w:r w:rsidR="00623474" w:rsidRPr="007D4017">
        <w:rPr>
          <w:rFonts w:hint="eastAsia"/>
        </w:rPr>
        <w:t>繕</w:t>
      </w:r>
      <w:proofErr w:type="gramEnd"/>
      <w:r w:rsidR="00623474" w:rsidRPr="007D4017">
        <w:rPr>
          <w:rFonts w:hint="eastAsia"/>
        </w:rPr>
        <w:t>工程招標注意事項』第6、7點之規定」</w:t>
      </w:r>
      <w:proofErr w:type="gramStart"/>
      <w:r w:rsidR="005367CF">
        <w:rPr>
          <w:rFonts w:hint="eastAsia"/>
        </w:rPr>
        <w:t>一</w:t>
      </w:r>
      <w:proofErr w:type="gramEnd"/>
      <w:r w:rsidR="005367CF">
        <w:rPr>
          <w:rFonts w:hint="eastAsia"/>
        </w:rPr>
        <w:t>語帶過</w:t>
      </w:r>
      <w:r w:rsidR="00623474">
        <w:rPr>
          <w:rFonts w:hint="eastAsia"/>
        </w:rPr>
        <w:t>，對於</w:t>
      </w:r>
      <w:r w:rsidR="00DD66DC">
        <w:rPr>
          <w:rFonts w:hint="eastAsia"/>
        </w:rPr>
        <w:t>營建署所復及</w:t>
      </w:r>
      <w:r w:rsidR="00DD66DC" w:rsidRPr="00AD3AB0">
        <w:rPr>
          <w:rFonts w:ascii="Times New Roman" w:hAnsi="Times New Roman" w:hint="eastAsia"/>
        </w:rPr>
        <w:t>工程</w:t>
      </w:r>
      <w:r w:rsidR="00DD66DC">
        <w:rPr>
          <w:rFonts w:ascii="Times New Roman" w:hAnsi="Times New Roman" w:hint="eastAsia"/>
        </w:rPr>
        <w:t>會</w:t>
      </w:r>
      <w:r w:rsidR="005367CF">
        <w:rPr>
          <w:rFonts w:hint="eastAsia"/>
        </w:rPr>
        <w:t>鑑定意見有如何違反、不符或不適用</w:t>
      </w:r>
      <w:r w:rsidR="0092454C">
        <w:rPr>
          <w:rFonts w:hAnsi="標楷體" w:hint="eastAsia"/>
        </w:rPr>
        <w:t>「</w:t>
      </w:r>
      <w:r w:rsidR="00623474" w:rsidRPr="007D4017">
        <w:rPr>
          <w:rFonts w:hint="eastAsia"/>
        </w:rPr>
        <w:t>行政院暨所屬各機關營</w:t>
      </w:r>
      <w:proofErr w:type="gramStart"/>
      <w:r w:rsidR="00623474" w:rsidRPr="007D4017">
        <w:rPr>
          <w:rFonts w:hint="eastAsia"/>
        </w:rPr>
        <w:t>繕</w:t>
      </w:r>
      <w:proofErr w:type="gramEnd"/>
      <w:r w:rsidR="00623474" w:rsidRPr="007D4017">
        <w:rPr>
          <w:rFonts w:hint="eastAsia"/>
        </w:rPr>
        <w:t>工程招標注意事項</w:t>
      </w:r>
      <w:r w:rsidR="0092454C">
        <w:rPr>
          <w:rFonts w:hAnsi="標楷體" w:hint="eastAsia"/>
        </w:rPr>
        <w:t>」</w:t>
      </w:r>
      <w:r w:rsidR="00623474">
        <w:rPr>
          <w:rFonts w:hint="eastAsia"/>
        </w:rPr>
        <w:t>之情事全未敘明，有刑事訴訟法第379條第14款前段之判決不備理由之違法。</w:t>
      </w:r>
    </w:p>
    <w:p w:rsidR="00623474" w:rsidRDefault="00DD66DC" w:rsidP="00E667D7">
      <w:pPr>
        <w:pStyle w:val="5"/>
      </w:pPr>
      <w:r>
        <w:rPr>
          <w:rFonts w:hint="eastAsia"/>
        </w:rPr>
        <w:t>更有甚者，</w:t>
      </w:r>
      <w:r w:rsidR="00623474">
        <w:rPr>
          <w:rFonts w:hint="eastAsia"/>
        </w:rPr>
        <w:t>確定判決實際上對於被告</w:t>
      </w:r>
      <w:r w:rsidR="0083290E">
        <w:rPr>
          <w:rFonts w:hint="eastAsia"/>
        </w:rPr>
        <w:t>林文烈</w:t>
      </w:r>
      <w:r w:rsidR="00623474">
        <w:rPr>
          <w:rFonts w:hint="eastAsia"/>
        </w:rPr>
        <w:t>、</w:t>
      </w:r>
      <w:r w:rsidR="0083290E">
        <w:rPr>
          <w:rFonts w:hint="eastAsia"/>
        </w:rPr>
        <w:t>沈德亮</w:t>
      </w:r>
      <w:r w:rsidR="00623474">
        <w:rPr>
          <w:rFonts w:hint="eastAsia"/>
        </w:rPr>
        <w:t>之行為如何違反</w:t>
      </w:r>
      <w:r w:rsidR="0092454C">
        <w:rPr>
          <w:rFonts w:hAnsi="標楷體" w:hint="eastAsia"/>
        </w:rPr>
        <w:t>「</w:t>
      </w:r>
      <w:r w:rsidR="00623474" w:rsidRPr="007D4017">
        <w:rPr>
          <w:rFonts w:hint="eastAsia"/>
        </w:rPr>
        <w:t>行政院暨所屬各機關營</w:t>
      </w:r>
      <w:proofErr w:type="gramStart"/>
      <w:r w:rsidR="00623474" w:rsidRPr="007D4017">
        <w:rPr>
          <w:rFonts w:hint="eastAsia"/>
        </w:rPr>
        <w:t>繕</w:t>
      </w:r>
      <w:proofErr w:type="gramEnd"/>
      <w:r w:rsidR="00623474" w:rsidRPr="007D4017">
        <w:rPr>
          <w:rFonts w:hint="eastAsia"/>
        </w:rPr>
        <w:t>工程招標注意事項</w:t>
      </w:r>
      <w:r w:rsidR="0092454C">
        <w:rPr>
          <w:rFonts w:hAnsi="標楷體" w:hint="eastAsia"/>
        </w:rPr>
        <w:t>」</w:t>
      </w:r>
      <w:r w:rsidR="00623474">
        <w:rPr>
          <w:rFonts w:hint="eastAsia"/>
        </w:rPr>
        <w:t>全無說明</w:t>
      </w:r>
      <w:proofErr w:type="gramStart"/>
      <w:r w:rsidR="00623474">
        <w:rPr>
          <w:rFonts w:hint="eastAsia"/>
        </w:rPr>
        <w:t>逕</w:t>
      </w:r>
      <w:proofErr w:type="gramEnd"/>
      <w:r w:rsidR="00623474">
        <w:rPr>
          <w:rFonts w:hint="eastAsia"/>
        </w:rPr>
        <w:t>予論斷，</w:t>
      </w:r>
      <w:proofErr w:type="gramStart"/>
      <w:r w:rsidR="00623474">
        <w:rPr>
          <w:rFonts w:hint="eastAsia"/>
        </w:rPr>
        <w:t>則其論以</w:t>
      </w:r>
      <w:proofErr w:type="gramEnd"/>
      <w:r w:rsidR="00623474">
        <w:rPr>
          <w:rFonts w:hint="eastAsia"/>
        </w:rPr>
        <w:t>被告</w:t>
      </w:r>
      <w:r w:rsidR="0083290E">
        <w:rPr>
          <w:rFonts w:hint="eastAsia"/>
        </w:rPr>
        <w:t>林文烈</w:t>
      </w:r>
      <w:r w:rsidR="00623474">
        <w:rPr>
          <w:rFonts w:hint="eastAsia"/>
        </w:rPr>
        <w:t>、</w:t>
      </w:r>
      <w:r w:rsidR="0083290E">
        <w:rPr>
          <w:rFonts w:hint="eastAsia"/>
        </w:rPr>
        <w:t>沈德亮</w:t>
      </w:r>
      <w:r w:rsidR="00623474" w:rsidRPr="00BC140A">
        <w:rPr>
          <w:rFonts w:hint="eastAsia"/>
        </w:rPr>
        <w:t>共同</w:t>
      </w:r>
      <w:r w:rsidR="00623474">
        <w:rPr>
          <w:rFonts w:hint="eastAsia"/>
        </w:rPr>
        <w:t>違反</w:t>
      </w:r>
      <w:r w:rsidR="00623474" w:rsidRPr="00BC140A">
        <w:rPr>
          <w:rFonts w:hint="eastAsia"/>
        </w:rPr>
        <w:t>經辦公用工程</w:t>
      </w:r>
      <w:r w:rsidR="00FD0B0D">
        <w:rPr>
          <w:rFonts w:hint="eastAsia"/>
        </w:rPr>
        <w:t>其他舞弊</w:t>
      </w:r>
      <w:r w:rsidR="00623474" w:rsidRPr="00BC140A">
        <w:rPr>
          <w:rFonts w:hint="eastAsia"/>
        </w:rPr>
        <w:t>罪</w:t>
      </w:r>
      <w:r w:rsidR="0083290E">
        <w:rPr>
          <w:rFonts w:hint="eastAsia"/>
        </w:rPr>
        <w:t>，顯</w:t>
      </w:r>
      <w:r w:rsidR="00623474">
        <w:rPr>
          <w:rFonts w:hint="eastAsia"/>
        </w:rPr>
        <w:t>無法作為其適用法律當否之</w:t>
      </w:r>
      <w:proofErr w:type="gramStart"/>
      <w:r w:rsidR="00623474">
        <w:rPr>
          <w:rFonts w:hint="eastAsia"/>
        </w:rPr>
        <w:t>準</w:t>
      </w:r>
      <w:proofErr w:type="gramEnd"/>
      <w:r w:rsidR="00623474">
        <w:rPr>
          <w:rFonts w:hint="eastAsia"/>
        </w:rPr>
        <w:t>據，自屬違背法令。</w:t>
      </w:r>
    </w:p>
    <w:p w:rsidR="00623474" w:rsidRDefault="00623474" w:rsidP="00E667D7">
      <w:pPr>
        <w:pStyle w:val="5"/>
      </w:pPr>
      <w:r>
        <w:rPr>
          <w:rFonts w:hint="eastAsia"/>
        </w:rPr>
        <w:t>綜上，</w:t>
      </w:r>
      <w:r w:rsidR="0033133B">
        <w:rPr>
          <w:rFonts w:hint="eastAsia"/>
        </w:rPr>
        <w:t>確定判決對於</w:t>
      </w:r>
      <w:r w:rsidR="000A49AB" w:rsidRPr="000A49AB">
        <w:rPr>
          <w:rFonts w:hint="eastAsia"/>
        </w:rPr>
        <w:t>營建署及工程會見解，既屬被告等人有利之證據，惟為何不予採納之理由全未論及，對於被告等人如何違反「行政院暨所屬各機關營</w:t>
      </w:r>
      <w:proofErr w:type="gramStart"/>
      <w:r w:rsidR="000A49AB" w:rsidRPr="000A49AB">
        <w:rPr>
          <w:rFonts w:hint="eastAsia"/>
        </w:rPr>
        <w:t>繕</w:t>
      </w:r>
      <w:proofErr w:type="gramEnd"/>
      <w:r w:rsidR="000A49AB" w:rsidRPr="000A49AB">
        <w:rPr>
          <w:rFonts w:hint="eastAsia"/>
        </w:rPr>
        <w:t>工程招標注意事項」亦乏說明，除屬判決不載理由，亦顯不足為適用法律之</w:t>
      </w:r>
      <w:proofErr w:type="gramStart"/>
      <w:r w:rsidR="000A49AB" w:rsidRPr="000A49AB">
        <w:rPr>
          <w:rFonts w:hint="eastAsia"/>
        </w:rPr>
        <w:t>準</w:t>
      </w:r>
      <w:proofErr w:type="gramEnd"/>
      <w:r w:rsidR="000A49AB" w:rsidRPr="000A49AB">
        <w:rPr>
          <w:rFonts w:hint="eastAsia"/>
        </w:rPr>
        <w:t>據，</w:t>
      </w:r>
      <w:r w:rsidR="006E5982">
        <w:rPr>
          <w:rFonts w:hint="eastAsia"/>
        </w:rPr>
        <w:t>而</w:t>
      </w:r>
      <w:r w:rsidR="000A49AB">
        <w:rPr>
          <w:rFonts w:hint="eastAsia"/>
        </w:rPr>
        <w:t>有刑事訴訟法第379條第14款前段判決不載理由之違誤。</w:t>
      </w:r>
    </w:p>
    <w:p w:rsidR="00642061" w:rsidRPr="008A7DBD" w:rsidRDefault="00642061" w:rsidP="00642061">
      <w:pPr>
        <w:pStyle w:val="3"/>
      </w:pPr>
      <w:proofErr w:type="gramStart"/>
      <w:r>
        <w:rPr>
          <w:rFonts w:hint="eastAsia"/>
        </w:rPr>
        <w:t>綜</w:t>
      </w:r>
      <w:r w:rsidR="00864043">
        <w:rPr>
          <w:rFonts w:hint="eastAsia"/>
        </w:rPr>
        <w:t>據</w:t>
      </w:r>
      <w:r>
        <w:rPr>
          <w:rFonts w:hint="eastAsia"/>
        </w:rPr>
        <w:t>上</w:t>
      </w:r>
      <w:r w:rsidR="00864043">
        <w:rPr>
          <w:rFonts w:hint="eastAsia"/>
        </w:rPr>
        <w:t>述</w:t>
      </w:r>
      <w:proofErr w:type="gramEnd"/>
      <w:r>
        <w:rPr>
          <w:rFonts w:hint="eastAsia"/>
        </w:rPr>
        <w:t>，</w:t>
      </w:r>
      <w:r w:rsidRPr="00642061">
        <w:rPr>
          <w:rFonts w:hint="eastAsia"/>
        </w:rPr>
        <w:t>確定判決認被告等人違反</w:t>
      </w:r>
      <w:r w:rsidR="0092454C">
        <w:rPr>
          <w:rFonts w:hAnsi="標楷體" w:hint="eastAsia"/>
        </w:rPr>
        <w:t>「</w:t>
      </w:r>
      <w:r w:rsidRPr="00642061">
        <w:rPr>
          <w:rFonts w:hint="eastAsia"/>
        </w:rPr>
        <w:t>行政院暨所屬各機關營</w:t>
      </w:r>
      <w:proofErr w:type="gramStart"/>
      <w:r w:rsidRPr="00642061">
        <w:rPr>
          <w:rFonts w:hint="eastAsia"/>
        </w:rPr>
        <w:t>繕</w:t>
      </w:r>
      <w:proofErr w:type="gramEnd"/>
      <w:r w:rsidRPr="00642061">
        <w:rPr>
          <w:rFonts w:hint="eastAsia"/>
        </w:rPr>
        <w:t>工程招標注意事項</w:t>
      </w:r>
      <w:r w:rsidR="0092454C">
        <w:rPr>
          <w:rFonts w:hAnsi="標楷體" w:hint="eastAsia"/>
        </w:rPr>
        <w:t>」</w:t>
      </w:r>
      <w:r w:rsidRPr="00642061">
        <w:rPr>
          <w:rFonts w:hint="eastAsia"/>
        </w:rPr>
        <w:t>，</w:t>
      </w:r>
      <w:r w:rsidR="00AE7DC4" w:rsidRPr="00AE7DC4">
        <w:rPr>
          <w:rFonts w:hint="eastAsia"/>
        </w:rPr>
        <w:t>背離一般法律解釋原則，顯有</w:t>
      </w:r>
      <w:r w:rsidRPr="00642061">
        <w:rPr>
          <w:rFonts w:hint="eastAsia"/>
        </w:rPr>
        <w:t>適用法則不當或消極不適用法則之違誤，核已違反刑事訴訟法第378</w:t>
      </w:r>
      <w:r w:rsidR="0033133B">
        <w:rPr>
          <w:rFonts w:hint="eastAsia"/>
        </w:rPr>
        <w:t>條之規定；又確定判決對於</w:t>
      </w:r>
      <w:r w:rsidRPr="00642061">
        <w:rPr>
          <w:rFonts w:hint="eastAsia"/>
        </w:rPr>
        <w:t>營建署及工程會見解，既屬被告等人有利之證據，惟未載明不予採納之理由，對於被告等人如何違反「行政院暨所屬各機關營</w:t>
      </w:r>
      <w:proofErr w:type="gramStart"/>
      <w:r w:rsidRPr="00642061">
        <w:rPr>
          <w:rFonts w:hint="eastAsia"/>
        </w:rPr>
        <w:t>繕</w:t>
      </w:r>
      <w:proofErr w:type="gramEnd"/>
      <w:r w:rsidRPr="00642061">
        <w:rPr>
          <w:rFonts w:hint="eastAsia"/>
        </w:rPr>
        <w:t>工程招標注意事項」亦乏說明，除屬判決不載理由</w:t>
      </w:r>
      <w:r w:rsidR="009D3A91">
        <w:rPr>
          <w:rFonts w:hint="eastAsia"/>
        </w:rPr>
        <w:t>之外</w:t>
      </w:r>
      <w:r w:rsidRPr="00642061">
        <w:rPr>
          <w:rFonts w:hint="eastAsia"/>
        </w:rPr>
        <w:t>，亦顯不</w:t>
      </w:r>
      <w:r w:rsidRPr="00642061">
        <w:rPr>
          <w:rFonts w:hint="eastAsia"/>
        </w:rPr>
        <w:lastRenderedPageBreak/>
        <w:t>足為適用法律之</w:t>
      </w:r>
      <w:proofErr w:type="gramStart"/>
      <w:r w:rsidRPr="00642061">
        <w:rPr>
          <w:rFonts w:hint="eastAsia"/>
        </w:rPr>
        <w:t>準</w:t>
      </w:r>
      <w:proofErr w:type="gramEnd"/>
      <w:r w:rsidRPr="00642061">
        <w:rPr>
          <w:rFonts w:hint="eastAsia"/>
        </w:rPr>
        <w:t>據，</w:t>
      </w:r>
      <w:r w:rsidR="006E5982">
        <w:rPr>
          <w:rFonts w:hint="eastAsia"/>
        </w:rPr>
        <w:t>而</w:t>
      </w:r>
      <w:r w:rsidRPr="00642061">
        <w:rPr>
          <w:rFonts w:hint="eastAsia"/>
        </w:rPr>
        <w:t>有刑事訴訟法第379條第14款前段判決未載理由之違法。</w:t>
      </w:r>
      <w:proofErr w:type="gramStart"/>
      <w:r w:rsidR="006E5982">
        <w:rPr>
          <w:rFonts w:hint="eastAsia"/>
        </w:rPr>
        <w:t>復</w:t>
      </w:r>
      <w:r w:rsidR="006E5982" w:rsidRPr="008A7DBD">
        <w:rPr>
          <w:rFonts w:hint="eastAsia"/>
        </w:rPr>
        <w:t>且考量</w:t>
      </w:r>
      <w:proofErr w:type="gramEnd"/>
      <w:r w:rsidR="006E5982" w:rsidRPr="008A7DBD">
        <w:rPr>
          <w:rFonts w:hint="eastAsia"/>
        </w:rPr>
        <w:t>本件確定判決所</w:t>
      </w:r>
      <w:proofErr w:type="gramStart"/>
      <w:r w:rsidR="006E5982" w:rsidRPr="008A7DBD">
        <w:rPr>
          <w:rFonts w:hint="eastAsia"/>
        </w:rPr>
        <w:t>採</w:t>
      </w:r>
      <w:proofErr w:type="gramEnd"/>
      <w:r w:rsidR="006E5982" w:rsidRPr="008A7DBD">
        <w:rPr>
          <w:rFonts w:hint="eastAsia"/>
        </w:rPr>
        <w:t>不符實務常規之獨門見解，恐將造成國內辦理工程人員人人自危，縱使</w:t>
      </w:r>
      <w:r w:rsidR="006E5982" w:rsidRPr="008A7DBD">
        <w:rPr>
          <w:rFonts w:ascii="Times New Roman" w:hAnsi="Times New Roman" w:hint="eastAsia"/>
        </w:rPr>
        <w:t>工程</w:t>
      </w:r>
      <w:proofErr w:type="gramStart"/>
      <w:r w:rsidR="006E5982" w:rsidRPr="008A7DBD">
        <w:rPr>
          <w:rFonts w:ascii="Times New Roman" w:hAnsi="Times New Roman" w:hint="eastAsia"/>
        </w:rPr>
        <w:t>會函訂之</w:t>
      </w:r>
      <w:proofErr w:type="gramEnd"/>
      <w:r w:rsidR="006E5982" w:rsidRPr="008A7DBD">
        <w:rPr>
          <w:rFonts w:ascii="Times New Roman" w:hAnsi="Times New Roman" w:hint="eastAsia"/>
        </w:rPr>
        <w:t>「政府採購錯誤行為態樣」已將「一再開標流標廢標不知檢討，妨礙採購效率」列為不法不當行為，期促使機關提升行政效率；然</w:t>
      </w:r>
      <w:proofErr w:type="gramStart"/>
      <w:r w:rsidR="006E5982" w:rsidRPr="008A7DBD">
        <w:rPr>
          <w:rFonts w:hint="eastAsia"/>
        </w:rPr>
        <w:t>懍</w:t>
      </w:r>
      <w:proofErr w:type="gramEnd"/>
      <w:r w:rsidR="006E5982" w:rsidRPr="008A7DBD">
        <w:rPr>
          <w:rFonts w:hint="eastAsia"/>
        </w:rPr>
        <w:t>於遭受類如本案刑事司法事後訴究之不確定性</w:t>
      </w:r>
      <w:r w:rsidR="006E5982" w:rsidRPr="008A7DBD">
        <w:rPr>
          <w:rFonts w:ascii="Times New Roman" w:hAnsi="Times New Roman" w:hint="eastAsia"/>
        </w:rPr>
        <w:t>，實難期待其等人員能有勇於任事</w:t>
      </w:r>
      <w:r w:rsidR="006E5982" w:rsidRPr="008A7DBD">
        <w:rPr>
          <w:rFonts w:hAnsi="標楷體" w:hint="eastAsia"/>
        </w:rPr>
        <w:t>「</w:t>
      </w:r>
      <w:r w:rsidR="006E5982" w:rsidRPr="008A7DBD">
        <w:rPr>
          <w:rFonts w:ascii="Times New Roman" w:hAnsi="Times New Roman" w:hint="eastAsia"/>
        </w:rPr>
        <w:t>以身試法</w:t>
      </w:r>
      <w:r w:rsidR="006E5982" w:rsidRPr="008A7DBD">
        <w:rPr>
          <w:rFonts w:hAnsi="標楷體" w:hint="eastAsia"/>
        </w:rPr>
        <w:t>」</w:t>
      </w:r>
      <w:r w:rsidR="006E5982" w:rsidRPr="008A7DBD">
        <w:rPr>
          <w:rFonts w:ascii="Times New Roman" w:hAnsi="Times New Roman" w:hint="eastAsia"/>
        </w:rPr>
        <w:t>之勇氣</w:t>
      </w:r>
      <w:r w:rsidR="006E5982" w:rsidRPr="008A7DBD">
        <w:rPr>
          <w:rFonts w:hint="eastAsia"/>
        </w:rPr>
        <w:t>；是本件確定判決適用法規之不當若不予矯正，</w:t>
      </w:r>
      <w:proofErr w:type="gramStart"/>
      <w:r w:rsidR="006E5982" w:rsidRPr="008A7DBD">
        <w:rPr>
          <w:rFonts w:hint="eastAsia"/>
        </w:rPr>
        <w:t>除事涉</w:t>
      </w:r>
      <w:proofErr w:type="gramEnd"/>
      <w:r w:rsidR="006E5982" w:rsidRPr="008A7DBD">
        <w:rPr>
          <w:rFonts w:hint="eastAsia"/>
        </w:rPr>
        <w:t>被告林文烈、沈德亮個人之司法人權保障，更干係國家公共工程</w:t>
      </w:r>
      <w:r w:rsidR="008A7DBD" w:rsidRPr="008A7DBD">
        <w:rPr>
          <w:rFonts w:hint="eastAsia"/>
        </w:rPr>
        <w:t>辦理機制</w:t>
      </w:r>
      <w:r w:rsidR="006E5982" w:rsidRPr="008A7DBD">
        <w:rPr>
          <w:rFonts w:hint="eastAsia"/>
        </w:rPr>
        <w:t>能否健全發展之重大公益，法務部允應確實審慎</w:t>
      </w:r>
      <w:proofErr w:type="gramStart"/>
      <w:r w:rsidR="006E5982" w:rsidRPr="008A7DBD">
        <w:rPr>
          <w:rFonts w:hint="eastAsia"/>
        </w:rPr>
        <w:t>研究妥處</w:t>
      </w:r>
      <w:proofErr w:type="gramEnd"/>
      <w:r w:rsidR="006E5982" w:rsidRPr="008A7DBD">
        <w:rPr>
          <w:rFonts w:hint="eastAsia"/>
        </w:rPr>
        <w:t>。</w:t>
      </w:r>
    </w:p>
    <w:p w:rsidR="001348A7" w:rsidRDefault="001348A7" w:rsidP="001348A7">
      <w:pPr>
        <w:pStyle w:val="3"/>
        <w:numPr>
          <w:ilvl w:val="0"/>
          <w:numId w:val="0"/>
        </w:numPr>
        <w:ind w:left="1361"/>
      </w:pPr>
    </w:p>
    <w:p w:rsidR="001348A7" w:rsidRPr="00B55032" w:rsidRDefault="001348A7" w:rsidP="001348A7">
      <w:pPr>
        <w:pStyle w:val="2"/>
      </w:pPr>
      <w:r w:rsidRPr="009D62BB">
        <w:rPr>
          <w:rFonts w:hint="eastAsia"/>
          <w:b/>
        </w:rPr>
        <w:t>確定判決認定被告沈德亮、林文烈支付工程預付款30%，涉有圖利罪部分，主要係認定不符「臺灣省公共工程發包經常流標之因應措施」第4點規定內之「實際需要情形」，雖確定判決認定理由</w:t>
      </w:r>
      <w:proofErr w:type="gramStart"/>
      <w:r w:rsidRPr="009D62BB">
        <w:rPr>
          <w:rFonts w:hint="eastAsia"/>
          <w:b/>
        </w:rPr>
        <w:t>未必足稱允當</w:t>
      </w:r>
      <w:proofErr w:type="gramEnd"/>
      <w:r w:rsidRPr="009D62BB">
        <w:rPr>
          <w:rFonts w:hint="eastAsia"/>
          <w:b/>
        </w:rPr>
        <w:t>，亦與</w:t>
      </w:r>
      <w:r w:rsidRPr="009D62BB">
        <w:rPr>
          <w:rFonts w:ascii="Times New Roman" w:hAnsi="Times New Roman" w:hint="eastAsia"/>
          <w:b/>
        </w:rPr>
        <w:t>工程</w:t>
      </w:r>
      <w:proofErr w:type="gramStart"/>
      <w:r w:rsidRPr="009D62BB">
        <w:rPr>
          <w:rFonts w:ascii="Times New Roman" w:hAnsi="Times New Roman" w:hint="eastAsia"/>
          <w:b/>
        </w:rPr>
        <w:t>會函訂之</w:t>
      </w:r>
      <w:proofErr w:type="gramEnd"/>
      <w:r w:rsidRPr="009D62BB">
        <w:rPr>
          <w:rFonts w:ascii="Times New Roman" w:hAnsi="Times New Roman" w:hint="eastAsia"/>
          <w:b/>
        </w:rPr>
        <w:t>「政府採購錯誤行為態樣」內之「一再開標流標廢標不知檢討，妨礙採購效率」規定有間，然此節涉及法令要件之解釋適用，實為審判核心事項，</w:t>
      </w:r>
      <w:proofErr w:type="gramStart"/>
      <w:r w:rsidRPr="009D62BB">
        <w:rPr>
          <w:rFonts w:ascii="Times New Roman" w:hAnsi="Times New Roman" w:hint="eastAsia"/>
          <w:b/>
        </w:rPr>
        <w:t>縱認有</w:t>
      </w:r>
      <w:proofErr w:type="gramEnd"/>
      <w:r w:rsidRPr="009D62BB">
        <w:rPr>
          <w:rFonts w:ascii="Times New Roman" w:hAnsi="Times New Roman" w:hint="eastAsia"/>
          <w:b/>
        </w:rPr>
        <w:t>欠周，亦非明顯重大違法，尚難據以指摘判決有違背法令</w:t>
      </w:r>
      <w:r>
        <w:rPr>
          <w:rFonts w:ascii="Times New Roman" w:hAnsi="Times New Roman" w:hint="eastAsia"/>
          <w:b/>
        </w:rPr>
        <w:t>，</w:t>
      </w:r>
      <w:proofErr w:type="gramStart"/>
      <w:r>
        <w:rPr>
          <w:rFonts w:ascii="Times New Roman" w:hAnsi="Times New Roman" w:hint="eastAsia"/>
          <w:b/>
        </w:rPr>
        <w:t>併此敘</w:t>
      </w:r>
      <w:proofErr w:type="gramEnd"/>
      <w:r>
        <w:rPr>
          <w:rFonts w:ascii="Times New Roman" w:hAnsi="Times New Roman" w:hint="eastAsia"/>
          <w:b/>
        </w:rPr>
        <w:t>明</w:t>
      </w:r>
      <w:r>
        <w:rPr>
          <w:rFonts w:ascii="Times New Roman" w:hAnsi="Times New Roman" w:hint="eastAsia"/>
        </w:rPr>
        <w:t>。</w:t>
      </w:r>
    </w:p>
    <w:p w:rsidR="001348A7" w:rsidRDefault="001348A7" w:rsidP="001348A7">
      <w:pPr>
        <w:pStyle w:val="3"/>
      </w:pPr>
      <w:r w:rsidRPr="00B55032">
        <w:rPr>
          <w:rFonts w:hint="eastAsia"/>
        </w:rPr>
        <w:t>有關工程預付款規定，依本案行為時臺灣省政府78年8月28日78府建4字第156182號函送「臺灣省對公共工程發包經常流標之因應措施」第4點訂約方面規定：「…</w:t>
      </w:r>
      <w:proofErr w:type="gramStart"/>
      <w:r w:rsidRPr="00B55032">
        <w:rPr>
          <w:rFonts w:hint="eastAsia"/>
        </w:rPr>
        <w:t>…</w:t>
      </w:r>
      <w:proofErr w:type="gramEnd"/>
      <w:r w:rsidRPr="00B55032">
        <w:rPr>
          <w:rFonts w:hint="eastAsia"/>
        </w:rPr>
        <w:t>（六）如工料同時發包，且廠商能提供保證者，得由主辦工程機關</w:t>
      </w:r>
      <w:r w:rsidRPr="00B55032">
        <w:rPr>
          <w:rFonts w:hint="eastAsia"/>
          <w:b/>
        </w:rPr>
        <w:t>視實際需要情形</w:t>
      </w:r>
      <w:r>
        <w:rPr>
          <w:rFonts w:hint="eastAsia"/>
        </w:rPr>
        <w:t>，給予承包總價百分之三十預付款。」</w:t>
      </w:r>
      <w:proofErr w:type="gramStart"/>
      <w:r>
        <w:rPr>
          <w:rFonts w:hint="eastAsia"/>
        </w:rPr>
        <w:t>嗣</w:t>
      </w:r>
      <w:proofErr w:type="gramEnd"/>
      <w:r>
        <w:rPr>
          <w:rFonts w:hint="eastAsia"/>
        </w:rPr>
        <w:t>前省住都局</w:t>
      </w:r>
      <w:r w:rsidRPr="00B55032">
        <w:rPr>
          <w:rFonts w:hint="eastAsia"/>
        </w:rPr>
        <w:t>另於同年12月14日78</w:t>
      </w:r>
      <w:proofErr w:type="gramStart"/>
      <w:r w:rsidRPr="00B55032">
        <w:rPr>
          <w:rFonts w:hint="eastAsia"/>
        </w:rPr>
        <w:t>住都工字</w:t>
      </w:r>
      <w:proofErr w:type="gramEnd"/>
      <w:r w:rsidRPr="00B55032">
        <w:rPr>
          <w:rFonts w:hint="eastAsia"/>
        </w:rPr>
        <w:t>第56940號函修訂「</w:t>
      </w:r>
      <w:r>
        <w:rPr>
          <w:rFonts w:hint="eastAsia"/>
        </w:rPr>
        <w:t>臺灣</w:t>
      </w:r>
      <w:r>
        <w:rPr>
          <w:rFonts w:hint="eastAsia"/>
        </w:rPr>
        <w:lastRenderedPageBreak/>
        <w:t>省</w:t>
      </w:r>
      <w:r w:rsidRPr="00B55032">
        <w:rPr>
          <w:rFonts w:hint="eastAsia"/>
        </w:rPr>
        <w:t>政府住宅及都市發展局發包工程承包商申請預付工款注意事項」規範所屬單位，其第2點規定：「工程契約訂有預付工款條件者，承包商得於開工時申請契約總價百分之三十以下，但最高不超過1億元之預付款。」有金額上限規定。</w:t>
      </w:r>
    </w:p>
    <w:p w:rsidR="001348A7" w:rsidRDefault="001348A7" w:rsidP="001348A7">
      <w:pPr>
        <w:pStyle w:val="3"/>
      </w:pPr>
      <w:r>
        <w:rPr>
          <w:rFonts w:hint="eastAsia"/>
        </w:rPr>
        <w:t>確定判決認定伍澤元、林文烈、沈德亮等人均明知工程預付款之撥付，有「臺灣省公共工程發包經常流標之因應措施」第4點規定，亦明知前省住都局</w:t>
      </w:r>
      <w:r w:rsidRPr="00B55032">
        <w:rPr>
          <w:rFonts w:hint="eastAsia"/>
        </w:rPr>
        <w:t>有關預付工程款不得超過1億元之限制</w:t>
      </w:r>
      <w:r>
        <w:rPr>
          <w:rFonts w:hint="eastAsia"/>
        </w:rPr>
        <w:t>，惟基於圖利嘉成公司(</w:t>
      </w:r>
      <w:r w:rsidRPr="00B55032">
        <w:rPr>
          <w:rFonts w:hint="eastAsia"/>
        </w:rPr>
        <w:t>鼎台企業集團</w:t>
      </w:r>
      <w:r>
        <w:rPr>
          <w:rFonts w:hint="eastAsia"/>
        </w:rPr>
        <w:t>)之犯意聯絡，且依</w:t>
      </w:r>
      <w:r w:rsidRPr="00B55032">
        <w:rPr>
          <w:rFonts w:hint="eastAsia"/>
        </w:rPr>
        <w:t>一般公用工程進口機械設備開發信用狀時，廠商僅需準備10％之保證金等情</w:t>
      </w:r>
      <w:r>
        <w:rPr>
          <w:rFonts w:hint="eastAsia"/>
        </w:rPr>
        <w:t>，在不符「</w:t>
      </w:r>
      <w:r w:rsidRPr="00B55032">
        <w:rPr>
          <w:rFonts w:hint="eastAsia"/>
        </w:rPr>
        <w:t>視實際需要情形</w:t>
      </w:r>
      <w:r>
        <w:rPr>
          <w:rFonts w:hint="eastAsia"/>
        </w:rPr>
        <w:t>」要件下，由林有德指示沈德亮</w:t>
      </w:r>
      <w:r w:rsidRPr="00B55032">
        <w:rPr>
          <w:rFonts w:hint="eastAsia"/>
        </w:rPr>
        <w:t>於79年10月5日</w:t>
      </w:r>
      <w:r>
        <w:rPr>
          <w:rFonts w:hint="eastAsia"/>
        </w:rPr>
        <w:t>簽呈</w:t>
      </w:r>
      <w:r w:rsidRPr="002E14D4">
        <w:rPr>
          <w:rFonts w:hint="eastAsia"/>
        </w:rPr>
        <w:t>請給付</w:t>
      </w:r>
      <w:r>
        <w:rPr>
          <w:rFonts w:hint="eastAsia"/>
        </w:rPr>
        <w:t>廠商</w:t>
      </w:r>
      <w:r w:rsidRPr="002E14D4">
        <w:rPr>
          <w:rFonts w:hint="eastAsia"/>
        </w:rPr>
        <w:t>30％預付款</w:t>
      </w:r>
      <w:r>
        <w:rPr>
          <w:rFonts w:hint="eastAsia"/>
        </w:rPr>
        <w:t>，逐級由林有德、李進寬、郭龍朗、林文烈核章後，呈由伍澤元於同年10月9日批可。確定判決認定其不符「</w:t>
      </w:r>
      <w:r w:rsidRPr="00B55032">
        <w:rPr>
          <w:rFonts w:hint="eastAsia"/>
        </w:rPr>
        <w:t>實際需要情形</w:t>
      </w:r>
      <w:r>
        <w:rPr>
          <w:rFonts w:hint="eastAsia"/>
        </w:rPr>
        <w:t>」要件，依判決理由欄所稱，主要以一般廠商自國外進口機器設備向銀行申辦簽發之</w:t>
      </w:r>
      <w:proofErr w:type="gramStart"/>
      <w:r>
        <w:rPr>
          <w:rFonts w:hint="eastAsia"/>
        </w:rPr>
        <w:t>信用狀僅需</w:t>
      </w:r>
      <w:proofErr w:type="gramEnd"/>
      <w:r>
        <w:rPr>
          <w:rFonts w:hint="eastAsia"/>
        </w:rPr>
        <w:t>準備進口金額10％保證金、</w:t>
      </w:r>
      <w:r w:rsidRPr="00F545B8">
        <w:rPr>
          <w:rFonts w:hint="eastAsia"/>
        </w:rPr>
        <w:t>中央銀行</w:t>
      </w:r>
      <w:r w:rsidRPr="00BA7107">
        <w:rPr>
          <w:rFonts w:hint="eastAsia"/>
        </w:rPr>
        <w:t>76年7月13日</w:t>
      </w:r>
      <w:proofErr w:type="gramStart"/>
      <w:r w:rsidRPr="00BA7107">
        <w:rPr>
          <w:rFonts w:hint="eastAsia"/>
        </w:rPr>
        <w:t>76台央外字</w:t>
      </w:r>
      <w:proofErr w:type="gramEnd"/>
      <w:r w:rsidRPr="00BA7107">
        <w:rPr>
          <w:rFonts w:hint="eastAsia"/>
        </w:rPr>
        <w:t>第（華）04465號函</w:t>
      </w:r>
      <w:r>
        <w:rPr>
          <w:rFonts w:hint="eastAsia"/>
        </w:rPr>
        <w:t>、及得標廠商</w:t>
      </w:r>
      <w:r w:rsidRPr="00F545B8">
        <w:rPr>
          <w:rFonts w:hint="eastAsia"/>
        </w:rPr>
        <w:t>嘉成公司於80年5月24日在泰國盤谷銀行</w:t>
      </w:r>
      <w:proofErr w:type="gramStart"/>
      <w:r w:rsidRPr="00F545B8">
        <w:rPr>
          <w:rFonts w:hint="eastAsia"/>
        </w:rPr>
        <w:t>臺</w:t>
      </w:r>
      <w:proofErr w:type="gramEnd"/>
      <w:r w:rsidRPr="00F545B8">
        <w:rPr>
          <w:rFonts w:hint="eastAsia"/>
        </w:rPr>
        <w:t>北分行將全部外匯5,485萬2,000元馬克之</w:t>
      </w:r>
      <w:proofErr w:type="gramStart"/>
      <w:r w:rsidRPr="00F545B8">
        <w:rPr>
          <w:rFonts w:hint="eastAsia"/>
        </w:rPr>
        <w:t>1成</w:t>
      </w:r>
      <w:proofErr w:type="gramEnd"/>
      <w:r w:rsidRPr="00BA7107">
        <w:rPr>
          <w:rFonts w:hint="eastAsia"/>
        </w:rPr>
        <w:t>（</w:t>
      </w:r>
      <w:r>
        <w:rPr>
          <w:rFonts w:hint="eastAsia"/>
        </w:rPr>
        <w:t>5</w:t>
      </w:r>
      <w:r w:rsidRPr="00BA7107">
        <w:rPr>
          <w:rFonts w:hint="eastAsia"/>
        </w:rPr>
        <w:t>48</w:t>
      </w:r>
      <w:r>
        <w:rPr>
          <w:rFonts w:hint="eastAsia"/>
        </w:rPr>
        <w:t>萬</w:t>
      </w:r>
      <w:r w:rsidRPr="00BA7107">
        <w:rPr>
          <w:rFonts w:hint="eastAsia"/>
        </w:rPr>
        <w:t>5,200元馬克）</w:t>
      </w:r>
      <w:r w:rsidRPr="00F545B8">
        <w:rPr>
          <w:rFonts w:hint="eastAsia"/>
        </w:rPr>
        <w:t>結匯</w:t>
      </w:r>
      <w:r w:rsidRPr="00BA7107">
        <w:rPr>
          <w:rFonts w:hint="eastAsia"/>
        </w:rPr>
        <w:t>（即約新臺幣1.02億</w:t>
      </w:r>
      <w:r>
        <w:rPr>
          <w:rFonts w:hint="eastAsia"/>
        </w:rPr>
        <w:t>元</w:t>
      </w:r>
      <w:r w:rsidRPr="00BA7107">
        <w:rPr>
          <w:rFonts w:hint="eastAsia"/>
        </w:rPr>
        <w:t>存於銀行做保證），</w:t>
      </w:r>
      <w:r w:rsidRPr="00F545B8">
        <w:rPr>
          <w:rFonts w:hint="eastAsia"/>
        </w:rPr>
        <w:t>其餘</w:t>
      </w:r>
      <w:proofErr w:type="gramStart"/>
      <w:r w:rsidRPr="00F545B8">
        <w:rPr>
          <w:rFonts w:hint="eastAsia"/>
        </w:rPr>
        <w:t>9成</w:t>
      </w:r>
      <w:proofErr w:type="gramEnd"/>
      <w:r w:rsidRPr="00F545B8">
        <w:rPr>
          <w:rFonts w:hint="eastAsia"/>
        </w:rPr>
        <w:t>外匯陸續分6次從81年6月17日始初次支付</w:t>
      </w:r>
      <w:r>
        <w:rPr>
          <w:rFonts w:hint="eastAsia"/>
        </w:rPr>
        <w:t>之</w:t>
      </w:r>
      <w:r w:rsidRPr="00BA7107">
        <w:rPr>
          <w:rFonts w:hint="eastAsia"/>
        </w:rPr>
        <w:t>押匯紀錄</w:t>
      </w:r>
      <w:r>
        <w:rPr>
          <w:rFonts w:hint="eastAsia"/>
        </w:rPr>
        <w:t>等事證為據。</w:t>
      </w:r>
    </w:p>
    <w:p w:rsidR="001348A7" w:rsidRPr="009D62BB" w:rsidRDefault="001348A7" w:rsidP="001348A7">
      <w:pPr>
        <w:pStyle w:val="3"/>
      </w:pPr>
      <w:r>
        <w:rPr>
          <w:rFonts w:hint="eastAsia"/>
        </w:rPr>
        <w:t>查</w:t>
      </w:r>
      <w:r w:rsidRPr="00AD3AB0">
        <w:rPr>
          <w:rFonts w:ascii="Times New Roman" w:hAnsi="Times New Roman" w:hint="eastAsia"/>
        </w:rPr>
        <w:t>本案</w:t>
      </w:r>
      <w:r>
        <w:rPr>
          <w:rFonts w:ascii="Times New Roman" w:hAnsi="Times New Roman" w:hint="eastAsia"/>
        </w:rPr>
        <w:t>係</w:t>
      </w:r>
      <w:r w:rsidRPr="00AD3AB0">
        <w:rPr>
          <w:rFonts w:ascii="Times New Roman" w:hAnsi="Times New Roman" w:hint="eastAsia"/>
        </w:rPr>
        <w:t>於</w:t>
      </w:r>
      <w:r w:rsidRPr="00AD3AB0">
        <w:rPr>
          <w:rFonts w:ascii="Times New Roman" w:hAnsi="Times New Roman" w:hint="eastAsia"/>
        </w:rPr>
        <w:t>79</w:t>
      </w:r>
      <w:r w:rsidRPr="00AD3AB0">
        <w:rPr>
          <w:rFonts w:ascii="Times New Roman" w:hAnsi="Times New Roman" w:hint="eastAsia"/>
        </w:rPr>
        <w:t>年</w:t>
      </w:r>
      <w:r w:rsidRPr="00AD3AB0">
        <w:rPr>
          <w:rFonts w:ascii="Times New Roman" w:hAnsi="Times New Roman" w:hint="eastAsia"/>
        </w:rPr>
        <w:t>3</w:t>
      </w:r>
      <w:r w:rsidRPr="00AD3AB0">
        <w:rPr>
          <w:rFonts w:ascii="Times New Roman" w:hAnsi="Times New Roman" w:hint="eastAsia"/>
        </w:rPr>
        <w:t>月</w:t>
      </w:r>
      <w:r w:rsidRPr="00AD3AB0">
        <w:rPr>
          <w:rFonts w:ascii="Times New Roman" w:hAnsi="Times New Roman" w:hint="eastAsia"/>
        </w:rPr>
        <w:t>14</w:t>
      </w:r>
      <w:r w:rsidRPr="00AD3AB0">
        <w:rPr>
          <w:rFonts w:ascii="Times New Roman" w:hAnsi="Times New Roman" w:hint="eastAsia"/>
        </w:rPr>
        <w:t>日、</w:t>
      </w:r>
      <w:r w:rsidRPr="00AD3AB0">
        <w:rPr>
          <w:rFonts w:ascii="Times New Roman" w:hAnsi="Times New Roman" w:hint="eastAsia"/>
        </w:rPr>
        <w:t>5</w:t>
      </w:r>
      <w:r w:rsidRPr="00AD3AB0">
        <w:rPr>
          <w:rFonts w:ascii="Times New Roman" w:hAnsi="Times New Roman" w:hint="eastAsia"/>
        </w:rPr>
        <w:t>月</w:t>
      </w:r>
      <w:r w:rsidRPr="00AD3AB0">
        <w:rPr>
          <w:rFonts w:ascii="Times New Roman" w:hAnsi="Times New Roman" w:hint="eastAsia"/>
        </w:rPr>
        <w:t>1</w:t>
      </w:r>
      <w:r w:rsidRPr="00AD3AB0">
        <w:rPr>
          <w:rFonts w:ascii="Times New Roman" w:hAnsi="Times New Roman" w:hint="eastAsia"/>
        </w:rPr>
        <w:t>日無廠商投標</w:t>
      </w:r>
      <w:r w:rsidRPr="00AD3AB0">
        <w:rPr>
          <w:rFonts w:ascii="Times New Roman" w:hAnsi="Times New Roman" w:hint="eastAsia"/>
        </w:rPr>
        <w:t>2</w:t>
      </w:r>
      <w:r w:rsidRPr="00AD3AB0">
        <w:rPr>
          <w:rFonts w:ascii="Times New Roman" w:hAnsi="Times New Roman" w:hint="eastAsia"/>
        </w:rPr>
        <w:t>度流標，</w:t>
      </w:r>
      <w:r>
        <w:rPr>
          <w:rFonts w:ascii="Times New Roman" w:hAnsi="Times New Roman" w:hint="eastAsia"/>
        </w:rPr>
        <w:t>沈德亮</w:t>
      </w:r>
      <w:r w:rsidRPr="00AD3AB0">
        <w:rPr>
          <w:rFonts w:ascii="Times New Roman" w:hAnsi="Times New Roman" w:hint="eastAsia"/>
        </w:rPr>
        <w:t>乃於</w:t>
      </w:r>
      <w:r w:rsidRPr="00AD3AB0">
        <w:rPr>
          <w:rFonts w:ascii="Times New Roman" w:hAnsi="Times New Roman" w:hint="eastAsia"/>
          <w:szCs w:val="32"/>
        </w:rPr>
        <w:t>同年</w:t>
      </w:r>
      <w:r w:rsidRPr="00AD3AB0">
        <w:rPr>
          <w:rFonts w:ascii="Times New Roman" w:hAnsi="Times New Roman"/>
          <w:szCs w:val="32"/>
        </w:rPr>
        <w:t>10</w:t>
      </w:r>
      <w:r w:rsidRPr="00AD3AB0">
        <w:rPr>
          <w:rFonts w:ascii="Times New Roman" w:hAnsi="Times New Roman" w:hint="eastAsia"/>
          <w:szCs w:val="32"/>
        </w:rPr>
        <w:t>月</w:t>
      </w:r>
      <w:r w:rsidRPr="00AD3AB0">
        <w:rPr>
          <w:rFonts w:ascii="Times New Roman" w:hAnsi="Times New Roman"/>
          <w:szCs w:val="32"/>
        </w:rPr>
        <w:t>5</w:t>
      </w:r>
      <w:r w:rsidRPr="00AD3AB0">
        <w:rPr>
          <w:rFonts w:ascii="Times New Roman" w:hAnsi="Times New Roman" w:hint="eastAsia"/>
          <w:szCs w:val="32"/>
        </w:rPr>
        <w:t>日</w:t>
      </w:r>
      <w:r w:rsidRPr="00AD3AB0">
        <w:rPr>
          <w:rFonts w:ascii="Times New Roman" w:hAnsi="Times New Roman" w:hint="eastAsia"/>
        </w:rPr>
        <w:t>簽文檢討原因略</w:t>
      </w:r>
      <w:proofErr w:type="gramStart"/>
      <w:r w:rsidRPr="00AD3AB0">
        <w:rPr>
          <w:rFonts w:ascii="Times New Roman" w:hAnsi="Times New Roman" w:hint="eastAsia"/>
        </w:rPr>
        <w:t>以</w:t>
      </w:r>
      <w:proofErr w:type="gramEnd"/>
      <w:r w:rsidRPr="00AD3AB0">
        <w:rPr>
          <w:rFonts w:ascii="Times New Roman" w:hAnsi="Times New Roman" w:hint="eastAsia"/>
        </w:rPr>
        <w:t>：「本工程進口器材甚多，約占總工程費</w:t>
      </w:r>
      <w:r w:rsidRPr="00AD3AB0">
        <w:rPr>
          <w:rFonts w:ascii="Times New Roman" w:hAnsi="Times New Roman" w:hint="eastAsia"/>
        </w:rPr>
        <w:t>50</w:t>
      </w:r>
      <w:r w:rsidRPr="00AD3AB0">
        <w:rPr>
          <w:rFonts w:ascii="Times New Roman" w:hAnsi="Times New Roman" w:hint="eastAsia"/>
        </w:rPr>
        <w:t>％，廠商得先行押匯支付器材工程款；另有競標廠商來函建議放寬規定，為期能順利發包，擬請同意支付得標</w:t>
      </w:r>
      <w:r w:rsidRPr="00AD3AB0">
        <w:rPr>
          <w:rFonts w:ascii="Times New Roman" w:hAnsi="Times New Roman" w:hint="eastAsia"/>
        </w:rPr>
        <w:lastRenderedPageBreak/>
        <w:t>額</w:t>
      </w:r>
      <w:r w:rsidRPr="00AD3AB0">
        <w:rPr>
          <w:rFonts w:ascii="Times New Roman" w:hAnsi="Times New Roman" w:hint="eastAsia"/>
        </w:rPr>
        <w:t>30</w:t>
      </w:r>
      <w:r w:rsidRPr="00AD3AB0">
        <w:rPr>
          <w:rFonts w:ascii="Times New Roman" w:hAnsi="Times New Roman" w:hint="eastAsia"/>
        </w:rPr>
        <w:t>％之預付款，以吸引廠家投標」，經局長伍澤元於同年</w:t>
      </w:r>
      <w:r w:rsidRPr="00AD3AB0">
        <w:rPr>
          <w:rFonts w:ascii="Times New Roman" w:hAnsi="Times New Roman" w:hint="eastAsia"/>
        </w:rPr>
        <w:t>10</w:t>
      </w:r>
      <w:r w:rsidRPr="00AD3AB0">
        <w:rPr>
          <w:rFonts w:ascii="Times New Roman" w:hAnsi="Times New Roman" w:hint="eastAsia"/>
        </w:rPr>
        <w:t>月</w:t>
      </w:r>
      <w:r w:rsidRPr="00AD3AB0">
        <w:rPr>
          <w:rFonts w:ascii="Times New Roman" w:hAnsi="Times New Roman" w:hint="eastAsia"/>
        </w:rPr>
        <w:t>9</w:t>
      </w:r>
      <w:r w:rsidRPr="00AD3AB0">
        <w:rPr>
          <w:rFonts w:ascii="Times New Roman" w:hAnsi="Times New Roman" w:hint="eastAsia"/>
        </w:rPr>
        <w:t>日批示核可。對於前揭辦理過程，工程會</w:t>
      </w:r>
      <w:r w:rsidRPr="00AD3AB0">
        <w:rPr>
          <w:rFonts w:ascii="Times New Roman" w:hAnsi="Times New Roman"/>
        </w:rPr>
        <w:t>100</w:t>
      </w:r>
      <w:r w:rsidRPr="00AD3AB0">
        <w:rPr>
          <w:rFonts w:ascii="Times New Roman" w:hAnsi="Times New Roman" w:hint="eastAsia"/>
        </w:rPr>
        <w:t>年</w:t>
      </w:r>
      <w:r w:rsidRPr="00AD3AB0">
        <w:rPr>
          <w:rFonts w:ascii="Times New Roman" w:hAnsi="Times New Roman"/>
        </w:rPr>
        <w:t>1</w:t>
      </w:r>
      <w:r w:rsidRPr="00AD3AB0">
        <w:rPr>
          <w:rFonts w:ascii="Times New Roman" w:hAnsi="Times New Roman" w:hint="eastAsia"/>
        </w:rPr>
        <w:t>月</w:t>
      </w:r>
      <w:r w:rsidRPr="00AD3AB0">
        <w:rPr>
          <w:rFonts w:ascii="Times New Roman" w:hAnsi="Times New Roman"/>
        </w:rPr>
        <w:t>21</w:t>
      </w:r>
      <w:r w:rsidRPr="00AD3AB0">
        <w:rPr>
          <w:rFonts w:ascii="Times New Roman" w:hAnsi="Times New Roman" w:hint="eastAsia"/>
        </w:rPr>
        <w:t>日工程</w:t>
      </w:r>
      <w:proofErr w:type="gramStart"/>
      <w:r w:rsidRPr="00AD3AB0">
        <w:rPr>
          <w:rFonts w:ascii="Times New Roman" w:hAnsi="Times New Roman" w:hint="eastAsia"/>
        </w:rPr>
        <w:t>鑑</w:t>
      </w:r>
      <w:proofErr w:type="gramEnd"/>
      <w:r w:rsidRPr="00AD3AB0">
        <w:rPr>
          <w:rFonts w:ascii="Times New Roman" w:hAnsi="Times New Roman" w:hint="eastAsia"/>
        </w:rPr>
        <w:t>字第</w:t>
      </w:r>
      <w:r w:rsidRPr="00AD3AB0">
        <w:rPr>
          <w:rFonts w:ascii="Times New Roman" w:hAnsi="Times New Roman" w:hint="eastAsia"/>
        </w:rPr>
        <w:t>10000031420</w:t>
      </w:r>
      <w:r w:rsidRPr="00AD3AB0">
        <w:rPr>
          <w:rFonts w:ascii="Times New Roman" w:hAnsi="Times New Roman" w:hint="eastAsia"/>
        </w:rPr>
        <w:t>號函復臺灣高等法院之諮詢意見略</w:t>
      </w:r>
      <w:proofErr w:type="gramStart"/>
      <w:r w:rsidRPr="00AD3AB0">
        <w:rPr>
          <w:rFonts w:ascii="Times New Roman" w:hAnsi="Times New Roman" w:hint="eastAsia"/>
        </w:rPr>
        <w:t>以</w:t>
      </w:r>
      <w:proofErr w:type="gramEnd"/>
      <w:r w:rsidRPr="00AD3AB0">
        <w:rPr>
          <w:rFonts w:ascii="Times New Roman" w:hAnsi="Times New Roman" w:hint="eastAsia"/>
        </w:rPr>
        <w:t>：「</w:t>
      </w:r>
      <w:r w:rsidRPr="00AD3AB0">
        <w:rPr>
          <w:rFonts w:ascii="Times New Roman" w:hAnsi="Times New Roman" w:hint="eastAsia"/>
        </w:rPr>
        <w:t>1.</w:t>
      </w:r>
      <w:r w:rsidRPr="00AD3AB0">
        <w:rPr>
          <w:rFonts w:ascii="Times New Roman" w:hAnsi="Times New Roman" w:hint="eastAsia"/>
        </w:rPr>
        <w:t>『</w:t>
      </w:r>
      <w:r>
        <w:rPr>
          <w:rFonts w:ascii="Times New Roman" w:hAnsi="Times New Roman" w:hint="eastAsia"/>
        </w:rPr>
        <w:t>臺灣省</w:t>
      </w:r>
      <w:r w:rsidRPr="00AD3AB0">
        <w:rPr>
          <w:rFonts w:ascii="Times New Roman" w:hAnsi="Times New Roman" w:hint="eastAsia"/>
        </w:rPr>
        <w:t>公共工程發包經常流標之因應措施』有關預付款規定並無上限。</w:t>
      </w:r>
      <w:r w:rsidRPr="00AD3AB0">
        <w:rPr>
          <w:rFonts w:ascii="Times New Roman" w:hAnsi="Times New Roman" w:hint="eastAsia"/>
        </w:rPr>
        <w:t>2.</w:t>
      </w:r>
      <w:r w:rsidRPr="00AD3AB0">
        <w:rPr>
          <w:rFonts w:ascii="Times New Roman" w:hAnsi="Times New Roman" w:hint="eastAsia"/>
        </w:rPr>
        <w:t>『</w:t>
      </w:r>
      <w:r>
        <w:rPr>
          <w:rFonts w:ascii="Times New Roman" w:hAnsi="Times New Roman" w:hint="eastAsia"/>
        </w:rPr>
        <w:t>臺灣省政府住宅及都市發展局發包工程承包商申請預付工款注意事項』係由前省住都局自行訂定，本案前省住都局</w:t>
      </w:r>
      <w:r w:rsidRPr="00AD3AB0">
        <w:rPr>
          <w:rFonts w:ascii="Times New Roman" w:hAnsi="Times New Roman" w:hint="eastAsia"/>
        </w:rPr>
        <w:t>環北隊</w:t>
      </w:r>
      <w:proofErr w:type="gramStart"/>
      <w:r w:rsidRPr="00AD3AB0">
        <w:rPr>
          <w:rFonts w:ascii="Times New Roman" w:hAnsi="Times New Roman" w:hint="eastAsia"/>
        </w:rPr>
        <w:t>簽辦單</w:t>
      </w:r>
      <w:proofErr w:type="gramEnd"/>
      <w:r w:rsidRPr="00AD3AB0">
        <w:rPr>
          <w:rFonts w:ascii="Times New Roman" w:hAnsi="Times New Roman" w:hint="eastAsia"/>
        </w:rPr>
        <w:t>，說明『本工程經</w:t>
      </w:r>
      <w:r w:rsidRPr="00AD3AB0">
        <w:rPr>
          <w:rFonts w:ascii="Times New Roman" w:hAnsi="Times New Roman" w:hint="eastAsia"/>
        </w:rPr>
        <w:t>2</w:t>
      </w:r>
      <w:r w:rsidRPr="00AD3AB0">
        <w:rPr>
          <w:rFonts w:ascii="Times New Roman" w:hAnsi="Times New Roman" w:hint="eastAsia"/>
        </w:rPr>
        <w:t>次招標皆無廠商參與…</w:t>
      </w:r>
      <w:proofErr w:type="gramStart"/>
      <w:r w:rsidRPr="00AD3AB0">
        <w:rPr>
          <w:rFonts w:ascii="Times New Roman" w:hAnsi="Times New Roman" w:hint="eastAsia"/>
        </w:rPr>
        <w:t>…</w:t>
      </w:r>
      <w:proofErr w:type="gramEnd"/>
      <w:r w:rsidRPr="00AD3AB0">
        <w:rPr>
          <w:rFonts w:ascii="Times New Roman" w:hAnsi="Times New Roman" w:hint="eastAsia"/>
        </w:rPr>
        <w:t>今有願參與競標之</w:t>
      </w:r>
      <w:proofErr w:type="gramStart"/>
      <w:r w:rsidRPr="00AD3AB0">
        <w:rPr>
          <w:rFonts w:ascii="Times New Roman" w:hAnsi="Times New Roman" w:hint="eastAsia"/>
        </w:rPr>
        <w:t>廠商函本局</w:t>
      </w:r>
      <w:proofErr w:type="gramEnd"/>
      <w:r w:rsidRPr="00AD3AB0">
        <w:rPr>
          <w:rFonts w:ascii="Times New Roman" w:hAnsi="Times New Roman" w:hint="eastAsia"/>
        </w:rPr>
        <w:t>放寬該項規定…</w:t>
      </w:r>
      <w:proofErr w:type="gramStart"/>
      <w:r w:rsidRPr="00AD3AB0">
        <w:rPr>
          <w:rFonts w:ascii="Times New Roman" w:hAnsi="Times New Roman" w:hint="eastAsia"/>
        </w:rPr>
        <w:t>…</w:t>
      </w:r>
      <w:proofErr w:type="gramEnd"/>
      <w:r w:rsidRPr="00AD3AB0">
        <w:rPr>
          <w:rFonts w:ascii="Times New Roman" w:hAnsi="Times New Roman" w:hint="eastAsia"/>
        </w:rPr>
        <w:t>擬請同意支付得標額</w:t>
      </w:r>
      <w:r w:rsidRPr="00AD3AB0">
        <w:rPr>
          <w:rFonts w:ascii="Times New Roman" w:hAnsi="Times New Roman" w:hint="eastAsia"/>
        </w:rPr>
        <w:t>30</w:t>
      </w:r>
      <w:r>
        <w:rPr>
          <w:rFonts w:ascii="Times New Roman" w:hAnsi="Times New Roman" w:hint="eastAsia"/>
        </w:rPr>
        <w:t>％之預付款，吸引廠家投標以</w:t>
      </w:r>
      <w:proofErr w:type="gramStart"/>
      <w:r>
        <w:rPr>
          <w:rFonts w:ascii="Times New Roman" w:hAnsi="Times New Roman" w:hint="eastAsia"/>
        </w:rPr>
        <w:t>利工進</w:t>
      </w:r>
      <w:proofErr w:type="gramEnd"/>
      <w:r>
        <w:rPr>
          <w:rFonts w:ascii="Times New Roman" w:hAnsi="Times New Roman" w:hint="eastAsia"/>
        </w:rPr>
        <w:t>。』經前省住都局</w:t>
      </w:r>
      <w:r w:rsidRPr="00AD3AB0">
        <w:rPr>
          <w:rFonts w:ascii="Times New Roman" w:hAnsi="Times New Roman" w:hint="eastAsia"/>
        </w:rPr>
        <w:t>局長同意變更，尚符合行政作業程序。」</w:t>
      </w:r>
      <w:proofErr w:type="gramStart"/>
      <w:r>
        <w:rPr>
          <w:rFonts w:ascii="Times New Roman" w:hAnsi="Times New Roman" w:hint="eastAsia"/>
        </w:rPr>
        <w:t>上情亦經</w:t>
      </w:r>
      <w:proofErr w:type="gramEnd"/>
      <w:r>
        <w:rPr>
          <w:rFonts w:ascii="Times New Roman" w:hAnsi="Times New Roman" w:hint="eastAsia"/>
        </w:rPr>
        <w:t>確定判決肯認。復查</w:t>
      </w:r>
      <w:r w:rsidRPr="00AD3AB0">
        <w:rPr>
          <w:rFonts w:ascii="Times New Roman" w:hAnsi="Times New Roman" w:hint="eastAsia"/>
        </w:rPr>
        <w:t>工程</w:t>
      </w:r>
      <w:proofErr w:type="gramStart"/>
      <w:r w:rsidRPr="00AD3AB0">
        <w:rPr>
          <w:rFonts w:ascii="Times New Roman" w:hAnsi="Times New Roman" w:hint="eastAsia"/>
        </w:rPr>
        <w:t>會函訂之</w:t>
      </w:r>
      <w:proofErr w:type="gramEnd"/>
      <w:r w:rsidRPr="00AD3AB0">
        <w:rPr>
          <w:rFonts w:ascii="Times New Roman" w:hAnsi="Times New Roman" w:hint="eastAsia"/>
        </w:rPr>
        <w:t>「政府採購錯誤行為態樣」，亦將「一再開標流標廢標不知檢討，妨礙採購效率」列為不法不當行為，希促使機關提升行政效</w:t>
      </w:r>
      <w:r>
        <w:rPr>
          <w:rFonts w:ascii="Times New Roman" w:hAnsi="Times New Roman" w:hint="eastAsia"/>
        </w:rPr>
        <w:t>率，故就被告沈德亮</w:t>
      </w:r>
      <w:r w:rsidRPr="00AD3AB0">
        <w:rPr>
          <w:rFonts w:ascii="Times New Roman" w:hAnsi="Times New Roman" w:hint="eastAsia"/>
        </w:rPr>
        <w:t>於</w:t>
      </w:r>
      <w:r>
        <w:rPr>
          <w:rFonts w:ascii="Times New Roman" w:hAnsi="Times New Roman" w:hint="eastAsia"/>
        </w:rPr>
        <w:t>2</w:t>
      </w:r>
      <w:r w:rsidRPr="00AD3AB0">
        <w:rPr>
          <w:rFonts w:ascii="Times New Roman" w:hAnsi="Times New Roman" w:hint="eastAsia"/>
        </w:rPr>
        <w:t>次流標後所</w:t>
      </w:r>
      <w:proofErr w:type="gramStart"/>
      <w:r w:rsidRPr="00AD3AB0">
        <w:rPr>
          <w:rFonts w:ascii="Times New Roman" w:hAnsi="Times New Roman" w:hint="eastAsia"/>
        </w:rPr>
        <w:t>採</w:t>
      </w:r>
      <w:proofErr w:type="gramEnd"/>
      <w:r w:rsidRPr="00AD3AB0">
        <w:rPr>
          <w:rFonts w:ascii="Times New Roman" w:hAnsi="Times New Roman" w:hint="eastAsia"/>
        </w:rPr>
        <w:t>之</w:t>
      </w:r>
      <w:r w:rsidRPr="00AD3AB0">
        <w:rPr>
          <w:rFonts w:ascii="Times New Roman" w:hAnsi="Times New Roman" w:hint="eastAsia"/>
          <w:szCs w:val="32"/>
        </w:rPr>
        <w:t>放寬投標廠商資格、提供預付款等</w:t>
      </w:r>
      <w:r w:rsidRPr="00AD3AB0">
        <w:rPr>
          <w:rFonts w:ascii="Times New Roman" w:hAnsi="Times New Roman" w:hint="eastAsia"/>
        </w:rPr>
        <w:t>行政措施，在第</w:t>
      </w:r>
      <w:r w:rsidRPr="00AD3AB0">
        <w:rPr>
          <w:rFonts w:ascii="Times New Roman" w:hAnsi="Times New Roman" w:hint="eastAsia"/>
        </w:rPr>
        <w:t>3</w:t>
      </w:r>
      <w:r w:rsidRPr="00AD3AB0">
        <w:rPr>
          <w:rFonts w:ascii="Times New Roman" w:hAnsi="Times New Roman" w:hint="eastAsia"/>
        </w:rPr>
        <w:t>次公告（</w:t>
      </w:r>
      <w:r w:rsidRPr="00AD3AB0">
        <w:rPr>
          <w:rFonts w:ascii="Times New Roman" w:hAnsi="Times New Roman" w:hint="eastAsia"/>
        </w:rPr>
        <w:t>79</w:t>
      </w:r>
      <w:r w:rsidRPr="00AD3AB0">
        <w:rPr>
          <w:rFonts w:ascii="Times New Roman" w:hAnsi="Times New Roman" w:hint="eastAsia"/>
        </w:rPr>
        <w:t>年</w:t>
      </w:r>
      <w:r w:rsidRPr="00AD3AB0">
        <w:rPr>
          <w:rFonts w:ascii="Times New Roman" w:hAnsi="Times New Roman" w:hint="eastAsia"/>
        </w:rPr>
        <w:t>10</w:t>
      </w:r>
      <w:r w:rsidRPr="00AD3AB0">
        <w:rPr>
          <w:rFonts w:ascii="Times New Roman" w:hAnsi="Times New Roman" w:hint="eastAsia"/>
        </w:rPr>
        <w:t>月</w:t>
      </w:r>
      <w:r w:rsidRPr="00AD3AB0">
        <w:rPr>
          <w:rFonts w:ascii="Times New Roman" w:hAnsi="Times New Roman" w:hint="eastAsia"/>
        </w:rPr>
        <w:t>9</w:t>
      </w:r>
      <w:r w:rsidRPr="00AD3AB0">
        <w:rPr>
          <w:rFonts w:ascii="Times New Roman" w:hAnsi="Times New Roman" w:hint="eastAsia"/>
        </w:rPr>
        <w:t>日）公開招標之前，</w:t>
      </w:r>
      <w:r>
        <w:rPr>
          <w:rFonts w:ascii="Times New Roman" w:hAnsi="Times New Roman" w:hint="eastAsia"/>
        </w:rPr>
        <w:t>係</w:t>
      </w:r>
      <w:r w:rsidRPr="00AD3AB0">
        <w:rPr>
          <w:rFonts w:ascii="Times New Roman" w:hAnsi="Times New Roman" w:hint="eastAsia"/>
        </w:rPr>
        <w:t>適用於全部有意願之投標者，</w:t>
      </w:r>
      <w:r>
        <w:rPr>
          <w:rFonts w:ascii="Times New Roman" w:hAnsi="Times New Roman" w:hint="eastAsia"/>
        </w:rPr>
        <w:t>要稱此係在</w:t>
      </w:r>
      <w:r w:rsidRPr="00AD3AB0">
        <w:rPr>
          <w:rFonts w:ascii="Times New Roman" w:hAnsi="Times New Roman" w:hint="eastAsia"/>
        </w:rPr>
        <w:t>圖利</w:t>
      </w:r>
      <w:r>
        <w:rPr>
          <w:rFonts w:ascii="Times New Roman" w:hAnsi="Times New Roman" w:hint="eastAsia"/>
        </w:rPr>
        <w:t>特定對象，</w:t>
      </w:r>
      <w:proofErr w:type="gramStart"/>
      <w:r>
        <w:rPr>
          <w:rFonts w:ascii="Times New Roman" w:hAnsi="Times New Roman" w:hint="eastAsia"/>
        </w:rPr>
        <w:t>容非無疑</w:t>
      </w:r>
      <w:proofErr w:type="gramEnd"/>
      <w:r>
        <w:rPr>
          <w:rFonts w:ascii="Times New Roman" w:hAnsi="Times New Roman" w:hint="eastAsia"/>
        </w:rPr>
        <w:t>。</w:t>
      </w:r>
    </w:p>
    <w:p w:rsidR="00B93597" w:rsidRDefault="001348A7" w:rsidP="00B93597">
      <w:pPr>
        <w:pStyle w:val="3"/>
        <w:numPr>
          <w:ilvl w:val="0"/>
          <w:numId w:val="0"/>
        </w:numPr>
        <w:ind w:left="1361"/>
      </w:pPr>
      <w:r>
        <w:rPr>
          <w:rFonts w:hint="eastAsia"/>
        </w:rPr>
        <w:t>然相關事實</w:t>
      </w:r>
      <w:proofErr w:type="gramStart"/>
      <w:r>
        <w:rPr>
          <w:rFonts w:hint="eastAsia"/>
        </w:rPr>
        <w:t>涵攝特定</w:t>
      </w:r>
      <w:proofErr w:type="gramEnd"/>
      <w:r>
        <w:rPr>
          <w:rFonts w:hint="eastAsia"/>
        </w:rPr>
        <w:t>法令要件，實為審判權核心事項，確定判決既已詳述其認定本案不符「</w:t>
      </w:r>
      <w:r w:rsidRPr="00B93597">
        <w:rPr>
          <w:rFonts w:ascii="Times New Roman" w:hAnsi="Times New Roman" w:hint="eastAsia"/>
        </w:rPr>
        <w:t>實際需要情形</w:t>
      </w:r>
      <w:r>
        <w:rPr>
          <w:rFonts w:hint="eastAsia"/>
        </w:rPr>
        <w:t>」之理由，本院基於權力分立原則，尊重審判權核心事項，</w:t>
      </w:r>
      <w:proofErr w:type="gramStart"/>
      <w:r>
        <w:rPr>
          <w:rFonts w:hint="eastAsia"/>
        </w:rPr>
        <w:t>縱該認定</w:t>
      </w:r>
      <w:proofErr w:type="gramEnd"/>
      <w:r>
        <w:rPr>
          <w:rFonts w:hint="eastAsia"/>
        </w:rPr>
        <w:t>事後檢視尚有欠周，</w:t>
      </w:r>
      <w:proofErr w:type="gramStart"/>
      <w:r>
        <w:rPr>
          <w:rFonts w:hint="eastAsia"/>
        </w:rPr>
        <w:t>惟除有</w:t>
      </w:r>
      <w:proofErr w:type="gramEnd"/>
      <w:r>
        <w:rPr>
          <w:rFonts w:hint="eastAsia"/>
        </w:rPr>
        <w:t>明顯重大違法外，殊難以指摘其涉有違法。又此部分與前述確定判決理由適用一般法律解釋原則有誤，且對被告有利證據未敘明不</w:t>
      </w:r>
      <w:proofErr w:type="gramStart"/>
      <w:r>
        <w:rPr>
          <w:rFonts w:hint="eastAsia"/>
        </w:rPr>
        <w:t>採</w:t>
      </w:r>
      <w:proofErr w:type="gramEnd"/>
      <w:r>
        <w:rPr>
          <w:rFonts w:hint="eastAsia"/>
        </w:rPr>
        <w:t>之理由，而屬判決違背法令之情形並非相同，</w:t>
      </w:r>
      <w:proofErr w:type="gramStart"/>
      <w:r>
        <w:rPr>
          <w:rFonts w:hint="eastAsia"/>
        </w:rPr>
        <w:t>併此敘</w:t>
      </w:r>
      <w:proofErr w:type="gramEnd"/>
      <w:r>
        <w:rPr>
          <w:rFonts w:hint="eastAsia"/>
        </w:rPr>
        <w:t>明。</w:t>
      </w:r>
      <w:bookmarkStart w:id="59" w:name="_Toc524902730"/>
    </w:p>
    <w:p w:rsidR="007466C8" w:rsidRDefault="00B93597" w:rsidP="00B93597">
      <w:pPr>
        <w:pStyle w:val="1"/>
        <w:numPr>
          <w:ilvl w:val="0"/>
          <w:numId w:val="0"/>
        </w:numPr>
      </w:pPr>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421794877"/>
      <w:bookmarkStart w:id="69" w:name="_Toc421795443"/>
      <w:bookmarkStart w:id="70" w:name="_Toc421796024"/>
      <w:bookmarkStart w:id="71" w:name="_Toc422728959"/>
      <w:bookmarkStart w:id="72" w:name="_Toc422834162"/>
      <w:bookmarkStart w:id="73" w:name="_Toc524902735"/>
      <w:bookmarkStart w:id="74" w:name="_Toc525066149"/>
      <w:bookmarkStart w:id="75" w:name="_Toc525070840"/>
      <w:bookmarkStart w:id="76" w:name="_Toc525938380"/>
      <w:bookmarkStart w:id="77" w:name="_Toc525939228"/>
      <w:bookmarkStart w:id="78" w:name="_Toc525939733"/>
      <w:bookmarkStart w:id="79" w:name="_Toc529218273"/>
      <w:bookmarkStart w:id="80" w:name="_Toc529222690"/>
      <w:bookmarkStart w:id="81" w:name="_Toc529223112"/>
      <w:bookmarkStart w:id="82" w:name="_Toc529223863"/>
      <w:bookmarkStart w:id="83" w:name="_Toc529228266"/>
      <w:r>
        <w:rPr>
          <w:rFonts w:hint="eastAsia"/>
        </w:rPr>
        <w:t>參</w:t>
      </w:r>
      <w:r>
        <w:rPr>
          <w:rFonts w:hAnsi="標楷體" w:hint="eastAsia"/>
        </w:rPr>
        <w:t>、</w:t>
      </w:r>
      <w:r w:rsidR="007466C8">
        <w:rPr>
          <w:rFonts w:hint="eastAsia"/>
        </w:rPr>
        <w:t>處理辦法：</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rsidR="007466C8" w:rsidRPr="00262C40" w:rsidRDefault="00262C40" w:rsidP="007466C8">
      <w:pPr>
        <w:pStyle w:val="2"/>
        <w:numPr>
          <w:ilvl w:val="1"/>
          <w:numId w:val="32"/>
        </w:numPr>
        <w:rPr>
          <w:rFonts w:ascii="新細明體" w:hAnsi="新細明體"/>
        </w:rPr>
      </w:pPr>
      <w:r>
        <w:rPr>
          <w:rFonts w:ascii="新細明體" w:hAnsi="新細明體" w:hint="eastAsia"/>
        </w:rPr>
        <w:t>抄調查意見一、二，函</w:t>
      </w:r>
      <w:r w:rsidRPr="00262C40">
        <w:rPr>
          <w:rFonts w:ascii="新細明體" w:hAnsi="新細明體" w:hint="eastAsia"/>
        </w:rPr>
        <w:t>請</w:t>
      </w:r>
      <w:r>
        <w:rPr>
          <w:rFonts w:ascii="新細明體" w:hAnsi="新細明體" w:hint="eastAsia"/>
        </w:rPr>
        <w:t>法務部轉</w:t>
      </w:r>
      <w:proofErr w:type="gramStart"/>
      <w:r w:rsidRPr="00262C40">
        <w:rPr>
          <w:rFonts w:ascii="新細明體" w:hAnsi="新細明體" w:hint="eastAsia"/>
        </w:rPr>
        <w:t>飭</w:t>
      </w:r>
      <w:proofErr w:type="gramEnd"/>
      <w:r w:rsidRPr="00262C40">
        <w:rPr>
          <w:rFonts w:ascii="新細明體" w:hAnsi="新細明體" w:hint="eastAsia"/>
        </w:rPr>
        <w:t>所屬</w:t>
      </w:r>
      <w:proofErr w:type="gramStart"/>
      <w:r w:rsidRPr="00262C40">
        <w:rPr>
          <w:rFonts w:ascii="新細明體" w:hAnsi="新細明體" w:hint="eastAsia"/>
        </w:rPr>
        <w:t>研</w:t>
      </w:r>
      <w:proofErr w:type="gramEnd"/>
      <w:r w:rsidRPr="00262C40">
        <w:rPr>
          <w:rFonts w:ascii="新細明體" w:hAnsi="新細明體" w:hint="eastAsia"/>
        </w:rPr>
        <w:t>提</w:t>
      </w:r>
      <w:r>
        <w:rPr>
          <w:rFonts w:ascii="新細明體" w:hAnsi="新細明體" w:hint="eastAsia"/>
        </w:rPr>
        <w:t>再審與</w:t>
      </w:r>
      <w:r>
        <w:rPr>
          <w:rFonts w:ascii="新細明體" w:hAnsi="新細明體" w:hint="eastAsia"/>
        </w:rPr>
        <w:lastRenderedPageBreak/>
        <w:t>非常上訴</w:t>
      </w:r>
      <w:r w:rsidR="00C47E71" w:rsidRPr="00262C40">
        <w:rPr>
          <w:rFonts w:ascii="新細明體" w:hAnsi="新細明體" w:hint="eastAsia"/>
        </w:rPr>
        <w:t>。</w:t>
      </w:r>
    </w:p>
    <w:p w:rsidR="007466C8" w:rsidRPr="007F2212" w:rsidRDefault="00BE715C" w:rsidP="007466C8">
      <w:pPr>
        <w:pStyle w:val="2"/>
      </w:pPr>
      <w:r>
        <w:rPr>
          <w:rFonts w:hint="eastAsia"/>
        </w:rPr>
        <w:t>抄</w:t>
      </w:r>
      <w:r w:rsidR="007466C8" w:rsidRPr="007F2212">
        <w:rPr>
          <w:rFonts w:hint="eastAsia"/>
        </w:rPr>
        <w:t>調查意見</w:t>
      </w:r>
      <w:r>
        <w:rPr>
          <w:rFonts w:hint="eastAsia"/>
        </w:rPr>
        <w:t>，</w:t>
      </w:r>
      <w:r w:rsidR="007466C8" w:rsidRPr="007F2212">
        <w:rPr>
          <w:rFonts w:hint="eastAsia"/>
        </w:rPr>
        <w:t>函復陳訴人。</w:t>
      </w:r>
    </w:p>
    <w:p w:rsidR="007466C8" w:rsidRPr="007F2212" w:rsidRDefault="007466C8" w:rsidP="007466C8">
      <w:pPr>
        <w:pStyle w:val="2"/>
      </w:pPr>
      <w:r w:rsidRPr="007F2212">
        <w:rPr>
          <w:rFonts w:hint="eastAsia"/>
        </w:rPr>
        <w:t>調查意見上網公布。</w:t>
      </w:r>
    </w:p>
    <w:p w:rsidR="00445CE5" w:rsidRPr="00C25108" w:rsidRDefault="00C25108" w:rsidP="00C25108">
      <w:pPr>
        <w:widowControl/>
        <w:overflowPunct/>
        <w:autoSpaceDE/>
        <w:autoSpaceDN/>
        <w:ind w:firstLineChars="415" w:firstLine="1843"/>
        <w:jc w:val="center"/>
        <w:rPr>
          <w:kern w:val="32"/>
          <w:sz w:val="40"/>
          <w:szCs w:val="40"/>
        </w:rPr>
      </w:pPr>
      <w:bookmarkStart w:id="84" w:name="_GoBack"/>
      <w:bookmarkEnd w:id="59"/>
      <w:r w:rsidRPr="00C25108">
        <w:rPr>
          <w:rFonts w:hAnsi="標楷體" w:hint="eastAsia"/>
          <w:color w:val="000000" w:themeColor="text1"/>
          <w:spacing w:val="12"/>
          <w:kern w:val="0"/>
          <w:sz w:val="40"/>
          <w:szCs w:val="40"/>
        </w:rPr>
        <w:t>調查委員：</w:t>
      </w:r>
      <w:r w:rsidRPr="00C25108">
        <w:rPr>
          <w:rFonts w:hAnsi="標楷體" w:hint="eastAsia"/>
          <w:sz w:val="40"/>
          <w:szCs w:val="40"/>
        </w:rPr>
        <w:t>林雅鋒、尹祚芊、江明蒼</w:t>
      </w:r>
      <w:bookmarkEnd w:id="84"/>
    </w:p>
    <w:sectPr w:rsidR="00445CE5" w:rsidRPr="00C25108" w:rsidSect="0094001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37A" w:rsidRDefault="00CE737A">
      <w:r>
        <w:separator/>
      </w:r>
    </w:p>
  </w:endnote>
  <w:endnote w:type="continuationSeparator" w:id="0">
    <w:p w:rsidR="00CE737A" w:rsidRDefault="00CE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A6" w:rsidRDefault="003562A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25108">
      <w:rPr>
        <w:rStyle w:val="ac"/>
        <w:noProof/>
        <w:sz w:val="24"/>
      </w:rPr>
      <w:t>22</w:t>
    </w:r>
    <w:r>
      <w:rPr>
        <w:rStyle w:val="ac"/>
        <w:sz w:val="24"/>
      </w:rPr>
      <w:fldChar w:fldCharType="end"/>
    </w:r>
  </w:p>
  <w:p w:rsidR="003562A6" w:rsidRDefault="003562A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37A" w:rsidRDefault="00CE737A">
      <w:r>
        <w:separator/>
      </w:r>
    </w:p>
  </w:footnote>
  <w:footnote w:type="continuationSeparator" w:id="0">
    <w:p w:rsidR="00CE737A" w:rsidRDefault="00CE737A">
      <w:r>
        <w:continuationSeparator/>
      </w:r>
    </w:p>
  </w:footnote>
  <w:footnote w:id="1">
    <w:p w:rsidR="003562A6" w:rsidRDefault="003562A6">
      <w:pPr>
        <w:pStyle w:val="afc"/>
      </w:pPr>
      <w:r>
        <w:rPr>
          <w:rStyle w:val="afe"/>
        </w:rPr>
        <w:footnoteRef/>
      </w:r>
      <w:r>
        <w:t xml:space="preserve"> </w:t>
      </w:r>
      <w:r>
        <w:rPr>
          <w:rFonts w:hint="eastAsia"/>
        </w:rPr>
        <w:t>即</w:t>
      </w:r>
      <w:r>
        <w:rPr>
          <w:rFonts w:hAnsi="標楷體" w:hint="eastAsia"/>
        </w:rPr>
        <w:t>「</w:t>
      </w:r>
      <w:r>
        <w:rPr>
          <w:rFonts w:hint="eastAsia"/>
        </w:rPr>
        <w:t>Maguire Group公司</w:t>
      </w:r>
      <w:r>
        <w:rPr>
          <w:rFonts w:hAnsi="標楷體" w:hint="eastAsia"/>
        </w:rPr>
        <w:t>」</w:t>
      </w:r>
      <w:r>
        <w:rPr>
          <w:rFonts w:hint="eastAsia"/>
        </w:rPr>
        <w:t>。</w:t>
      </w:r>
    </w:p>
  </w:footnote>
  <w:footnote w:id="2">
    <w:p w:rsidR="003562A6" w:rsidRDefault="003562A6" w:rsidP="00A72ABA">
      <w:pPr>
        <w:pStyle w:val="afc"/>
        <w:ind w:left="141" w:hangingChars="64" w:hanging="141"/>
      </w:pPr>
      <w:r>
        <w:rPr>
          <w:rStyle w:val="afe"/>
        </w:rPr>
        <w:footnoteRef/>
      </w:r>
      <w:r>
        <w:t xml:space="preserve"> </w:t>
      </w:r>
      <w:r>
        <w:rPr>
          <w:rFonts w:hint="eastAsia"/>
        </w:rPr>
        <w:t>經比對前省住都局</w:t>
      </w:r>
      <w:r w:rsidRPr="000A49AB">
        <w:rPr>
          <w:rFonts w:hint="eastAsia"/>
        </w:rPr>
        <w:t>本案第1、2次工程預算書，</w:t>
      </w:r>
      <w:proofErr w:type="gramStart"/>
      <w:r w:rsidRPr="000A49AB">
        <w:rPr>
          <w:rFonts w:hint="eastAsia"/>
        </w:rPr>
        <w:t>均有編列</w:t>
      </w:r>
      <w:proofErr w:type="gramEnd"/>
      <w:r w:rsidRPr="000A49AB">
        <w:rPr>
          <w:rFonts w:hint="eastAsia"/>
        </w:rPr>
        <w:t>「操作施工圖製作費」等5</w:t>
      </w:r>
      <w:r>
        <w:rPr>
          <w:rFonts w:hint="eastAsia"/>
        </w:rPr>
        <w:t>項費用。</w:t>
      </w:r>
      <w:r w:rsidRPr="000A49AB">
        <w:rPr>
          <w:rFonts w:hint="eastAsia"/>
        </w:rPr>
        <w:t>在第1次工程預算書中，該5項費用係編列在工程項目</w:t>
      </w:r>
      <w:r>
        <w:rPr>
          <w:rFonts w:hAnsi="標楷體" w:hint="eastAsia"/>
        </w:rPr>
        <w:t>「</w:t>
      </w:r>
      <w:r w:rsidRPr="000A49AB">
        <w:rPr>
          <w:rFonts w:hint="eastAsia"/>
        </w:rPr>
        <w:t>施工費</w:t>
      </w:r>
      <w:r>
        <w:rPr>
          <w:rFonts w:hint="eastAsia"/>
        </w:rPr>
        <w:t>：四、</w:t>
      </w:r>
      <w:proofErr w:type="gramStart"/>
      <w:r w:rsidRPr="000A49AB">
        <w:rPr>
          <w:rFonts w:hint="eastAsia"/>
        </w:rPr>
        <w:t>其它</w:t>
      </w:r>
      <w:r>
        <w:rPr>
          <w:rFonts w:hAnsi="標楷體" w:hint="eastAsia"/>
        </w:rPr>
        <w:t>」</w:t>
      </w:r>
      <w:proofErr w:type="gramEnd"/>
      <w:r w:rsidRPr="000A49AB">
        <w:rPr>
          <w:rFonts w:hint="eastAsia"/>
        </w:rPr>
        <w:t>項下，但第2次工程預算書中，該5項費用並未編列在</w:t>
      </w:r>
      <w:r>
        <w:rPr>
          <w:rFonts w:hAnsi="標楷體" w:hint="eastAsia"/>
        </w:rPr>
        <w:t>「</w:t>
      </w:r>
      <w:r w:rsidRPr="000A49AB">
        <w:rPr>
          <w:rFonts w:hint="eastAsia"/>
        </w:rPr>
        <w:t>施工費</w:t>
      </w:r>
      <w:r>
        <w:rPr>
          <w:rFonts w:hint="eastAsia"/>
        </w:rPr>
        <w:t>：四、</w:t>
      </w:r>
      <w:proofErr w:type="gramStart"/>
      <w:r w:rsidRPr="000A49AB">
        <w:rPr>
          <w:rFonts w:hint="eastAsia"/>
        </w:rPr>
        <w:t>其它</w:t>
      </w:r>
      <w:r>
        <w:rPr>
          <w:rFonts w:hAnsi="標楷體" w:hint="eastAsia"/>
        </w:rPr>
        <w:t>」</w:t>
      </w:r>
      <w:proofErr w:type="gramEnd"/>
      <w:r w:rsidRPr="000A49AB">
        <w:rPr>
          <w:rFonts w:hint="eastAsia"/>
        </w:rPr>
        <w:t>項下，而</w:t>
      </w:r>
      <w:r>
        <w:rPr>
          <w:rFonts w:hint="eastAsia"/>
        </w:rPr>
        <w:t>是抽出另外單獨編列。雖</w:t>
      </w:r>
      <w:r w:rsidRPr="000A49AB">
        <w:rPr>
          <w:rFonts w:hint="eastAsia"/>
        </w:rPr>
        <w:t>其編列架構</w:t>
      </w:r>
      <w:r>
        <w:rPr>
          <w:rFonts w:hint="eastAsia"/>
        </w:rPr>
        <w:t>略有</w:t>
      </w:r>
      <w:r w:rsidRPr="000A49AB">
        <w:rPr>
          <w:rFonts w:hint="eastAsia"/>
        </w:rPr>
        <w:t>差異</w:t>
      </w:r>
      <w:r>
        <w:rPr>
          <w:rFonts w:hint="eastAsia"/>
        </w:rPr>
        <w:t>，</w:t>
      </w:r>
      <w:proofErr w:type="gramStart"/>
      <w:r>
        <w:rPr>
          <w:rFonts w:hint="eastAsia"/>
        </w:rPr>
        <w:t>惟均是將</w:t>
      </w:r>
      <w:proofErr w:type="gramEnd"/>
      <w:r>
        <w:rPr>
          <w:rFonts w:hint="eastAsia"/>
        </w:rPr>
        <w:t>該5項費用，</w:t>
      </w:r>
      <w:r w:rsidRPr="00F113C2">
        <w:rPr>
          <w:rFonts w:hint="eastAsia"/>
          <w:u w:val="single"/>
        </w:rPr>
        <w:t>獨立於直接工程費用外</w:t>
      </w:r>
      <w:r>
        <w:rPr>
          <w:rFonts w:hint="eastAsia"/>
        </w:rPr>
        <w:t>另行編列。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210D"/>
    <w:multiLevelType w:val="hybridMultilevel"/>
    <w:tmpl w:val="991655BE"/>
    <w:lvl w:ilvl="0" w:tplc="B55068C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F87093"/>
    <w:multiLevelType w:val="hybridMultilevel"/>
    <w:tmpl w:val="12D61212"/>
    <w:lvl w:ilvl="0" w:tplc="17FA4E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4223E"/>
    <w:multiLevelType w:val="multilevel"/>
    <w:tmpl w:val="2C32C1A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C439E8"/>
    <w:multiLevelType w:val="hybridMultilevel"/>
    <w:tmpl w:val="8A30F378"/>
    <w:lvl w:ilvl="0" w:tplc="23861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DEBC539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142A4167"/>
    <w:multiLevelType w:val="multilevel"/>
    <w:tmpl w:val="2C32C1A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532EFC"/>
    <w:multiLevelType w:val="hybridMultilevel"/>
    <w:tmpl w:val="9C12CEA8"/>
    <w:lvl w:ilvl="0" w:tplc="BA3E533C">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3C31B45"/>
    <w:multiLevelType w:val="multilevel"/>
    <w:tmpl w:val="2C32C1A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56C5B90"/>
    <w:multiLevelType w:val="multilevel"/>
    <w:tmpl w:val="2C32C1A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297D54AC"/>
    <w:multiLevelType w:val="hybridMultilevel"/>
    <w:tmpl w:val="3EB883AE"/>
    <w:lvl w:ilvl="0" w:tplc="94F61E8C">
      <w:start w:val="1"/>
      <w:numFmt w:val="taiwaneseCountingThousand"/>
      <w:lvlText w:val="（%1）"/>
      <w:lvlJc w:val="left"/>
      <w:pPr>
        <w:ind w:left="864" w:hanging="864"/>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C20314"/>
    <w:multiLevelType w:val="multilevel"/>
    <w:tmpl w:val="2C32C1A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94E3605"/>
    <w:multiLevelType w:val="hybridMultilevel"/>
    <w:tmpl w:val="2F08CDF4"/>
    <w:lvl w:ilvl="0" w:tplc="37D2DF4E">
      <w:start w:val="1"/>
      <w:numFmt w:val="taiwaneseCountingThousand"/>
      <w:lvlText w:val="（%1）"/>
      <w:lvlJc w:val="left"/>
      <w:pPr>
        <w:ind w:left="864" w:hanging="864"/>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5F1F06"/>
    <w:multiLevelType w:val="hybridMultilevel"/>
    <w:tmpl w:val="96524CF2"/>
    <w:lvl w:ilvl="0" w:tplc="5DFAC45A">
      <w:start w:val="1"/>
      <w:numFmt w:val="taiwaneseCountingThousand"/>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C551B2"/>
    <w:multiLevelType w:val="hybridMultilevel"/>
    <w:tmpl w:val="8E5CEF08"/>
    <w:lvl w:ilvl="0" w:tplc="C7C8D8E4">
      <w:start w:val="1"/>
      <w:numFmt w:val="taiwaneseCountingThousand"/>
      <w:lvlText w:val="（%1）"/>
      <w:lvlJc w:val="left"/>
      <w:pPr>
        <w:ind w:left="864" w:hanging="864"/>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704488"/>
    <w:multiLevelType w:val="hybridMultilevel"/>
    <w:tmpl w:val="A5B6A3A6"/>
    <w:lvl w:ilvl="0" w:tplc="55D67F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93115E"/>
    <w:multiLevelType w:val="hybridMultilevel"/>
    <w:tmpl w:val="3CEC9558"/>
    <w:lvl w:ilvl="0" w:tplc="81B43706">
      <w:start w:val="1"/>
      <w:numFmt w:val="taiwaneseCountingThousand"/>
      <w:lvlText w:val="(%1)"/>
      <w:lvlJc w:val="left"/>
      <w:pPr>
        <w:ind w:left="576" w:hanging="576"/>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1630C0"/>
    <w:multiLevelType w:val="hybridMultilevel"/>
    <w:tmpl w:val="BA7A6364"/>
    <w:lvl w:ilvl="0" w:tplc="9C0638E2">
      <w:start w:val="1"/>
      <w:numFmt w:val="taiwaneseCountingThousand"/>
      <w:lvlText w:val="（%1）"/>
      <w:lvlJc w:val="left"/>
      <w:pPr>
        <w:ind w:left="864" w:hanging="864"/>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D46C51"/>
    <w:multiLevelType w:val="multilevel"/>
    <w:tmpl w:val="2C32C1A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5E407573"/>
    <w:multiLevelType w:val="hybridMultilevel"/>
    <w:tmpl w:val="20B2C182"/>
    <w:lvl w:ilvl="0" w:tplc="59B862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E4B7CCF"/>
    <w:multiLevelType w:val="hybridMultilevel"/>
    <w:tmpl w:val="55D64950"/>
    <w:lvl w:ilvl="0" w:tplc="DF788A6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50638C"/>
    <w:multiLevelType w:val="hybridMultilevel"/>
    <w:tmpl w:val="B77ECEAC"/>
    <w:lvl w:ilvl="0" w:tplc="2EB6770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8"/>
  </w:num>
  <w:num w:numId="4">
    <w:abstractNumId w:val="15"/>
  </w:num>
  <w:num w:numId="5">
    <w:abstractNumId w:val="20"/>
  </w:num>
  <w:num w:numId="6">
    <w:abstractNumId w:val="5"/>
  </w:num>
  <w:num w:numId="7">
    <w:abstractNumId w:val="21"/>
  </w:num>
  <w:num w:numId="8">
    <w:abstractNumId w:val="17"/>
  </w:num>
  <w:num w:numId="9">
    <w:abstractNumId w:val="11"/>
  </w:num>
  <w:num w:numId="10">
    <w:abstractNumId w:val="6"/>
  </w:num>
  <w:num w:numId="11">
    <w:abstractNumId w:val="8"/>
  </w:num>
  <w:num w:numId="12">
    <w:abstractNumId w:val="9"/>
  </w:num>
  <w:num w:numId="13">
    <w:abstractNumId w:val="25"/>
  </w:num>
  <w:num w:numId="14">
    <w:abstractNumId w:val="26"/>
  </w:num>
  <w:num w:numId="15">
    <w:abstractNumId w:val="24"/>
  </w:num>
  <w:num w:numId="16">
    <w:abstractNumId w:val="22"/>
  </w:num>
  <w:num w:numId="17">
    <w:abstractNumId w:val="4"/>
  </w:num>
  <w:num w:numId="18">
    <w:abstractNumId w:val="19"/>
  </w:num>
  <w:num w:numId="19">
    <w:abstractNumId w:val="16"/>
  </w:num>
  <w:num w:numId="20">
    <w:abstractNumId w:val="12"/>
  </w:num>
  <w:num w:numId="21">
    <w:abstractNumId w:val="10"/>
  </w:num>
  <w:num w:numId="22">
    <w:abstractNumId w:val="0"/>
  </w:num>
  <w:num w:numId="23">
    <w:abstractNumId w:val="2"/>
  </w:num>
  <w:num w:numId="24">
    <w:abstractNumId w:val="14"/>
  </w:num>
  <w:num w:numId="25">
    <w:abstractNumId w:val="3"/>
  </w:num>
  <w:num w:numId="26">
    <w:abstractNumId w:val="23"/>
  </w:num>
  <w:num w:numId="27">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num>
  <w:num w:numId="31">
    <w:abstractNumId w:val="5"/>
  </w:num>
  <w:num w:numId="32">
    <w:abstractNumId w:val="5"/>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num>
  <w:num w:numId="35">
    <w:abstractNumId w:val="5"/>
  </w:num>
  <w:num w:numId="36">
    <w:abstractNumId w:val="5"/>
  </w:num>
  <w:num w:numId="37">
    <w:abstractNumId w:val="13"/>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5"/>
  </w:num>
  <w:num w:numId="49">
    <w:abstractNumId w:val="5"/>
  </w:num>
  <w:num w:numId="5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B18"/>
    <w:rsid w:val="00000F74"/>
    <w:rsid w:val="000067CA"/>
    <w:rsid w:val="00006961"/>
    <w:rsid w:val="000112BF"/>
    <w:rsid w:val="00012233"/>
    <w:rsid w:val="00017318"/>
    <w:rsid w:val="000246F7"/>
    <w:rsid w:val="000253AB"/>
    <w:rsid w:val="00030DCC"/>
    <w:rsid w:val="0003114D"/>
    <w:rsid w:val="0003366A"/>
    <w:rsid w:val="000344C4"/>
    <w:rsid w:val="00036D76"/>
    <w:rsid w:val="0004083D"/>
    <w:rsid w:val="000415F8"/>
    <w:rsid w:val="00041C05"/>
    <w:rsid w:val="0004325F"/>
    <w:rsid w:val="000432BE"/>
    <w:rsid w:val="0004395D"/>
    <w:rsid w:val="00047C41"/>
    <w:rsid w:val="00056B16"/>
    <w:rsid w:val="00057F32"/>
    <w:rsid w:val="00062A25"/>
    <w:rsid w:val="00073731"/>
    <w:rsid w:val="00073CB5"/>
    <w:rsid w:val="0007425C"/>
    <w:rsid w:val="00076375"/>
    <w:rsid w:val="00076D12"/>
    <w:rsid w:val="00077553"/>
    <w:rsid w:val="00081628"/>
    <w:rsid w:val="0008494B"/>
    <w:rsid w:val="000851A2"/>
    <w:rsid w:val="0009352E"/>
    <w:rsid w:val="00096B96"/>
    <w:rsid w:val="00096F8A"/>
    <w:rsid w:val="000A1B1F"/>
    <w:rsid w:val="000A2F3F"/>
    <w:rsid w:val="000A49AB"/>
    <w:rsid w:val="000A5030"/>
    <w:rsid w:val="000A786D"/>
    <w:rsid w:val="000B0B4A"/>
    <w:rsid w:val="000B0E8B"/>
    <w:rsid w:val="000B279A"/>
    <w:rsid w:val="000B2E21"/>
    <w:rsid w:val="000B2FDE"/>
    <w:rsid w:val="000B56EE"/>
    <w:rsid w:val="000B5B17"/>
    <w:rsid w:val="000B61D2"/>
    <w:rsid w:val="000B70A7"/>
    <w:rsid w:val="000B73DD"/>
    <w:rsid w:val="000C12D7"/>
    <w:rsid w:val="000C43CD"/>
    <w:rsid w:val="000C495F"/>
    <w:rsid w:val="000D00F2"/>
    <w:rsid w:val="000D3E76"/>
    <w:rsid w:val="000D781D"/>
    <w:rsid w:val="000E3220"/>
    <w:rsid w:val="000E6431"/>
    <w:rsid w:val="000F21A5"/>
    <w:rsid w:val="000F3BF6"/>
    <w:rsid w:val="00102100"/>
    <w:rsid w:val="00102B9F"/>
    <w:rsid w:val="00105F0B"/>
    <w:rsid w:val="00112637"/>
    <w:rsid w:val="00112ABC"/>
    <w:rsid w:val="0011770F"/>
    <w:rsid w:val="00117BFD"/>
    <w:rsid w:val="0012001E"/>
    <w:rsid w:val="00122994"/>
    <w:rsid w:val="00126A55"/>
    <w:rsid w:val="00133371"/>
    <w:rsid w:val="00133F08"/>
    <w:rsid w:val="001345E6"/>
    <w:rsid w:val="001348A7"/>
    <w:rsid w:val="001378B0"/>
    <w:rsid w:val="00142E00"/>
    <w:rsid w:val="001437E7"/>
    <w:rsid w:val="0014546E"/>
    <w:rsid w:val="001514D5"/>
    <w:rsid w:val="00151FAF"/>
    <w:rsid w:val="0015213B"/>
    <w:rsid w:val="00152793"/>
    <w:rsid w:val="00152ACD"/>
    <w:rsid w:val="00153B7E"/>
    <w:rsid w:val="001545A9"/>
    <w:rsid w:val="00155AA4"/>
    <w:rsid w:val="00163171"/>
    <w:rsid w:val="001637C7"/>
    <w:rsid w:val="0016480E"/>
    <w:rsid w:val="00164FCA"/>
    <w:rsid w:val="001668DA"/>
    <w:rsid w:val="00174297"/>
    <w:rsid w:val="00180E06"/>
    <w:rsid w:val="001817B3"/>
    <w:rsid w:val="00183014"/>
    <w:rsid w:val="001859C4"/>
    <w:rsid w:val="001959C2"/>
    <w:rsid w:val="001A2F18"/>
    <w:rsid w:val="001A51E3"/>
    <w:rsid w:val="001A627A"/>
    <w:rsid w:val="001A7968"/>
    <w:rsid w:val="001B2E98"/>
    <w:rsid w:val="001B3483"/>
    <w:rsid w:val="001B3C1E"/>
    <w:rsid w:val="001B4494"/>
    <w:rsid w:val="001B451D"/>
    <w:rsid w:val="001B55F9"/>
    <w:rsid w:val="001C0D8B"/>
    <w:rsid w:val="001C0DA8"/>
    <w:rsid w:val="001C3DE7"/>
    <w:rsid w:val="001C5C30"/>
    <w:rsid w:val="001D1DFA"/>
    <w:rsid w:val="001D4079"/>
    <w:rsid w:val="001D4AD7"/>
    <w:rsid w:val="001D504C"/>
    <w:rsid w:val="001E04E3"/>
    <w:rsid w:val="001E0D8A"/>
    <w:rsid w:val="001E387D"/>
    <w:rsid w:val="001E55B2"/>
    <w:rsid w:val="001E67BA"/>
    <w:rsid w:val="001E6E04"/>
    <w:rsid w:val="001E74C2"/>
    <w:rsid w:val="001F4F82"/>
    <w:rsid w:val="001F5A48"/>
    <w:rsid w:val="001F6260"/>
    <w:rsid w:val="001F62B0"/>
    <w:rsid w:val="00200007"/>
    <w:rsid w:val="00202FD2"/>
    <w:rsid w:val="002030A5"/>
    <w:rsid w:val="00203131"/>
    <w:rsid w:val="0020543B"/>
    <w:rsid w:val="00207978"/>
    <w:rsid w:val="00212E88"/>
    <w:rsid w:val="00213C9C"/>
    <w:rsid w:val="00215870"/>
    <w:rsid w:val="0022009E"/>
    <w:rsid w:val="00223241"/>
    <w:rsid w:val="0022425C"/>
    <w:rsid w:val="002246DE"/>
    <w:rsid w:val="00231AD2"/>
    <w:rsid w:val="002353C2"/>
    <w:rsid w:val="0024014B"/>
    <w:rsid w:val="00244F2B"/>
    <w:rsid w:val="00245B08"/>
    <w:rsid w:val="00252BC4"/>
    <w:rsid w:val="00254014"/>
    <w:rsid w:val="00254A8A"/>
    <w:rsid w:val="00254B39"/>
    <w:rsid w:val="00256F65"/>
    <w:rsid w:val="00260223"/>
    <w:rsid w:val="00262C40"/>
    <w:rsid w:val="002639E0"/>
    <w:rsid w:val="0026504D"/>
    <w:rsid w:val="00273A2F"/>
    <w:rsid w:val="00280986"/>
    <w:rsid w:val="002814BC"/>
    <w:rsid w:val="00281ECE"/>
    <w:rsid w:val="002831C7"/>
    <w:rsid w:val="002840C6"/>
    <w:rsid w:val="0028439B"/>
    <w:rsid w:val="002849D0"/>
    <w:rsid w:val="00286413"/>
    <w:rsid w:val="00287815"/>
    <w:rsid w:val="00291332"/>
    <w:rsid w:val="002916C1"/>
    <w:rsid w:val="00292F2A"/>
    <w:rsid w:val="002939B3"/>
    <w:rsid w:val="00295174"/>
    <w:rsid w:val="00296172"/>
    <w:rsid w:val="002965B6"/>
    <w:rsid w:val="00296B92"/>
    <w:rsid w:val="002A2C22"/>
    <w:rsid w:val="002A2CC8"/>
    <w:rsid w:val="002A77D1"/>
    <w:rsid w:val="002A77DE"/>
    <w:rsid w:val="002B02EB"/>
    <w:rsid w:val="002B37A7"/>
    <w:rsid w:val="002B7E5E"/>
    <w:rsid w:val="002C0602"/>
    <w:rsid w:val="002D05A9"/>
    <w:rsid w:val="002D4226"/>
    <w:rsid w:val="002D42A0"/>
    <w:rsid w:val="002D5C16"/>
    <w:rsid w:val="002D7E7E"/>
    <w:rsid w:val="002E14D4"/>
    <w:rsid w:val="002F2476"/>
    <w:rsid w:val="002F3DFF"/>
    <w:rsid w:val="002F584B"/>
    <w:rsid w:val="002F5E05"/>
    <w:rsid w:val="002F65AF"/>
    <w:rsid w:val="00300626"/>
    <w:rsid w:val="0030129A"/>
    <w:rsid w:val="00304540"/>
    <w:rsid w:val="0030643E"/>
    <w:rsid w:val="00306AF9"/>
    <w:rsid w:val="00307A76"/>
    <w:rsid w:val="00311235"/>
    <w:rsid w:val="0031490B"/>
    <w:rsid w:val="00315A16"/>
    <w:rsid w:val="00317053"/>
    <w:rsid w:val="00317ABE"/>
    <w:rsid w:val="0032109C"/>
    <w:rsid w:val="0032156A"/>
    <w:rsid w:val="00322B45"/>
    <w:rsid w:val="00323809"/>
    <w:rsid w:val="00323A90"/>
    <w:rsid w:val="00323D41"/>
    <w:rsid w:val="003243FD"/>
    <w:rsid w:val="00325414"/>
    <w:rsid w:val="003264A8"/>
    <w:rsid w:val="00326D7D"/>
    <w:rsid w:val="003302F1"/>
    <w:rsid w:val="0033133B"/>
    <w:rsid w:val="00331A1D"/>
    <w:rsid w:val="0033575C"/>
    <w:rsid w:val="00336A21"/>
    <w:rsid w:val="0034470E"/>
    <w:rsid w:val="00351FE9"/>
    <w:rsid w:val="00352DB0"/>
    <w:rsid w:val="003531C8"/>
    <w:rsid w:val="003562A6"/>
    <w:rsid w:val="00361063"/>
    <w:rsid w:val="00363C05"/>
    <w:rsid w:val="00367DE8"/>
    <w:rsid w:val="0037094A"/>
    <w:rsid w:val="00371ED3"/>
    <w:rsid w:val="00372FFC"/>
    <w:rsid w:val="00373A2A"/>
    <w:rsid w:val="0037641D"/>
    <w:rsid w:val="0037728A"/>
    <w:rsid w:val="0037794B"/>
    <w:rsid w:val="00380B7D"/>
    <w:rsid w:val="00381A99"/>
    <w:rsid w:val="003829C2"/>
    <w:rsid w:val="003830B2"/>
    <w:rsid w:val="00384724"/>
    <w:rsid w:val="00385693"/>
    <w:rsid w:val="00386219"/>
    <w:rsid w:val="003919B7"/>
    <w:rsid w:val="00391D57"/>
    <w:rsid w:val="00392292"/>
    <w:rsid w:val="00394F45"/>
    <w:rsid w:val="003A0007"/>
    <w:rsid w:val="003A4838"/>
    <w:rsid w:val="003A5418"/>
    <w:rsid w:val="003A5927"/>
    <w:rsid w:val="003B1017"/>
    <w:rsid w:val="003B3C07"/>
    <w:rsid w:val="003B5491"/>
    <w:rsid w:val="003B6081"/>
    <w:rsid w:val="003B6775"/>
    <w:rsid w:val="003C445E"/>
    <w:rsid w:val="003C5FE2"/>
    <w:rsid w:val="003D05FB"/>
    <w:rsid w:val="003D1B16"/>
    <w:rsid w:val="003D45BF"/>
    <w:rsid w:val="003D508A"/>
    <w:rsid w:val="003D537F"/>
    <w:rsid w:val="003D7B75"/>
    <w:rsid w:val="003E0208"/>
    <w:rsid w:val="003E1320"/>
    <w:rsid w:val="003E2FF5"/>
    <w:rsid w:val="003E4B57"/>
    <w:rsid w:val="003F102A"/>
    <w:rsid w:val="003F27E1"/>
    <w:rsid w:val="003F3A56"/>
    <w:rsid w:val="003F437A"/>
    <w:rsid w:val="003F5C2B"/>
    <w:rsid w:val="00401065"/>
    <w:rsid w:val="00402240"/>
    <w:rsid w:val="004023E9"/>
    <w:rsid w:val="0040454A"/>
    <w:rsid w:val="00412EFB"/>
    <w:rsid w:val="00413F83"/>
    <w:rsid w:val="0041490C"/>
    <w:rsid w:val="004158F8"/>
    <w:rsid w:val="00416191"/>
    <w:rsid w:val="00416721"/>
    <w:rsid w:val="00421EF0"/>
    <w:rsid w:val="00422269"/>
    <w:rsid w:val="004224FA"/>
    <w:rsid w:val="00423D07"/>
    <w:rsid w:val="004253F8"/>
    <w:rsid w:val="00427936"/>
    <w:rsid w:val="00435F24"/>
    <w:rsid w:val="0044346F"/>
    <w:rsid w:val="00444B47"/>
    <w:rsid w:val="00445CE5"/>
    <w:rsid w:val="004504F1"/>
    <w:rsid w:val="00453FF6"/>
    <w:rsid w:val="00455765"/>
    <w:rsid w:val="004617DD"/>
    <w:rsid w:val="0046520A"/>
    <w:rsid w:val="0046628A"/>
    <w:rsid w:val="004672AB"/>
    <w:rsid w:val="004714FE"/>
    <w:rsid w:val="00477BAA"/>
    <w:rsid w:val="004936C5"/>
    <w:rsid w:val="00495053"/>
    <w:rsid w:val="004A1F59"/>
    <w:rsid w:val="004A29BE"/>
    <w:rsid w:val="004A3225"/>
    <w:rsid w:val="004A33EE"/>
    <w:rsid w:val="004A3AA8"/>
    <w:rsid w:val="004B13C7"/>
    <w:rsid w:val="004B4A1B"/>
    <w:rsid w:val="004B5324"/>
    <w:rsid w:val="004B5B01"/>
    <w:rsid w:val="004B5C8B"/>
    <w:rsid w:val="004B733E"/>
    <w:rsid w:val="004B7649"/>
    <w:rsid w:val="004B778F"/>
    <w:rsid w:val="004C0609"/>
    <w:rsid w:val="004C4446"/>
    <w:rsid w:val="004D141F"/>
    <w:rsid w:val="004D2742"/>
    <w:rsid w:val="004D585F"/>
    <w:rsid w:val="004D6310"/>
    <w:rsid w:val="004D64AD"/>
    <w:rsid w:val="004E0062"/>
    <w:rsid w:val="004E05A1"/>
    <w:rsid w:val="004E076E"/>
    <w:rsid w:val="004E1472"/>
    <w:rsid w:val="004F472A"/>
    <w:rsid w:val="004F5E57"/>
    <w:rsid w:val="004F6710"/>
    <w:rsid w:val="00500C3E"/>
    <w:rsid w:val="00502849"/>
    <w:rsid w:val="0050327D"/>
    <w:rsid w:val="00504334"/>
    <w:rsid w:val="0050498D"/>
    <w:rsid w:val="005104D7"/>
    <w:rsid w:val="00510B9E"/>
    <w:rsid w:val="00521A67"/>
    <w:rsid w:val="0052395B"/>
    <w:rsid w:val="005275E4"/>
    <w:rsid w:val="0053113B"/>
    <w:rsid w:val="00532139"/>
    <w:rsid w:val="005367CF"/>
    <w:rsid w:val="00536BC2"/>
    <w:rsid w:val="00540467"/>
    <w:rsid w:val="005425E1"/>
    <w:rsid w:val="005427C5"/>
    <w:rsid w:val="00542CF6"/>
    <w:rsid w:val="0054368A"/>
    <w:rsid w:val="0054577C"/>
    <w:rsid w:val="00552110"/>
    <w:rsid w:val="00553C03"/>
    <w:rsid w:val="00563692"/>
    <w:rsid w:val="00563933"/>
    <w:rsid w:val="00564348"/>
    <w:rsid w:val="00566532"/>
    <w:rsid w:val="00567F2E"/>
    <w:rsid w:val="00571679"/>
    <w:rsid w:val="005772F8"/>
    <w:rsid w:val="005831AB"/>
    <w:rsid w:val="005844E7"/>
    <w:rsid w:val="00585C54"/>
    <w:rsid w:val="00586CF1"/>
    <w:rsid w:val="005908B8"/>
    <w:rsid w:val="00591CB0"/>
    <w:rsid w:val="0059243A"/>
    <w:rsid w:val="00593C62"/>
    <w:rsid w:val="0059512E"/>
    <w:rsid w:val="005A3065"/>
    <w:rsid w:val="005A47EA"/>
    <w:rsid w:val="005A6DD2"/>
    <w:rsid w:val="005B1049"/>
    <w:rsid w:val="005B3BB6"/>
    <w:rsid w:val="005C385D"/>
    <w:rsid w:val="005C3877"/>
    <w:rsid w:val="005D2E28"/>
    <w:rsid w:val="005D3B20"/>
    <w:rsid w:val="005E1DCF"/>
    <w:rsid w:val="005E4759"/>
    <w:rsid w:val="005E5C68"/>
    <w:rsid w:val="005E65C0"/>
    <w:rsid w:val="005E7B21"/>
    <w:rsid w:val="005F0390"/>
    <w:rsid w:val="005F0487"/>
    <w:rsid w:val="005F745B"/>
    <w:rsid w:val="00601DC1"/>
    <w:rsid w:val="00604A85"/>
    <w:rsid w:val="006072CD"/>
    <w:rsid w:val="00610501"/>
    <w:rsid w:val="00610674"/>
    <w:rsid w:val="00610A85"/>
    <w:rsid w:val="00612023"/>
    <w:rsid w:val="00613561"/>
    <w:rsid w:val="00614190"/>
    <w:rsid w:val="00622A99"/>
    <w:rsid w:val="00622E67"/>
    <w:rsid w:val="00623474"/>
    <w:rsid w:val="006260A8"/>
    <w:rsid w:val="00626B57"/>
    <w:rsid w:val="00626EDC"/>
    <w:rsid w:val="006400D2"/>
    <w:rsid w:val="006403CF"/>
    <w:rsid w:val="00642061"/>
    <w:rsid w:val="00642E10"/>
    <w:rsid w:val="00643A7A"/>
    <w:rsid w:val="006470EC"/>
    <w:rsid w:val="006542D6"/>
    <w:rsid w:val="0065598E"/>
    <w:rsid w:val="00655AF2"/>
    <w:rsid w:val="00655BC5"/>
    <w:rsid w:val="006568BE"/>
    <w:rsid w:val="0066025D"/>
    <w:rsid w:val="0066091A"/>
    <w:rsid w:val="00660E98"/>
    <w:rsid w:val="006625D6"/>
    <w:rsid w:val="00673279"/>
    <w:rsid w:val="006747C6"/>
    <w:rsid w:val="006773EC"/>
    <w:rsid w:val="00680504"/>
    <w:rsid w:val="00681CD9"/>
    <w:rsid w:val="00683E30"/>
    <w:rsid w:val="00684386"/>
    <w:rsid w:val="00687024"/>
    <w:rsid w:val="00691732"/>
    <w:rsid w:val="00694773"/>
    <w:rsid w:val="00695E22"/>
    <w:rsid w:val="00697E88"/>
    <w:rsid w:val="006B1518"/>
    <w:rsid w:val="006B4200"/>
    <w:rsid w:val="006B7093"/>
    <w:rsid w:val="006B73DB"/>
    <w:rsid w:val="006B7417"/>
    <w:rsid w:val="006C0B31"/>
    <w:rsid w:val="006C3C3E"/>
    <w:rsid w:val="006D0D7A"/>
    <w:rsid w:val="006D0ED0"/>
    <w:rsid w:val="006D3691"/>
    <w:rsid w:val="006D7075"/>
    <w:rsid w:val="006E4F0E"/>
    <w:rsid w:val="006E5982"/>
    <w:rsid w:val="006E5EF0"/>
    <w:rsid w:val="006E6F99"/>
    <w:rsid w:val="006F3563"/>
    <w:rsid w:val="006F42B9"/>
    <w:rsid w:val="006F6103"/>
    <w:rsid w:val="006F66E8"/>
    <w:rsid w:val="007032E0"/>
    <w:rsid w:val="007033EB"/>
    <w:rsid w:val="00703459"/>
    <w:rsid w:val="00704E00"/>
    <w:rsid w:val="00712A37"/>
    <w:rsid w:val="00717D68"/>
    <w:rsid w:val="007209E7"/>
    <w:rsid w:val="00726182"/>
    <w:rsid w:val="007261AB"/>
    <w:rsid w:val="007275E2"/>
    <w:rsid w:val="00727635"/>
    <w:rsid w:val="00732329"/>
    <w:rsid w:val="007337CA"/>
    <w:rsid w:val="00734CE4"/>
    <w:rsid w:val="00735123"/>
    <w:rsid w:val="00736F14"/>
    <w:rsid w:val="00741837"/>
    <w:rsid w:val="007453E6"/>
    <w:rsid w:val="007466C8"/>
    <w:rsid w:val="00746790"/>
    <w:rsid w:val="00753760"/>
    <w:rsid w:val="007550FD"/>
    <w:rsid w:val="00762AD4"/>
    <w:rsid w:val="007669D5"/>
    <w:rsid w:val="00772833"/>
    <w:rsid w:val="0077309D"/>
    <w:rsid w:val="00774444"/>
    <w:rsid w:val="007774EE"/>
    <w:rsid w:val="00781822"/>
    <w:rsid w:val="00783F21"/>
    <w:rsid w:val="0078625E"/>
    <w:rsid w:val="00786561"/>
    <w:rsid w:val="00787159"/>
    <w:rsid w:val="0079043A"/>
    <w:rsid w:val="00790D06"/>
    <w:rsid w:val="00791668"/>
    <w:rsid w:val="00791AA1"/>
    <w:rsid w:val="00796E0D"/>
    <w:rsid w:val="007A0F4D"/>
    <w:rsid w:val="007A3793"/>
    <w:rsid w:val="007A634A"/>
    <w:rsid w:val="007A7694"/>
    <w:rsid w:val="007B689D"/>
    <w:rsid w:val="007C1BA2"/>
    <w:rsid w:val="007C2B48"/>
    <w:rsid w:val="007C36FD"/>
    <w:rsid w:val="007D08AE"/>
    <w:rsid w:val="007D208E"/>
    <w:rsid w:val="007D20E9"/>
    <w:rsid w:val="007D4017"/>
    <w:rsid w:val="007D7881"/>
    <w:rsid w:val="007D7E3A"/>
    <w:rsid w:val="007E0BA2"/>
    <w:rsid w:val="007E0E10"/>
    <w:rsid w:val="007E4768"/>
    <w:rsid w:val="007E777B"/>
    <w:rsid w:val="007F2070"/>
    <w:rsid w:val="008053F5"/>
    <w:rsid w:val="00807AF7"/>
    <w:rsid w:val="00810198"/>
    <w:rsid w:val="00812536"/>
    <w:rsid w:val="008152FE"/>
    <w:rsid w:val="00815491"/>
    <w:rsid w:val="00815DA8"/>
    <w:rsid w:val="0082102E"/>
    <w:rsid w:val="0082194D"/>
    <w:rsid w:val="008221F9"/>
    <w:rsid w:val="00826EF5"/>
    <w:rsid w:val="00831693"/>
    <w:rsid w:val="0083290E"/>
    <w:rsid w:val="00840104"/>
    <w:rsid w:val="00840C1F"/>
    <w:rsid w:val="00841FC5"/>
    <w:rsid w:val="00842B0F"/>
    <w:rsid w:val="00842DD6"/>
    <w:rsid w:val="00843F0F"/>
    <w:rsid w:val="00845709"/>
    <w:rsid w:val="00851612"/>
    <w:rsid w:val="008576BD"/>
    <w:rsid w:val="00860463"/>
    <w:rsid w:val="008610BE"/>
    <w:rsid w:val="00863ABE"/>
    <w:rsid w:val="00864043"/>
    <w:rsid w:val="00870CBF"/>
    <w:rsid w:val="008733DA"/>
    <w:rsid w:val="00876D8A"/>
    <w:rsid w:val="00882825"/>
    <w:rsid w:val="0088397F"/>
    <w:rsid w:val="008850E4"/>
    <w:rsid w:val="00892156"/>
    <w:rsid w:val="008939AB"/>
    <w:rsid w:val="00897AC7"/>
    <w:rsid w:val="008A12F5"/>
    <w:rsid w:val="008A7DBD"/>
    <w:rsid w:val="008B1587"/>
    <w:rsid w:val="008B1B01"/>
    <w:rsid w:val="008B3BCD"/>
    <w:rsid w:val="008B6DF8"/>
    <w:rsid w:val="008C106C"/>
    <w:rsid w:val="008C10F1"/>
    <w:rsid w:val="008C1926"/>
    <w:rsid w:val="008C1E99"/>
    <w:rsid w:val="008C2C9D"/>
    <w:rsid w:val="008D114D"/>
    <w:rsid w:val="008E0085"/>
    <w:rsid w:val="008E278F"/>
    <w:rsid w:val="008E2AA6"/>
    <w:rsid w:val="008E311B"/>
    <w:rsid w:val="008E6591"/>
    <w:rsid w:val="008E7754"/>
    <w:rsid w:val="008F0484"/>
    <w:rsid w:val="008F3826"/>
    <w:rsid w:val="008F3E12"/>
    <w:rsid w:val="008F46E7"/>
    <w:rsid w:val="008F6F0B"/>
    <w:rsid w:val="008F7C8A"/>
    <w:rsid w:val="00900A1F"/>
    <w:rsid w:val="009029B7"/>
    <w:rsid w:val="00905EE5"/>
    <w:rsid w:val="00906530"/>
    <w:rsid w:val="00907BA7"/>
    <w:rsid w:val="0091064E"/>
    <w:rsid w:val="00911FC5"/>
    <w:rsid w:val="009128DF"/>
    <w:rsid w:val="00915224"/>
    <w:rsid w:val="00915472"/>
    <w:rsid w:val="00917BD7"/>
    <w:rsid w:val="0092166C"/>
    <w:rsid w:val="0092454C"/>
    <w:rsid w:val="00930259"/>
    <w:rsid w:val="00931A10"/>
    <w:rsid w:val="009344BD"/>
    <w:rsid w:val="00934606"/>
    <w:rsid w:val="00940014"/>
    <w:rsid w:val="0094154B"/>
    <w:rsid w:val="00946468"/>
    <w:rsid w:val="00947967"/>
    <w:rsid w:val="00955201"/>
    <w:rsid w:val="00955C1F"/>
    <w:rsid w:val="00961567"/>
    <w:rsid w:val="009640E3"/>
    <w:rsid w:val="009645ED"/>
    <w:rsid w:val="00965200"/>
    <w:rsid w:val="00966283"/>
    <w:rsid w:val="00966691"/>
    <w:rsid w:val="009668B3"/>
    <w:rsid w:val="00971471"/>
    <w:rsid w:val="00971C9E"/>
    <w:rsid w:val="00972041"/>
    <w:rsid w:val="0097696A"/>
    <w:rsid w:val="00984532"/>
    <w:rsid w:val="009849C2"/>
    <w:rsid w:val="00984D24"/>
    <w:rsid w:val="009858EB"/>
    <w:rsid w:val="00990AF0"/>
    <w:rsid w:val="00992D00"/>
    <w:rsid w:val="009974CE"/>
    <w:rsid w:val="009A3F47"/>
    <w:rsid w:val="009A455A"/>
    <w:rsid w:val="009B0046"/>
    <w:rsid w:val="009C1440"/>
    <w:rsid w:val="009C2107"/>
    <w:rsid w:val="009C2A64"/>
    <w:rsid w:val="009C34ED"/>
    <w:rsid w:val="009C4F9F"/>
    <w:rsid w:val="009C5D9E"/>
    <w:rsid w:val="009D209D"/>
    <w:rsid w:val="009D2C3E"/>
    <w:rsid w:val="009D3A91"/>
    <w:rsid w:val="009D62BB"/>
    <w:rsid w:val="009E0625"/>
    <w:rsid w:val="009E3034"/>
    <w:rsid w:val="009E3E92"/>
    <w:rsid w:val="009E4224"/>
    <w:rsid w:val="009E549F"/>
    <w:rsid w:val="009F28A8"/>
    <w:rsid w:val="009F473E"/>
    <w:rsid w:val="009F682A"/>
    <w:rsid w:val="00A022BE"/>
    <w:rsid w:val="00A037F0"/>
    <w:rsid w:val="00A07B4B"/>
    <w:rsid w:val="00A22226"/>
    <w:rsid w:val="00A22A04"/>
    <w:rsid w:val="00A24C95"/>
    <w:rsid w:val="00A2599A"/>
    <w:rsid w:val="00A26094"/>
    <w:rsid w:val="00A301BF"/>
    <w:rsid w:val="00A302B2"/>
    <w:rsid w:val="00A331B4"/>
    <w:rsid w:val="00A3484E"/>
    <w:rsid w:val="00A34F67"/>
    <w:rsid w:val="00A356D3"/>
    <w:rsid w:val="00A35D47"/>
    <w:rsid w:val="00A36032"/>
    <w:rsid w:val="00A36ADA"/>
    <w:rsid w:val="00A41371"/>
    <w:rsid w:val="00A438D8"/>
    <w:rsid w:val="00A47245"/>
    <w:rsid w:val="00A473F5"/>
    <w:rsid w:val="00A50FB3"/>
    <w:rsid w:val="00A51F9D"/>
    <w:rsid w:val="00A53BD9"/>
    <w:rsid w:val="00A5416A"/>
    <w:rsid w:val="00A54B95"/>
    <w:rsid w:val="00A55914"/>
    <w:rsid w:val="00A639F4"/>
    <w:rsid w:val="00A72ABA"/>
    <w:rsid w:val="00A76164"/>
    <w:rsid w:val="00A76900"/>
    <w:rsid w:val="00A81A32"/>
    <w:rsid w:val="00A835BD"/>
    <w:rsid w:val="00A86628"/>
    <w:rsid w:val="00A911AE"/>
    <w:rsid w:val="00A94137"/>
    <w:rsid w:val="00A956B6"/>
    <w:rsid w:val="00A95F7E"/>
    <w:rsid w:val="00A97B15"/>
    <w:rsid w:val="00AA42D5"/>
    <w:rsid w:val="00AA4B6F"/>
    <w:rsid w:val="00AA78CB"/>
    <w:rsid w:val="00AB2FAB"/>
    <w:rsid w:val="00AB5C14"/>
    <w:rsid w:val="00AB66E3"/>
    <w:rsid w:val="00AC1EE7"/>
    <w:rsid w:val="00AC333F"/>
    <w:rsid w:val="00AC585C"/>
    <w:rsid w:val="00AD1925"/>
    <w:rsid w:val="00AD6BD7"/>
    <w:rsid w:val="00AE067D"/>
    <w:rsid w:val="00AE0A9C"/>
    <w:rsid w:val="00AE7DC4"/>
    <w:rsid w:val="00AF1181"/>
    <w:rsid w:val="00AF1CE6"/>
    <w:rsid w:val="00AF2F79"/>
    <w:rsid w:val="00AF4653"/>
    <w:rsid w:val="00AF4A27"/>
    <w:rsid w:val="00AF7DB7"/>
    <w:rsid w:val="00AF7ED0"/>
    <w:rsid w:val="00B00850"/>
    <w:rsid w:val="00B01248"/>
    <w:rsid w:val="00B10D02"/>
    <w:rsid w:val="00B17218"/>
    <w:rsid w:val="00B201E2"/>
    <w:rsid w:val="00B20D72"/>
    <w:rsid w:val="00B443E4"/>
    <w:rsid w:val="00B450C4"/>
    <w:rsid w:val="00B45ADB"/>
    <w:rsid w:val="00B5484D"/>
    <w:rsid w:val="00B55032"/>
    <w:rsid w:val="00B563EA"/>
    <w:rsid w:val="00B56CDF"/>
    <w:rsid w:val="00B57BC7"/>
    <w:rsid w:val="00B60971"/>
    <w:rsid w:val="00B60E51"/>
    <w:rsid w:val="00B63A54"/>
    <w:rsid w:val="00B642B8"/>
    <w:rsid w:val="00B64FC8"/>
    <w:rsid w:val="00B76F84"/>
    <w:rsid w:val="00B77D18"/>
    <w:rsid w:val="00B818C5"/>
    <w:rsid w:val="00B8313A"/>
    <w:rsid w:val="00B87556"/>
    <w:rsid w:val="00B93503"/>
    <w:rsid w:val="00B93597"/>
    <w:rsid w:val="00B95CB6"/>
    <w:rsid w:val="00BA31E8"/>
    <w:rsid w:val="00BA55E0"/>
    <w:rsid w:val="00BA6BD4"/>
    <w:rsid w:val="00BA6C7A"/>
    <w:rsid w:val="00BA7107"/>
    <w:rsid w:val="00BB17D1"/>
    <w:rsid w:val="00BB2190"/>
    <w:rsid w:val="00BB3752"/>
    <w:rsid w:val="00BB6688"/>
    <w:rsid w:val="00BB7943"/>
    <w:rsid w:val="00BC140A"/>
    <w:rsid w:val="00BC26D4"/>
    <w:rsid w:val="00BE0C80"/>
    <w:rsid w:val="00BE319A"/>
    <w:rsid w:val="00BE3EC4"/>
    <w:rsid w:val="00BE715C"/>
    <w:rsid w:val="00BF2A42"/>
    <w:rsid w:val="00BF3BDB"/>
    <w:rsid w:val="00C03D8C"/>
    <w:rsid w:val="00C055EC"/>
    <w:rsid w:val="00C067C8"/>
    <w:rsid w:val="00C10DC9"/>
    <w:rsid w:val="00C12FB3"/>
    <w:rsid w:val="00C15EA7"/>
    <w:rsid w:val="00C17341"/>
    <w:rsid w:val="00C2034C"/>
    <w:rsid w:val="00C24EEF"/>
    <w:rsid w:val="00C25108"/>
    <w:rsid w:val="00C25CF6"/>
    <w:rsid w:val="00C26C36"/>
    <w:rsid w:val="00C32768"/>
    <w:rsid w:val="00C36A5F"/>
    <w:rsid w:val="00C4066D"/>
    <w:rsid w:val="00C41970"/>
    <w:rsid w:val="00C431DF"/>
    <w:rsid w:val="00C43331"/>
    <w:rsid w:val="00C4563D"/>
    <w:rsid w:val="00C456BD"/>
    <w:rsid w:val="00C467FD"/>
    <w:rsid w:val="00C47E71"/>
    <w:rsid w:val="00C50609"/>
    <w:rsid w:val="00C52134"/>
    <w:rsid w:val="00C530DC"/>
    <w:rsid w:val="00C5350D"/>
    <w:rsid w:val="00C56AAB"/>
    <w:rsid w:val="00C6123C"/>
    <w:rsid w:val="00C6311A"/>
    <w:rsid w:val="00C648BD"/>
    <w:rsid w:val="00C704A0"/>
    <w:rsid w:val="00C7084D"/>
    <w:rsid w:val="00C7315E"/>
    <w:rsid w:val="00C75895"/>
    <w:rsid w:val="00C83C9F"/>
    <w:rsid w:val="00C93698"/>
    <w:rsid w:val="00C93B62"/>
    <w:rsid w:val="00C94840"/>
    <w:rsid w:val="00C95673"/>
    <w:rsid w:val="00CA123F"/>
    <w:rsid w:val="00CA3585"/>
    <w:rsid w:val="00CA38FA"/>
    <w:rsid w:val="00CA3BCE"/>
    <w:rsid w:val="00CA40BC"/>
    <w:rsid w:val="00CA4EE3"/>
    <w:rsid w:val="00CA6646"/>
    <w:rsid w:val="00CA70E0"/>
    <w:rsid w:val="00CA7F89"/>
    <w:rsid w:val="00CB027F"/>
    <w:rsid w:val="00CB1DE5"/>
    <w:rsid w:val="00CB506A"/>
    <w:rsid w:val="00CB6282"/>
    <w:rsid w:val="00CB7F4A"/>
    <w:rsid w:val="00CC0EBB"/>
    <w:rsid w:val="00CC6297"/>
    <w:rsid w:val="00CC7690"/>
    <w:rsid w:val="00CD1986"/>
    <w:rsid w:val="00CD344C"/>
    <w:rsid w:val="00CD54BF"/>
    <w:rsid w:val="00CD5E2B"/>
    <w:rsid w:val="00CE4D5C"/>
    <w:rsid w:val="00CE5ADF"/>
    <w:rsid w:val="00CE737A"/>
    <w:rsid w:val="00CE7E0C"/>
    <w:rsid w:val="00CE7F25"/>
    <w:rsid w:val="00CF05DA"/>
    <w:rsid w:val="00CF239D"/>
    <w:rsid w:val="00CF58EB"/>
    <w:rsid w:val="00CF6FEC"/>
    <w:rsid w:val="00D0106E"/>
    <w:rsid w:val="00D023E2"/>
    <w:rsid w:val="00D048F4"/>
    <w:rsid w:val="00D06383"/>
    <w:rsid w:val="00D20E85"/>
    <w:rsid w:val="00D24615"/>
    <w:rsid w:val="00D3074F"/>
    <w:rsid w:val="00D32E54"/>
    <w:rsid w:val="00D3341F"/>
    <w:rsid w:val="00D37842"/>
    <w:rsid w:val="00D40B71"/>
    <w:rsid w:val="00D42DC2"/>
    <w:rsid w:val="00D4302B"/>
    <w:rsid w:val="00D537E1"/>
    <w:rsid w:val="00D547D6"/>
    <w:rsid w:val="00D55BB2"/>
    <w:rsid w:val="00D6091A"/>
    <w:rsid w:val="00D62807"/>
    <w:rsid w:val="00D6605A"/>
    <w:rsid w:val="00D665D9"/>
    <w:rsid w:val="00D6695F"/>
    <w:rsid w:val="00D72118"/>
    <w:rsid w:val="00D73AFD"/>
    <w:rsid w:val="00D75644"/>
    <w:rsid w:val="00D76ACE"/>
    <w:rsid w:val="00D77322"/>
    <w:rsid w:val="00D81656"/>
    <w:rsid w:val="00D83D87"/>
    <w:rsid w:val="00D84A6D"/>
    <w:rsid w:val="00D86A30"/>
    <w:rsid w:val="00D92A50"/>
    <w:rsid w:val="00D97CB4"/>
    <w:rsid w:val="00D97DD4"/>
    <w:rsid w:val="00DA4EC5"/>
    <w:rsid w:val="00DA5A8A"/>
    <w:rsid w:val="00DA7555"/>
    <w:rsid w:val="00DB1170"/>
    <w:rsid w:val="00DB26CD"/>
    <w:rsid w:val="00DB2759"/>
    <w:rsid w:val="00DB441C"/>
    <w:rsid w:val="00DB44AF"/>
    <w:rsid w:val="00DB7BCE"/>
    <w:rsid w:val="00DC19D6"/>
    <w:rsid w:val="00DC1F58"/>
    <w:rsid w:val="00DC339B"/>
    <w:rsid w:val="00DC47EA"/>
    <w:rsid w:val="00DC5D40"/>
    <w:rsid w:val="00DC5F1E"/>
    <w:rsid w:val="00DC69A7"/>
    <w:rsid w:val="00DD30E9"/>
    <w:rsid w:val="00DD4F47"/>
    <w:rsid w:val="00DD667C"/>
    <w:rsid w:val="00DD66DC"/>
    <w:rsid w:val="00DD7FBB"/>
    <w:rsid w:val="00DE0B9F"/>
    <w:rsid w:val="00DE2A9E"/>
    <w:rsid w:val="00DE4238"/>
    <w:rsid w:val="00DE657F"/>
    <w:rsid w:val="00DE71EE"/>
    <w:rsid w:val="00DF1218"/>
    <w:rsid w:val="00DF14F6"/>
    <w:rsid w:val="00DF5FD8"/>
    <w:rsid w:val="00DF6462"/>
    <w:rsid w:val="00E02FA0"/>
    <w:rsid w:val="00E036DC"/>
    <w:rsid w:val="00E0443F"/>
    <w:rsid w:val="00E05EA3"/>
    <w:rsid w:val="00E100AD"/>
    <w:rsid w:val="00E10454"/>
    <w:rsid w:val="00E112E5"/>
    <w:rsid w:val="00E122D8"/>
    <w:rsid w:val="00E12CC8"/>
    <w:rsid w:val="00E15254"/>
    <w:rsid w:val="00E15352"/>
    <w:rsid w:val="00E21CC7"/>
    <w:rsid w:val="00E2202B"/>
    <w:rsid w:val="00E221FB"/>
    <w:rsid w:val="00E24D9E"/>
    <w:rsid w:val="00E25849"/>
    <w:rsid w:val="00E30B4F"/>
    <w:rsid w:val="00E3197E"/>
    <w:rsid w:val="00E342F8"/>
    <w:rsid w:val="00E351ED"/>
    <w:rsid w:val="00E37F22"/>
    <w:rsid w:val="00E40289"/>
    <w:rsid w:val="00E44CA3"/>
    <w:rsid w:val="00E469B7"/>
    <w:rsid w:val="00E54016"/>
    <w:rsid w:val="00E547E0"/>
    <w:rsid w:val="00E6034B"/>
    <w:rsid w:val="00E6549E"/>
    <w:rsid w:val="00E65EDE"/>
    <w:rsid w:val="00E667D7"/>
    <w:rsid w:val="00E6704B"/>
    <w:rsid w:val="00E675AB"/>
    <w:rsid w:val="00E67717"/>
    <w:rsid w:val="00E70F81"/>
    <w:rsid w:val="00E70F9C"/>
    <w:rsid w:val="00E77055"/>
    <w:rsid w:val="00E77460"/>
    <w:rsid w:val="00E81C8C"/>
    <w:rsid w:val="00E83ABC"/>
    <w:rsid w:val="00E844F2"/>
    <w:rsid w:val="00E86567"/>
    <w:rsid w:val="00E90AD0"/>
    <w:rsid w:val="00E92FCB"/>
    <w:rsid w:val="00EA032D"/>
    <w:rsid w:val="00EA147F"/>
    <w:rsid w:val="00EA4A27"/>
    <w:rsid w:val="00EA4FA6"/>
    <w:rsid w:val="00EA5ADF"/>
    <w:rsid w:val="00EA66D3"/>
    <w:rsid w:val="00EB1258"/>
    <w:rsid w:val="00EB1A25"/>
    <w:rsid w:val="00EB6CBD"/>
    <w:rsid w:val="00EC24AF"/>
    <w:rsid w:val="00EC7363"/>
    <w:rsid w:val="00ED01FD"/>
    <w:rsid w:val="00ED03AB"/>
    <w:rsid w:val="00ED1963"/>
    <w:rsid w:val="00ED1CD4"/>
    <w:rsid w:val="00ED1D2B"/>
    <w:rsid w:val="00ED64B5"/>
    <w:rsid w:val="00EE0614"/>
    <w:rsid w:val="00EE4246"/>
    <w:rsid w:val="00EE7CCA"/>
    <w:rsid w:val="00F008F4"/>
    <w:rsid w:val="00F033CF"/>
    <w:rsid w:val="00F04FD5"/>
    <w:rsid w:val="00F065A1"/>
    <w:rsid w:val="00F10A7D"/>
    <w:rsid w:val="00F113C2"/>
    <w:rsid w:val="00F16A14"/>
    <w:rsid w:val="00F22157"/>
    <w:rsid w:val="00F228B2"/>
    <w:rsid w:val="00F23A7F"/>
    <w:rsid w:val="00F30145"/>
    <w:rsid w:val="00F34C9E"/>
    <w:rsid w:val="00F35C46"/>
    <w:rsid w:val="00F362D7"/>
    <w:rsid w:val="00F37D7B"/>
    <w:rsid w:val="00F44434"/>
    <w:rsid w:val="00F5314C"/>
    <w:rsid w:val="00F545B8"/>
    <w:rsid w:val="00F54F75"/>
    <w:rsid w:val="00F564EA"/>
    <w:rsid w:val="00F5688C"/>
    <w:rsid w:val="00F60048"/>
    <w:rsid w:val="00F60532"/>
    <w:rsid w:val="00F635DD"/>
    <w:rsid w:val="00F6627B"/>
    <w:rsid w:val="00F7336E"/>
    <w:rsid w:val="00F734F2"/>
    <w:rsid w:val="00F75052"/>
    <w:rsid w:val="00F804D3"/>
    <w:rsid w:val="00F816CB"/>
    <w:rsid w:val="00F81CD2"/>
    <w:rsid w:val="00F822F8"/>
    <w:rsid w:val="00F82641"/>
    <w:rsid w:val="00F90F18"/>
    <w:rsid w:val="00F929E0"/>
    <w:rsid w:val="00F937E4"/>
    <w:rsid w:val="00F95EE7"/>
    <w:rsid w:val="00FA1CC9"/>
    <w:rsid w:val="00FA3301"/>
    <w:rsid w:val="00FA341E"/>
    <w:rsid w:val="00FA39E6"/>
    <w:rsid w:val="00FA7131"/>
    <w:rsid w:val="00FA7BC9"/>
    <w:rsid w:val="00FB378E"/>
    <w:rsid w:val="00FB37F1"/>
    <w:rsid w:val="00FB39BC"/>
    <w:rsid w:val="00FB47C0"/>
    <w:rsid w:val="00FB501B"/>
    <w:rsid w:val="00FB5A2E"/>
    <w:rsid w:val="00FB7770"/>
    <w:rsid w:val="00FB7E78"/>
    <w:rsid w:val="00FC5EAB"/>
    <w:rsid w:val="00FC68C1"/>
    <w:rsid w:val="00FD0119"/>
    <w:rsid w:val="00FD0B0D"/>
    <w:rsid w:val="00FD3B91"/>
    <w:rsid w:val="00FD4D77"/>
    <w:rsid w:val="00FD576B"/>
    <w:rsid w:val="00FD579E"/>
    <w:rsid w:val="00FD6845"/>
    <w:rsid w:val="00FE060D"/>
    <w:rsid w:val="00FE4516"/>
    <w:rsid w:val="00FE6377"/>
    <w:rsid w:val="00FE64C8"/>
    <w:rsid w:val="00FF22CB"/>
    <w:rsid w:val="00FF2E36"/>
    <w:rsid w:val="00FF4E4A"/>
    <w:rsid w:val="00FF609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EDD997-1EAE-420D-BFFB-F5E9C90B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40">
    <w:name w:val="標題 4 字元"/>
    <w:aliases w:val="表格 字元"/>
    <w:basedOn w:val="a7"/>
    <w:link w:val="4"/>
    <w:rsid w:val="00E15254"/>
    <w:rPr>
      <w:rFonts w:ascii="標楷體" w:eastAsia="標楷體" w:hAnsi="Arial"/>
      <w:kern w:val="32"/>
      <w:sz w:val="32"/>
      <w:szCs w:val="36"/>
    </w:rPr>
  </w:style>
  <w:style w:type="paragraph" w:styleId="afc">
    <w:name w:val="footnote text"/>
    <w:basedOn w:val="a6"/>
    <w:link w:val="afd"/>
    <w:uiPriority w:val="99"/>
    <w:semiHidden/>
    <w:unhideWhenUsed/>
    <w:rsid w:val="00870CBF"/>
    <w:pPr>
      <w:snapToGrid w:val="0"/>
      <w:jc w:val="left"/>
    </w:pPr>
    <w:rPr>
      <w:sz w:val="20"/>
    </w:rPr>
  </w:style>
  <w:style w:type="character" w:customStyle="1" w:styleId="afd">
    <w:name w:val="註腳文字 字元"/>
    <w:basedOn w:val="a7"/>
    <w:link w:val="afc"/>
    <w:uiPriority w:val="99"/>
    <w:semiHidden/>
    <w:rsid w:val="00870CBF"/>
    <w:rPr>
      <w:rFonts w:ascii="標楷體" w:eastAsia="標楷體"/>
      <w:kern w:val="2"/>
    </w:rPr>
  </w:style>
  <w:style w:type="character" w:styleId="afe">
    <w:name w:val="footnote reference"/>
    <w:basedOn w:val="a7"/>
    <w:uiPriority w:val="99"/>
    <w:semiHidden/>
    <w:unhideWhenUsed/>
    <w:rsid w:val="00870CBF"/>
    <w:rPr>
      <w:vertAlign w:val="superscript"/>
    </w:rPr>
  </w:style>
  <w:style w:type="paragraph" w:customStyle="1" w:styleId="13">
    <w:name w:val="1."/>
    <w:basedOn w:val="a6"/>
    <w:rsid w:val="00412EFB"/>
    <w:pPr>
      <w:overflowPunct/>
      <w:autoSpaceDE/>
      <w:autoSpaceDN/>
      <w:adjustRightInd w:val="0"/>
      <w:snapToGrid w:val="0"/>
      <w:spacing w:line="360" w:lineRule="atLeast"/>
      <w:ind w:left="890" w:hanging="391"/>
      <w:jc w:val="lef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834">
      <w:bodyDiv w:val="1"/>
      <w:marLeft w:val="0"/>
      <w:marRight w:val="0"/>
      <w:marTop w:val="0"/>
      <w:marBottom w:val="0"/>
      <w:divBdr>
        <w:top w:val="none" w:sz="0" w:space="0" w:color="auto"/>
        <w:left w:val="none" w:sz="0" w:space="0" w:color="auto"/>
        <w:bottom w:val="none" w:sz="0" w:space="0" w:color="auto"/>
        <w:right w:val="none" w:sz="0" w:space="0" w:color="auto"/>
      </w:divBdr>
    </w:div>
    <w:div w:id="24858477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1110-E7CE-42B4-AE54-932C6DC6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24</Pages>
  <Words>8352</Words>
  <Characters>8603</Characters>
  <Application>Microsoft Office Word</Application>
  <DocSecurity>0</DocSecurity>
  <Lines>537</Lines>
  <Paragraphs>470</Paragraphs>
  <ScaleCrop>false</ScaleCrop>
  <Company>cy</Company>
  <LinksUpToDate>false</LinksUpToDate>
  <CharactersWithSpaces>16485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林秀珍</cp:lastModifiedBy>
  <cp:revision>3</cp:revision>
  <cp:lastPrinted>2018-07-05T10:49:00Z</cp:lastPrinted>
  <dcterms:created xsi:type="dcterms:W3CDTF">2019-04-12T07:35:00Z</dcterms:created>
  <dcterms:modified xsi:type="dcterms:W3CDTF">2019-04-12T07:35:00Z</dcterms:modified>
</cp:coreProperties>
</file>