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Pr="000C4F09" w:rsidRDefault="00255E08">
      <w:pPr>
        <w:pStyle w:val="a6"/>
        <w:kinsoku w:val="0"/>
        <w:spacing w:before="0"/>
        <w:ind w:leftChars="700" w:left="2381" w:firstLine="0"/>
        <w:rPr>
          <w:bCs/>
          <w:snapToGrid/>
          <w:spacing w:val="200"/>
          <w:kern w:val="0"/>
          <w:sz w:val="40"/>
        </w:rPr>
      </w:pPr>
      <w:r w:rsidRPr="000C4F09">
        <w:rPr>
          <w:rFonts w:hint="eastAsia"/>
          <w:bCs/>
          <w:snapToGrid/>
          <w:spacing w:val="200"/>
          <w:kern w:val="0"/>
          <w:sz w:val="40"/>
        </w:rPr>
        <w:t>調查</w:t>
      </w:r>
      <w:r w:rsidR="007A3B5D">
        <w:rPr>
          <w:rFonts w:hint="eastAsia"/>
          <w:bCs/>
          <w:snapToGrid/>
          <w:spacing w:val="200"/>
          <w:kern w:val="0"/>
          <w:sz w:val="40"/>
        </w:rPr>
        <w:t>意見</w:t>
      </w:r>
    </w:p>
    <w:p w:rsidR="00255E08" w:rsidRPr="000C4F09" w:rsidRDefault="00255E08" w:rsidP="003754D3">
      <w:pPr>
        <w:pStyle w:val="1"/>
        <w:ind w:left="2366" w:hanging="2366"/>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C4F0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754D3" w:rsidRPr="000C4F09">
        <w:rPr>
          <w:rFonts w:hint="eastAsia"/>
        </w:rPr>
        <w:t xml:space="preserve">據悉，保健食品及嬰兒食品經由直銷方式造成消費者誤用，且有危害嬰兒與民眾生命安全與健康的疑慮；究政府與相關衛生主管機關是否對此有善盡監督之責，實有深入探討之必要案。 </w:t>
      </w:r>
    </w:p>
    <w:p w:rsidR="00C108BD" w:rsidRPr="000C4F09" w:rsidRDefault="00255E08" w:rsidP="007A3B5D">
      <w:pPr>
        <w:pStyle w:val="1"/>
        <w:ind w:left="2366" w:hanging="2366"/>
        <w:rPr>
          <w:bCs w:val="0"/>
        </w:rPr>
      </w:pPr>
      <w:bookmarkStart w:id="23" w:name="_Toc524892369"/>
      <w:bookmarkStart w:id="24" w:name="_Toc524895639"/>
      <w:bookmarkStart w:id="25" w:name="_Toc524896185"/>
      <w:bookmarkStart w:id="26" w:name="_Toc524896215"/>
      <w:bookmarkStart w:id="27" w:name="_Toc524902721"/>
      <w:bookmarkStart w:id="28" w:name="_Toc525066140"/>
      <w:bookmarkStart w:id="29" w:name="_Toc525070830"/>
      <w:bookmarkStart w:id="30" w:name="_Toc525938370"/>
      <w:bookmarkStart w:id="31" w:name="_Toc525939218"/>
      <w:bookmarkStart w:id="32" w:name="_Toc525939723"/>
      <w:bookmarkStart w:id="33" w:name="_Toc529218257"/>
      <w:bookmarkStart w:id="34" w:name="_Toc529222680"/>
      <w:bookmarkStart w:id="35" w:name="_Toc529223102"/>
      <w:bookmarkStart w:id="36" w:name="_Toc529223853"/>
      <w:bookmarkStart w:id="37" w:name="_Toc529228249"/>
      <w:bookmarkStart w:id="38" w:name="_Toc2400385"/>
      <w:bookmarkStart w:id="39" w:name="_Toc4316180"/>
      <w:bookmarkStart w:id="40" w:name="_Toc4473321"/>
      <w:bookmarkStart w:id="41" w:name="_Toc69556888"/>
      <w:bookmarkStart w:id="42" w:name="_Toc69556937"/>
      <w:bookmarkStart w:id="43" w:name="_Toc69609811"/>
      <w:bookmarkStart w:id="44" w:name="_Toc70241807"/>
      <w:bookmarkStart w:id="45" w:name="_Toc70242196"/>
      <w:r w:rsidRPr="000C4F09">
        <w:rPr>
          <w:rFonts w:hint="eastAsia"/>
        </w:rPr>
        <w:t>調查</w:t>
      </w:r>
      <w:r w:rsidR="007A3B5D">
        <w:rPr>
          <w:rFonts w:hint="eastAsia"/>
        </w:rPr>
        <w:t>意</w:t>
      </w:r>
      <w:r w:rsidR="007A3B5D">
        <w:t>見</w:t>
      </w:r>
      <w:bookmarkStart w:id="46" w:name="_Toc52490273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C108BD" w:rsidRPr="000C4F09">
        <w:rPr>
          <w:rFonts w:hint="eastAsia"/>
        </w:rPr>
        <w:t>：</w:t>
      </w:r>
    </w:p>
    <w:p w:rsidR="004048B9" w:rsidRPr="000C4F09" w:rsidRDefault="004048B9" w:rsidP="004048B9">
      <w:pPr>
        <w:pStyle w:val="2"/>
        <w:ind w:left="1020" w:hanging="680"/>
        <w:rPr>
          <w:b/>
        </w:rPr>
      </w:pPr>
      <w:bookmarkStart w:id="47" w:name="_Toc2400393"/>
      <w:bookmarkStart w:id="48" w:name="_Toc4316187"/>
      <w:bookmarkStart w:id="49" w:name="_Toc4473328"/>
      <w:bookmarkStart w:id="50" w:name="_Toc69556895"/>
      <w:bookmarkStart w:id="51" w:name="_Toc69556944"/>
      <w:bookmarkStart w:id="52" w:name="_Toc69609818"/>
      <w:bookmarkStart w:id="53" w:name="_Toc70241814"/>
      <w:bookmarkStart w:id="54" w:name="_Toc70242203"/>
      <w:r w:rsidRPr="000C4F09">
        <w:rPr>
          <w:rFonts w:hint="eastAsia"/>
          <w:b/>
        </w:rPr>
        <w:t>衛福部食藥署對於傳銷業者進口</w:t>
      </w:r>
      <w:r w:rsidR="000F47FD" w:rsidRPr="000C4F09">
        <w:rPr>
          <w:rFonts w:hint="eastAsia"/>
          <w:b/>
        </w:rPr>
        <w:t>食</w:t>
      </w:r>
      <w:r w:rsidRPr="000C4F09">
        <w:rPr>
          <w:rFonts w:hint="eastAsia"/>
          <w:b/>
        </w:rPr>
        <w:t>品</w:t>
      </w:r>
      <w:r w:rsidR="00E437A0" w:rsidRPr="000C4F09">
        <w:rPr>
          <w:rFonts w:hint="eastAsia"/>
          <w:b/>
        </w:rPr>
        <w:t>相關之標示、宣傳或廣告</w:t>
      </w:r>
      <w:r w:rsidRPr="000C4F09">
        <w:rPr>
          <w:rFonts w:hint="eastAsia"/>
          <w:b/>
        </w:rPr>
        <w:t>翻譯未能</w:t>
      </w:r>
      <w:r w:rsidR="00E437A0" w:rsidRPr="000C4F09">
        <w:rPr>
          <w:rFonts w:hint="eastAsia"/>
          <w:b/>
        </w:rPr>
        <w:t>進行</w:t>
      </w:r>
      <w:r w:rsidRPr="000C4F09">
        <w:rPr>
          <w:rFonts w:hint="eastAsia"/>
          <w:b/>
        </w:rPr>
        <w:t>把關，任由直銷商竄改原廠適用與禁忌對象內容，</w:t>
      </w:r>
      <w:r w:rsidR="000F47FD" w:rsidRPr="000C4F09">
        <w:rPr>
          <w:rFonts w:hint="eastAsia"/>
          <w:b/>
        </w:rPr>
        <w:t>肇生</w:t>
      </w:r>
      <w:r w:rsidR="00E437A0" w:rsidRPr="000C4F09">
        <w:rPr>
          <w:rFonts w:hint="eastAsia"/>
          <w:b/>
        </w:rPr>
        <w:t>虛偽</w:t>
      </w:r>
      <w:r w:rsidR="000F47FD" w:rsidRPr="000C4F09">
        <w:rPr>
          <w:rFonts w:hint="eastAsia"/>
          <w:b/>
        </w:rPr>
        <w:t>不實情事，</w:t>
      </w:r>
      <w:r w:rsidRPr="000C4F09">
        <w:rPr>
          <w:rFonts w:hint="eastAsia"/>
          <w:b/>
        </w:rPr>
        <w:t>形成食安管理之漏洞，核有檢討之必要：</w:t>
      </w:r>
    </w:p>
    <w:p w:rsidR="00AE6DD1" w:rsidRPr="000C4F09" w:rsidRDefault="004048B9" w:rsidP="00AE6DD1">
      <w:pPr>
        <w:pStyle w:val="3"/>
        <w:ind w:left="1360" w:hanging="680"/>
      </w:pPr>
      <w:r w:rsidRPr="000C4F09">
        <w:rPr>
          <w:rFonts w:hint="eastAsia"/>
        </w:rPr>
        <w:t>按</w:t>
      </w:r>
      <w:r w:rsidR="00AE6DD1" w:rsidRPr="000C4F09">
        <w:rPr>
          <w:rFonts w:hint="eastAsia"/>
        </w:rPr>
        <w:t>食品安全衛生管理法(下稱食安法)第28條第1項規定：「食品、食品添加物、食品用洗潔劑及經中央主管機關公告之食品器具、食品容器或包裝，其標示、宣傳或廣告，不得有不實、誇張或易生誤解之情形。」</w:t>
      </w:r>
      <w:r w:rsidR="00C03A72" w:rsidRPr="000C4F09">
        <w:rPr>
          <w:rFonts w:hint="eastAsia"/>
        </w:rPr>
        <w:t>而</w:t>
      </w:r>
      <w:r w:rsidR="00C03A72" w:rsidRPr="000C4F09">
        <w:rPr>
          <w:rFonts w:hAnsi="標楷體" w:cs="標楷體" w:hint="eastAsia"/>
          <w:szCs w:val="32"/>
          <w:lang w:val="zh-TW"/>
        </w:rPr>
        <w:t>違反上開規定者，依同法第45條，處新臺幣</w:t>
      </w:r>
      <w:r w:rsidR="002E3CB9" w:rsidRPr="000C4F09">
        <w:rPr>
          <w:rFonts w:hint="eastAsia"/>
        </w:rPr>
        <w:t>(下同)</w:t>
      </w:r>
      <w:r w:rsidR="00C03A72" w:rsidRPr="000C4F09">
        <w:rPr>
          <w:rFonts w:hAnsi="標楷體" w:cs="標楷體" w:hint="eastAsia"/>
          <w:szCs w:val="32"/>
          <w:lang w:val="zh-TW"/>
        </w:rPr>
        <w:t>4萬元以上400萬元以下罰鍰，合先敘明。</w:t>
      </w:r>
    </w:p>
    <w:p w:rsidR="004048B9" w:rsidRPr="000C4F09" w:rsidRDefault="00C03A72" w:rsidP="003479E0">
      <w:pPr>
        <w:pStyle w:val="3"/>
        <w:ind w:left="1360" w:hanging="680"/>
      </w:pPr>
      <w:r w:rsidRPr="000C4F09">
        <w:rPr>
          <w:rFonts w:hint="eastAsia"/>
        </w:rPr>
        <w:t>查</w:t>
      </w:r>
      <w:r w:rsidR="0085411E" w:rsidRPr="000C4F09">
        <w:rPr>
          <w:rFonts w:hint="eastAsia"/>
        </w:rPr>
        <w:t>106年11月16日</w:t>
      </w:r>
      <w:r w:rsidR="009D1B4C" w:rsidRPr="000C4F09">
        <w:rPr>
          <w:rFonts w:hint="eastAsia"/>
        </w:rPr>
        <w:t>媒體報導</w:t>
      </w:r>
      <w:r w:rsidR="0085411E" w:rsidRPr="000C4F09">
        <w:rPr>
          <w:rFonts w:hint="eastAsia"/>
        </w:rPr>
        <w:t>高雄市</w:t>
      </w:r>
      <w:r w:rsidR="009D1B4C" w:rsidRPr="000C4F09">
        <w:rPr>
          <w:rFonts w:hint="eastAsia"/>
        </w:rPr>
        <w:t>有</w:t>
      </w:r>
      <w:r w:rsidR="0085411E" w:rsidRPr="000C4F09">
        <w:rPr>
          <w:rFonts w:hint="eastAsia"/>
        </w:rPr>
        <w:t>1名21歲的年輕媽媽，讓4個月大的男嬰連吃</w:t>
      </w:r>
      <w:r w:rsidR="009D1B4C" w:rsidRPr="000C4F09">
        <w:rPr>
          <w:rFonts w:hint="eastAsia"/>
        </w:rPr>
        <w:t>美商嘉康利股份有限公司(下稱嘉康利公司)產製之「精沛素」</w:t>
      </w:r>
      <w:r w:rsidR="009D1B4C" w:rsidRPr="000C4F09">
        <w:rPr>
          <w:rStyle w:val="af4"/>
        </w:rPr>
        <w:footnoteReference w:id="1"/>
      </w:r>
      <w:r w:rsidR="0085411E" w:rsidRPr="000C4F09">
        <w:rPr>
          <w:rFonts w:hint="eastAsia"/>
        </w:rPr>
        <w:t>4個月，險造成男嬰喪命</w:t>
      </w:r>
      <w:r w:rsidR="009D1B4C" w:rsidRPr="000C4F09">
        <w:rPr>
          <w:rFonts w:hint="eastAsia"/>
        </w:rPr>
        <w:t>之新聞事件</w:t>
      </w:r>
      <w:r w:rsidR="0085411E" w:rsidRPr="000C4F09">
        <w:rPr>
          <w:rFonts w:hint="eastAsia"/>
        </w:rPr>
        <w:t>，</w:t>
      </w:r>
      <w:r w:rsidR="003479E0" w:rsidRPr="000C4F09">
        <w:rPr>
          <w:rFonts w:hint="eastAsia"/>
        </w:rPr>
        <w:t>嗣經臺北市政府衛生局調查，查獲案內產品涉標示及廣告違規，爰於106年12月1日以北市衛食藥字第10646984700號裁處書裁處嘉康利公司</w:t>
      </w:r>
      <w:r w:rsidR="003479E0" w:rsidRPr="000C4F09">
        <w:rPr>
          <w:rFonts w:ascii="Times New Roman" w:hAnsi="Times New Roman" w:hint="eastAsia"/>
        </w:rPr>
        <w:t>台灣分公司</w:t>
      </w:r>
      <w:r w:rsidR="003479E0" w:rsidRPr="000C4F09">
        <w:rPr>
          <w:rFonts w:hint="eastAsia"/>
        </w:rPr>
        <w:t>8萬元整。</w:t>
      </w:r>
      <w:r w:rsidR="00CD1DBC" w:rsidRPr="000C4F09">
        <w:rPr>
          <w:rFonts w:hint="eastAsia"/>
        </w:rPr>
        <w:t>而國內直銷商</w:t>
      </w:r>
      <w:r w:rsidR="004048B9" w:rsidRPr="000C4F09">
        <w:rPr>
          <w:rFonts w:hint="eastAsia"/>
        </w:rPr>
        <w:t>對</w:t>
      </w:r>
      <w:r w:rsidR="00CD1DBC" w:rsidRPr="000C4F09">
        <w:rPr>
          <w:rFonts w:hint="eastAsia"/>
        </w:rPr>
        <w:t>於「精沛素」</w:t>
      </w:r>
      <w:r w:rsidR="004048B9" w:rsidRPr="000C4F09">
        <w:rPr>
          <w:rFonts w:hint="eastAsia"/>
        </w:rPr>
        <w:t>之廣告內容翻譯</w:t>
      </w:r>
      <w:r w:rsidR="00056012" w:rsidRPr="000C4F09">
        <w:rPr>
          <w:rFonts w:hint="eastAsia"/>
        </w:rPr>
        <w:t>迥異於美國原廠瓶罐與使用警語，略以：</w:t>
      </w:r>
    </w:p>
    <w:p w:rsidR="00C23824" w:rsidRPr="000C4F09" w:rsidRDefault="00C23824" w:rsidP="00C23824">
      <w:pPr>
        <w:pStyle w:val="4"/>
        <w:ind w:left="1700" w:hanging="680"/>
      </w:pPr>
      <w:r w:rsidRPr="000C4F09">
        <w:rPr>
          <w:rFonts w:hint="eastAsia"/>
        </w:rPr>
        <w:lastRenderedPageBreak/>
        <w:t>美國原廠瓶罐與使用警語</w:t>
      </w:r>
      <w:r w:rsidR="00056012" w:rsidRPr="000C4F09">
        <w:rPr>
          <w:rFonts w:hint="eastAsia"/>
        </w:rPr>
        <w:t>之</w:t>
      </w:r>
      <w:r w:rsidRPr="000C4F09">
        <w:rPr>
          <w:rFonts w:hint="eastAsia"/>
        </w:rPr>
        <w:t>陳述</w:t>
      </w:r>
      <w:r w:rsidR="00056012" w:rsidRPr="000C4F09">
        <w:rPr>
          <w:rFonts w:hint="eastAsia"/>
        </w:rPr>
        <w:t>如下</w:t>
      </w:r>
      <w:r w:rsidRPr="000C4F09">
        <w:rPr>
          <w:rFonts w:hint="eastAsia"/>
        </w:rPr>
        <w:t>：</w:t>
      </w:r>
    </w:p>
    <w:p w:rsidR="00C23824" w:rsidRPr="000C4F09" w:rsidRDefault="00C23824" w:rsidP="00C23824">
      <w:pPr>
        <w:pStyle w:val="5"/>
        <w:ind w:left="2041" w:hanging="680"/>
      </w:pPr>
      <w:r w:rsidRPr="000C4F09">
        <w:rPr>
          <w:rFonts w:hint="eastAsia"/>
        </w:rPr>
        <w:t>Use this product as food supplement only.(本產品僅供營養補充品使用)</w:t>
      </w:r>
    </w:p>
    <w:p w:rsidR="00C23824" w:rsidRPr="000C4F09" w:rsidRDefault="00C23824" w:rsidP="00C23824">
      <w:pPr>
        <w:pStyle w:val="5"/>
        <w:ind w:left="2041" w:hanging="680"/>
      </w:pPr>
      <w:r w:rsidRPr="000C4F09">
        <w:rPr>
          <w:rFonts w:hint="eastAsia"/>
        </w:rPr>
        <w:t>Do not use for weight reduction</w:t>
      </w:r>
      <w:r w:rsidR="002E3CB9" w:rsidRPr="000C4F09">
        <w:rPr>
          <w:rFonts w:hint="eastAsia"/>
        </w:rPr>
        <w:t>.</w:t>
      </w:r>
      <w:r w:rsidRPr="000C4F09">
        <w:rPr>
          <w:rFonts w:hint="eastAsia"/>
        </w:rPr>
        <w:t>(不應使用於減肥)</w:t>
      </w:r>
    </w:p>
    <w:p w:rsidR="004048B9" w:rsidRPr="000C4F09" w:rsidRDefault="00C23824" w:rsidP="00C23824">
      <w:pPr>
        <w:pStyle w:val="5"/>
        <w:ind w:left="2041" w:hanging="680"/>
      </w:pPr>
      <w:r w:rsidRPr="000C4F09">
        <w:rPr>
          <w:rFonts w:hint="eastAsia"/>
        </w:rPr>
        <w:t>Should not be used by infants under 1 year of age without consulting a physician.(未經諮詢醫師不應提供給1歲以下嬰兒食用)</w:t>
      </w:r>
    </w:p>
    <w:p w:rsidR="00C23824" w:rsidRPr="000C4F09" w:rsidRDefault="000F47FD" w:rsidP="00C23824">
      <w:pPr>
        <w:pStyle w:val="4"/>
        <w:ind w:left="1700" w:hanging="680"/>
      </w:pPr>
      <w:r w:rsidRPr="000C4F09">
        <w:rPr>
          <w:rFonts w:hint="eastAsia"/>
        </w:rPr>
        <w:t>國內直銷商</w:t>
      </w:r>
      <w:r w:rsidR="00C23824" w:rsidRPr="000C4F09">
        <w:rPr>
          <w:rFonts w:hint="eastAsia"/>
        </w:rPr>
        <w:t>嘉康利公司</w:t>
      </w:r>
      <w:r w:rsidR="00C23824" w:rsidRPr="000C4F09">
        <w:rPr>
          <w:rFonts w:hint="eastAsia"/>
          <w:szCs w:val="32"/>
        </w:rPr>
        <w:t>台灣</w:t>
      </w:r>
      <w:r w:rsidR="003479E0" w:rsidRPr="000C4F09">
        <w:rPr>
          <w:rFonts w:ascii="Times New Roman" w:hAnsi="Times New Roman" w:hint="eastAsia"/>
        </w:rPr>
        <w:t>分公司</w:t>
      </w:r>
      <w:r w:rsidR="00C23824" w:rsidRPr="000C4F09">
        <w:rPr>
          <w:rFonts w:hint="eastAsia"/>
        </w:rPr>
        <w:t>對「精沛素」之廣告內容為：</w:t>
      </w:r>
    </w:p>
    <w:p w:rsidR="00C23824" w:rsidRPr="000C4F09" w:rsidRDefault="00056012" w:rsidP="00C23824">
      <w:pPr>
        <w:pStyle w:val="5"/>
        <w:ind w:left="2041" w:hanging="680"/>
      </w:pPr>
      <w:r w:rsidRPr="000C4F09">
        <w:rPr>
          <w:rFonts w:hint="eastAsia"/>
        </w:rPr>
        <w:t>精沛素：最營養的早餐。(沒事3湯匙，有事6湯匙，打基礎)</w:t>
      </w:r>
    </w:p>
    <w:p w:rsidR="00C23824" w:rsidRPr="000C4F09" w:rsidRDefault="00C23824" w:rsidP="00C23824">
      <w:pPr>
        <w:pStyle w:val="5"/>
        <w:ind w:left="2041" w:hanging="680"/>
      </w:pPr>
      <w:r w:rsidRPr="000C4F09">
        <w:rPr>
          <w:rFonts w:hint="eastAsia"/>
        </w:rPr>
        <w:t>1歲以下嬰兒請於諮詢醫療專業人員後食用本品</w:t>
      </w:r>
      <w:r w:rsidR="00056012" w:rsidRPr="000C4F09">
        <w:rPr>
          <w:rFonts w:hint="eastAsia"/>
        </w:rPr>
        <w:t>。</w:t>
      </w:r>
    </w:p>
    <w:p w:rsidR="00C23824" w:rsidRPr="000C4F09" w:rsidRDefault="00C23824" w:rsidP="00C23824">
      <w:pPr>
        <w:pStyle w:val="5"/>
        <w:ind w:left="2041" w:hanging="680"/>
      </w:pPr>
      <w:r w:rsidRPr="000C4F09">
        <w:rPr>
          <w:rFonts w:hint="eastAsia"/>
        </w:rPr>
        <w:t>成人、兒童可安心食用</w:t>
      </w:r>
      <w:r w:rsidR="00056012" w:rsidRPr="000C4F09">
        <w:rPr>
          <w:rFonts w:hint="eastAsia"/>
        </w:rPr>
        <w:t>。</w:t>
      </w:r>
    </w:p>
    <w:p w:rsidR="00762990" w:rsidRPr="000C4F09" w:rsidRDefault="00EA41C1" w:rsidP="00C00629">
      <w:pPr>
        <w:pStyle w:val="3"/>
        <w:ind w:left="1360" w:hanging="680"/>
      </w:pPr>
      <w:r w:rsidRPr="000C4F09">
        <w:rPr>
          <w:rFonts w:hint="eastAsia"/>
        </w:rPr>
        <w:t>卷查食藥署查復本院指出，</w:t>
      </w:r>
      <w:r w:rsidR="00762990" w:rsidRPr="000C4F09">
        <w:rPr>
          <w:rFonts w:hint="eastAsia"/>
        </w:rPr>
        <w:t>囿</w:t>
      </w:r>
      <w:r w:rsidR="004048B9" w:rsidRPr="000C4F09">
        <w:rPr>
          <w:rFonts w:hint="eastAsia"/>
        </w:rPr>
        <w:t>於司法院曾對化粧品廣告之事前審查做出解釋如下：「…</w:t>
      </w:r>
      <w:r w:rsidR="002F6942" w:rsidRPr="000C4F09">
        <w:rPr>
          <w:rFonts w:hint="eastAsia"/>
        </w:rPr>
        <w:t>…</w:t>
      </w:r>
      <w:r w:rsidR="004048B9" w:rsidRPr="000C4F09">
        <w:rPr>
          <w:rFonts w:hint="eastAsia"/>
        </w:rPr>
        <w:t>化粧品廣告所為之事前審查，限制化粧品廠商之言論自由，已逾越必要程度，不符憲法第23條之比例原則，與憲法第11條保障人民言論自由之意旨有違…</w:t>
      </w:r>
      <w:r w:rsidR="002F6942" w:rsidRPr="000C4F09">
        <w:rPr>
          <w:rFonts w:hint="eastAsia"/>
        </w:rPr>
        <w:t>…</w:t>
      </w:r>
      <w:r w:rsidR="004048B9" w:rsidRPr="000C4F09">
        <w:rPr>
          <w:rFonts w:hint="eastAsia"/>
        </w:rPr>
        <w:t>」(司法院釋字第744號解釋參照)，</w:t>
      </w:r>
      <w:r w:rsidRPr="000C4F09">
        <w:rPr>
          <w:rFonts w:hint="eastAsia"/>
        </w:rPr>
        <w:t>故該</w:t>
      </w:r>
      <w:r w:rsidR="00762990" w:rsidRPr="000C4F09">
        <w:rPr>
          <w:rFonts w:hint="eastAsia"/>
        </w:rPr>
        <w:t>署對於</w:t>
      </w:r>
      <w:r w:rsidR="004048B9" w:rsidRPr="000C4F09">
        <w:rPr>
          <w:rFonts w:hint="eastAsia"/>
        </w:rPr>
        <w:t>食品廣告</w:t>
      </w:r>
      <w:r w:rsidR="001B55D0" w:rsidRPr="000C4F09">
        <w:rPr>
          <w:rFonts w:hint="eastAsia"/>
        </w:rPr>
        <w:t>係</w:t>
      </w:r>
      <w:r w:rsidR="004048B9" w:rsidRPr="000C4F09">
        <w:rPr>
          <w:rFonts w:hint="eastAsia"/>
        </w:rPr>
        <w:t>採</w:t>
      </w:r>
      <w:r w:rsidR="001B55D0" w:rsidRPr="000C4F09">
        <w:rPr>
          <w:rFonts w:hint="eastAsia"/>
        </w:rPr>
        <w:t>行</w:t>
      </w:r>
      <w:r w:rsidR="004048B9" w:rsidRPr="000C4F09">
        <w:rPr>
          <w:rFonts w:hint="eastAsia"/>
        </w:rPr>
        <w:t>自主管理制及市場監管方式處辦。</w:t>
      </w:r>
      <w:r w:rsidR="001B55D0" w:rsidRPr="000C4F09">
        <w:rPr>
          <w:rFonts w:hint="eastAsia"/>
        </w:rPr>
        <w:t>惟查上開解釋理由書亦載明</w:t>
      </w:r>
      <w:r w:rsidR="00364BBB" w:rsidRPr="000C4F09">
        <w:rPr>
          <w:rFonts w:hint="eastAsia"/>
        </w:rPr>
        <w:t>：「言論自由在於保障資訊之自由流通，使人民有取得充分資訊及自我實現之機會。化粧品廣告係利用傳播方法，宣傳化粧品效能，以達招徠銷售為目的，具商業上意見表達之性質。商業言論所提供之訊息，</w:t>
      </w:r>
      <w:r w:rsidR="00364BBB" w:rsidRPr="000C4F09">
        <w:rPr>
          <w:rFonts w:hint="eastAsia"/>
          <w:b/>
        </w:rPr>
        <w:t>內容非虛偽不實或不致產生誤導作用</w:t>
      </w:r>
      <w:r w:rsidR="00364BBB" w:rsidRPr="000C4F09">
        <w:rPr>
          <w:rFonts w:hint="eastAsia"/>
        </w:rPr>
        <w:t>，以合法交易為目的而有助於消費大眾作出經濟上之合理抉擇者，應受憲法第11條言</w:t>
      </w:r>
      <w:r w:rsidR="00364BBB" w:rsidRPr="000C4F09">
        <w:rPr>
          <w:rFonts w:hint="eastAsia"/>
        </w:rPr>
        <w:lastRenderedPageBreak/>
        <w:t>論自由之保障（</w:t>
      </w:r>
      <w:r w:rsidR="002E3CB9" w:rsidRPr="000C4F09">
        <w:rPr>
          <w:rFonts w:hint="eastAsia"/>
        </w:rPr>
        <w:t>司法</w:t>
      </w:r>
      <w:r w:rsidR="00364BBB" w:rsidRPr="000C4F09">
        <w:rPr>
          <w:rFonts w:hint="eastAsia"/>
        </w:rPr>
        <w:t>院釋字第577號、第623號解釋參照）。</w:t>
      </w:r>
      <w:r w:rsidR="0016250C" w:rsidRPr="000C4F09">
        <w:rPr>
          <w:rFonts w:hint="eastAsia"/>
        </w:rPr>
        <w:t>……系爭規定之立法資料須足以支持對化粧品廣告之事前審查，係為</w:t>
      </w:r>
      <w:r w:rsidR="0016250C" w:rsidRPr="000C4F09">
        <w:rPr>
          <w:rFonts w:hint="eastAsia"/>
          <w:b/>
        </w:rPr>
        <w:t>防免人民生命、身體、健康遭受直接、立即及難以回復危害之特別重要之公共利益目的</w:t>
      </w:r>
      <w:r w:rsidR="0016250C" w:rsidRPr="000C4F09">
        <w:rPr>
          <w:rFonts w:hint="eastAsia"/>
        </w:rPr>
        <w:t>，其與目的之達成間具直接及絕對必要關聯，且賦予人民獲立即司法救濟之機會，始符合憲法比例原則及保障言論自由之意旨。</w:t>
      </w:r>
      <w:r w:rsidR="001D1DB8" w:rsidRPr="000C4F09">
        <w:rPr>
          <w:rFonts w:hint="eastAsia"/>
        </w:rPr>
        <w:t>……然廣告之功能在誘引消費者購買化粧品，尚未對人民生命、身體、健康發生直接、立即之威脅，則就此等廣告，予以事前審查，難謂其目的係在防免人民生命、身體、健康遭受直接、立即及難以回復之危害。系爭規定既難認係為保護特別重要之公共利益目的，自亦無從認為該規定所採事前審查方式以限制化粧品廠商之言論自由及消費者取得充分資訊機會，與特別重要之公共利益之間，具備直接及絕對必要之關聯。</w:t>
      </w:r>
      <w:r w:rsidR="00364BBB" w:rsidRPr="000C4F09">
        <w:rPr>
          <w:rFonts w:hint="eastAsia"/>
        </w:rPr>
        <w:t>」故</w:t>
      </w:r>
      <w:r w:rsidR="001D1DB8" w:rsidRPr="000C4F09">
        <w:rPr>
          <w:rFonts w:hint="eastAsia"/>
        </w:rPr>
        <w:t>上開解釋雖認對化粧品廣告採事前審查制，已涉及對化粧品廠商言論自由的重大干預，應為違憲</w:t>
      </w:r>
      <w:r w:rsidR="00C00629" w:rsidRPr="000C4F09">
        <w:rPr>
          <w:rFonts w:hint="eastAsia"/>
        </w:rPr>
        <w:t>，但其亦強調受言論自由保障的言論須為「內容非虛偽不實或不致產生誤導作用」者，始足當之；又如係為「防免人民生命、身體、健康遭受直接、立即及難以回復危害之特別重要之公共利益目的」之前提下，亦與憲法比例原則及保障言論自由之意旨，並無不符。</w:t>
      </w:r>
      <w:r w:rsidR="00364BBB" w:rsidRPr="000C4F09">
        <w:rPr>
          <w:rFonts w:hint="eastAsia"/>
        </w:rPr>
        <w:t>食藥署</w:t>
      </w:r>
      <w:r w:rsidR="00C00629" w:rsidRPr="000C4F09">
        <w:rPr>
          <w:rFonts w:hint="eastAsia"/>
        </w:rPr>
        <w:t>未就食品</w:t>
      </w:r>
      <w:r w:rsidR="00875921" w:rsidRPr="000C4F09">
        <w:rPr>
          <w:rFonts w:hint="eastAsia"/>
        </w:rPr>
        <w:t>與</w:t>
      </w:r>
      <w:r w:rsidR="00C00629" w:rsidRPr="000C4F09">
        <w:rPr>
          <w:rFonts w:hint="eastAsia"/>
        </w:rPr>
        <w:t>化粧品</w:t>
      </w:r>
      <w:r w:rsidR="00875921" w:rsidRPr="000C4F09">
        <w:rPr>
          <w:rFonts w:hint="eastAsia"/>
        </w:rPr>
        <w:t>本質之不同以及廣告內容如有不實產生誤導造成誤用的危險程度與機率</w:t>
      </w:r>
      <w:r w:rsidR="00C00629" w:rsidRPr="000C4F09">
        <w:rPr>
          <w:rFonts w:hint="eastAsia"/>
        </w:rPr>
        <w:t>……</w:t>
      </w:r>
      <w:r w:rsidR="00875921" w:rsidRPr="000C4F09">
        <w:rPr>
          <w:rFonts w:hint="eastAsia"/>
        </w:rPr>
        <w:t>等事項，予以探究研析審酌，即</w:t>
      </w:r>
      <w:r w:rsidR="00364BBB" w:rsidRPr="000C4F09">
        <w:rPr>
          <w:rFonts w:hint="eastAsia"/>
        </w:rPr>
        <w:t>將</w:t>
      </w:r>
      <w:r w:rsidR="004A7A90" w:rsidRPr="000C4F09">
        <w:rPr>
          <w:rFonts w:hint="eastAsia"/>
        </w:rPr>
        <w:t>食品廣告之事前審查制度比擬為</w:t>
      </w:r>
      <w:r w:rsidR="00364BBB" w:rsidRPr="000C4F09">
        <w:rPr>
          <w:rFonts w:hint="eastAsia"/>
        </w:rPr>
        <w:t>化粧品廣告之事前審查</w:t>
      </w:r>
      <w:r w:rsidR="004A7A90" w:rsidRPr="000C4F09">
        <w:rPr>
          <w:rFonts w:hint="eastAsia"/>
        </w:rPr>
        <w:t>制度涉及違憲</w:t>
      </w:r>
      <w:r w:rsidR="00B96767" w:rsidRPr="000C4F09">
        <w:rPr>
          <w:rFonts w:hint="eastAsia"/>
        </w:rPr>
        <w:t>，</w:t>
      </w:r>
      <w:r w:rsidR="00875921" w:rsidRPr="000C4F09">
        <w:rPr>
          <w:rFonts w:hint="eastAsia"/>
        </w:rPr>
        <w:t>審酌下列二者之比較事項</w:t>
      </w:r>
      <w:r w:rsidR="00364BBB" w:rsidRPr="000C4F09">
        <w:rPr>
          <w:rFonts w:hint="eastAsia"/>
        </w:rPr>
        <w:t>，</w:t>
      </w:r>
      <w:r w:rsidR="00875921" w:rsidRPr="000C4F09">
        <w:rPr>
          <w:rFonts w:hint="eastAsia"/>
        </w:rPr>
        <w:t>另為慎重計</w:t>
      </w:r>
      <w:r w:rsidR="005A6880" w:rsidRPr="000C4F09">
        <w:rPr>
          <w:rFonts w:hint="eastAsia"/>
        </w:rPr>
        <w:t>，該署允宜再審酌釐清，避免誤解大法官之解釋意旨；並應積極研議強化市場監管之機制及有效管理措施，俾因應無法對廣告採行</w:t>
      </w:r>
      <w:r w:rsidR="005A6880" w:rsidRPr="000C4F09">
        <w:rPr>
          <w:rFonts w:hint="eastAsia"/>
        </w:rPr>
        <w:lastRenderedPageBreak/>
        <w:t>事前審查時造成把關不足之缺漏：</w:t>
      </w:r>
      <w:r w:rsidR="00875921" w:rsidRPr="000C4F09">
        <w:t xml:space="preserve"> </w:t>
      </w:r>
    </w:p>
    <w:p w:rsidR="00EA41C1" w:rsidRPr="000C4F09" w:rsidRDefault="00953490" w:rsidP="00EA41C1">
      <w:pPr>
        <w:pStyle w:val="4"/>
        <w:ind w:left="1700" w:hanging="680"/>
      </w:pPr>
      <w:r w:rsidRPr="000C4F09">
        <w:rPr>
          <w:rFonts w:hint="eastAsia"/>
        </w:rPr>
        <w:t>食品、化粧品</w:t>
      </w:r>
      <w:r w:rsidR="00EA41C1" w:rsidRPr="000C4F09">
        <w:rPr>
          <w:rFonts w:hint="eastAsia"/>
        </w:rPr>
        <w:t>兩者定義不同：</w:t>
      </w:r>
    </w:p>
    <w:p w:rsidR="00EA41C1" w:rsidRPr="000C4F09" w:rsidRDefault="00953490" w:rsidP="00953490">
      <w:pPr>
        <w:pStyle w:val="5"/>
        <w:ind w:left="2041" w:hanging="680"/>
      </w:pPr>
      <w:r w:rsidRPr="000C4F09">
        <w:rPr>
          <w:rFonts w:hint="eastAsia"/>
        </w:rPr>
        <w:t>食安法第3條第1款規定：食品係指供人飲食或咀嚼之產品及其原料。</w:t>
      </w:r>
    </w:p>
    <w:p w:rsidR="00953490" w:rsidRPr="000C4F09" w:rsidRDefault="00085EB0" w:rsidP="00953490">
      <w:pPr>
        <w:pStyle w:val="5"/>
        <w:ind w:left="2041" w:hanging="680"/>
      </w:pPr>
      <w:r w:rsidRPr="000C4F09">
        <w:rPr>
          <w:rFonts w:hint="eastAsia"/>
        </w:rPr>
        <w:t>化粧品衛生管理條例第3條規定：</w:t>
      </w:r>
      <w:r w:rsidR="00953490" w:rsidRPr="000C4F09">
        <w:rPr>
          <w:rFonts w:hint="eastAsia"/>
        </w:rPr>
        <w:t>化粧品係指施於人體外部，以潤澤髮膚，刺激嗅覺，掩飾體臭或修飾容貌之物品；其範圍及種類，由中央衛生主管機關公告之。</w:t>
      </w:r>
    </w:p>
    <w:p w:rsidR="00EA41C1" w:rsidRPr="000C4F09" w:rsidRDefault="00953490" w:rsidP="00EA41C1">
      <w:pPr>
        <w:pStyle w:val="4"/>
        <w:ind w:left="1700" w:hanging="680"/>
      </w:pPr>
      <w:r w:rsidRPr="000C4F09">
        <w:rPr>
          <w:rFonts w:hint="eastAsia"/>
        </w:rPr>
        <w:t>食品、化粧品</w:t>
      </w:r>
      <w:r w:rsidR="00EA41C1" w:rsidRPr="000C4F09">
        <w:rPr>
          <w:rFonts w:hint="eastAsia"/>
        </w:rPr>
        <w:t>兩者對人體健康危害程度不同：</w:t>
      </w:r>
    </w:p>
    <w:p w:rsidR="00BD0107" w:rsidRPr="000C4F09" w:rsidRDefault="00BD0107" w:rsidP="00A25FE3">
      <w:pPr>
        <w:pStyle w:val="5"/>
        <w:ind w:left="2041" w:hanging="680"/>
      </w:pPr>
      <w:r w:rsidRPr="000C4F09">
        <w:rPr>
          <w:rFonts w:hint="eastAsia"/>
        </w:rPr>
        <w:t>凡人皆因攝取食物方可存活，食品為日常生活必需品，其</w:t>
      </w:r>
      <w:r w:rsidR="002E3CB9" w:rsidRPr="000C4F09">
        <w:rPr>
          <w:rFonts w:hint="eastAsia"/>
        </w:rPr>
        <w:t>每日</w:t>
      </w:r>
      <w:r w:rsidRPr="000C4F09">
        <w:rPr>
          <w:rFonts w:hint="eastAsia"/>
        </w:rPr>
        <w:t>使用頻率</w:t>
      </w:r>
      <w:r w:rsidR="00A25A42" w:rsidRPr="000C4F09">
        <w:rPr>
          <w:rFonts w:hint="eastAsia"/>
        </w:rPr>
        <w:t>多</w:t>
      </w:r>
      <w:r w:rsidR="00085EB0" w:rsidRPr="000C4F09">
        <w:rPr>
          <w:rFonts w:hint="eastAsia"/>
        </w:rPr>
        <w:t>且</w:t>
      </w:r>
      <w:r w:rsidRPr="000C4F09">
        <w:rPr>
          <w:rFonts w:hint="eastAsia"/>
        </w:rPr>
        <w:t>數量</w:t>
      </w:r>
      <w:r w:rsidR="00A25A42" w:rsidRPr="000C4F09">
        <w:rPr>
          <w:rFonts w:hint="eastAsia"/>
        </w:rPr>
        <w:t>大，</w:t>
      </w:r>
      <w:r w:rsidR="00085EB0" w:rsidRPr="000C4F09">
        <w:rPr>
          <w:rFonts w:hint="eastAsia"/>
        </w:rPr>
        <w:t>經</w:t>
      </w:r>
      <w:r w:rsidR="00A25A42" w:rsidRPr="000C4F09">
        <w:rPr>
          <w:rFonts w:hint="eastAsia"/>
        </w:rPr>
        <w:t>口服後直接進入人體消化道，</w:t>
      </w:r>
      <w:r w:rsidR="00A25FE3" w:rsidRPr="000C4F09">
        <w:rPr>
          <w:rFonts w:hint="eastAsia"/>
        </w:rPr>
        <w:t>業已</w:t>
      </w:r>
      <w:r w:rsidR="00A25A42" w:rsidRPr="000C4F09">
        <w:rPr>
          <w:rFonts w:hint="eastAsia"/>
        </w:rPr>
        <w:t>產生</w:t>
      </w:r>
      <w:r w:rsidR="00A25FE3" w:rsidRPr="000C4F09">
        <w:rPr>
          <w:rFonts w:hint="eastAsia"/>
        </w:rPr>
        <w:t>影響健康之</w:t>
      </w:r>
      <w:r w:rsidR="00A25A42" w:rsidRPr="000C4F09">
        <w:rPr>
          <w:rFonts w:hint="eastAsia"/>
        </w:rPr>
        <w:t>重大生理作用。</w:t>
      </w:r>
      <w:r w:rsidR="000213B5" w:rsidRPr="000C4F09">
        <w:rPr>
          <w:rFonts w:hint="eastAsia"/>
        </w:rPr>
        <w:t>如採取</w:t>
      </w:r>
      <w:r w:rsidR="00A25FE3" w:rsidRPr="000C4F09">
        <w:rPr>
          <w:rFonts w:hint="eastAsia"/>
        </w:rPr>
        <w:t>事前審查制度</w:t>
      </w:r>
      <w:r w:rsidR="000213B5" w:rsidRPr="000C4F09">
        <w:rPr>
          <w:rFonts w:hint="eastAsia"/>
        </w:rPr>
        <w:t>較</w:t>
      </w:r>
      <w:r w:rsidR="00A25FE3" w:rsidRPr="000C4F09">
        <w:rPr>
          <w:rFonts w:hint="eastAsia"/>
        </w:rPr>
        <w:t>可排除虛偽不實之商業言論所提供之訊息，並</w:t>
      </w:r>
      <w:r w:rsidR="00241BF3" w:rsidRPr="000C4F09">
        <w:rPr>
          <w:rFonts w:hint="eastAsia"/>
        </w:rPr>
        <w:t>用以避免誤食，</w:t>
      </w:r>
      <w:r w:rsidR="00A25FE3" w:rsidRPr="000C4F09">
        <w:rPr>
          <w:rFonts w:hint="eastAsia"/>
        </w:rPr>
        <w:t>防免人民生命、身體、健康遭受直接、立即及難以回復</w:t>
      </w:r>
      <w:r w:rsidR="00241BF3" w:rsidRPr="000C4F09">
        <w:rPr>
          <w:rFonts w:hint="eastAsia"/>
        </w:rPr>
        <w:t>之</w:t>
      </w:r>
      <w:r w:rsidR="00A25FE3" w:rsidRPr="000C4F09">
        <w:rPr>
          <w:rFonts w:hint="eastAsia"/>
        </w:rPr>
        <w:t>危害</w:t>
      </w:r>
      <w:r w:rsidR="00241BF3" w:rsidRPr="000C4F09">
        <w:rPr>
          <w:rFonts w:hint="eastAsia"/>
        </w:rPr>
        <w:t>，相較於化粧品而言，其在維護公共利益之目的程度上，自較具特別重要性</w:t>
      </w:r>
      <w:r w:rsidR="00A25FE3" w:rsidRPr="000C4F09">
        <w:rPr>
          <w:rFonts w:hint="eastAsia"/>
        </w:rPr>
        <w:t>。</w:t>
      </w:r>
    </w:p>
    <w:p w:rsidR="00A25A42" w:rsidRPr="000C4F09" w:rsidRDefault="00A25A42" w:rsidP="00BD0107">
      <w:pPr>
        <w:pStyle w:val="5"/>
        <w:ind w:left="2041" w:hanging="680"/>
      </w:pPr>
      <w:r w:rsidRPr="000C4F09">
        <w:rPr>
          <w:rFonts w:hint="eastAsia"/>
        </w:rPr>
        <w:t>化粧品並非日常生活必需品，其</w:t>
      </w:r>
      <w:r w:rsidR="002E3CB9" w:rsidRPr="000C4F09">
        <w:rPr>
          <w:rFonts w:hint="eastAsia"/>
        </w:rPr>
        <w:t>每日</w:t>
      </w:r>
      <w:r w:rsidRPr="000C4F09">
        <w:rPr>
          <w:rFonts w:hint="eastAsia"/>
        </w:rPr>
        <w:t>使用頻率與數量亦</w:t>
      </w:r>
      <w:r w:rsidR="000917E6" w:rsidRPr="000C4F09">
        <w:rPr>
          <w:rFonts w:hint="eastAsia"/>
        </w:rPr>
        <w:t>少</w:t>
      </w:r>
      <w:r w:rsidRPr="000C4F09">
        <w:rPr>
          <w:rFonts w:hint="eastAsia"/>
        </w:rPr>
        <w:t>，而且</w:t>
      </w:r>
      <w:r w:rsidR="000917E6" w:rsidRPr="000C4F09">
        <w:rPr>
          <w:rFonts w:hint="eastAsia"/>
        </w:rPr>
        <w:t>施於人體外部，並未</w:t>
      </w:r>
      <w:r w:rsidRPr="000C4F09">
        <w:rPr>
          <w:rFonts w:hint="eastAsia"/>
        </w:rPr>
        <w:t>直接進入</w:t>
      </w:r>
      <w:r w:rsidR="002E3CB9" w:rsidRPr="000C4F09">
        <w:rPr>
          <w:rFonts w:hint="eastAsia"/>
        </w:rPr>
        <w:t>口中</w:t>
      </w:r>
      <w:r w:rsidRPr="000C4F09">
        <w:rPr>
          <w:rFonts w:hint="eastAsia"/>
        </w:rPr>
        <w:t>，</w:t>
      </w:r>
      <w:r w:rsidR="000917E6" w:rsidRPr="000C4F09">
        <w:rPr>
          <w:rFonts w:hint="eastAsia"/>
        </w:rPr>
        <w:t>其對健康</w:t>
      </w:r>
      <w:r w:rsidR="002E3CB9" w:rsidRPr="000C4F09">
        <w:rPr>
          <w:rFonts w:hint="eastAsia"/>
        </w:rPr>
        <w:t>及生理作用之</w:t>
      </w:r>
      <w:r w:rsidR="000917E6" w:rsidRPr="000C4F09">
        <w:rPr>
          <w:rFonts w:hint="eastAsia"/>
        </w:rPr>
        <w:t>影響程度相對</w:t>
      </w:r>
      <w:r w:rsidR="00085EB0" w:rsidRPr="000C4F09">
        <w:rPr>
          <w:rFonts w:hint="eastAsia"/>
        </w:rPr>
        <w:t>較小</w:t>
      </w:r>
      <w:r w:rsidR="00B9677A" w:rsidRPr="000C4F09">
        <w:rPr>
          <w:rFonts w:hint="eastAsia"/>
        </w:rPr>
        <w:t>；況且化粧品</w:t>
      </w:r>
      <w:r w:rsidR="00003759" w:rsidRPr="000C4F09">
        <w:rPr>
          <w:rFonts w:hint="eastAsia"/>
        </w:rPr>
        <w:t>之誤用較少</w:t>
      </w:r>
      <w:r w:rsidR="00B9677A" w:rsidRPr="000C4F09">
        <w:rPr>
          <w:rFonts w:hint="eastAsia"/>
        </w:rPr>
        <w:t>造成對於人民生命、身體、健康遭受直接、立即及難以回復之危害</w:t>
      </w:r>
      <w:r w:rsidRPr="000C4F09">
        <w:rPr>
          <w:rFonts w:hint="eastAsia"/>
        </w:rPr>
        <w:t>。</w:t>
      </w:r>
    </w:p>
    <w:p w:rsidR="004048B9" w:rsidRPr="000C4F09" w:rsidRDefault="00F2469A" w:rsidP="00F2469A">
      <w:pPr>
        <w:pStyle w:val="3"/>
        <w:ind w:left="1360" w:hanging="680"/>
      </w:pPr>
      <w:r w:rsidRPr="000C4F09">
        <w:rPr>
          <w:rFonts w:hint="eastAsia"/>
        </w:rPr>
        <w:t>綜上，食藥署對於</w:t>
      </w:r>
      <w:r w:rsidR="0074634B" w:rsidRPr="000C4F09">
        <w:rPr>
          <w:rFonts w:hint="eastAsia"/>
        </w:rPr>
        <w:t>本案嘉康利公司</w:t>
      </w:r>
      <w:r w:rsidR="00785340" w:rsidRPr="000C4F09">
        <w:rPr>
          <w:rFonts w:hint="eastAsia"/>
        </w:rPr>
        <w:t>之</w:t>
      </w:r>
      <w:r w:rsidRPr="000C4F09">
        <w:rPr>
          <w:rFonts w:hint="eastAsia"/>
        </w:rPr>
        <w:t>進口</w:t>
      </w:r>
      <w:r w:rsidR="00F11D6B" w:rsidRPr="000C4F09">
        <w:rPr>
          <w:rFonts w:hint="eastAsia"/>
        </w:rPr>
        <w:t>食</w:t>
      </w:r>
      <w:r w:rsidRPr="000C4F09">
        <w:rPr>
          <w:rFonts w:hint="eastAsia"/>
        </w:rPr>
        <w:t>品</w:t>
      </w:r>
      <w:r w:rsidR="00BF6658" w:rsidRPr="000C4F09">
        <w:rPr>
          <w:rFonts w:hint="eastAsia"/>
        </w:rPr>
        <w:t>標示</w:t>
      </w:r>
      <w:r w:rsidRPr="000C4F09">
        <w:rPr>
          <w:rFonts w:hint="eastAsia"/>
        </w:rPr>
        <w:t>翻譯未能事前</w:t>
      </w:r>
      <w:r w:rsidR="00BF6658" w:rsidRPr="000C4F09">
        <w:rPr>
          <w:rFonts w:hint="eastAsia"/>
        </w:rPr>
        <w:t>審查</w:t>
      </w:r>
      <w:r w:rsidRPr="000C4F09">
        <w:rPr>
          <w:rFonts w:hint="eastAsia"/>
        </w:rPr>
        <w:t>，</w:t>
      </w:r>
      <w:r w:rsidR="00241BF3" w:rsidRPr="000C4F09">
        <w:rPr>
          <w:rFonts w:hint="eastAsia"/>
        </w:rPr>
        <w:t>或為其他把關措施，</w:t>
      </w:r>
      <w:r w:rsidRPr="000C4F09">
        <w:rPr>
          <w:rFonts w:hint="eastAsia"/>
        </w:rPr>
        <w:t>任由直銷商竄改原廠</w:t>
      </w:r>
      <w:r w:rsidR="00BF6658" w:rsidRPr="000C4F09">
        <w:rPr>
          <w:rFonts w:hint="eastAsia"/>
        </w:rPr>
        <w:t>標示</w:t>
      </w:r>
      <w:r w:rsidRPr="000C4F09">
        <w:rPr>
          <w:rFonts w:hint="eastAsia"/>
        </w:rPr>
        <w:t>適用與禁忌對象內容，</w:t>
      </w:r>
      <w:r w:rsidR="007267D9" w:rsidRPr="000C4F09">
        <w:rPr>
          <w:rFonts w:hint="eastAsia"/>
        </w:rPr>
        <w:t>肇生標示、宣傳及廣告不實情事</w:t>
      </w:r>
      <w:r w:rsidR="0074634B" w:rsidRPr="000C4F09">
        <w:rPr>
          <w:rFonts w:hint="eastAsia"/>
        </w:rPr>
        <w:t>，已如前述</w:t>
      </w:r>
      <w:r w:rsidR="003F1E88" w:rsidRPr="000C4F09">
        <w:rPr>
          <w:rFonts w:hint="eastAsia"/>
        </w:rPr>
        <w:t>；該署</w:t>
      </w:r>
      <w:r w:rsidR="001C55A4" w:rsidRPr="000C4F09">
        <w:rPr>
          <w:rFonts w:hint="eastAsia"/>
        </w:rPr>
        <w:t>雖</w:t>
      </w:r>
      <w:r w:rsidR="007267D9" w:rsidRPr="000C4F09">
        <w:rPr>
          <w:rFonts w:hint="eastAsia"/>
        </w:rPr>
        <w:t>囿於司法院釋字第744 號解釋，而對於食品廣告</w:t>
      </w:r>
      <w:r w:rsidR="001C55A4" w:rsidRPr="000C4F09">
        <w:rPr>
          <w:rFonts w:hint="eastAsia"/>
        </w:rPr>
        <w:t>僅</w:t>
      </w:r>
      <w:r w:rsidR="0074634B" w:rsidRPr="000C4F09">
        <w:rPr>
          <w:rFonts w:hint="eastAsia"/>
        </w:rPr>
        <w:t>採行</w:t>
      </w:r>
      <w:r w:rsidR="001C55A4" w:rsidRPr="000C4F09">
        <w:rPr>
          <w:rFonts w:hint="eastAsia"/>
        </w:rPr>
        <w:t>由</w:t>
      </w:r>
      <w:r w:rsidR="0074634B" w:rsidRPr="000C4F09">
        <w:rPr>
          <w:rFonts w:hint="eastAsia"/>
        </w:rPr>
        <w:t>廠商自主管理制度，</w:t>
      </w:r>
      <w:r w:rsidR="001C55A4" w:rsidRPr="000C4F09">
        <w:rPr>
          <w:rFonts w:hint="eastAsia"/>
        </w:rPr>
        <w:t>惟其既未詳予研析</w:t>
      </w:r>
      <w:r w:rsidR="00003759" w:rsidRPr="000C4F09">
        <w:rPr>
          <w:rFonts w:hint="eastAsia"/>
        </w:rPr>
        <w:t>上開</w:t>
      </w:r>
      <w:r w:rsidR="001C55A4" w:rsidRPr="000C4F09">
        <w:rPr>
          <w:rFonts w:hint="eastAsia"/>
        </w:rPr>
        <w:t>解釋是否</w:t>
      </w:r>
      <w:r w:rsidR="00003759" w:rsidRPr="000C4F09">
        <w:rPr>
          <w:rFonts w:hint="eastAsia"/>
        </w:rPr>
        <w:lastRenderedPageBreak/>
        <w:t>全盤</w:t>
      </w:r>
      <w:r w:rsidR="001C55A4" w:rsidRPr="000C4F09">
        <w:rPr>
          <w:rFonts w:hint="eastAsia"/>
        </w:rPr>
        <w:t>適用於食品廣告的審查上，又如未加強其他</w:t>
      </w:r>
      <w:r w:rsidR="00BF6658" w:rsidRPr="000C4F09">
        <w:rPr>
          <w:rFonts w:hint="eastAsia"/>
        </w:rPr>
        <w:t>把關</w:t>
      </w:r>
      <w:r w:rsidR="001C55A4" w:rsidRPr="000C4F09">
        <w:rPr>
          <w:rFonts w:hint="eastAsia"/>
        </w:rPr>
        <w:t>機制或採取有效的防制措施，對消費者之保護難</w:t>
      </w:r>
      <w:r w:rsidR="005764DC" w:rsidRPr="000C4F09">
        <w:rPr>
          <w:rFonts w:hint="eastAsia"/>
        </w:rPr>
        <w:t>謂周全</w:t>
      </w:r>
      <w:r w:rsidR="00BF6658" w:rsidRPr="000C4F09">
        <w:rPr>
          <w:rFonts w:hint="eastAsia"/>
        </w:rPr>
        <w:t>，</w:t>
      </w:r>
      <w:r w:rsidRPr="000C4F09">
        <w:rPr>
          <w:rFonts w:hint="eastAsia"/>
        </w:rPr>
        <w:t>形成食安管理之漏洞，核有檢討之必要。</w:t>
      </w:r>
    </w:p>
    <w:p w:rsidR="00C404E1" w:rsidRPr="000C4F09" w:rsidRDefault="00C404E1" w:rsidP="00C404E1">
      <w:pPr>
        <w:pStyle w:val="2"/>
        <w:ind w:left="1020" w:hanging="680"/>
        <w:rPr>
          <w:b/>
        </w:rPr>
      </w:pPr>
      <w:r w:rsidRPr="000C4F09">
        <w:rPr>
          <w:rFonts w:hint="eastAsia"/>
          <w:b/>
        </w:rPr>
        <w:t>衛福部食藥署對於非</w:t>
      </w:r>
      <w:r w:rsidR="00E437A0" w:rsidRPr="000C4F09">
        <w:rPr>
          <w:rFonts w:hint="eastAsia"/>
          <w:b/>
        </w:rPr>
        <w:t>屬</w:t>
      </w:r>
      <w:r w:rsidRPr="000C4F09">
        <w:rPr>
          <w:rFonts w:hint="eastAsia"/>
          <w:b/>
        </w:rPr>
        <w:t>公告「保健功效」項目之一般食品，</w:t>
      </w:r>
      <w:r w:rsidR="00A03C7C" w:rsidRPr="000C4F09">
        <w:rPr>
          <w:rFonts w:hint="eastAsia"/>
          <w:b/>
        </w:rPr>
        <w:t>輒有</w:t>
      </w:r>
      <w:r w:rsidRPr="000C4F09">
        <w:rPr>
          <w:rFonts w:hint="eastAsia"/>
          <w:b/>
        </w:rPr>
        <w:t>假借「保健食品」之名以混淆視聽，讓消費者誤認其為「健康食品」</w:t>
      </w:r>
      <w:r w:rsidR="00A03C7C" w:rsidRPr="000C4F09">
        <w:rPr>
          <w:rFonts w:hint="eastAsia"/>
          <w:b/>
        </w:rPr>
        <w:t>之情事</w:t>
      </w:r>
      <w:r w:rsidRPr="000C4F09">
        <w:rPr>
          <w:rFonts w:hint="eastAsia"/>
          <w:b/>
        </w:rPr>
        <w:t>，</w:t>
      </w:r>
      <w:r w:rsidR="00A03C7C" w:rsidRPr="000C4F09">
        <w:rPr>
          <w:rFonts w:hint="eastAsia"/>
          <w:b/>
        </w:rPr>
        <w:t>惟</w:t>
      </w:r>
      <w:r w:rsidR="007267D9" w:rsidRPr="000C4F09">
        <w:rPr>
          <w:rFonts w:hint="eastAsia"/>
          <w:b/>
        </w:rPr>
        <w:t>該署</w:t>
      </w:r>
      <w:r w:rsidR="00E437A0" w:rsidRPr="000C4F09">
        <w:rPr>
          <w:rFonts w:hint="eastAsia"/>
          <w:b/>
        </w:rPr>
        <w:t>任由</w:t>
      </w:r>
      <w:r w:rsidRPr="000C4F09">
        <w:rPr>
          <w:rFonts w:hint="eastAsia"/>
          <w:b/>
        </w:rPr>
        <w:t>不肖</w:t>
      </w:r>
      <w:r w:rsidR="00C454D5" w:rsidRPr="000C4F09">
        <w:rPr>
          <w:rFonts w:hint="eastAsia"/>
          <w:b/>
        </w:rPr>
        <w:t>食品業者</w:t>
      </w:r>
      <w:r w:rsidR="00D42B08" w:rsidRPr="000C4F09">
        <w:rPr>
          <w:rFonts w:hint="eastAsia"/>
          <w:b/>
        </w:rPr>
        <w:t>遊</w:t>
      </w:r>
      <w:r w:rsidRPr="000C4F09">
        <w:rPr>
          <w:rFonts w:hint="eastAsia"/>
          <w:b/>
        </w:rPr>
        <w:t>走於法律邊緣灰色地帶，</w:t>
      </w:r>
      <w:r w:rsidR="007267D9" w:rsidRPr="000C4F09">
        <w:rPr>
          <w:rFonts w:hint="eastAsia"/>
          <w:b/>
        </w:rPr>
        <w:t>衍生諸多違規亂象，</w:t>
      </w:r>
      <w:r w:rsidRPr="000C4F09">
        <w:rPr>
          <w:rFonts w:hint="eastAsia"/>
          <w:b/>
        </w:rPr>
        <w:t>亟需</w:t>
      </w:r>
      <w:r w:rsidR="001122A4" w:rsidRPr="000C4F09">
        <w:rPr>
          <w:rFonts w:hint="eastAsia"/>
          <w:b/>
        </w:rPr>
        <w:t>督導各縣市衛生局</w:t>
      </w:r>
      <w:r w:rsidR="007267D9" w:rsidRPr="000C4F09">
        <w:rPr>
          <w:rFonts w:hint="eastAsia"/>
          <w:b/>
        </w:rPr>
        <w:t>強化其執法力道</w:t>
      </w:r>
      <w:r w:rsidR="000213B5" w:rsidRPr="000C4F09">
        <w:rPr>
          <w:rFonts w:hint="eastAsia"/>
          <w:b/>
        </w:rPr>
        <w:t>；並積極健全相關的法制作業</w:t>
      </w:r>
      <w:r w:rsidRPr="000C4F09">
        <w:rPr>
          <w:rFonts w:hint="eastAsia"/>
          <w:b/>
        </w:rPr>
        <w:t>：</w:t>
      </w:r>
    </w:p>
    <w:p w:rsidR="00C404E1" w:rsidRPr="000C4F09" w:rsidRDefault="00C404E1" w:rsidP="00C404E1">
      <w:pPr>
        <w:pStyle w:val="3"/>
        <w:ind w:left="1360" w:hanging="680"/>
        <w:rPr>
          <w:lang w:val="zh-TW"/>
        </w:rPr>
      </w:pPr>
      <w:r w:rsidRPr="000C4F09">
        <w:rPr>
          <w:rFonts w:hint="eastAsia"/>
          <w:lang w:val="zh-TW"/>
        </w:rPr>
        <w:t>按</w:t>
      </w:r>
      <w:r w:rsidR="00734F10" w:rsidRPr="000C4F09">
        <w:rPr>
          <w:rFonts w:hint="eastAsia"/>
          <w:lang w:val="zh-TW"/>
        </w:rPr>
        <w:t>有關</w:t>
      </w:r>
      <w:r w:rsidR="00734F10" w:rsidRPr="000C4F09">
        <w:rPr>
          <w:rFonts w:hint="eastAsia"/>
        </w:rPr>
        <w:t>保健食品之產業範疇相當廣泛(如附圖)，而</w:t>
      </w:r>
      <w:r w:rsidRPr="000C4F09">
        <w:rPr>
          <w:rFonts w:hint="eastAsia"/>
          <w:lang w:val="zh-TW"/>
        </w:rPr>
        <w:t>隨著人口老化、慢性病的比例增加，國人漸漸興起了ㄧ股養生風潮。中國人向來喜愛食補，各種打著保健養身的健康食品如雨後春筍般地出現，其種類在國內高達數千種，連同進口保健食品，早已超過一萬種以上。而</w:t>
      </w:r>
      <w:r w:rsidRPr="000C4F09">
        <w:rPr>
          <w:rFonts w:cs="標楷體" w:hint="eastAsia"/>
          <w:szCs w:val="32"/>
          <w:lang w:val="zh-TW"/>
        </w:rPr>
        <w:t>沒有健康食品標章的產品，坊間一般泛稱之保健食品，通常為濃縮或是萃取食物中的成分製成膠囊粉末等形式</w:t>
      </w:r>
      <w:r w:rsidR="009A3627" w:rsidRPr="000C4F09">
        <w:rPr>
          <w:rFonts w:cs="標楷體" w:hint="eastAsia"/>
          <w:szCs w:val="32"/>
          <w:lang w:val="zh-TW"/>
        </w:rPr>
        <w:t>；</w:t>
      </w:r>
      <w:r w:rsidR="00734F10" w:rsidRPr="000C4F09">
        <w:rPr>
          <w:rFonts w:cs="標楷體" w:hint="eastAsia"/>
          <w:szCs w:val="32"/>
          <w:lang w:val="zh-TW"/>
        </w:rPr>
        <w:t>常見以標示為「機能性食品</w:t>
      </w:r>
      <w:r w:rsidR="00570C7D" w:rsidRPr="000C4F09">
        <w:rPr>
          <w:rFonts w:cs="標楷體" w:hint="eastAsia"/>
          <w:szCs w:val="32"/>
          <w:lang w:val="zh-TW"/>
        </w:rPr>
        <w:t>」、「膳食補充品」來彰顯其保健功效</w:t>
      </w:r>
      <w:r w:rsidR="00734F10" w:rsidRPr="000C4F09">
        <w:rPr>
          <w:rFonts w:cs="標楷體" w:hint="eastAsia"/>
          <w:szCs w:val="32"/>
          <w:lang w:val="zh-TW"/>
        </w:rPr>
        <w:t>。</w:t>
      </w:r>
      <w:r w:rsidR="00785340" w:rsidRPr="000C4F09">
        <w:rPr>
          <w:rFonts w:hint="eastAsia"/>
        </w:rPr>
        <w:t>至於特殊營養品則是專為特定對象或特殊疾病所設計，像是糖尿病專用配方、洗腎病患專用營養品，或是嬰兒奶粉等產品都屬之。</w:t>
      </w:r>
      <w:r w:rsidRPr="000C4F09">
        <w:rPr>
          <w:rFonts w:hint="eastAsia"/>
          <w:lang w:val="zh-TW"/>
        </w:rPr>
        <w:t xml:space="preserve"> </w:t>
      </w:r>
    </w:p>
    <w:p w:rsidR="00C404E1" w:rsidRPr="000C4F09" w:rsidRDefault="00C404E1" w:rsidP="00C404E1">
      <w:pPr>
        <w:pStyle w:val="3"/>
        <w:ind w:left="1360" w:hanging="680"/>
      </w:pPr>
      <w:r w:rsidRPr="000C4F09">
        <w:rPr>
          <w:rFonts w:hAnsi="標楷體" w:hint="eastAsia"/>
          <w:szCs w:val="32"/>
        </w:rPr>
        <w:t>查健康</w:t>
      </w:r>
      <w:r w:rsidRPr="000C4F09">
        <w:rPr>
          <w:rFonts w:cs="標楷體" w:hint="eastAsia"/>
          <w:szCs w:val="32"/>
          <w:lang w:val="zh-TW"/>
        </w:rPr>
        <w:t>食品管理法</w:t>
      </w:r>
      <w:r w:rsidRPr="000C4F09">
        <w:rPr>
          <w:rFonts w:hAnsi="標楷體" w:hint="eastAsia"/>
          <w:szCs w:val="32"/>
        </w:rPr>
        <w:t>第2條規定:「本法所稱健康食品，指具有保健功效，並標示或廣告其具該功效之食品；本法所稱之保健功效，係指增進民眾健康、減少疾病危害風險，且具實質科學證據之功效，非屬治療、矯正人類疾病之醫療效能，並經中央主管機關公告者。」而</w:t>
      </w:r>
      <w:r w:rsidRPr="000C4F09">
        <w:rPr>
          <w:rFonts w:hint="eastAsia"/>
        </w:rPr>
        <w:t>健康食品保健功效項目，經衛福部103 年12 月26 日部授食字第1031304312號訂定「健康食品管理法所稱保健功效之項目」公告，計有13種項目如下：護肝、抗疲勞、調節血脂、</w:t>
      </w:r>
      <w:r w:rsidRPr="000C4F09">
        <w:rPr>
          <w:rFonts w:hint="eastAsia"/>
        </w:rPr>
        <w:lastRenderedPageBreak/>
        <w:t>調節血糖、免疫調節、骨質保健、牙齒保健、延緩衰老、促進鐵吸收、胃腸功能改善、輔助調節血壓、不易形成體脂肪、輔助調整過敏體質。</w:t>
      </w:r>
    </w:p>
    <w:p w:rsidR="001A446A" w:rsidRPr="000C4F09" w:rsidRDefault="00570C7D" w:rsidP="004C4F0E">
      <w:pPr>
        <w:pStyle w:val="3"/>
        <w:ind w:left="1360" w:hanging="680"/>
      </w:pPr>
      <w:r w:rsidRPr="000C4F09">
        <w:rPr>
          <w:rFonts w:hint="eastAsia"/>
        </w:rPr>
        <w:t>再者</w:t>
      </w:r>
      <w:r w:rsidR="00C404E1" w:rsidRPr="000C4F09">
        <w:rPr>
          <w:rFonts w:hint="eastAsia"/>
        </w:rPr>
        <w:t>，</w:t>
      </w:r>
      <w:r w:rsidRPr="000C4F09">
        <w:rPr>
          <w:rFonts w:hint="eastAsia"/>
        </w:rPr>
        <w:t>由於</w:t>
      </w:r>
      <w:r w:rsidR="00C404E1" w:rsidRPr="000C4F09">
        <w:rPr>
          <w:rFonts w:hint="eastAsia"/>
        </w:rPr>
        <w:t>「健康食品」是一個法定名詞，其產品必需經過保健功效與安全性評估、並受限於健康食品管理法的規範，這樣的保健產品才能廣告其許可範圍的保健效能並合法</w:t>
      </w:r>
      <w:r w:rsidR="00A03C7C" w:rsidRPr="000C4F09">
        <w:rPr>
          <w:rFonts w:hint="eastAsia"/>
        </w:rPr>
        <w:t>地</w:t>
      </w:r>
      <w:r w:rsidR="00C404E1" w:rsidRPr="000C4F09">
        <w:rPr>
          <w:rFonts w:hint="eastAsia"/>
        </w:rPr>
        <w:t>稱之為健康食品</w:t>
      </w:r>
      <w:r w:rsidR="00C404E1" w:rsidRPr="000C4F09">
        <w:rPr>
          <w:rStyle w:val="af4"/>
        </w:rPr>
        <w:footnoteReference w:id="2"/>
      </w:r>
      <w:r w:rsidR="00C404E1" w:rsidRPr="000C4F09">
        <w:rPr>
          <w:rFonts w:hint="eastAsia"/>
        </w:rPr>
        <w:t>。</w:t>
      </w:r>
      <w:r w:rsidRPr="000C4F09">
        <w:rPr>
          <w:rFonts w:hint="eastAsia"/>
        </w:rPr>
        <w:t>但截至107年5月底止，衛福部審核通過之</w:t>
      </w:r>
      <w:r w:rsidRPr="000C4F09">
        <w:rPr>
          <w:rFonts w:hAnsi="標楷體" w:hint="eastAsia"/>
          <w:szCs w:val="32"/>
        </w:rPr>
        <w:t>健康</w:t>
      </w:r>
      <w:r w:rsidRPr="000C4F09">
        <w:rPr>
          <w:rFonts w:cs="標楷體" w:hint="eastAsia"/>
          <w:szCs w:val="32"/>
          <w:lang w:val="zh-TW"/>
        </w:rPr>
        <w:t>食品僅有411件</w:t>
      </w:r>
      <w:r w:rsidRPr="000C4F09">
        <w:rPr>
          <w:rStyle w:val="af4"/>
          <w:rFonts w:cs="標楷體"/>
          <w:szCs w:val="32"/>
          <w:lang w:val="zh-TW"/>
        </w:rPr>
        <w:footnoteReference w:id="3"/>
      </w:r>
      <w:r w:rsidR="009A3627" w:rsidRPr="000C4F09">
        <w:rPr>
          <w:rFonts w:cs="標楷體" w:hint="eastAsia"/>
          <w:szCs w:val="32"/>
          <w:lang w:val="zh-TW"/>
        </w:rPr>
        <w:t>；而</w:t>
      </w:r>
      <w:r w:rsidRPr="000C4F09">
        <w:rPr>
          <w:rFonts w:cs="標楷體" w:hint="eastAsia"/>
          <w:szCs w:val="32"/>
          <w:lang w:val="zh-TW"/>
        </w:rPr>
        <w:t>其他數以萬計</w:t>
      </w:r>
      <w:r w:rsidR="009A3627" w:rsidRPr="000C4F09">
        <w:rPr>
          <w:rFonts w:cs="標楷體" w:hint="eastAsia"/>
          <w:szCs w:val="32"/>
          <w:lang w:val="zh-TW"/>
        </w:rPr>
        <w:t>未經嚴格把關</w:t>
      </w:r>
      <w:r w:rsidR="001E3CDA" w:rsidRPr="000C4F09">
        <w:rPr>
          <w:rFonts w:hAnsi="標楷體" w:hint="eastAsia"/>
          <w:szCs w:val="32"/>
        </w:rPr>
        <w:t>之保健食品，端賴</w:t>
      </w:r>
      <w:r w:rsidR="004C4F0E" w:rsidRPr="000C4F09">
        <w:rPr>
          <w:rFonts w:hAnsi="標楷體" w:hint="eastAsia"/>
          <w:szCs w:val="32"/>
        </w:rPr>
        <w:t>原行政院衛生署於101年9月28日署授食字第1013000020號令發布，嗣經</w:t>
      </w:r>
      <w:r w:rsidR="00CE59B8" w:rsidRPr="000C4F09">
        <w:rPr>
          <w:rFonts w:hint="eastAsia"/>
        </w:rPr>
        <w:t>衛福部</w:t>
      </w:r>
      <w:r w:rsidR="004E3A9A" w:rsidRPr="000C4F09">
        <w:rPr>
          <w:rFonts w:hint="eastAsia"/>
        </w:rPr>
        <w:t>修正</w:t>
      </w:r>
      <w:r w:rsidR="005764DC" w:rsidRPr="000C4F09">
        <w:rPr>
          <w:rFonts w:hint="eastAsia"/>
        </w:rPr>
        <w:t>多次</w:t>
      </w:r>
      <w:r w:rsidR="004E3A9A" w:rsidRPr="000C4F09">
        <w:rPr>
          <w:rFonts w:hint="eastAsia"/>
        </w:rPr>
        <w:t>發布</w:t>
      </w:r>
      <w:r w:rsidR="005764DC" w:rsidRPr="000C4F09">
        <w:rPr>
          <w:rFonts w:hint="eastAsia"/>
        </w:rPr>
        <w:t>之</w:t>
      </w:r>
      <w:r w:rsidR="001E3CDA" w:rsidRPr="000C4F09">
        <w:rPr>
          <w:rFonts w:hint="eastAsia"/>
        </w:rPr>
        <w:t>「食品標示宣傳或廣告詞句涉及誇張易生誤解或醫療效能之認定基準」之行政規則(如附件1)</w:t>
      </w:r>
      <w:r w:rsidR="005764DC" w:rsidRPr="000C4F09">
        <w:rPr>
          <w:rFonts w:hint="eastAsia"/>
        </w:rPr>
        <w:t>作為</w:t>
      </w:r>
      <w:r w:rsidR="001E3CDA" w:rsidRPr="000C4F09">
        <w:rPr>
          <w:rFonts w:hint="eastAsia"/>
        </w:rPr>
        <w:t>認定</w:t>
      </w:r>
      <w:r w:rsidR="005764DC" w:rsidRPr="000C4F09">
        <w:rPr>
          <w:rFonts w:hint="eastAsia"/>
        </w:rPr>
        <w:t>規準</w:t>
      </w:r>
      <w:r w:rsidR="001E3CDA" w:rsidRPr="000C4F09">
        <w:rPr>
          <w:rFonts w:hint="eastAsia"/>
        </w:rPr>
        <w:t>，</w:t>
      </w:r>
      <w:r w:rsidR="005764DC" w:rsidRPr="000C4F09">
        <w:rPr>
          <w:rFonts w:hint="eastAsia"/>
        </w:rPr>
        <w:t>欠缺強制規範力，目前則擬將</w:t>
      </w:r>
      <w:r w:rsidR="00CE59B8" w:rsidRPr="000C4F09">
        <w:rPr>
          <w:rFonts w:hint="eastAsia"/>
        </w:rPr>
        <w:t>其法位階</w:t>
      </w:r>
      <w:r w:rsidR="00B213C0" w:rsidRPr="000C4F09">
        <w:rPr>
          <w:rFonts w:hint="eastAsia"/>
        </w:rPr>
        <w:t>提升為法規命令</w:t>
      </w:r>
      <w:r w:rsidR="00D17077" w:rsidRPr="000C4F09">
        <w:rPr>
          <w:rFonts w:hint="eastAsia"/>
        </w:rPr>
        <w:t>「準則」</w:t>
      </w:r>
      <w:r w:rsidR="001A446A" w:rsidRPr="000C4F09">
        <w:rPr>
          <w:rFonts w:hint="eastAsia"/>
        </w:rPr>
        <w:t>之</w:t>
      </w:r>
      <w:r w:rsidR="00B213C0" w:rsidRPr="000C4F09">
        <w:rPr>
          <w:rFonts w:hint="eastAsia"/>
        </w:rPr>
        <w:t>層次</w:t>
      </w:r>
      <w:r w:rsidR="00C454D5" w:rsidRPr="000C4F09">
        <w:rPr>
          <w:rStyle w:val="af4"/>
        </w:rPr>
        <w:footnoteReference w:id="4"/>
      </w:r>
      <w:r w:rsidR="00B213C0" w:rsidRPr="000C4F09">
        <w:rPr>
          <w:rFonts w:hint="eastAsia"/>
        </w:rPr>
        <w:t>，</w:t>
      </w:r>
      <w:r w:rsidR="005764DC" w:rsidRPr="000C4F09">
        <w:rPr>
          <w:rFonts w:hint="eastAsia"/>
        </w:rPr>
        <w:t>刻正進行法規預告程序中，如經完成</w:t>
      </w:r>
      <w:r w:rsidR="00AE055C" w:rsidRPr="000C4F09">
        <w:rPr>
          <w:rFonts w:hint="eastAsia"/>
        </w:rPr>
        <w:t>作業發布實施後，</w:t>
      </w:r>
      <w:r w:rsidR="002E2E1B" w:rsidRPr="000C4F09">
        <w:rPr>
          <w:rFonts w:hint="eastAsia"/>
        </w:rPr>
        <w:t>應</w:t>
      </w:r>
      <w:r w:rsidR="00B213C0" w:rsidRPr="000C4F09">
        <w:rPr>
          <w:rFonts w:hint="eastAsia"/>
        </w:rPr>
        <w:t>有助於強化</w:t>
      </w:r>
      <w:r w:rsidR="005F1BE3" w:rsidRPr="000C4F09">
        <w:rPr>
          <w:rFonts w:hint="eastAsia"/>
        </w:rPr>
        <w:t>食安把關之</w:t>
      </w:r>
      <w:r w:rsidR="009A3627" w:rsidRPr="000C4F09">
        <w:rPr>
          <w:rFonts w:hint="eastAsia"/>
        </w:rPr>
        <w:t>執法力道</w:t>
      </w:r>
      <w:r w:rsidR="00AE055C" w:rsidRPr="000C4F09">
        <w:rPr>
          <w:rFonts w:hint="eastAsia"/>
        </w:rPr>
        <w:t>，食藥署允宜積極推動完成法規修正，以健全法制</w:t>
      </w:r>
      <w:r w:rsidRPr="000C4F09">
        <w:rPr>
          <w:rFonts w:cs="標楷體" w:hint="eastAsia"/>
          <w:szCs w:val="32"/>
          <w:lang w:val="zh-TW"/>
        </w:rPr>
        <w:t>。</w:t>
      </w:r>
    </w:p>
    <w:p w:rsidR="00C404E1" w:rsidRPr="000C4F09" w:rsidRDefault="001A446A" w:rsidP="00AE055C">
      <w:pPr>
        <w:pStyle w:val="3"/>
        <w:ind w:left="1360" w:hanging="680"/>
      </w:pPr>
      <w:r w:rsidRPr="000C4F09">
        <w:rPr>
          <w:rFonts w:cs="標楷體" w:hint="eastAsia"/>
          <w:szCs w:val="32"/>
          <w:lang w:val="zh-TW"/>
        </w:rPr>
        <w:t>末查</w:t>
      </w:r>
      <w:r w:rsidR="00CE59B8" w:rsidRPr="000C4F09">
        <w:rPr>
          <w:rFonts w:hint="eastAsia"/>
        </w:rPr>
        <w:t>食藥署提供之統計資料顯示，</w:t>
      </w:r>
      <w:r w:rsidR="00E418BC" w:rsidRPr="000C4F09">
        <w:rPr>
          <w:rFonts w:hint="eastAsia"/>
        </w:rPr>
        <w:t>囿於地方衛生機關食品稽查人員不足與經費之拮据，</w:t>
      </w:r>
      <w:r w:rsidR="00CE59B8" w:rsidRPr="000C4F09">
        <w:rPr>
          <w:rFonts w:hint="eastAsia"/>
        </w:rPr>
        <w:t>106年度</w:t>
      </w:r>
      <w:r w:rsidR="00E418BC" w:rsidRPr="000C4F09">
        <w:rPr>
          <w:rFonts w:hint="eastAsia"/>
        </w:rPr>
        <w:t>各縣市衛生局</w:t>
      </w:r>
      <w:r w:rsidR="00CE59B8" w:rsidRPr="000C4F09">
        <w:rPr>
          <w:rFonts w:hint="eastAsia"/>
        </w:rPr>
        <w:t>共裁處違規食品廣告計4,647件，則</w:t>
      </w:r>
      <w:r w:rsidR="00B77312" w:rsidRPr="000C4F09">
        <w:rPr>
          <w:rFonts w:hint="eastAsia"/>
        </w:rPr>
        <w:t>其他潛藏未被裁處之違規食品廣告案件黑數，勢必數倍於此，足見食藥署在強化違規廣告之認定，有效執行食安法第28條第1項、第2項禁止食品標示、宣傳或廣告不實、誇張、易生誤解或宣稱醫療效能之</w:t>
      </w:r>
      <w:r w:rsidR="00B77312" w:rsidRPr="000C4F09">
        <w:rPr>
          <w:rFonts w:hint="eastAsia"/>
        </w:rPr>
        <w:lastRenderedPageBreak/>
        <w:t>規定方面，仍有極大的</w:t>
      </w:r>
      <w:r w:rsidR="00D17077" w:rsidRPr="000C4F09">
        <w:rPr>
          <w:rFonts w:hint="eastAsia"/>
        </w:rPr>
        <w:t>加強查緝</w:t>
      </w:r>
      <w:r w:rsidR="00B77312" w:rsidRPr="000C4F09">
        <w:rPr>
          <w:rFonts w:hint="eastAsia"/>
        </w:rPr>
        <w:t>改善空間</w:t>
      </w:r>
      <w:r w:rsidR="00AE055C" w:rsidRPr="000C4F09">
        <w:rPr>
          <w:rFonts w:hint="eastAsia"/>
        </w:rPr>
        <w:t>，食藥署除應督導地方落實執法外，亦應協助地方衛生機關人力的增補與經費之籌措</w:t>
      </w:r>
      <w:r w:rsidR="00B77312" w:rsidRPr="000C4F09">
        <w:rPr>
          <w:rFonts w:hint="eastAsia"/>
        </w:rPr>
        <w:t>。</w:t>
      </w:r>
    </w:p>
    <w:p w:rsidR="00C404E1" w:rsidRPr="000C4F09" w:rsidRDefault="00C404E1" w:rsidP="001122A4">
      <w:pPr>
        <w:pStyle w:val="3"/>
        <w:ind w:left="1360" w:hanging="680"/>
        <w:rPr>
          <w:b/>
        </w:rPr>
      </w:pPr>
      <w:r w:rsidRPr="000C4F09">
        <w:rPr>
          <w:rFonts w:hint="eastAsia"/>
        </w:rPr>
        <w:t>綜上，衛福部食藥署對於非</w:t>
      </w:r>
      <w:r w:rsidR="001A446A" w:rsidRPr="000C4F09">
        <w:rPr>
          <w:rFonts w:hint="eastAsia"/>
        </w:rPr>
        <w:t>屬</w:t>
      </w:r>
      <w:r w:rsidRPr="000C4F09">
        <w:rPr>
          <w:rFonts w:hint="eastAsia"/>
        </w:rPr>
        <w:t>公告</w:t>
      </w:r>
      <w:r w:rsidR="003E675A" w:rsidRPr="000C4F09">
        <w:rPr>
          <w:rFonts w:hint="eastAsia"/>
        </w:rPr>
        <w:t>13種</w:t>
      </w:r>
      <w:r w:rsidRPr="000C4F09">
        <w:rPr>
          <w:rFonts w:hint="eastAsia"/>
        </w:rPr>
        <w:t>「保健功效」項目之一般食品，</w:t>
      </w:r>
      <w:r w:rsidR="00A03C7C" w:rsidRPr="000C4F09">
        <w:rPr>
          <w:rFonts w:hint="eastAsia"/>
        </w:rPr>
        <w:t>輒有</w:t>
      </w:r>
      <w:r w:rsidRPr="000C4F09">
        <w:rPr>
          <w:rFonts w:hint="eastAsia"/>
        </w:rPr>
        <w:t>假借「保健食品」之名以混淆視聽，讓消費者誤認其為「健康食品」</w:t>
      </w:r>
      <w:r w:rsidR="00A03C7C" w:rsidRPr="000C4F09">
        <w:rPr>
          <w:rFonts w:hint="eastAsia"/>
        </w:rPr>
        <w:t>之情事；惟該署</w:t>
      </w:r>
      <w:r w:rsidR="001A446A" w:rsidRPr="000C4F09">
        <w:rPr>
          <w:rFonts w:hint="eastAsia"/>
        </w:rPr>
        <w:t>任由</w:t>
      </w:r>
      <w:r w:rsidRPr="000C4F09">
        <w:rPr>
          <w:rFonts w:hint="eastAsia"/>
        </w:rPr>
        <w:t>不肖</w:t>
      </w:r>
      <w:r w:rsidR="00A03C7C" w:rsidRPr="000C4F09">
        <w:rPr>
          <w:rFonts w:hint="eastAsia"/>
        </w:rPr>
        <w:t>食品業者</w:t>
      </w:r>
      <w:r w:rsidR="00D42B08" w:rsidRPr="000C4F09">
        <w:rPr>
          <w:rFonts w:hint="eastAsia"/>
        </w:rPr>
        <w:t>遊</w:t>
      </w:r>
      <w:r w:rsidRPr="000C4F09">
        <w:rPr>
          <w:rFonts w:hint="eastAsia"/>
        </w:rPr>
        <w:t>走於法律邊緣灰色地帶</w:t>
      </w:r>
      <w:r w:rsidR="00A03C7C" w:rsidRPr="000C4F09">
        <w:rPr>
          <w:rFonts w:hint="eastAsia"/>
        </w:rPr>
        <w:t>，衍生諸多違規亂象，</w:t>
      </w:r>
      <w:r w:rsidR="001A446A" w:rsidRPr="000C4F09">
        <w:rPr>
          <w:rFonts w:hint="eastAsia"/>
        </w:rPr>
        <w:t>在</w:t>
      </w:r>
      <w:r w:rsidR="00AE055C" w:rsidRPr="000C4F09">
        <w:rPr>
          <w:rFonts w:hint="eastAsia"/>
        </w:rPr>
        <w:t>推動</w:t>
      </w:r>
      <w:r w:rsidR="001A446A" w:rsidRPr="000C4F09">
        <w:rPr>
          <w:rFonts w:hint="eastAsia"/>
        </w:rPr>
        <w:t>「食品標示宣傳或廣告涉及不實誇張易生誤解或醫療效能之認定基準準則」之法位階業提升</w:t>
      </w:r>
      <w:r w:rsidR="00AE055C" w:rsidRPr="000C4F09">
        <w:rPr>
          <w:rFonts w:hint="eastAsia"/>
        </w:rPr>
        <w:t>為法規命令</w:t>
      </w:r>
      <w:r w:rsidR="00C872F8" w:rsidRPr="000C4F09">
        <w:rPr>
          <w:rFonts w:hint="eastAsia"/>
        </w:rPr>
        <w:t>做為</w:t>
      </w:r>
      <w:r w:rsidR="00832808" w:rsidRPr="000C4F09">
        <w:rPr>
          <w:rFonts w:hint="eastAsia"/>
        </w:rPr>
        <w:t>執法之</w:t>
      </w:r>
      <w:r w:rsidR="00C872F8" w:rsidRPr="000C4F09">
        <w:rPr>
          <w:rFonts w:hint="eastAsia"/>
        </w:rPr>
        <w:t>後盾</w:t>
      </w:r>
      <w:r w:rsidR="00AE055C" w:rsidRPr="000C4F09">
        <w:rPr>
          <w:rFonts w:hint="eastAsia"/>
        </w:rPr>
        <w:t>上</w:t>
      </w:r>
      <w:r w:rsidRPr="000C4F09">
        <w:rPr>
          <w:rFonts w:hint="eastAsia"/>
        </w:rPr>
        <w:t>，</w:t>
      </w:r>
      <w:r w:rsidR="00B96767" w:rsidRPr="000C4F09">
        <w:rPr>
          <w:rFonts w:hint="eastAsia"/>
        </w:rPr>
        <w:t>更應積極完成相關法制作業；又</w:t>
      </w:r>
      <w:r w:rsidR="001122A4" w:rsidRPr="000C4F09">
        <w:rPr>
          <w:rFonts w:hint="eastAsia"/>
        </w:rPr>
        <w:t>該署</w:t>
      </w:r>
      <w:r w:rsidR="00B96767" w:rsidRPr="000C4F09">
        <w:rPr>
          <w:rFonts w:hint="eastAsia"/>
        </w:rPr>
        <w:t>對</w:t>
      </w:r>
      <w:r w:rsidR="00E418BC" w:rsidRPr="000C4F09">
        <w:rPr>
          <w:rFonts w:hint="eastAsia"/>
        </w:rPr>
        <w:t>各縣市衛生局</w:t>
      </w:r>
      <w:r w:rsidR="00A06503" w:rsidRPr="000C4F09">
        <w:rPr>
          <w:rFonts w:hint="eastAsia"/>
        </w:rPr>
        <w:t>增補</w:t>
      </w:r>
      <w:r w:rsidR="00E418BC" w:rsidRPr="000C4F09">
        <w:rPr>
          <w:rFonts w:hint="eastAsia"/>
        </w:rPr>
        <w:t>食品稽查人員與</w:t>
      </w:r>
      <w:r w:rsidR="00A06503" w:rsidRPr="000C4F09">
        <w:rPr>
          <w:rFonts w:hint="eastAsia"/>
        </w:rPr>
        <w:t>擴編</w:t>
      </w:r>
      <w:r w:rsidR="00E418BC" w:rsidRPr="000C4F09">
        <w:rPr>
          <w:rFonts w:hint="eastAsia"/>
        </w:rPr>
        <w:t>經費</w:t>
      </w:r>
      <w:r w:rsidR="00B96767" w:rsidRPr="000C4F09">
        <w:rPr>
          <w:rFonts w:hint="eastAsia"/>
        </w:rPr>
        <w:t>上，亦應輔導協助籌謀</w:t>
      </w:r>
      <w:r w:rsidR="00E418BC" w:rsidRPr="000C4F09">
        <w:rPr>
          <w:rFonts w:hint="eastAsia"/>
        </w:rPr>
        <w:t>，俾利</w:t>
      </w:r>
      <w:r w:rsidR="001122A4" w:rsidRPr="000C4F09">
        <w:rPr>
          <w:rFonts w:hint="eastAsia"/>
        </w:rPr>
        <w:t>督導各縣市衛生局</w:t>
      </w:r>
      <w:r w:rsidR="00A03C7C" w:rsidRPr="000C4F09">
        <w:rPr>
          <w:rFonts w:hint="eastAsia"/>
        </w:rPr>
        <w:t>強化其執法力道</w:t>
      </w:r>
      <w:r w:rsidRPr="000C4F09">
        <w:rPr>
          <w:rFonts w:hint="eastAsia"/>
        </w:rPr>
        <w:t>。</w:t>
      </w:r>
    </w:p>
    <w:p w:rsidR="00155551" w:rsidRPr="000C4F09" w:rsidRDefault="00155551" w:rsidP="00155551">
      <w:pPr>
        <w:pStyle w:val="2"/>
        <w:ind w:left="1020" w:hanging="680"/>
        <w:rPr>
          <w:b/>
        </w:rPr>
      </w:pPr>
      <w:r w:rsidRPr="000C4F09">
        <w:rPr>
          <w:rFonts w:hint="eastAsia"/>
          <w:b/>
        </w:rPr>
        <w:t>衛福部食藥署雖</w:t>
      </w:r>
      <w:r w:rsidR="00317E44" w:rsidRPr="000C4F09">
        <w:rPr>
          <w:rFonts w:hint="eastAsia"/>
          <w:b/>
        </w:rPr>
        <w:t>已</w:t>
      </w:r>
      <w:r w:rsidRPr="000C4F09">
        <w:rPr>
          <w:rFonts w:hint="eastAsia"/>
          <w:b/>
        </w:rPr>
        <w:t>運用多元檢舉管道，</w:t>
      </w:r>
      <w:r w:rsidR="00917C3C" w:rsidRPr="000C4F09">
        <w:rPr>
          <w:rFonts w:hint="eastAsia"/>
          <w:b/>
        </w:rPr>
        <w:t>然</w:t>
      </w:r>
      <w:r w:rsidR="00317E44" w:rsidRPr="000C4F09">
        <w:rPr>
          <w:rFonts w:hint="eastAsia"/>
          <w:b/>
        </w:rPr>
        <w:t>其</w:t>
      </w:r>
      <w:r w:rsidR="000907DB" w:rsidRPr="000C4F09">
        <w:rPr>
          <w:rFonts w:hint="eastAsia"/>
          <w:b/>
        </w:rPr>
        <w:t>查緝作業</w:t>
      </w:r>
      <w:r w:rsidR="00317E44" w:rsidRPr="000C4F09">
        <w:rPr>
          <w:rFonts w:hint="eastAsia"/>
          <w:b/>
        </w:rPr>
        <w:t>成效不彰，</w:t>
      </w:r>
      <w:r w:rsidRPr="000C4F09">
        <w:rPr>
          <w:rFonts w:hint="eastAsia"/>
          <w:b/>
        </w:rPr>
        <w:t>違規食品</w:t>
      </w:r>
      <w:r w:rsidR="00497C89" w:rsidRPr="000C4F09">
        <w:rPr>
          <w:rFonts w:hint="eastAsia"/>
          <w:b/>
        </w:rPr>
        <w:t>標示及</w:t>
      </w:r>
      <w:r w:rsidRPr="000C4F09">
        <w:rPr>
          <w:rFonts w:hint="eastAsia"/>
          <w:b/>
        </w:rPr>
        <w:t>廣告案件仍屢見不鮮，</w:t>
      </w:r>
      <w:r w:rsidR="004A4B5F" w:rsidRPr="000C4F09">
        <w:rPr>
          <w:rFonts w:hint="eastAsia"/>
          <w:b/>
        </w:rPr>
        <w:t>故</w:t>
      </w:r>
      <w:r w:rsidR="00762990" w:rsidRPr="000C4F09">
        <w:rPr>
          <w:rFonts w:hint="eastAsia"/>
          <w:b/>
        </w:rPr>
        <w:t>該署</w:t>
      </w:r>
      <w:r w:rsidRPr="000C4F09">
        <w:rPr>
          <w:rFonts w:hint="eastAsia"/>
          <w:b/>
        </w:rPr>
        <w:t>允當研謀更綿密</w:t>
      </w:r>
      <w:r w:rsidR="00497C89" w:rsidRPr="000C4F09">
        <w:rPr>
          <w:rFonts w:hint="eastAsia"/>
          <w:b/>
        </w:rPr>
        <w:t>而有效</w:t>
      </w:r>
      <w:r w:rsidRPr="000C4F09">
        <w:rPr>
          <w:rFonts w:hint="eastAsia"/>
          <w:b/>
        </w:rPr>
        <w:t>之應對方案，庶可</w:t>
      </w:r>
      <w:r w:rsidR="00A663B2" w:rsidRPr="000C4F09">
        <w:rPr>
          <w:rFonts w:hint="eastAsia"/>
          <w:b/>
        </w:rPr>
        <w:t>確實掌握不法食品業者</w:t>
      </w:r>
      <w:r w:rsidR="004A4B5F" w:rsidRPr="000C4F09">
        <w:rPr>
          <w:rFonts w:hint="eastAsia"/>
          <w:b/>
        </w:rPr>
        <w:t>之違規次數與態樣，並達成嚇阻食品違規標示與廣告之目的</w:t>
      </w:r>
      <w:r w:rsidRPr="000C4F09">
        <w:rPr>
          <w:rFonts w:hint="eastAsia"/>
          <w:b/>
        </w:rPr>
        <w:t>：</w:t>
      </w:r>
    </w:p>
    <w:p w:rsidR="0041025F" w:rsidRPr="000C4F09" w:rsidRDefault="0041025F" w:rsidP="00A663B2">
      <w:pPr>
        <w:pStyle w:val="3"/>
        <w:ind w:left="1360" w:hanging="680"/>
      </w:pPr>
      <w:r w:rsidRPr="000C4F09">
        <w:rPr>
          <w:rFonts w:hint="eastAsia"/>
        </w:rPr>
        <w:t>按食藥署</w:t>
      </w:r>
      <w:r w:rsidR="00A663B2" w:rsidRPr="000C4F09">
        <w:rPr>
          <w:rFonts w:hint="eastAsia"/>
        </w:rPr>
        <w:t>查復本院指出，</w:t>
      </w:r>
      <w:r w:rsidRPr="000C4F09">
        <w:rPr>
          <w:rFonts w:hint="eastAsia"/>
        </w:rPr>
        <w:t>目前運用下列多元檢舉管道，進行違規食品標示及廣告案件之查處：</w:t>
      </w:r>
      <w:r w:rsidR="00A663B2" w:rsidRPr="000C4F09">
        <w:rPr>
          <w:rFonts w:hint="eastAsia"/>
        </w:rPr>
        <w:t>民眾除可向所在地衛生局檢舉外，亦可以電子郵件透過食藥署為民服務信箱或撥打「1919」全國食安專線或各地方「1999」檢舉專線進行檢舉，透過民眾參與，進而擴大衛生機關監管範圍。現檢舉管道暢通，民眾檢舉便利，僅食藥署為民服務信箱有關食品之案件，105、106年度即高達19,484件，尚未包含其他來源。此外，食藥署業訂有「衛生福利部食品藥物管理署受理人民陳情案件之處理原則」，相關案件皆依前開原則積極處理，並交請所轄衛生局依</w:t>
      </w:r>
      <w:r w:rsidR="00A663B2" w:rsidRPr="000C4F09">
        <w:rPr>
          <w:rFonts w:hint="eastAsia"/>
        </w:rPr>
        <w:lastRenderedPageBreak/>
        <w:t>法查辦。</w:t>
      </w:r>
    </w:p>
    <w:p w:rsidR="00BD643E" w:rsidRPr="000C4F09" w:rsidRDefault="005D7FEF" w:rsidP="00BD643E">
      <w:pPr>
        <w:pStyle w:val="3"/>
        <w:ind w:left="1360" w:hanging="680"/>
      </w:pPr>
      <w:r w:rsidRPr="000C4F09">
        <w:rPr>
          <w:rFonts w:hint="eastAsia"/>
        </w:rPr>
        <w:t>次</w:t>
      </w:r>
      <w:r w:rsidR="00BD643E" w:rsidRPr="000C4F09">
        <w:rPr>
          <w:rFonts w:hint="eastAsia"/>
        </w:rPr>
        <w:t>據</w:t>
      </w:r>
      <w:r w:rsidR="00FC4052" w:rsidRPr="000C4F09">
        <w:rPr>
          <w:rFonts w:hint="eastAsia"/>
        </w:rPr>
        <w:t>公平會會同食藥署於</w:t>
      </w:r>
      <w:r w:rsidR="00BD643E" w:rsidRPr="000C4F09">
        <w:rPr>
          <w:rFonts w:hint="eastAsia"/>
        </w:rPr>
        <w:t>107年3</w:t>
      </w:r>
      <w:r w:rsidR="00C57028">
        <w:rPr>
          <w:rFonts w:hint="eastAsia"/>
        </w:rPr>
        <w:t>、4</w:t>
      </w:r>
      <w:r w:rsidR="00BD643E" w:rsidRPr="000C4F09">
        <w:rPr>
          <w:rFonts w:hint="eastAsia"/>
        </w:rPr>
        <w:t>月</w:t>
      </w:r>
      <w:r w:rsidR="00C57028">
        <w:rPr>
          <w:rFonts w:hint="eastAsia"/>
        </w:rPr>
        <w:t>間</w:t>
      </w:r>
      <w:r w:rsidR="00BD643E" w:rsidRPr="000C4F09">
        <w:rPr>
          <w:rFonts w:hint="eastAsia"/>
        </w:rPr>
        <w:t>查核6家</w:t>
      </w:r>
      <w:r w:rsidR="00D43329" w:rsidRPr="000C4F09">
        <w:rPr>
          <w:rFonts w:hint="eastAsia"/>
        </w:rPr>
        <w:t>銷售保健食品</w:t>
      </w:r>
      <w:r w:rsidR="00BD643E" w:rsidRPr="000C4F09">
        <w:rPr>
          <w:rFonts w:hint="eastAsia"/>
        </w:rPr>
        <w:t>業者，查核結果</w:t>
      </w:r>
      <w:r w:rsidR="00FC4052" w:rsidRPr="000C4F09">
        <w:rPr>
          <w:rFonts w:hint="eastAsia"/>
        </w:rPr>
        <w:t>發現</w:t>
      </w:r>
      <w:r w:rsidR="002F5056" w:rsidRPr="000C4F09">
        <w:rPr>
          <w:rFonts w:hint="eastAsia"/>
        </w:rPr>
        <w:t>其中5家有</w:t>
      </w:r>
      <w:r w:rsidR="00FC4052" w:rsidRPr="000C4F09">
        <w:rPr>
          <w:rFonts w:hint="eastAsia"/>
        </w:rPr>
        <w:t>下列違規情事</w:t>
      </w:r>
      <w:r w:rsidR="00BD643E" w:rsidRPr="000C4F09">
        <w:rPr>
          <w:rFonts w:hint="eastAsia"/>
        </w:rPr>
        <w:t>：</w:t>
      </w:r>
    </w:p>
    <w:p w:rsidR="00FC4052" w:rsidRPr="000C4F09" w:rsidRDefault="00FC4052" w:rsidP="00FC4052">
      <w:pPr>
        <w:pStyle w:val="4"/>
        <w:ind w:left="1700" w:hanging="680"/>
      </w:pPr>
      <w:r w:rsidRPr="000C4F09">
        <w:rPr>
          <w:rFonts w:hint="eastAsia"/>
        </w:rPr>
        <w:t>嘉康利公司</w:t>
      </w:r>
      <w:r w:rsidR="003479E0" w:rsidRPr="000C4F09">
        <w:rPr>
          <w:rFonts w:hint="eastAsia"/>
        </w:rPr>
        <w:t>台灣</w:t>
      </w:r>
      <w:r w:rsidR="003479E0" w:rsidRPr="000C4F09">
        <w:rPr>
          <w:rFonts w:ascii="Times New Roman" w:hAnsi="Times New Roman" w:hint="eastAsia"/>
        </w:rPr>
        <w:t>分公司</w:t>
      </w:r>
      <w:r w:rsidRPr="000C4F09">
        <w:rPr>
          <w:rFonts w:hint="eastAsia"/>
        </w:rPr>
        <w:t>：</w:t>
      </w:r>
    </w:p>
    <w:p w:rsidR="00FC4052" w:rsidRPr="000C4F09" w:rsidRDefault="00FC4052" w:rsidP="00FC4052">
      <w:pPr>
        <w:pStyle w:val="5"/>
        <w:ind w:left="2041" w:hanging="680"/>
      </w:pPr>
      <w:r w:rsidRPr="000C4F09">
        <w:rPr>
          <w:rFonts w:hint="eastAsia"/>
        </w:rPr>
        <w:t>「嘉康利葡萄籽E400膠囊食品」：包裝上見「有助減少自由基產生，維持皮膚及血球細胞的健康」等，疑涉生理功能。</w:t>
      </w:r>
    </w:p>
    <w:p w:rsidR="00FC4052" w:rsidRPr="000C4F09" w:rsidRDefault="00FC4052" w:rsidP="00FC4052">
      <w:pPr>
        <w:pStyle w:val="5"/>
        <w:ind w:left="2041" w:hanging="680"/>
      </w:pPr>
      <w:r w:rsidRPr="000C4F09">
        <w:rPr>
          <w:rFonts w:hint="eastAsia"/>
        </w:rPr>
        <w:t>「嘉康利天然輔酵素Q10膠囊食品」之品名見「天然」，疑涉誇張或易生誤解。</w:t>
      </w:r>
    </w:p>
    <w:p w:rsidR="00FC4052" w:rsidRPr="000C4F09" w:rsidRDefault="00FC4052" w:rsidP="00FC4052">
      <w:pPr>
        <w:pStyle w:val="5"/>
        <w:ind w:left="2041" w:hanging="680"/>
      </w:pPr>
      <w:r w:rsidRPr="000C4F09">
        <w:rPr>
          <w:rFonts w:hint="eastAsia"/>
        </w:rPr>
        <w:t>「嘉康利精沛素低脂優蛋白（可可口味）」，其產品營養標示之維生素B1及B2含量高低與製程中成分排列順序不同，疑涉標示不實。</w:t>
      </w:r>
    </w:p>
    <w:p w:rsidR="00FC4052" w:rsidRPr="000C4F09" w:rsidRDefault="00D43329" w:rsidP="00FC4052">
      <w:pPr>
        <w:pStyle w:val="5"/>
        <w:ind w:left="2041" w:hanging="680"/>
      </w:pPr>
      <w:r w:rsidRPr="000C4F09">
        <w:rPr>
          <w:rFonts w:hint="eastAsia"/>
        </w:rPr>
        <w:t>另有化妝品</w:t>
      </w:r>
      <w:r w:rsidR="00FC4052" w:rsidRPr="000C4F09">
        <w:rPr>
          <w:rFonts w:hint="eastAsia"/>
        </w:rPr>
        <w:t>「芙雪新活神采眼霜」未見全成分之展開內容。</w:t>
      </w:r>
    </w:p>
    <w:p w:rsidR="00FC4052" w:rsidRPr="000C4F09" w:rsidRDefault="00FC4052" w:rsidP="005F4984">
      <w:pPr>
        <w:pStyle w:val="5"/>
        <w:ind w:left="2041" w:hanging="680"/>
      </w:pPr>
      <w:r w:rsidRPr="000C4F09">
        <w:rPr>
          <w:rFonts w:hint="eastAsia"/>
        </w:rPr>
        <w:t>現場見「優能天然營養素粉狀食品」之型錄，有「本</w:t>
      </w:r>
      <w:r w:rsidR="005F4984" w:rsidRPr="000C4F09">
        <w:rPr>
          <w:rFonts w:hint="eastAsia"/>
        </w:rPr>
        <w:t>品不含人工香料、甜味劑」等字樣，惟現品包裝成分含「赤藻糖醇（甜味劑）」，涉廣告違規，由臺北市政府衛生局攜回處辦。</w:t>
      </w:r>
    </w:p>
    <w:p w:rsidR="00FC4052" w:rsidRPr="000C4F09" w:rsidRDefault="005F4984" w:rsidP="005F4984">
      <w:pPr>
        <w:pStyle w:val="4"/>
        <w:ind w:left="1700" w:hanging="680"/>
      </w:pPr>
      <w:r w:rsidRPr="000C4F09">
        <w:rPr>
          <w:rFonts w:hint="eastAsia"/>
        </w:rPr>
        <w:t>美商賀寶芙股份有限公司台灣分公司：</w:t>
      </w:r>
    </w:p>
    <w:p w:rsidR="005F4984" w:rsidRPr="000C4F09" w:rsidRDefault="005F4984" w:rsidP="005F4984">
      <w:pPr>
        <w:pStyle w:val="5"/>
        <w:ind w:left="2041" w:hanging="680"/>
      </w:pPr>
      <w:r w:rsidRPr="000C4F09">
        <w:rPr>
          <w:rFonts w:hint="eastAsia"/>
        </w:rPr>
        <w:t>蔬果營養錠(食品)：成分見「葉黃素」，惟未見於營養標示。</w:t>
      </w:r>
    </w:p>
    <w:p w:rsidR="005F4984" w:rsidRPr="000C4F09" w:rsidRDefault="005F4984" w:rsidP="005F4984">
      <w:pPr>
        <w:pStyle w:val="5"/>
        <w:ind w:left="2041" w:hanging="680"/>
      </w:pPr>
      <w:r w:rsidRPr="000C4F09">
        <w:rPr>
          <w:rFonts w:hint="eastAsia"/>
        </w:rPr>
        <w:t>關捷寶營養錠：標示「原產地：台灣」，惟見產品標示「進口商」等語。</w:t>
      </w:r>
    </w:p>
    <w:p w:rsidR="005F4984" w:rsidRPr="000C4F09" w:rsidRDefault="005F4984" w:rsidP="005F4984">
      <w:pPr>
        <w:pStyle w:val="5"/>
        <w:ind w:left="2041" w:hanging="680"/>
      </w:pPr>
      <w:r w:rsidRPr="000C4F09">
        <w:rPr>
          <w:rFonts w:hint="eastAsia"/>
        </w:rPr>
        <w:t>南極磷蝦油膠囊(食品)：成分見「Omega-3脂肪酸」等，惟未見於營養標示。</w:t>
      </w:r>
    </w:p>
    <w:p w:rsidR="005F4984" w:rsidRPr="000C4F09" w:rsidRDefault="005F4984" w:rsidP="005F4984">
      <w:pPr>
        <w:pStyle w:val="5"/>
        <w:ind w:left="2041" w:hanging="680"/>
      </w:pPr>
      <w:r w:rsidRPr="000C4F09">
        <w:rPr>
          <w:rFonts w:hint="eastAsia"/>
        </w:rPr>
        <w:t>查核其廣告宣傳單張，其中「幫助腸道內的益生菌生長」、「強化骨骼健康」、「預防骨質疏鬆」等語，涉違反食安法第28條規定，後續由臺北市政府衛生局依法辦理。</w:t>
      </w:r>
    </w:p>
    <w:p w:rsidR="005F4984" w:rsidRPr="000C4F09" w:rsidRDefault="005F4984" w:rsidP="005F4984">
      <w:pPr>
        <w:pStyle w:val="4"/>
        <w:ind w:left="1700" w:hanging="680"/>
      </w:pPr>
      <w:r w:rsidRPr="000C4F09">
        <w:rPr>
          <w:rFonts w:hint="eastAsia"/>
        </w:rPr>
        <w:lastRenderedPageBreak/>
        <w:t>麗富康國際股份有限公司</w:t>
      </w:r>
      <w:r w:rsidR="00F110B5" w:rsidRPr="000C4F09">
        <w:rPr>
          <w:rFonts w:hint="eastAsia"/>
        </w:rPr>
        <w:t>(下稱麗富康公司)</w:t>
      </w:r>
      <w:r w:rsidRPr="000C4F09">
        <w:rPr>
          <w:rFonts w:hint="eastAsia"/>
        </w:rPr>
        <w:t>：</w:t>
      </w:r>
    </w:p>
    <w:p w:rsidR="002F5056" w:rsidRPr="000C4F09" w:rsidRDefault="002F5056" w:rsidP="002F5056">
      <w:pPr>
        <w:pStyle w:val="5"/>
        <w:ind w:left="2041" w:hanging="680"/>
      </w:pPr>
      <w:r w:rsidRPr="000C4F09">
        <w:rPr>
          <w:rFonts w:hint="eastAsia"/>
        </w:rPr>
        <w:t>活力元素口含錠：營養標示格式與規定不符及未標示過敏原資訊。</w:t>
      </w:r>
    </w:p>
    <w:p w:rsidR="002F5056" w:rsidRPr="000C4F09" w:rsidRDefault="002F5056" w:rsidP="002F5056">
      <w:pPr>
        <w:pStyle w:val="5"/>
        <w:ind w:left="2041" w:hanging="680"/>
      </w:pPr>
      <w:r w:rsidRPr="000C4F09">
        <w:rPr>
          <w:rFonts w:hint="eastAsia"/>
        </w:rPr>
        <w:t>大造元素軟膠囊：營養標示格式與規定不符。</w:t>
      </w:r>
    </w:p>
    <w:p w:rsidR="005F4984" w:rsidRPr="000C4F09" w:rsidRDefault="002F5056" w:rsidP="002F5056">
      <w:pPr>
        <w:pStyle w:val="5"/>
        <w:ind w:left="2041" w:hanging="680"/>
      </w:pPr>
      <w:r w:rsidRPr="000C4F09">
        <w:rPr>
          <w:rFonts w:hint="eastAsia"/>
        </w:rPr>
        <w:t>精明元素口含錠：營養標示格式與規定不符及未標示過敏原資訊。</w:t>
      </w:r>
    </w:p>
    <w:p w:rsidR="005F4984" w:rsidRPr="000C4F09" w:rsidRDefault="002F5056" w:rsidP="002F5056">
      <w:pPr>
        <w:pStyle w:val="4"/>
        <w:ind w:left="1700" w:hanging="680"/>
      </w:pPr>
      <w:r w:rsidRPr="000C4F09">
        <w:rPr>
          <w:rFonts w:hint="eastAsia"/>
        </w:rPr>
        <w:t>水素健康產業股份有限公司（</w:t>
      </w:r>
      <w:r w:rsidR="00773DCF" w:rsidRPr="000C4F09">
        <w:rPr>
          <w:rFonts w:hint="eastAsia"/>
        </w:rPr>
        <w:t>以「</w:t>
      </w:r>
      <w:r w:rsidRPr="000C4F09">
        <w:rPr>
          <w:rFonts w:hint="eastAsia"/>
        </w:rPr>
        <w:t>蔬活農場</w:t>
      </w:r>
      <w:r w:rsidR="00773DCF" w:rsidRPr="000C4F09">
        <w:rPr>
          <w:rFonts w:hint="eastAsia"/>
        </w:rPr>
        <w:t>」品牌行銷</w:t>
      </w:r>
      <w:r w:rsidRPr="000C4F09">
        <w:rPr>
          <w:rFonts w:hint="eastAsia"/>
        </w:rPr>
        <w:t>）：</w:t>
      </w:r>
    </w:p>
    <w:p w:rsidR="002F5056" w:rsidRPr="000C4F09" w:rsidRDefault="002F5056" w:rsidP="002F5056">
      <w:pPr>
        <w:pStyle w:val="5"/>
        <w:ind w:left="2041" w:hanging="680"/>
      </w:pPr>
      <w:r w:rsidRPr="000C4F09">
        <w:rPr>
          <w:rFonts w:hint="eastAsia"/>
        </w:rPr>
        <w:t>白金水素：成分標示涉違反食安法相關規定。</w:t>
      </w:r>
    </w:p>
    <w:p w:rsidR="002F5056" w:rsidRPr="000C4F09" w:rsidRDefault="002F5056" w:rsidP="002F5056">
      <w:pPr>
        <w:pStyle w:val="5"/>
        <w:ind w:left="2041" w:hanging="680"/>
      </w:pPr>
      <w:r w:rsidRPr="000C4F09">
        <w:rPr>
          <w:rFonts w:hint="eastAsia"/>
        </w:rPr>
        <w:t>力沛素特肝精軟膠囊食品：成分標示涉違反食安法相關規定。</w:t>
      </w:r>
    </w:p>
    <w:p w:rsidR="002F5056" w:rsidRPr="000C4F09" w:rsidRDefault="002F5056" w:rsidP="002F5056">
      <w:pPr>
        <w:pStyle w:val="4"/>
        <w:ind w:left="1700" w:hanging="680"/>
      </w:pPr>
      <w:r w:rsidRPr="000C4F09">
        <w:rPr>
          <w:rFonts w:hint="eastAsia"/>
        </w:rPr>
        <w:t>台灣產經股份有限公司（</w:t>
      </w:r>
      <w:r w:rsidR="00773DCF" w:rsidRPr="000C4F09">
        <w:rPr>
          <w:rFonts w:hint="eastAsia"/>
        </w:rPr>
        <w:t>以「</w:t>
      </w:r>
      <w:r w:rsidRPr="000C4F09">
        <w:rPr>
          <w:rFonts w:hint="eastAsia"/>
        </w:rPr>
        <w:t>田園小鎮</w:t>
      </w:r>
      <w:r w:rsidR="00773DCF" w:rsidRPr="000C4F09">
        <w:rPr>
          <w:rFonts w:hint="eastAsia"/>
        </w:rPr>
        <w:t>」品牌行銷</w:t>
      </w:r>
      <w:r w:rsidRPr="000C4F09">
        <w:rPr>
          <w:rFonts w:hint="eastAsia"/>
        </w:rPr>
        <w:t>）：</w:t>
      </w:r>
    </w:p>
    <w:p w:rsidR="002F5056" w:rsidRPr="000C4F09" w:rsidRDefault="002F5056" w:rsidP="002F5056">
      <w:pPr>
        <w:pStyle w:val="5"/>
        <w:ind w:left="2041" w:hanging="680"/>
      </w:pPr>
      <w:r w:rsidRPr="000C4F09">
        <w:rPr>
          <w:rFonts w:hint="eastAsia"/>
        </w:rPr>
        <w:t>牛奶蛋白滋潤沐浴乳：未見全成分之展開內容。(</w:t>
      </w:r>
      <w:r w:rsidR="00497C89" w:rsidRPr="000C4F09">
        <w:rPr>
          <w:rFonts w:hint="eastAsia"/>
        </w:rPr>
        <w:t>其</w:t>
      </w:r>
      <w:r w:rsidRPr="000C4F09">
        <w:rPr>
          <w:rFonts w:hint="eastAsia"/>
        </w:rPr>
        <w:t>標示違反化粧品衛生管理條例規定)</w:t>
      </w:r>
    </w:p>
    <w:p w:rsidR="002F5056" w:rsidRPr="000C4F09" w:rsidRDefault="002F5056" w:rsidP="002F5056">
      <w:pPr>
        <w:pStyle w:val="5"/>
        <w:ind w:left="2041" w:hanging="680"/>
      </w:pPr>
      <w:r w:rsidRPr="000C4F09">
        <w:rPr>
          <w:rFonts w:hint="eastAsia"/>
        </w:rPr>
        <w:t>蠶絲蛋白滋養洗髮乳：未見全成分之展開內容。</w:t>
      </w:r>
      <w:r w:rsidR="00497C89" w:rsidRPr="000C4F09">
        <w:rPr>
          <w:rFonts w:hint="eastAsia"/>
        </w:rPr>
        <w:t>(其標示違反化粧品衛生管理條例規定)</w:t>
      </w:r>
    </w:p>
    <w:p w:rsidR="002F5056" w:rsidRPr="000C4F09" w:rsidRDefault="00497C89" w:rsidP="00497C89">
      <w:pPr>
        <w:pStyle w:val="5"/>
        <w:ind w:left="2041" w:hanging="680"/>
      </w:pPr>
      <w:r w:rsidRPr="000C4F09">
        <w:rPr>
          <w:rFonts w:hint="eastAsia"/>
        </w:rPr>
        <w:t>另查獲「黑棗四物鐵飲品」單張，內容涉違反食安法第28條規定，由臺中市政府衛生局依權責辦理。</w:t>
      </w:r>
    </w:p>
    <w:p w:rsidR="00F2469A" w:rsidRPr="000C4F09" w:rsidRDefault="003758E2" w:rsidP="00142737">
      <w:pPr>
        <w:pStyle w:val="3"/>
        <w:ind w:left="1360" w:hanging="680"/>
      </w:pPr>
      <w:r w:rsidRPr="000C4F09">
        <w:rPr>
          <w:rFonts w:hint="eastAsia"/>
        </w:rPr>
        <w:t>又查</w:t>
      </w:r>
      <w:r w:rsidR="00F110B5" w:rsidRPr="000C4F09">
        <w:rPr>
          <w:rFonts w:hint="eastAsia"/>
        </w:rPr>
        <w:t>107年3月5日臺中市有1名41歲何姓女子因癌症病逝，家屬控訴疑誤信直銷</w:t>
      </w:r>
      <w:r w:rsidRPr="000C4F09">
        <w:rPr>
          <w:rFonts w:hint="eastAsia"/>
        </w:rPr>
        <w:t>商</w:t>
      </w:r>
      <w:r w:rsidR="00F110B5" w:rsidRPr="000C4F09">
        <w:rPr>
          <w:rFonts w:hint="eastAsia"/>
        </w:rPr>
        <w:t>麗富康公司產製保健食品</w:t>
      </w:r>
      <w:r w:rsidRPr="000C4F09">
        <w:rPr>
          <w:rFonts w:hint="eastAsia"/>
        </w:rPr>
        <w:t>之廣告</w:t>
      </w:r>
      <w:r w:rsidR="00F110B5" w:rsidRPr="000C4F09">
        <w:rPr>
          <w:rFonts w:hint="eastAsia"/>
        </w:rPr>
        <w:t>，延誤治療送命</w:t>
      </w:r>
      <w:r w:rsidR="00F110B5" w:rsidRPr="000C4F09">
        <w:rPr>
          <w:rStyle w:val="af4"/>
        </w:rPr>
        <w:footnoteReference w:id="5"/>
      </w:r>
      <w:r w:rsidRPr="000C4F09">
        <w:rPr>
          <w:rFonts w:hint="eastAsia"/>
        </w:rPr>
        <w:t>；本案嗣經臺中市政府衛生局查處發現，該公司</w:t>
      </w:r>
      <w:r w:rsidR="00142737" w:rsidRPr="000C4F09">
        <w:rPr>
          <w:rFonts w:hint="eastAsia"/>
        </w:rPr>
        <w:t>直銷產品竟</w:t>
      </w:r>
      <w:r w:rsidR="00917C3C" w:rsidRPr="000C4F09">
        <w:rPr>
          <w:rFonts w:hint="eastAsia"/>
        </w:rPr>
        <w:t>有</w:t>
      </w:r>
      <w:r w:rsidR="00142737" w:rsidRPr="000C4F09">
        <w:rPr>
          <w:rFonts w:hint="eastAsia"/>
        </w:rPr>
        <w:t>逾20款廣告涉有誇大不實之情事</w:t>
      </w:r>
      <w:r w:rsidR="004720C1" w:rsidRPr="000C4F09">
        <w:rPr>
          <w:rFonts w:hint="eastAsia"/>
        </w:rPr>
        <w:t>。</w:t>
      </w:r>
      <w:r w:rsidR="00DD2210" w:rsidRPr="000C4F09">
        <w:rPr>
          <w:rFonts w:hint="eastAsia"/>
        </w:rPr>
        <w:t>另以上述連鎖直銷業「田園小鎮」為例，該業者在花蓮多次以饋贈生活用品(如沙拉油及醬油) ，或利用辦理健康講座等方式，吸引老年人聚集，並藉機販賣誇大不實療效</w:t>
      </w:r>
      <w:r w:rsidR="00DD2210" w:rsidRPr="000C4F09">
        <w:rPr>
          <w:rFonts w:hint="eastAsia"/>
        </w:rPr>
        <w:lastRenderedPageBreak/>
        <w:t>產品，</w:t>
      </w:r>
      <w:r w:rsidR="002C1812" w:rsidRPr="000C4F09">
        <w:rPr>
          <w:rFonts w:hint="eastAsia"/>
        </w:rPr>
        <w:t>上述</w:t>
      </w:r>
      <w:r w:rsidR="00DD2210" w:rsidRPr="000C4F09">
        <w:rPr>
          <w:rFonts w:hint="eastAsia"/>
        </w:rPr>
        <w:t>違法行逕「田園小鎮」似乎罰不怕，</w:t>
      </w:r>
      <w:r w:rsidR="002C1812" w:rsidRPr="000C4F09">
        <w:rPr>
          <w:rFonts w:hint="eastAsia"/>
        </w:rPr>
        <w:t>且</w:t>
      </w:r>
      <w:r w:rsidR="00DD2210" w:rsidRPr="000C4F09">
        <w:rPr>
          <w:rFonts w:hint="eastAsia"/>
        </w:rPr>
        <w:t>因為累犯，花蓮縣衛生局再度查獲該業者違規販售「維他力士」「蜂膠」食品多達8項等誇大不實、宣稱醫療效能違規廣告商品屬實，</w:t>
      </w:r>
      <w:r w:rsidR="002C1812" w:rsidRPr="000C4F09">
        <w:rPr>
          <w:rFonts w:hint="eastAsia"/>
        </w:rPr>
        <w:t>乃</w:t>
      </w:r>
      <w:r w:rsidR="00DD2210" w:rsidRPr="000C4F09">
        <w:rPr>
          <w:rFonts w:hint="eastAsia"/>
        </w:rPr>
        <w:t>於103年</w:t>
      </w:r>
      <w:r w:rsidR="002C1812" w:rsidRPr="000C4F09">
        <w:rPr>
          <w:rFonts w:ascii="Times New Roman" w:hAnsi="Times New Roman" w:hint="eastAsia"/>
        </w:rPr>
        <w:t>1</w:t>
      </w:r>
      <w:r w:rsidR="002C1812" w:rsidRPr="000C4F09">
        <w:rPr>
          <w:rFonts w:ascii="Times New Roman" w:hAnsi="Times New Roman" w:hint="eastAsia"/>
        </w:rPr>
        <w:t>月</w:t>
      </w:r>
      <w:r w:rsidR="002C1812" w:rsidRPr="000C4F09">
        <w:rPr>
          <w:rFonts w:ascii="Times New Roman" w:hAnsi="Times New Roman" w:hint="eastAsia"/>
        </w:rPr>
        <w:t>17</w:t>
      </w:r>
      <w:r w:rsidR="002C1812" w:rsidRPr="000C4F09">
        <w:rPr>
          <w:rFonts w:ascii="Times New Roman" w:hAnsi="Times New Roman" w:hint="eastAsia"/>
        </w:rPr>
        <w:t>日以府衛藥字第</w:t>
      </w:r>
      <w:r w:rsidR="002C1812" w:rsidRPr="000C4F09">
        <w:rPr>
          <w:rFonts w:ascii="Times New Roman" w:hAnsi="Times New Roman" w:hint="eastAsia"/>
        </w:rPr>
        <w:t>1030006656</w:t>
      </w:r>
      <w:r w:rsidR="002C1812" w:rsidRPr="000C4F09">
        <w:rPr>
          <w:rFonts w:ascii="Times New Roman" w:hAnsi="Times New Roman" w:hint="eastAsia"/>
        </w:rPr>
        <w:t>號裁處書，處台灣產經股份有限公司</w:t>
      </w:r>
      <w:r w:rsidR="005D7FEF" w:rsidRPr="000C4F09">
        <w:rPr>
          <w:rFonts w:ascii="Times New Roman" w:hAnsi="Times New Roman" w:hint="eastAsia"/>
        </w:rPr>
        <w:t>(</w:t>
      </w:r>
      <w:r w:rsidR="005D7FEF" w:rsidRPr="000C4F09">
        <w:rPr>
          <w:rFonts w:hint="eastAsia"/>
        </w:rPr>
        <w:t>田園小鎮</w:t>
      </w:r>
      <w:r w:rsidR="005D7FEF" w:rsidRPr="000C4F09">
        <w:rPr>
          <w:rFonts w:ascii="Times New Roman" w:hAnsi="Times New Roman" w:hint="eastAsia"/>
        </w:rPr>
        <w:t>)</w:t>
      </w:r>
      <w:r w:rsidR="002C1812" w:rsidRPr="000C4F09">
        <w:rPr>
          <w:rFonts w:ascii="Times New Roman" w:hAnsi="Times New Roman" w:hint="eastAsia"/>
        </w:rPr>
        <w:t>320</w:t>
      </w:r>
      <w:r w:rsidR="002C1812" w:rsidRPr="000C4F09">
        <w:rPr>
          <w:rFonts w:ascii="Times New Roman" w:hAnsi="Times New Roman" w:hint="eastAsia"/>
        </w:rPr>
        <w:t>萬元</w:t>
      </w:r>
      <w:r w:rsidR="00DD2210" w:rsidRPr="000C4F09">
        <w:rPr>
          <w:rFonts w:hint="eastAsia"/>
        </w:rPr>
        <w:t>；</w:t>
      </w:r>
      <w:r w:rsidR="00142737" w:rsidRPr="000C4F09">
        <w:rPr>
          <w:rFonts w:hint="eastAsia"/>
        </w:rPr>
        <w:t>足見違規廣告氾濫，相關</w:t>
      </w:r>
      <w:r w:rsidR="000907DB" w:rsidRPr="000C4F09">
        <w:rPr>
          <w:rFonts w:hint="eastAsia"/>
        </w:rPr>
        <w:t>標示不實</w:t>
      </w:r>
      <w:r w:rsidR="00142737" w:rsidRPr="000C4F09">
        <w:rPr>
          <w:rFonts w:hint="eastAsia"/>
        </w:rPr>
        <w:t>案例俯拾皆是，不勝枚舉</w:t>
      </w:r>
      <w:r w:rsidR="005D7FEF" w:rsidRPr="000C4F09">
        <w:rPr>
          <w:rFonts w:hint="eastAsia"/>
        </w:rPr>
        <w:t>，從而凸顯出當前</w:t>
      </w:r>
      <w:r w:rsidR="000907DB" w:rsidRPr="000C4F09">
        <w:rPr>
          <w:rFonts w:hint="eastAsia"/>
        </w:rPr>
        <w:t>違規食品標示及廣告</w:t>
      </w:r>
      <w:r w:rsidR="005D7FEF" w:rsidRPr="000C4F09">
        <w:rPr>
          <w:rFonts w:hint="eastAsia"/>
        </w:rPr>
        <w:t>相關</w:t>
      </w:r>
      <w:r w:rsidR="000907DB" w:rsidRPr="000C4F09">
        <w:rPr>
          <w:rFonts w:hint="eastAsia"/>
        </w:rPr>
        <w:t>查緝作業及</w:t>
      </w:r>
      <w:r w:rsidR="005D7FEF" w:rsidRPr="000C4F09">
        <w:rPr>
          <w:rFonts w:hint="eastAsia"/>
        </w:rPr>
        <w:t>管理措施</w:t>
      </w:r>
      <w:r w:rsidR="000907DB" w:rsidRPr="000C4F09">
        <w:rPr>
          <w:rFonts w:hint="eastAsia"/>
        </w:rPr>
        <w:t>，</w:t>
      </w:r>
      <w:r w:rsidR="005D7FEF" w:rsidRPr="000C4F09">
        <w:rPr>
          <w:rFonts w:hint="eastAsia"/>
        </w:rPr>
        <w:t>仍然成效不彰</w:t>
      </w:r>
      <w:r w:rsidR="00856428" w:rsidRPr="000C4F09">
        <w:rPr>
          <w:rFonts w:hint="eastAsia"/>
        </w:rPr>
        <w:t>。</w:t>
      </w:r>
    </w:p>
    <w:p w:rsidR="00155551" w:rsidRPr="000C4F09" w:rsidRDefault="00856428" w:rsidP="00856428">
      <w:pPr>
        <w:pStyle w:val="3"/>
        <w:ind w:left="1360" w:hanging="680"/>
      </w:pPr>
      <w:r w:rsidRPr="000C4F09">
        <w:rPr>
          <w:rFonts w:hint="eastAsia"/>
        </w:rPr>
        <w:t>質言之，食藥署雖</w:t>
      </w:r>
      <w:r w:rsidR="00317E44" w:rsidRPr="000C4F09">
        <w:rPr>
          <w:rFonts w:hint="eastAsia"/>
        </w:rPr>
        <w:t>已</w:t>
      </w:r>
      <w:r w:rsidRPr="000C4F09">
        <w:rPr>
          <w:rFonts w:hint="eastAsia"/>
        </w:rPr>
        <w:t>運用多元檢舉管道，</w:t>
      </w:r>
      <w:r w:rsidR="00317E44" w:rsidRPr="000C4F09">
        <w:rPr>
          <w:rFonts w:hint="eastAsia"/>
        </w:rPr>
        <w:t>單就</w:t>
      </w:r>
      <w:r w:rsidR="00A663B2" w:rsidRPr="000C4F09">
        <w:rPr>
          <w:rFonts w:hint="eastAsia"/>
        </w:rPr>
        <w:t>該署為民服務信箱有關食品之案件</w:t>
      </w:r>
      <w:r w:rsidR="00317E44" w:rsidRPr="000C4F09">
        <w:rPr>
          <w:rFonts w:hint="eastAsia"/>
        </w:rPr>
        <w:t>統計</w:t>
      </w:r>
      <w:r w:rsidR="00A663B2" w:rsidRPr="000C4F09">
        <w:rPr>
          <w:rFonts w:hint="eastAsia"/>
        </w:rPr>
        <w:t>，105、106年度即高達19,484件；</w:t>
      </w:r>
      <w:r w:rsidRPr="000C4F09">
        <w:rPr>
          <w:rFonts w:hint="eastAsia"/>
        </w:rPr>
        <w:t>然而違規食品標示及廣告案件</w:t>
      </w:r>
      <w:r w:rsidR="00A663B2" w:rsidRPr="000C4F09">
        <w:rPr>
          <w:rFonts w:hint="eastAsia"/>
        </w:rPr>
        <w:t>卻</w:t>
      </w:r>
      <w:r w:rsidRPr="000C4F09">
        <w:rPr>
          <w:rFonts w:hint="eastAsia"/>
        </w:rPr>
        <w:t>仍屢見不鮮</w:t>
      </w:r>
      <w:r w:rsidR="003747CC" w:rsidRPr="000C4F09">
        <w:rPr>
          <w:rFonts w:hint="eastAsia"/>
        </w:rPr>
        <w:t>，可見當前相關管理措施仍然</w:t>
      </w:r>
      <w:r w:rsidR="00317E44" w:rsidRPr="000C4F09">
        <w:rPr>
          <w:rFonts w:hint="eastAsia"/>
        </w:rPr>
        <w:t>成效不彰；</w:t>
      </w:r>
      <w:r w:rsidR="003747CC" w:rsidRPr="000C4F09">
        <w:rPr>
          <w:rFonts w:hint="eastAsia"/>
        </w:rPr>
        <w:t>故</w:t>
      </w:r>
      <w:r w:rsidRPr="000C4F09">
        <w:rPr>
          <w:rFonts w:hint="eastAsia"/>
        </w:rPr>
        <w:t>該署允當研謀更綿密而有效之應對方案，庶可</w:t>
      </w:r>
      <w:r w:rsidR="004A4B5F" w:rsidRPr="000C4F09">
        <w:rPr>
          <w:rFonts w:hint="eastAsia"/>
        </w:rPr>
        <w:t>確實掌握不法食品業者違規次數與態樣，進而</w:t>
      </w:r>
      <w:r w:rsidR="002C1812" w:rsidRPr="000C4F09">
        <w:rPr>
          <w:rFonts w:hint="eastAsia"/>
        </w:rPr>
        <w:t>達成嚇阻</w:t>
      </w:r>
      <w:r w:rsidRPr="000C4F09">
        <w:rPr>
          <w:rFonts w:hint="eastAsia"/>
        </w:rPr>
        <w:t>食品違</w:t>
      </w:r>
      <w:r w:rsidR="004A4B5F" w:rsidRPr="000C4F09">
        <w:rPr>
          <w:rFonts w:hint="eastAsia"/>
        </w:rPr>
        <w:t>規標示與廣告</w:t>
      </w:r>
      <w:r w:rsidR="002C1812" w:rsidRPr="000C4F09">
        <w:rPr>
          <w:rFonts w:hint="eastAsia"/>
        </w:rPr>
        <w:t>之目的</w:t>
      </w:r>
      <w:r w:rsidRPr="000C4F09">
        <w:rPr>
          <w:rFonts w:hint="eastAsia"/>
        </w:rPr>
        <w:t>。</w:t>
      </w:r>
    </w:p>
    <w:p w:rsidR="005629A7" w:rsidRPr="000C4F09" w:rsidRDefault="005629A7" w:rsidP="005629A7">
      <w:pPr>
        <w:pStyle w:val="2"/>
        <w:rPr>
          <w:b/>
        </w:rPr>
      </w:pPr>
      <w:r w:rsidRPr="000C4F09">
        <w:rPr>
          <w:rFonts w:hint="eastAsia"/>
          <w:b/>
        </w:rPr>
        <w:t>衛福部食藥署未</w:t>
      </w:r>
      <w:r w:rsidR="00CC3673" w:rsidRPr="000C4F09">
        <w:rPr>
          <w:rFonts w:hint="eastAsia"/>
          <w:b/>
        </w:rPr>
        <w:t>能</w:t>
      </w:r>
      <w:r w:rsidRPr="000C4F09">
        <w:rPr>
          <w:rFonts w:hint="eastAsia"/>
          <w:b/>
        </w:rPr>
        <w:t>督促</w:t>
      </w:r>
      <w:r w:rsidR="00F277A5" w:rsidRPr="000C4F09">
        <w:rPr>
          <w:rFonts w:hint="eastAsia"/>
          <w:b/>
        </w:rPr>
        <w:t>各縣市</w:t>
      </w:r>
      <w:r w:rsidR="00DD6A5E" w:rsidRPr="000C4F09">
        <w:rPr>
          <w:rFonts w:hint="eastAsia"/>
          <w:b/>
        </w:rPr>
        <w:t>政府</w:t>
      </w:r>
      <w:r w:rsidR="00BA6CA1" w:rsidRPr="000C4F09">
        <w:rPr>
          <w:rFonts w:hint="eastAsia"/>
          <w:b/>
        </w:rPr>
        <w:t>衛生</w:t>
      </w:r>
      <w:r w:rsidR="00F277A5" w:rsidRPr="000C4F09">
        <w:rPr>
          <w:rFonts w:hint="eastAsia"/>
          <w:b/>
        </w:rPr>
        <w:t>局</w:t>
      </w:r>
      <w:r w:rsidR="00BA6CA1" w:rsidRPr="000C4F09">
        <w:rPr>
          <w:rFonts w:hint="eastAsia"/>
          <w:b/>
        </w:rPr>
        <w:t>確依</w:t>
      </w:r>
      <w:r w:rsidR="008563C6" w:rsidRPr="000C4F09">
        <w:rPr>
          <w:rFonts w:hint="eastAsia"/>
          <w:b/>
        </w:rPr>
        <w:t>規定將</w:t>
      </w:r>
      <w:r w:rsidRPr="000C4F09">
        <w:rPr>
          <w:rFonts w:hint="eastAsia"/>
          <w:b/>
        </w:rPr>
        <w:t>受處罰</w:t>
      </w:r>
      <w:r w:rsidR="00CC3673" w:rsidRPr="000C4F09">
        <w:rPr>
          <w:rFonts w:hint="eastAsia"/>
          <w:b/>
        </w:rPr>
        <w:t>食品</w:t>
      </w:r>
      <w:r w:rsidRPr="000C4F09">
        <w:rPr>
          <w:rFonts w:hint="eastAsia"/>
          <w:b/>
        </w:rPr>
        <w:t>業者違規次數、資力條件及工廠非法性等納入</w:t>
      </w:r>
      <w:r w:rsidR="00856671" w:rsidRPr="000C4F09">
        <w:rPr>
          <w:rFonts w:hint="eastAsia"/>
          <w:b/>
        </w:rPr>
        <w:t>考</w:t>
      </w:r>
      <w:r w:rsidRPr="000C4F09">
        <w:rPr>
          <w:rFonts w:hint="eastAsia"/>
          <w:b/>
        </w:rPr>
        <w:t>量因素，</w:t>
      </w:r>
      <w:r w:rsidR="00217E14" w:rsidRPr="000C4F09">
        <w:rPr>
          <w:rFonts w:hint="eastAsia"/>
          <w:b/>
        </w:rPr>
        <w:t>亦</w:t>
      </w:r>
      <w:r w:rsidR="00DD6A5E" w:rsidRPr="000C4F09">
        <w:rPr>
          <w:rFonts w:hint="eastAsia"/>
          <w:b/>
        </w:rPr>
        <w:t>欠缺</w:t>
      </w:r>
      <w:r w:rsidR="00217E14" w:rsidRPr="000C4F09">
        <w:rPr>
          <w:rFonts w:hint="eastAsia"/>
          <w:b/>
        </w:rPr>
        <w:t>跨縣市違規案件</w:t>
      </w:r>
      <w:r w:rsidR="00DD6A5E" w:rsidRPr="000C4F09">
        <w:rPr>
          <w:rFonts w:hint="eastAsia"/>
          <w:b/>
        </w:rPr>
        <w:t>通報</w:t>
      </w:r>
      <w:r w:rsidR="00217E14" w:rsidRPr="000C4F09">
        <w:rPr>
          <w:rFonts w:hint="eastAsia"/>
          <w:b/>
        </w:rPr>
        <w:t>勾稽</w:t>
      </w:r>
      <w:r w:rsidR="00BA758C" w:rsidRPr="000C4F09">
        <w:rPr>
          <w:rFonts w:hint="eastAsia"/>
          <w:b/>
        </w:rPr>
        <w:t>機制</w:t>
      </w:r>
      <w:r w:rsidR="00217E14" w:rsidRPr="000C4F09">
        <w:rPr>
          <w:rFonts w:hint="eastAsia"/>
          <w:b/>
        </w:rPr>
        <w:t>，</w:t>
      </w:r>
      <w:r w:rsidR="00BA6CA1" w:rsidRPr="000C4F09">
        <w:rPr>
          <w:rFonts w:hint="eastAsia"/>
          <w:b/>
        </w:rPr>
        <w:t>無法</w:t>
      </w:r>
      <w:r w:rsidRPr="000C4F09">
        <w:rPr>
          <w:rFonts w:hint="eastAsia"/>
          <w:b/>
        </w:rPr>
        <w:t>達到罰得重、罰得到</w:t>
      </w:r>
      <w:r w:rsidR="00856671" w:rsidRPr="000C4F09">
        <w:rPr>
          <w:rFonts w:hint="eastAsia"/>
          <w:b/>
        </w:rPr>
        <w:t>、罰得怕</w:t>
      </w:r>
      <w:r w:rsidRPr="000C4F09">
        <w:rPr>
          <w:rFonts w:hint="eastAsia"/>
          <w:b/>
        </w:rPr>
        <w:t>之</w:t>
      </w:r>
      <w:r w:rsidR="00BA6CA1" w:rsidRPr="000C4F09">
        <w:rPr>
          <w:rFonts w:hint="eastAsia"/>
          <w:b/>
        </w:rPr>
        <w:t>實質行政裁罰</w:t>
      </w:r>
      <w:r w:rsidRPr="000C4F09">
        <w:rPr>
          <w:rFonts w:hint="eastAsia"/>
          <w:b/>
        </w:rPr>
        <w:t>效益</w:t>
      </w:r>
      <w:r w:rsidR="00BA6CA1" w:rsidRPr="000C4F09">
        <w:rPr>
          <w:rFonts w:hint="eastAsia"/>
          <w:b/>
        </w:rPr>
        <w:t>，亟待</w:t>
      </w:r>
      <w:r w:rsidR="00BA758C" w:rsidRPr="000C4F09">
        <w:rPr>
          <w:rFonts w:hint="eastAsia"/>
          <w:b/>
        </w:rPr>
        <w:t>及早建置</w:t>
      </w:r>
      <w:r w:rsidR="000907DB" w:rsidRPr="000C4F09">
        <w:rPr>
          <w:rFonts w:hint="eastAsia"/>
          <w:b/>
        </w:rPr>
        <w:t>全國食品</w:t>
      </w:r>
      <w:r w:rsidR="00BA758C" w:rsidRPr="000C4F09">
        <w:rPr>
          <w:rFonts w:hint="eastAsia"/>
          <w:b/>
        </w:rPr>
        <w:t>資訊</w:t>
      </w:r>
      <w:r w:rsidR="000907DB" w:rsidRPr="000C4F09">
        <w:rPr>
          <w:rFonts w:hint="eastAsia"/>
          <w:b/>
        </w:rPr>
        <w:t>系統</w:t>
      </w:r>
      <w:r w:rsidR="00BA758C" w:rsidRPr="000C4F09">
        <w:rPr>
          <w:rFonts w:hint="eastAsia"/>
          <w:b/>
        </w:rPr>
        <w:t>整合平台，以</w:t>
      </w:r>
      <w:r w:rsidR="00F84D70" w:rsidRPr="000C4F09">
        <w:rPr>
          <w:rFonts w:hint="eastAsia"/>
          <w:b/>
        </w:rPr>
        <w:t>強化</w:t>
      </w:r>
      <w:r w:rsidR="00E43157" w:rsidRPr="000C4F09">
        <w:rPr>
          <w:rFonts w:hint="eastAsia"/>
          <w:b/>
        </w:rPr>
        <w:t>執法</w:t>
      </w:r>
      <w:r w:rsidR="00F84D70" w:rsidRPr="000C4F09">
        <w:rPr>
          <w:rFonts w:hint="eastAsia"/>
          <w:b/>
        </w:rPr>
        <w:t>嚇阻作用</w:t>
      </w:r>
      <w:r w:rsidR="00BA6CA1" w:rsidRPr="000C4F09">
        <w:rPr>
          <w:rFonts w:hint="eastAsia"/>
          <w:b/>
        </w:rPr>
        <w:t>：</w:t>
      </w:r>
    </w:p>
    <w:p w:rsidR="00CC3673" w:rsidRPr="000C4F09" w:rsidRDefault="00CC3673" w:rsidP="00985682">
      <w:pPr>
        <w:pStyle w:val="3"/>
        <w:ind w:left="1360" w:hanging="680"/>
      </w:pPr>
      <w:r w:rsidRPr="000C4F09">
        <w:rPr>
          <w:rFonts w:hint="eastAsia"/>
        </w:rPr>
        <w:t>依食安法第45條規定，食品廣告不實、誇張或易生誤解，可處4萬元以上400萬元以下罰鍰；宣稱醫療效能，可處60萬元以上500萬元以下罰鍰，且應按次處罰至其停止刊播為止。此外，</w:t>
      </w:r>
      <w:r w:rsidR="004E3A9A" w:rsidRPr="000C4F09">
        <w:rPr>
          <w:rFonts w:hint="eastAsia"/>
        </w:rPr>
        <w:t>衛福部104年6月22日部授食字第1041302023號令訂定</w:t>
      </w:r>
      <w:r w:rsidRPr="000C4F09">
        <w:rPr>
          <w:rFonts w:hint="eastAsia"/>
        </w:rPr>
        <w:t>「食品安全衛生管理法行政罰行為數認定標準」</w:t>
      </w:r>
      <w:r w:rsidR="00EC67D3" w:rsidRPr="000C4F09">
        <w:rPr>
          <w:rFonts w:hint="eastAsia"/>
        </w:rPr>
        <w:t>(如附件</w:t>
      </w:r>
      <w:r w:rsidR="004C1D9E" w:rsidRPr="000C4F09">
        <w:rPr>
          <w:rFonts w:hint="eastAsia"/>
        </w:rPr>
        <w:t>2</w:t>
      </w:r>
      <w:r w:rsidR="00EC67D3" w:rsidRPr="000C4F09">
        <w:rPr>
          <w:rFonts w:hint="eastAsia"/>
        </w:rPr>
        <w:t>)</w:t>
      </w:r>
      <w:r w:rsidRPr="000C4F09">
        <w:rPr>
          <w:rFonts w:hint="eastAsia"/>
        </w:rPr>
        <w:t>，按該標準第3條規定「不同產品品項、廣告版本、刊播媒介、刊播日期」屬不同行為，而數行為違</w:t>
      </w:r>
      <w:r w:rsidRPr="000C4F09">
        <w:rPr>
          <w:rFonts w:hint="eastAsia"/>
        </w:rPr>
        <w:lastRenderedPageBreak/>
        <w:t>反同一或不同行政法上義務之規定者，應分別處罰之。另，按行政罰法第18條第1項、第2項規定「裁處罰鍰，應審酌違反行政法上義務行為應受責難程度、所生影響及因違反行政法上義務所得之利益，並得考量受處罰者之資力。前項所得之利益超過法定罰鍰最高額者，得於所得利益之範圍內酌量加重，不受法定罰鍰最高額之限制。」</w:t>
      </w:r>
      <w:r w:rsidRPr="000C4F09">
        <w:rPr>
          <w:rFonts w:ascii="Times New Roman" w:hAnsi="Times New Roman"/>
        </w:rPr>
        <w:t>就上開規定觀之，業者違規次數、資力條件及工廠非法性等因素，</w:t>
      </w:r>
      <w:r w:rsidR="00DD6A5E" w:rsidRPr="000C4F09">
        <w:rPr>
          <w:rFonts w:ascii="Times New Roman" w:hAnsi="Times New Roman" w:hint="eastAsia"/>
        </w:rPr>
        <w:t>洵應</w:t>
      </w:r>
      <w:r w:rsidRPr="000C4F09">
        <w:rPr>
          <w:rFonts w:ascii="Times New Roman" w:hAnsi="Times New Roman"/>
        </w:rPr>
        <w:t>納入罰鍰額度衡量範疇。此外，食安法所定之處罰，除另有規定外，由直轄市、縣</w:t>
      </w:r>
      <w:r w:rsidRPr="000C4F09">
        <w:rPr>
          <w:rFonts w:ascii="Times New Roman" w:hAnsi="Times New Roman"/>
        </w:rPr>
        <w:t>(</w:t>
      </w:r>
      <w:r w:rsidRPr="000C4F09">
        <w:rPr>
          <w:rFonts w:ascii="Times New Roman" w:hAnsi="Times New Roman"/>
        </w:rPr>
        <w:t>市</w:t>
      </w:r>
      <w:r w:rsidRPr="000C4F09">
        <w:rPr>
          <w:rFonts w:ascii="Times New Roman" w:hAnsi="Times New Roman"/>
        </w:rPr>
        <w:t>)</w:t>
      </w:r>
      <w:r w:rsidRPr="000C4F09">
        <w:rPr>
          <w:rFonts w:ascii="Times New Roman" w:hAnsi="Times New Roman"/>
        </w:rPr>
        <w:t>主管機關為之。</w:t>
      </w:r>
    </w:p>
    <w:p w:rsidR="005629A7" w:rsidRPr="000C4F09" w:rsidRDefault="00985682" w:rsidP="005629A7">
      <w:pPr>
        <w:pStyle w:val="3"/>
        <w:ind w:left="1360" w:hanging="680"/>
      </w:pPr>
      <w:r w:rsidRPr="000C4F09">
        <w:rPr>
          <w:rFonts w:hint="eastAsia"/>
        </w:rPr>
        <w:t>卷查</w:t>
      </w:r>
      <w:r w:rsidR="005629A7" w:rsidRPr="000C4F09">
        <w:rPr>
          <w:rFonts w:hint="eastAsia"/>
        </w:rPr>
        <w:t>宏醫國際股份有限公司</w:t>
      </w:r>
      <w:r w:rsidR="005F4984" w:rsidRPr="000C4F09">
        <w:rPr>
          <w:rStyle w:val="af4"/>
        </w:rPr>
        <w:footnoteReference w:id="6"/>
      </w:r>
      <w:r w:rsidRPr="000C4F09">
        <w:rPr>
          <w:rFonts w:hint="eastAsia"/>
        </w:rPr>
        <w:t>於105年度宣播違規食品廣告裁處案件共計17</w:t>
      </w:r>
      <w:r w:rsidR="009C6346" w:rsidRPr="000C4F09">
        <w:rPr>
          <w:rFonts w:hint="eastAsia"/>
        </w:rPr>
        <w:t>筆</w:t>
      </w:r>
      <w:r w:rsidR="005629A7" w:rsidRPr="000C4F09">
        <w:rPr>
          <w:rFonts w:hint="eastAsia"/>
        </w:rPr>
        <w:t>(</w:t>
      </w:r>
      <w:r w:rsidR="009C6346" w:rsidRPr="000C4F09">
        <w:rPr>
          <w:rFonts w:hint="eastAsia"/>
        </w:rPr>
        <w:t>如</w:t>
      </w:r>
      <w:r w:rsidR="005629A7" w:rsidRPr="000C4F09">
        <w:rPr>
          <w:rFonts w:hint="eastAsia"/>
        </w:rPr>
        <w:t>附</w:t>
      </w:r>
      <w:r w:rsidR="009C6346" w:rsidRPr="000C4F09">
        <w:rPr>
          <w:rFonts w:hint="eastAsia"/>
        </w:rPr>
        <w:t>表</w:t>
      </w:r>
      <w:r w:rsidR="005629A7" w:rsidRPr="000C4F09">
        <w:rPr>
          <w:rFonts w:hint="eastAsia"/>
        </w:rPr>
        <w:t>)</w:t>
      </w:r>
      <w:r w:rsidR="009C6346" w:rsidRPr="000C4F09">
        <w:rPr>
          <w:rFonts w:hint="eastAsia"/>
        </w:rPr>
        <w:t>，而罰鍰金額最高者為處分日期最早之</w:t>
      </w:r>
      <w:r w:rsidR="00384A0B" w:rsidRPr="000C4F09">
        <w:rPr>
          <w:rFonts w:hint="eastAsia"/>
        </w:rPr>
        <w:t>第1筆</w:t>
      </w:r>
      <w:r w:rsidR="009C6346" w:rsidRPr="000C4F09">
        <w:rPr>
          <w:rFonts w:hint="eastAsia"/>
        </w:rPr>
        <w:t>288萬元，</w:t>
      </w:r>
      <w:r w:rsidR="00384A0B" w:rsidRPr="000C4F09">
        <w:rPr>
          <w:rFonts w:hint="eastAsia"/>
        </w:rPr>
        <w:t>嗣後分別遭到不同縣市衛生局罰鍰</w:t>
      </w:r>
      <w:r w:rsidR="000D67AB" w:rsidRPr="000C4F09">
        <w:rPr>
          <w:rFonts w:hint="eastAsia"/>
        </w:rPr>
        <w:t>各</w:t>
      </w:r>
      <w:r w:rsidR="00384A0B" w:rsidRPr="000C4F09">
        <w:rPr>
          <w:rFonts w:hint="eastAsia"/>
        </w:rPr>
        <w:t>4萬元、8萬元、10萬元、12萬元、16萬元不等，再就臺中市</w:t>
      </w:r>
      <w:r w:rsidR="00330A5A" w:rsidRPr="000C4F09">
        <w:rPr>
          <w:rFonts w:hint="eastAsia"/>
        </w:rPr>
        <w:t>政府</w:t>
      </w:r>
      <w:r w:rsidR="00384A0B" w:rsidRPr="000C4F09">
        <w:rPr>
          <w:rFonts w:hint="eastAsia"/>
        </w:rPr>
        <w:t>衛生局所裁處案件6筆(附表第5筆至第10筆)而言，</w:t>
      </w:r>
      <w:r w:rsidR="000D67AB" w:rsidRPr="000C4F09">
        <w:rPr>
          <w:rFonts w:hint="eastAsia"/>
        </w:rPr>
        <w:t>其所裁處罰鍰依處分日期先後排序，分別為8萬元、4萬元、4萬元、10萬元、4萬元、4萬元</w:t>
      </w:r>
      <w:r w:rsidR="00384A0B" w:rsidRPr="000C4F09">
        <w:rPr>
          <w:rFonts w:hint="eastAsia"/>
        </w:rPr>
        <w:t>；</w:t>
      </w:r>
      <w:r w:rsidR="009C6346" w:rsidRPr="000C4F09">
        <w:rPr>
          <w:rFonts w:hint="eastAsia"/>
        </w:rPr>
        <w:t>可見</w:t>
      </w:r>
      <w:r w:rsidR="000D67AB" w:rsidRPr="000C4F09">
        <w:rPr>
          <w:rFonts w:hint="eastAsia"/>
        </w:rPr>
        <w:t>食藥</w:t>
      </w:r>
      <w:r w:rsidR="005629A7" w:rsidRPr="000C4F09">
        <w:rPr>
          <w:rFonts w:hint="eastAsia"/>
        </w:rPr>
        <w:t>署</w:t>
      </w:r>
      <w:r w:rsidR="000D67AB" w:rsidRPr="000C4F09">
        <w:rPr>
          <w:rFonts w:hint="eastAsia"/>
        </w:rPr>
        <w:t>雖訂頒「食品安全衛生管理法行政罰行為數認定標準」，但各縣市衛生局顯未參酌前開認定標準及</w:t>
      </w:r>
      <w:r w:rsidR="007C3F14" w:rsidRPr="000C4F09">
        <w:rPr>
          <w:rFonts w:hint="eastAsia"/>
        </w:rPr>
        <w:t>行政罰法第18條第1項、第2項規定，</w:t>
      </w:r>
      <w:r w:rsidR="005629A7" w:rsidRPr="000C4F09">
        <w:rPr>
          <w:rFonts w:hint="eastAsia"/>
        </w:rPr>
        <w:t>將受處罰業者違規次數、資力條件及工廠非法性等納入</w:t>
      </w:r>
      <w:r w:rsidR="007C3F14" w:rsidRPr="000C4F09">
        <w:rPr>
          <w:rFonts w:hint="eastAsia"/>
        </w:rPr>
        <w:t>考</w:t>
      </w:r>
      <w:r w:rsidR="005629A7" w:rsidRPr="000C4F09">
        <w:rPr>
          <w:rFonts w:hint="eastAsia"/>
        </w:rPr>
        <w:t>量因素，</w:t>
      </w:r>
      <w:r w:rsidR="007C3F14" w:rsidRPr="000C4F09">
        <w:rPr>
          <w:rFonts w:hint="eastAsia"/>
        </w:rPr>
        <w:t>無法</w:t>
      </w:r>
      <w:r w:rsidR="005629A7" w:rsidRPr="000C4F09">
        <w:rPr>
          <w:rFonts w:hint="eastAsia"/>
        </w:rPr>
        <w:t>達到罰得重、罰得到之效益</w:t>
      </w:r>
      <w:r w:rsidR="007C3F14" w:rsidRPr="000C4F09">
        <w:rPr>
          <w:rFonts w:hint="eastAsia"/>
        </w:rPr>
        <w:t>。</w:t>
      </w:r>
    </w:p>
    <w:p w:rsidR="00CB7CBE" w:rsidRPr="000C4F09" w:rsidRDefault="00CB7CBE" w:rsidP="0002776C">
      <w:pPr>
        <w:pStyle w:val="3"/>
        <w:ind w:left="1360" w:hanging="680"/>
      </w:pPr>
      <w:r w:rsidRPr="000C4F09">
        <w:rPr>
          <w:rFonts w:hint="eastAsia"/>
        </w:rPr>
        <w:t>承上</w:t>
      </w:r>
      <w:r w:rsidR="007C3F14" w:rsidRPr="000C4F09">
        <w:rPr>
          <w:rFonts w:hint="eastAsia"/>
        </w:rPr>
        <w:t>，</w:t>
      </w:r>
      <w:r w:rsidR="00F6772E" w:rsidRPr="000C4F09">
        <w:rPr>
          <w:rFonts w:hint="eastAsia"/>
        </w:rPr>
        <w:t>由於我國目前尚未建置跨縣市食品違規廣告案件</w:t>
      </w:r>
      <w:r w:rsidR="00DD6A5E" w:rsidRPr="000C4F09">
        <w:rPr>
          <w:rFonts w:hint="eastAsia"/>
        </w:rPr>
        <w:t>通報</w:t>
      </w:r>
      <w:r w:rsidR="00F6772E" w:rsidRPr="000C4F09">
        <w:rPr>
          <w:rFonts w:hint="eastAsia"/>
        </w:rPr>
        <w:t>勾稽資訊整合平台，無法</w:t>
      </w:r>
      <w:r w:rsidR="00D81EFE" w:rsidRPr="000C4F09">
        <w:rPr>
          <w:rFonts w:hint="eastAsia"/>
        </w:rPr>
        <w:t>透過資訊系統</w:t>
      </w:r>
      <w:r w:rsidR="00F6772E" w:rsidRPr="000C4F09">
        <w:rPr>
          <w:rFonts w:hint="eastAsia"/>
        </w:rPr>
        <w:t>串接同1</w:t>
      </w:r>
      <w:r w:rsidR="00DD6A5E" w:rsidRPr="000C4F09">
        <w:rPr>
          <w:rFonts w:hint="eastAsia"/>
        </w:rPr>
        <w:t>家</w:t>
      </w:r>
      <w:r w:rsidR="00F6772E" w:rsidRPr="000C4F09">
        <w:rPr>
          <w:rFonts w:hint="eastAsia"/>
        </w:rPr>
        <w:t>廠商違規</w:t>
      </w:r>
      <w:r w:rsidR="00DD6A5E" w:rsidRPr="000C4F09">
        <w:rPr>
          <w:rFonts w:hint="eastAsia"/>
        </w:rPr>
        <w:t>次數及</w:t>
      </w:r>
      <w:r w:rsidR="00F6772E" w:rsidRPr="000C4F09">
        <w:rPr>
          <w:rFonts w:hint="eastAsia"/>
        </w:rPr>
        <w:t>態樣</w:t>
      </w:r>
      <w:r w:rsidR="00DD6A5E" w:rsidRPr="000C4F09">
        <w:rPr>
          <w:rFonts w:hint="eastAsia"/>
        </w:rPr>
        <w:t>等</w:t>
      </w:r>
      <w:r w:rsidR="00D81EFE" w:rsidRPr="000C4F09">
        <w:rPr>
          <w:rFonts w:hint="eastAsia"/>
        </w:rPr>
        <w:t>之關聯性，致各縣市政府</w:t>
      </w:r>
      <w:r w:rsidR="00DD6A5E" w:rsidRPr="000C4F09">
        <w:rPr>
          <w:rFonts w:hint="eastAsia"/>
        </w:rPr>
        <w:t>衛生局</w:t>
      </w:r>
      <w:r w:rsidR="00D81EFE" w:rsidRPr="000C4F09">
        <w:rPr>
          <w:rFonts w:hint="eastAsia"/>
        </w:rPr>
        <w:t>各自為政，無從及時累計</w:t>
      </w:r>
      <w:r w:rsidR="00795841" w:rsidRPr="000C4F09">
        <w:rPr>
          <w:rFonts w:hint="eastAsia"/>
        </w:rPr>
        <w:t>加重裁罰</w:t>
      </w:r>
      <w:r w:rsidR="00D81EFE" w:rsidRPr="000C4F09">
        <w:rPr>
          <w:rFonts w:hint="eastAsia"/>
        </w:rPr>
        <w:t>其</w:t>
      </w:r>
      <w:r w:rsidR="00D81EFE" w:rsidRPr="000C4F09">
        <w:rPr>
          <w:rFonts w:hint="eastAsia"/>
        </w:rPr>
        <w:lastRenderedPageBreak/>
        <w:t>違規</w:t>
      </w:r>
      <w:r w:rsidR="00795841" w:rsidRPr="000C4F09">
        <w:rPr>
          <w:rFonts w:hint="eastAsia"/>
        </w:rPr>
        <w:t>行為</w:t>
      </w:r>
      <w:r w:rsidR="00D81EFE" w:rsidRPr="000C4F09">
        <w:rPr>
          <w:rFonts w:hint="eastAsia"/>
        </w:rPr>
        <w:t>。是以食藥署允宜參考</w:t>
      </w:r>
      <w:r w:rsidR="0002776C" w:rsidRPr="000C4F09">
        <w:rPr>
          <w:rFonts w:hint="eastAsia"/>
        </w:rPr>
        <w:t>交通部公路總局</w:t>
      </w:r>
      <w:r w:rsidR="00D81EFE" w:rsidRPr="000C4F09">
        <w:rPr>
          <w:rFonts w:hint="eastAsia"/>
        </w:rPr>
        <w:t>「</w:t>
      </w:r>
      <w:r w:rsidR="00BA758C" w:rsidRPr="000C4F09">
        <w:rPr>
          <w:rFonts w:hint="eastAsia"/>
        </w:rPr>
        <w:t>第三代公路監理</w:t>
      </w:r>
      <w:r w:rsidR="0002776C" w:rsidRPr="000C4F09">
        <w:rPr>
          <w:rFonts w:hint="eastAsia"/>
        </w:rPr>
        <w:t>資訊</w:t>
      </w:r>
      <w:r w:rsidR="00BA758C" w:rsidRPr="000C4F09">
        <w:rPr>
          <w:rFonts w:hint="eastAsia"/>
        </w:rPr>
        <w:t>系統</w:t>
      </w:r>
      <w:r w:rsidR="00D81EFE" w:rsidRPr="000C4F09">
        <w:rPr>
          <w:rFonts w:hint="eastAsia"/>
        </w:rPr>
        <w:t>」</w:t>
      </w:r>
      <w:r w:rsidR="00BA758C" w:rsidRPr="000C4F09">
        <w:rPr>
          <w:rFonts w:hint="eastAsia"/>
        </w:rPr>
        <w:t>建置模式</w:t>
      </w:r>
      <w:r w:rsidR="0004015E" w:rsidRPr="000C4F09">
        <w:rPr>
          <w:rStyle w:val="af4"/>
        </w:rPr>
        <w:footnoteReference w:id="7"/>
      </w:r>
      <w:r w:rsidR="00BA758C" w:rsidRPr="000C4F09">
        <w:rPr>
          <w:rFonts w:hint="eastAsia"/>
        </w:rPr>
        <w:t>，</w:t>
      </w:r>
      <w:r w:rsidR="00F277A5" w:rsidRPr="000C4F09">
        <w:rPr>
          <w:rFonts w:hint="eastAsia"/>
        </w:rPr>
        <w:t>比照</w:t>
      </w:r>
      <w:r w:rsidR="00BA758C" w:rsidRPr="000C4F09">
        <w:rPr>
          <w:rFonts w:hint="eastAsia"/>
        </w:rPr>
        <w:t>跨縣市舉發</w:t>
      </w:r>
      <w:r w:rsidR="00F66F0C" w:rsidRPr="000C4F09">
        <w:rPr>
          <w:rFonts w:hint="eastAsia"/>
        </w:rPr>
        <w:t>駕駛人、</w:t>
      </w:r>
      <w:r w:rsidR="00BB65A7" w:rsidRPr="000C4F09">
        <w:rPr>
          <w:rFonts w:hint="eastAsia"/>
        </w:rPr>
        <w:t>車輛</w:t>
      </w:r>
      <w:r w:rsidR="00F66F0C" w:rsidRPr="000C4F09">
        <w:rPr>
          <w:rFonts w:hint="eastAsia"/>
        </w:rPr>
        <w:t>、稅規費</w:t>
      </w:r>
      <w:r w:rsidR="004E1D39" w:rsidRPr="000C4F09">
        <w:rPr>
          <w:rFonts w:hint="eastAsia"/>
        </w:rPr>
        <w:t>欠</w:t>
      </w:r>
      <w:r w:rsidR="00F66F0C" w:rsidRPr="000C4F09">
        <w:rPr>
          <w:rFonts w:hint="eastAsia"/>
        </w:rPr>
        <w:t>繳等</w:t>
      </w:r>
      <w:r w:rsidR="00BA758C" w:rsidRPr="000C4F09">
        <w:rPr>
          <w:rFonts w:hint="eastAsia"/>
        </w:rPr>
        <w:t>違規</w:t>
      </w:r>
      <w:r w:rsidR="00795841" w:rsidRPr="000C4F09">
        <w:rPr>
          <w:rFonts w:hint="eastAsia"/>
        </w:rPr>
        <w:t>裁罰</w:t>
      </w:r>
      <w:r w:rsidR="00BA758C" w:rsidRPr="000C4F09">
        <w:rPr>
          <w:rFonts w:hint="eastAsia"/>
        </w:rPr>
        <w:t>案件</w:t>
      </w:r>
      <w:r w:rsidR="00F277A5" w:rsidRPr="000C4F09">
        <w:rPr>
          <w:rFonts w:hint="eastAsia"/>
        </w:rPr>
        <w:t>之串接達無縫聯繫方式，俾利全面</w:t>
      </w:r>
      <w:r w:rsidR="00B04CA2" w:rsidRPr="000C4F09">
        <w:rPr>
          <w:rFonts w:hint="eastAsia"/>
        </w:rPr>
        <w:t>追蹤管理</w:t>
      </w:r>
      <w:r w:rsidR="00795841" w:rsidRPr="000C4F09">
        <w:rPr>
          <w:rFonts w:hint="eastAsia"/>
        </w:rPr>
        <w:t>。</w:t>
      </w:r>
    </w:p>
    <w:p w:rsidR="005629A7" w:rsidRPr="000C4F09" w:rsidRDefault="00CB7CBE" w:rsidP="005629A7">
      <w:pPr>
        <w:pStyle w:val="3"/>
        <w:ind w:left="1360" w:hanging="680"/>
      </w:pPr>
      <w:r w:rsidRPr="000C4F09">
        <w:rPr>
          <w:rFonts w:hint="eastAsia"/>
        </w:rPr>
        <w:t>末查</w:t>
      </w:r>
      <w:r w:rsidR="007C3F14" w:rsidRPr="000C4F09">
        <w:rPr>
          <w:rFonts w:hint="eastAsia"/>
        </w:rPr>
        <w:t>食藥署提供之</w:t>
      </w:r>
      <w:r w:rsidR="005629A7" w:rsidRPr="000C4F09">
        <w:rPr>
          <w:rFonts w:hint="eastAsia"/>
        </w:rPr>
        <w:t>統計</w:t>
      </w:r>
      <w:r w:rsidR="007C3F14" w:rsidRPr="000C4F09">
        <w:rPr>
          <w:rFonts w:hint="eastAsia"/>
        </w:rPr>
        <w:t>資料顯示</w:t>
      </w:r>
      <w:r w:rsidR="005629A7" w:rsidRPr="000C4F09">
        <w:rPr>
          <w:rFonts w:hint="eastAsia"/>
        </w:rPr>
        <w:t>，</w:t>
      </w:r>
      <w:r w:rsidR="007C3F14" w:rsidRPr="000C4F09">
        <w:rPr>
          <w:rFonts w:hint="eastAsia"/>
        </w:rPr>
        <w:t>106年度</w:t>
      </w:r>
      <w:r w:rsidR="005629A7" w:rsidRPr="000C4F09">
        <w:rPr>
          <w:rFonts w:hint="eastAsia"/>
        </w:rPr>
        <w:t>地方衛生機關共裁處違規食品廣告計4,647件，罰鍰金額</w:t>
      </w:r>
      <w:r w:rsidR="00E931DC" w:rsidRPr="000C4F09">
        <w:rPr>
          <w:rFonts w:hint="eastAsia"/>
        </w:rPr>
        <w:t>為</w:t>
      </w:r>
      <w:r w:rsidR="005629A7" w:rsidRPr="000C4F09">
        <w:rPr>
          <w:rFonts w:hint="eastAsia"/>
        </w:rPr>
        <w:t>1億2,813萬6千元</w:t>
      </w:r>
      <w:r w:rsidR="00EF4AF8" w:rsidRPr="000C4F09">
        <w:rPr>
          <w:rFonts w:hint="eastAsia"/>
        </w:rPr>
        <w:t>，亦即平均每件</w:t>
      </w:r>
      <w:r w:rsidR="00330A5A" w:rsidRPr="000C4F09">
        <w:rPr>
          <w:rFonts w:hint="eastAsia"/>
        </w:rPr>
        <w:t>違規食品廣告之罰鍰僅區區之</w:t>
      </w:r>
      <w:r w:rsidR="00EF4AF8" w:rsidRPr="000C4F09">
        <w:rPr>
          <w:rFonts w:hint="eastAsia"/>
        </w:rPr>
        <w:t>27,574元，</w:t>
      </w:r>
      <w:r w:rsidR="00E931DC" w:rsidRPr="000C4F09">
        <w:rPr>
          <w:rFonts w:hint="eastAsia"/>
        </w:rPr>
        <w:t>對照廠商因而可獲取數十倍、甚或數百倍之豐厚利潤；</w:t>
      </w:r>
      <w:r w:rsidR="005629A7" w:rsidRPr="000C4F09">
        <w:rPr>
          <w:rFonts w:hint="eastAsia"/>
        </w:rPr>
        <w:t>廠商</w:t>
      </w:r>
      <w:r w:rsidR="00E92358" w:rsidRPr="000C4F09">
        <w:rPr>
          <w:rFonts w:hint="eastAsia"/>
        </w:rPr>
        <w:t>於衡量</w:t>
      </w:r>
      <w:r w:rsidR="00E43157" w:rsidRPr="000C4F09">
        <w:rPr>
          <w:rFonts w:hint="eastAsia"/>
        </w:rPr>
        <w:t>行政</w:t>
      </w:r>
      <w:r w:rsidR="005629A7" w:rsidRPr="000C4F09">
        <w:rPr>
          <w:rFonts w:hint="eastAsia"/>
        </w:rPr>
        <w:t>罰</w:t>
      </w:r>
      <w:r w:rsidR="00E43157" w:rsidRPr="000C4F09">
        <w:rPr>
          <w:rFonts w:hint="eastAsia"/>
        </w:rPr>
        <w:t>鍰</w:t>
      </w:r>
      <w:r w:rsidR="00E92358" w:rsidRPr="000C4F09">
        <w:rPr>
          <w:rFonts w:hint="eastAsia"/>
        </w:rPr>
        <w:t>與不法利潤數額之損益後</w:t>
      </w:r>
      <w:r w:rsidR="00EF4AF8" w:rsidRPr="000C4F09">
        <w:rPr>
          <w:rFonts w:hint="eastAsia"/>
        </w:rPr>
        <w:t>，</w:t>
      </w:r>
      <w:r w:rsidR="00E92358" w:rsidRPr="000C4F09">
        <w:rPr>
          <w:rFonts w:hint="eastAsia"/>
        </w:rPr>
        <w:t>恐寧願繳交罰鍰，也不願改正其違規廣告行為</w:t>
      </w:r>
      <w:r w:rsidR="00E931DC" w:rsidRPr="000C4F09">
        <w:rPr>
          <w:rFonts w:hint="eastAsia"/>
        </w:rPr>
        <w:t>，</w:t>
      </w:r>
      <w:r w:rsidR="005766ED" w:rsidRPr="000C4F09">
        <w:rPr>
          <w:rFonts w:hint="eastAsia"/>
        </w:rPr>
        <w:t>此種罰鍰數額</w:t>
      </w:r>
      <w:r w:rsidR="00E931DC" w:rsidRPr="000C4F09">
        <w:rPr>
          <w:rFonts w:hint="eastAsia"/>
        </w:rPr>
        <w:t>亦</w:t>
      </w:r>
      <w:r w:rsidR="007F62FD" w:rsidRPr="000C4F09">
        <w:rPr>
          <w:rFonts w:hint="eastAsia"/>
        </w:rPr>
        <w:t>與</w:t>
      </w:r>
      <w:r w:rsidR="00F84D70" w:rsidRPr="000C4F09">
        <w:rPr>
          <w:rFonts w:hint="eastAsia"/>
        </w:rPr>
        <w:t>前揭</w:t>
      </w:r>
      <w:r w:rsidR="007F62FD" w:rsidRPr="000C4F09">
        <w:rPr>
          <w:rFonts w:hint="eastAsia"/>
        </w:rPr>
        <w:t>行政罰法第18條第2項規定欠合，</w:t>
      </w:r>
      <w:r w:rsidR="00856671" w:rsidRPr="000C4F09">
        <w:rPr>
          <w:rFonts w:hint="eastAsia"/>
        </w:rPr>
        <w:t>根本</w:t>
      </w:r>
      <w:r w:rsidR="007F62FD" w:rsidRPr="000C4F09">
        <w:rPr>
          <w:rFonts w:hint="eastAsia"/>
        </w:rPr>
        <w:t>無法達到罰得怕之</w:t>
      </w:r>
      <w:r w:rsidR="00E43157" w:rsidRPr="000C4F09">
        <w:rPr>
          <w:rFonts w:hint="eastAsia"/>
        </w:rPr>
        <w:t>嚇阻效</w:t>
      </w:r>
      <w:r w:rsidR="00F84D70" w:rsidRPr="000C4F09">
        <w:rPr>
          <w:rFonts w:hint="eastAsia"/>
        </w:rPr>
        <w:t>用</w:t>
      </w:r>
      <w:r w:rsidR="00E43157" w:rsidRPr="000C4F09">
        <w:rPr>
          <w:rFonts w:hint="eastAsia"/>
        </w:rPr>
        <w:t>。</w:t>
      </w:r>
    </w:p>
    <w:p w:rsidR="005629A7" w:rsidRPr="000C4F09" w:rsidRDefault="00EF4AF8" w:rsidP="00F84D70">
      <w:pPr>
        <w:pStyle w:val="3"/>
        <w:ind w:left="1360" w:hanging="680"/>
      </w:pPr>
      <w:r w:rsidRPr="000C4F09">
        <w:rPr>
          <w:rFonts w:hint="eastAsia"/>
        </w:rPr>
        <w:t>質言之，衛福部食藥署未能督促地方衛生主管機關確依</w:t>
      </w:r>
      <w:r w:rsidR="00856671" w:rsidRPr="000C4F09">
        <w:rPr>
          <w:rFonts w:hint="eastAsia"/>
        </w:rPr>
        <w:t>「食品安全衛生管理法行政罰行為數認定標準」及行政罰法第18條第1項、第2項</w:t>
      </w:r>
      <w:r w:rsidRPr="000C4F09">
        <w:rPr>
          <w:rFonts w:hint="eastAsia"/>
        </w:rPr>
        <w:t>規定將受處罰食品業者違規次數、資力條件及工廠非法性等納入量因素</w:t>
      </w:r>
      <w:r w:rsidR="00217E14" w:rsidRPr="000C4F09">
        <w:rPr>
          <w:rFonts w:hint="eastAsia"/>
        </w:rPr>
        <w:t>，也</w:t>
      </w:r>
      <w:r w:rsidR="00B04CA2" w:rsidRPr="000C4F09">
        <w:rPr>
          <w:rFonts w:hint="eastAsia"/>
        </w:rPr>
        <w:t>欠缺</w:t>
      </w:r>
      <w:r w:rsidR="00217E14" w:rsidRPr="000C4F09">
        <w:rPr>
          <w:rFonts w:hint="eastAsia"/>
        </w:rPr>
        <w:t>跨縣市違規案件</w:t>
      </w:r>
      <w:r w:rsidR="00795841" w:rsidRPr="000C4F09">
        <w:rPr>
          <w:rFonts w:hint="eastAsia"/>
        </w:rPr>
        <w:t>通報</w:t>
      </w:r>
      <w:r w:rsidR="00217E14" w:rsidRPr="000C4F09">
        <w:rPr>
          <w:rFonts w:hint="eastAsia"/>
        </w:rPr>
        <w:t>勾稽</w:t>
      </w:r>
      <w:r w:rsidR="00B04CA2" w:rsidRPr="000C4F09">
        <w:rPr>
          <w:rFonts w:hint="eastAsia"/>
        </w:rPr>
        <w:t>機制</w:t>
      </w:r>
      <w:r w:rsidRPr="000C4F09">
        <w:rPr>
          <w:rFonts w:hint="eastAsia"/>
        </w:rPr>
        <w:t>，無法達到罰得重、罰得</w:t>
      </w:r>
      <w:r w:rsidR="004048B9" w:rsidRPr="000C4F09">
        <w:rPr>
          <w:rFonts w:hint="eastAsia"/>
        </w:rPr>
        <w:t>到</w:t>
      </w:r>
      <w:r w:rsidRPr="000C4F09">
        <w:rPr>
          <w:rFonts w:hint="eastAsia"/>
        </w:rPr>
        <w:t>、罰得</w:t>
      </w:r>
      <w:r w:rsidR="004048B9" w:rsidRPr="000C4F09">
        <w:rPr>
          <w:rFonts w:hint="eastAsia"/>
        </w:rPr>
        <w:t>怕</w:t>
      </w:r>
      <w:r w:rsidRPr="000C4F09">
        <w:rPr>
          <w:rFonts w:hint="eastAsia"/>
        </w:rPr>
        <w:t>之實質行政裁罰效益，亟待</w:t>
      </w:r>
      <w:r w:rsidR="00795841" w:rsidRPr="000C4F09">
        <w:rPr>
          <w:rFonts w:hint="eastAsia"/>
        </w:rPr>
        <w:t>該署</w:t>
      </w:r>
      <w:r w:rsidR="00B04CA2" w:rsidRPr="000C4F09">
        <w:rPr>
          <w:rFonts w:hint="eastAsia"/>
        </w:rPr>
        <w:t>及早建置</w:t>
      </w:r>
      <w:r w:rsidR="00BB65A7" w:rsidRPr="000C4F09">
        <w:rPr>
          <w:rFonts w:hint="eastAsia"/>
        </w:rPr>
        <w:t>全國食品</w:t>
      </w:r>
      <w:r w:rsidR="00B04CA2" w:rsidRPr="000C4F09">
        <w:rPr>
          <w:rFonts w:hint="eastAsia"/>
        </w:rPr>
        <w:t>資訊</w:t>
      </w:r>
      <w:r w:rsidR="00BB65A7" w:rsidRPr="000C4F09">
        <w:rPr>
          <w:rFonts w:hint="eastAsia"/>
        </w:rPr>
        <w:t>系統</w:t>
      </w:r>
      <w:r w:rsidR="00B04CA2" w:rsidRPr="000C4F09">
        <w:rPr>
          <w:rFonts w:hint="eastAsia"/>
        </w:rPr>
        <w:t>整合平台，以強化執法嚇阻作用</w:t>
      </w:r>
      <w:r w:rsidRPr="000C4F09">
        <w:rPr>
          <w:rFonts w:hint="eastAsia"/>
        </w:rPr>
        <w:t>。</w:t>
      </w:r>
    </w:p>
    <w:p w:rsidR="00EE4C36" w:rsidRPr="000C4F09" w:rsidRDefault="00EE4C36" w:rsidP="0048293D">
      <w:pPr>
        <w:pStyle w:val="2"/>
        <w:ind w:left="1020" w:hanging="680"/>
        <w:rPr>
          <w:b/>
        </w:rPr>
      </w:pPr>
      <w:r w:rsidRPr="000C4F09">
        <w:rPr>
          <w:rFonts w:hAnsi="標楷體" w:cs="標楷體" w:hint="eastAsia"/>
          <w:b/>
          <w:szCs w:val="32"/>
          <w:lang w:val="zh-TW"/>
        </w:rPr>
        <w:t>公平會</w:t>
      </w:r>
      <w:r w:rsidR="00CD663E" w:rsidRPr="000C4F09">
        <w:rPr>
          <w:rFonts w:hAnsi="標楷體" w:cs="標楷體" w:hint="eastAsia"/>
          <w:b/>
          <w:szCs w:val="32"/>
          <w:lang w:val="zh-TW"/>
        </w:rPr>
        <w:t>允宜協同</w:t>
      </w:r>
      <w:r w:rsidR="00CD663E" w:rsidRPr="000C4F09">
        <w:rPr>
          <w:rFonts w:hint="eastAsia"/>
          <w:b/>
        </w:rPr>
        <w:t>衛福部食藥署</w:t>
      </w:r>
      <w:r w:rsidR="004E1D39" w:rsidRPr="000C4F09">
        <w:rPr>
          <w:rFonts w:hint="eastAsia"/>
          <w:b/>
        </w:rPr>
        <w:t>研謀</w:t>
      </w:r>
      <w:r w:rsidR="00366C55" w:rsidRPr="000C4F09">
        <w:rPr>
          <w:rFonts w:hint="eastAsia"/>
          <w:b/>
        </w:rPr>
        <w:t>更多元</w:t>
      </w:r>
      <w:r w:rsidR="00CD663E" w:rsidRPr="000C4F09">
        <w:rPr>
          <w:rFonts w:hint="eastAsia"/>
          <w:b/>
          <w:lang w:val="zh-TW"/>
        </w:rPr>
        <w:t>加強監管多層次傳銷事業及其參加人宣播違規食品、藥物、化粧品廣告</w:t>
      </w:r>
      <w:r w:rsidR="00366C55" w:rsidRPr="000C4F09">
        <w:rPr>
          <w:rFonts w:hint="eastAsia"/>
          <w:b/>
          <w:lang w:val="zh-TW"/>
        </w:rPr>
        <w:t>之</w:t>
      </w:r>
      <w:r w:rsidR="00472E81" w:rsidRPr="000C4F09">
        <w:rPr>
          <w:rFonts w:hint="eastAsia"/>
          <w:b/>
          <w:lang w:val="zh-TW"/>
        </w:rPr>
        <w:t>措施</w:t>
      </w:r>
      <w:r w:rsidR="006D3274" w:rsidRPr="000C4F09">
        <w:rPr>
          <w:rFonts w:hint="eastAsia"/>
          <w:b/>
          <w:lang w:val="zh-TW"/>
        </w:rPr>
        <w:t>；</w:t>
      </w:r>
      <w:r w:rsidR="00CD663E" w:rsidRPr="000C4F09">
        <w:rPr>
          <w:rFonts w:hAnsi="標楷體" w:cs="標楷體" w:hint="eastAsia"/>
          <w:b/>
          <w:szCs w:val="32"/>
          <w:lang w:val="zh-TW"/>
        </w:rPr>
        <w:t>以</w:t>
      </w:r>
      <w:r w:rsidR="00366C55" w:rsidRPr="000C4F09">
        <w:rPr>
          <w:rFonts w:hAnsi="標楷體" w:cs="標楷體" w:hint="eastAsia"/>
          <w:b/>
          <w:szCs w:val="32"/>
          <w:lang w:val="zh-TW"/>
        </w:rPr>
        <w:t>共同打擊</w:t>
      </w:r>
      <w:r w:rsidR="00472E81" w:rsidRPr="000C4F09">
        <w:rPr>
          <w:rFonts w:hAnsi="標楷體" w:cs="標楷體" w:hint="eastAsia"/>
          <w:b/>
          <w:szCs w:val="32"/>
          <w:lang w:val="zh-TW"/>
        </w:rPr>
        <w:t>不法直銷</w:t>
      </w:r>
      <w:r w:rsidR="00366C55" w:rsidRPr="000C4F09">
        <w:rPr>
          <w:rFonts w:hAnsi="標楷體" w:cs="標楷體" w:hint="eastAsia"/>
          <w:b/>
          <w:szCs w:val="32"/>
          <w:lang w:val="zh-TW"/>
        </w:rPr>
        <w:t>業者</w:t>
      </w:r>
      <w:r w:rsidR="00472E81" w:rsidRPr="000C4F09">
        <w:rPr>
          <w:rFonts w:hAnsi="標楷體" w:cs="標楷體" w:hint="eastAsia"/>
          <w:b/>
          <w:szCs w:val="32"/>
          <w:lang w:val="zh-TW"/>
        </w:rPr>
        <w:t>違規行為</w:t>
      </w:r>
      <w:r w:rsidR="00366C55" w:rsidRPr="000C4F09">
        <w:rPr>
          <w:rFonts w:hAnsi="標楷體" w:cs="標楷體" w:hint="eastAsia"/>
          <w:b/>
          <w:szCs w:val="32"/>
          <w:lang w:val="zh-TW"/>
        </w:rPr>
        <w:t>，</w:t>
      </w:r>
      <w:r w:rsidR="00366C55" w:rsidRPr="000C4F09">
        <w:rPr>
          <w:rFonts w:hint="eastAsia"/>
          <w:b/>
          <w:lang w:val="zh-TW"/>
        </w:rPr>
        <w:t>並</w:t>
      </w:r>
      <w:r w:rsidR="00366C55" w:rsidRPr="000C4F09">
        <w:rPr>
          <w:rFonts w:hAnsi="標楷體" w:cs="標楷體" w:hint="eastAsia"/>
          <w:b/>
          <w:szCs w:val="32"/>
          <w:lang w:val="zh-TW"/>
        </w:rPr>
        <w:t>恢宏聯合稽查之效益</w:t>
      </w:r>
      <w:r w:rsidR="00CD663E" w:rsidRPr="000C4F09">
        <w:rPr>
          <w:rFonts w:hAnsi="標楷體" w:cs="標楷體" w:hint="eastAsia"/>
          <w:b/>
          <w:szCs w:val="32"/>
          <w:lang w:val="zh-TW"/>
        </w:rPr>
        <w:t>：</w:t>
      </w:r>
    </w:p>
    <w:p w:rsidR="0048293D" w:rsidRPr="000C4F09" w:rsidRDefault="00962D8D" w:rsidP="00EE4C36">
      <w:pPr>
        <w:pStyle w:val="3"/>
        <w:ind w:left="1360" w:hanging="680"/>
        <w:rPr>
          <w:b/>
        </w:rPr>
      </w:pPr>
      <w:r w:rsidRPr="000C4F09">
        <w:rPr>
          <w:rFonts w:hint="eastAsia"/>
          <w:lang w:val="zh-TW"/>
        </w:rPr>
        <w:t>查</w:t>
      </w:r>
      <w:r w:rsidR="00EE4C36" w:rsidRPr="000C4F09">
        <w:rPr>
          <w:rFonts w:hint="eastAsia"/>
          <w:lang w:val="zh-TW"/>
        </w:rPr>
        <w:t>公平會對於多層次傳銷案件之處理原則第</w:t>
      </w:r>
      <w:r w:rsidR="00EE4C36" w:rsidRPr="000C4F09">
        <w:rPr>
          <w:lang w:val="zh-TW"/>
        </w:rPr>
        <w:t>7</w:t>
      </w:r>
      <w:r w:rsidR="00EE4C36" w:rsidRPr="000C4F09">
        <w:rPr>
          <w:rFonts w:hint="eastAsia"/>
          <w:lang w:val="zh-TW"/>
        </w:rPr>
        <w:t>項規定：「多層次傳銷事業有下列情形之一，列為優先業務檢查對象：</w:t>
      </w:r>
      <w:r w:rsidRPr="000C4F09">
        <w:rPr>
          <w:rFonts w:hint="eastAsia"/>
          <w:lang w:val="zh-TW"/>
        </w:rPr>
        <w:t>……</w:t>
      </w:r>
      <w:r w:rsidR="00EE4C36" w:rsidRPr="000C4F09">
        <w:rPr>
          <w:rFonts w:hint="eastAsia"/>
          <w:lang w:val="zh-TW"/>
        </w:rPr>
        <w:t>（七）經衛生主管機關認定該</w:t>
      </w:r>
      <w:r w:rsidR="00EE4C36" w:rsidRPr="000C4F09">
        <w:rPr>
          <w:rFonts w:hint="eastAsia"/>
          <w:lang w:val="zh-TW"/>
        </w:rPr>
        <w:lastRenderedPageBreak/>
        <w:t>事業或其傳銷商違反衛生法規之次數較多者。</w:t>
      </w:r>
      <w:r w:rsidRPr="000C4F09">
        <w:rPr>
          <w:rFonts w:hint="eastAsia"/>
          <w:lang w:val="zh-TW"/>
        </w:rPr>
        <w:t>……</w:t>
      </w:r>
      <w:r w:rsidR="00EE4C36" w:rsidRPr="000C4F09">
        <w:rPr>
          <w:rFonts w:hint="eastAsia"/>
          <w:lang w:val="zh-TW"/>
        </w:rPr>
        <w:t>」其中第(七)點之規定係依公平會與衛福部食藥署於101年8月6日召開之「加強監管多層次傳銷事業及其參加人宣播違規食品、藥物、化粧品廣告事宜」會議共同決議之事項，且自101年8月份開始實施，惟因公平會業務檢查之事項皆為事先排定，公平會爰就上開決議事項自102年起列為公平會</w:t>
      </w:r>
      <w:r w:rsidR="00EE4C36" w:rsidRPr="000C4F09">
        <w:rPr>
          <w:rFonts w:hint="eastAsia"/>
        </w:rPr>
        <w:t>業務檢查之對象</w:t>
      </w:r>
      <w:r w:rsidR="00A700D8" w:rsidRPr="000C4F09">
        <w:rPr>
          <w:rFonts w:hint="eastAsia"/>
        </w:rPr>
        <w:t>，合先敘明</w:t>
      </w:r>
      <w:r w:rsidR="00EE4C36" w:rsidRPr="000C4F09">
        <w:rPr>
          <w:rFonts w:hint="eastAsia"/>
        </w:rPr>
        <w:t>。</w:t>
      </w:r>
    </w:p>
    <w:p w:rsidR="001A112A" w:rsidRPr="000C4F09" w:rsidRDefault="00A36AB8" w:rsidP="00E44D68">
      <w:pPr>
        <w:pStyle w:val="3"/>
        <w:ind w:left="1360" w:hanging="680"/>
      </w:pPr>
      <w:r w:rsidRPr="000C4F09">
        <w:rPr>
          <w:rFonts w:hint="eastAsia"/>
        </w:rPr>
        <w:t>次查</w:t>
      </w:r>
      <w:r w:rsidR="00684059" w:rsidRPr="000C4F09">
        <w:rPr>
          <w:rFonts w:hAnsi="標楷體" w:cs="標楷體" w:hint="eastAsia"/>
          <w:szCs w:val="32"/>
        </w:rPr>
        <w:t>有關102年至106年公平會就違反衛生法規次數較多之多層次傳銷事業業務檢查，其檢查結果發現與報備內容不符之事業雖有4家，但卻因</w:t>
      </w:r>
      <w:r w:rsidR="000C7C6B" w:rsidRPr="000C4F09">
        <w:rPr>
          <w:rFonts w:hAnsi="標楷體" w:cs="標楷體" w:hint="eastAsia"/>
          <w:szCs w:val="32"/>
        </w:rPr>
        <w:t>各該公司之商品品項與該會報備內容略有不同，予以行政指導、因商品積分與報備內容略有差異，予以警示、因商品名稱與報備資料略有不同，已於變更報備後結案、因部分傳銷商使用舊版參加契約，予以行政指導</w:t>
      </w:r>
      <w:r w:rsidR="00684059" w:rsidRPr="000C4F09">
        <w:rPr>
          <w:rFonts w:hAnsi="標楷體" w:cs="標楷體" w:hint="eastAsia"/>
          <w:szCs w:val="32"/>
        </w:rPr>
        <w:t>等理由，而均予以不處分</w:t>
      </w:r>
      <w:r w:rsidR="000C7C6B" w:rsidRPr="000C4F09">
        <w:rPr>
          <w:rFonts w:hAnsi="標楷體" w:cs="標楷體" w:hint="eastAsia"/>
          <w:szCs w:val="32"/>
        </w:rPr>
        <w:t>。</w:t>
      </w:r>
      <w:r w:rsidR="00435A0F" w:rsidRPr="000C4F09">
        <w:rPr>
          <w:rFonts w:hAnsi="標楷體" w:cs="標楷體" w:hint="eastAsia"/>
          <w:szCs w:val="32"/>
        </w:rPr>
        <w:t>換言之，</w:t>
      </w:r>
      <w:r w:rsidR="005E0D35" w:rsidRPr="000C4F09">
        <w:rPr>
          <w:rFonts w:hAnsi="標楷體" w:cs="標楷體" w:hint="eastAsia"/>
          <w:szCs w:val="32"/>
        </w:rPr>
        <w:t>透過</w:t>
      </w:r>
      <w:r w:rsidR="00796BB5" w:rsidRPr="000C4F09">
        <w:rPr>
          <w:rFonts w:hint="eastAsia"/>
          <w:lang w:val="zh-TW"/>
        </w:rPr>
        <w:t>公平會上開加強業務檢查之</w:t>
      </w:r>
      <w:r w:rsidR="005E0D35" w:rsidRPr="000C4F09">
        <w:rPr>
          <w:rFonts w:hAnsi="標楷體" w:cs="標楷體" w:hint="eastAsia"/>
          <w:szCs w:val="32"/>
        </w:rPr>
        <w:t>機制</w:t>
      </w:r>
      <w:r w:rsidR="00684059" w:rsidRPr="000C4F09">
        <w:rPr>
          <w:rFonts w:hAnsi="標楷體" w:cs="標楷體" w:hint="eastAsia"/>
          <w:szCs w:val="32"/>
        </w:rPr>
        <w:t>，</w:t>
      </w:r>
      <w:r w:rsidR="005E0D35" w:rsidRPr="000C4F09">
        <w:rPr>
          <w:rFonts w:hAnsi="標楷體" w:cs="標楷體" w:hint="eastAsia"/>
          <w:szCs w:val="32"/>
        </w:rPr>
        <w:t>尚無法配套揪出違反衛生法規次數較多之多層次傳銷事業，予以應有之裁罰或警惕</w:t>
      </w:r>
      <w:r w:rsidR="00474A81" w:rsidRPr="000C4F09">
        <w:rPr>
          <w:rFonts w:hAnsi="標楷體" w:cs="標楷體" w:hint="eastAsia"/>
          <w:szCs w:val="32"/>
        </w:rPr>
        <w:t>。</w:t>
      </w:r>
      <w:r w:rsidR="00435A0F" w:rsidRPr="000C4F09">
        <w:rPr>
          <w:rFonts w:hAnsi="標楷體" w:cs="標楷體" w:hint="eastAsia"/>
          <w:szCs w:val="32"/>
        </w:rPr>
        <w:t>足見</w:t>
      </w:r>
      <w:r w:rsidR="00435A0F" w:rsidRPr="000C4F09">
        <w:rPr>
          <w:rFonts w:hint="eastAsia"/>
          <w:lang w:val="zh-TW"/>
        </w:rPr>
        <w:t>公平會獨力</w:t>
      </w:r>
      <w:r w:rsidR="00472E81" w:rsidRPr="000C4F09">
        <w:rPr>
          <w:rFonts w:hint="eastAsia"/>
          <w:lang w:val="zh-TW"/>
        </w:rPr>
        <w:t>進行</w:t>
      </w:r>
      <w:r w:rsidR="00435A0F" w:rsidRPr="000C4F09">
        <w:rPr>
          <w:rFonts w:hint="eastAsia"/>
          <w:lang w:val="zh-TW"/>
        </w:rPr>
        <w:t>稽查</w:t>
      </w:r>
      <w:r w:rsidR="00472E81" w:rsidRPr="000C4F09">
        <w:rPr>
          <w:rFonts w:hint="eastAsia"/>
          <w:lang w:val="zh-TW"/>
        </w:rPr>
        <w:t>作業</w:t>
      </w:r>
      <w:r w:rsidR="00435A0F" w:rsidRPr="000C4F09">
        <w:rPr>
          <w:rFonts w:hint="eastAsia"/>
          <w:lang w:val="zh-TW"/>
        </w:rPr>
        <w:t>之成效</w:t>
      </w:r>
      <w:r w:rsidR="00472E81" w:rsidRPr="000C4F09">
        <w:rPr>
          <w:rFonts w:hint="eastAsia"/>
          <w:lang w:val="zh-TW"/>
        </w:rPr>
        <w:t>非常有限</w:t>
      </w:r>
      <w:r w:rsidR="00435A0F" w:rsidRPr="000C4F09">
        <w:rPr>
          <w:rFonts w:hint="eastAsia"/>
          <w:lang w:val="zh-TW"/>
        </w:rPr>
        <w:t>，實有與</w:t>
      </w:r>
      <w:r w:rsidR="00435A0F" w:rsidRPr="000C4F09">
        <w:rPr>
          <w:rFonts w:hint="eastAsia"/>
        </w:rPr>
        <w:t>食藥署</w:t>
      </w:r>
      <w:r w:rsidR="00472E81" w:rsidRPr="000C4F09">
        <w:rPr>
          <w:rFonts w:hint="eastAsia"/>
        </w:rPr>
        <w:t>共同研謀更多元之因應措施，並</w:t>
      </w:r>
      <w:r w:rsidR="00435A0F" w:rsidRPr="000C4F09">
        <w:rPr>
          <w:rFonts w:hint="eastAsia"/>
          <w:lang w:val="zh-TW"/>
        </w:rPr>
        <w:t>啟動聯合稽查機制之必要</w:t>
      </w:r>
      <w:r w:rsidR="00472E81" w:rsidRPr="000C4F09">
        <w:rPr>
          <w:rFonts w:hint="eastAsia"/>
          <w:lang w:val="zh-TW"/>
        </w:rPr>
        <w:t>。</w:t>
      </w:r>
    </w:p>
    <w:p w:rsidR="00E44D68" w:rsidRPr="000C4F09" w:rsidRDefault="00962D8D" w:rsidP="00E44D68">
      <w:pPr>
        <w:pStyle w:val="3"/>
        <w:ind w:left="1360" w:hanging="680"/>
      </w:pPr>
      <w:r w:rsidRPr="000C4F09">
        <w:rPr>
          <w:rFonts w:hint="eastAsia"/>
        </w:rPr>
        <w:t>又查公平會會同食藥署於107年3</w:t>
      </w:r>
      <w:r w:rsidR="002C4984">
        <w:rPr>
          <w:rFonts w:hint="eastAsia"/>
        </w:rPr>
        <w:t>、4</w:t>
      </w:r>
      <w:r w:rsidRPr="000C4F09">
        <w:rPr>
          <w:rFonts w:hint="eastAsia"/>
        </w:rPr>
        <w:t>月</w:t>
      </w:r>
      <w:r w:rsidR="002C4984">
        <w:rPr>
          <w:rFonts w:hint="eastAsia"/>
        </w:rPr>
        <w:t>間</w:t>
      </w:r>
      <w:r w:rsidRPr="000C4F09">
        <w:rPr>
          <w:rFonts w:hint="eastAsia"/>
        </w:rPr>
        <w:t>查核嘉康利公司、宏醫國際股份有限公司、美商賀寶芙股份有限公司台灣分公司、</w:t>
      </w:r>
      <w:r w:rsidR="009C2E6F" w:rsidRPr="000C4F09">
        <w:rPr>
          <w:rFonts w:hint="eastAsia"/>
        </w:rPr>
        <w:t>麗富康公司</w:t>
      </w:r>
      <w:r w:rsidR="00474A81" w:rsidRPr="000C4F09">
        <w:rPr>
          <w:rFonts w:hint="eastAsia"/>
        </w:rPr>
        <w:t>等4家</w:t>
      </w:r>
      <w:r w:rsidR="00474A81" w:rsidRPr="000C4F09">
        <w:rPr>
          <w:rFonts w:hAnsi="標楷體" w:cs="標楷體" w:hint="eastAsia"/>
          <w:szCs w:val="32"/>
        </w:rPr>
        <w:t>多層次傳銷事業及</w:t>
      </w:r>
      <w:r w:rsidR="009C2E6F" w:rsidRPr="000C4F09">
        <w:rPr>
          <w:rFonts w:hint="eastAsia"/>
        </w:rPr>
        <w:t>蔬活農場</w:t>
      </w:r>
      <w:r w:rsidRPr="000C4F09">
        <w:rPr>
          <w:rFonts w:hint="eastAsia"/>
        </w:rPr>
        <w:t>、</w:t>
      </w:r>
      <w:r w:rsidR="009C2E6F" w:rsidRPr="000C4F09">
        <w:rPr>
          <w:rFonts w:hint="eastAsia"/>
        </w:rPr>
        <w:t>田園小鎮</w:t>
      </w:r>
      <w:r w:rsidRPr="000C4F09">
        <w:rPr>
          <w:rFonts w:hint="eastAsia"/>
        </w:rPr>
        <w:t>等</w:t>
      </w:r>
      <w:r w:rsidR="00474A81" w:rsidRPr="000C4F09">
        <w:rPr>
          <w:rFonts w:hint="eastAsia"/>
        </w:rPr>
        <w:t>2</w:t>
      </w:r>
      <w:r w:rsidRPr="000C4F09">
        <w:rPr>
          <w:rFonts w:hint="eastAsia"/>
        </w:rPr>
        <w:t>家銷售保健食品業者</w:t>
      </w:r>
      <w:r w:rsidR="001C2D0F" w:rsidRPr="000C4F09">
        <w:rPr>
          <w:rStyle w:val="af4"/>
        </w:rPr>
        <w:footnoteReference w:id="8"/>
      </w:r>
      <w:r w:rsidRPr="000C4F09">
        <w:rPr>
          <w:rFonts w:hint="eastAsia"/>
        </w:rPr>
        <w:t>，查核結果發現其中5家有</w:t>
      </w:r>
      <w:r w:rsidR="009C2E6F" w:rsidRPr="000C4F09">
        <w:rPr>
          <w:rFonts w:hint="eastAsia"/>
        </w:rPr>
        <w:t>17項次</w:t>
      </w:r>
      <w:r w:rsidRPr="000C4F09">
        <w:rPr>
          <w:rFonts w:hint="eastAsia"/>
        </w:rPr>
        <w:t>違規</w:t>
      </w:r>
      <w:r w:rsidR="009C2E6F" w:rsidRPr="000C4F09">
        <w:rPr>
          <w:rFonts w:hint="eastAsia"/>
        </w:rPr>
        <w:t>案件，</w:t>
      </w:r>
      <w:r w:rsidR="00472E81" w:rsidRPr="000C4F09">
        <w:rPr>
          <w:rFonts w:hint="eastAsia"/>
        </w:rPr>
        <w:t>此次聯合稽查之成果豐碩，</w:t>
      </w:r>
      <w:r w:rsidR="00E832B1" w:rsidRPr="000C4F09">
        <w:rPr>
          <w:rFonts w:hint="eastAsia"/>
        </w:rPr>
        <w:t>相關查緝情形</w:t>
      </w:r>
      <w:r w:rsidR="009C2E6F" w:rsidRPr="000C4F09">
        <w:rPr>
          <w:rFonts w:hint="eastAsia"/>
        </w:rPr>
        <w:t>已如前述。</w:t>
      </w:r>
      <w:r w:rsidR="00474A81" w:rsidRPr="000C4F09">
        <w:rPr>
          <w:rFonts w:hint="eastAsia"/>
        </w:rPr>
        <w:t>可見直銷業者恣意</w:t>
      </w:r>
      <w:r w:rsidR="00474A81" w:rsidRPr="000C4F09">
        <w:rPr>
          <w:rFonts w:hint="eastAsia"/>
          <w:lang w:val="zh-TW"/>
        </w:rPr>
        <w:t>宣播違規食品、藥物、化</w:t>
      </w:r>
      <w:r w:rsidR="00474A81" w:rsidRPr="000C4F09">
        <w:rPr>
          <w:rFonts w:hint="eastAsia"/>
          <w:lang w:val="zh-TW"/>
        </w:rPr>
        <w:lastRenderedPageBreak/>
        <w:t>粧品廣告之事態甚為嚴重</w:t>
      </w:r>
      <w:r w:rsidR="00E47D91" w:rsidRPr="000C4F09">
        <w:rPr>
          <w:rFonts w:hint="eastAsia"/>
          <w:lang w:val="zh-TW"/>
        </w:rPr>
        <w:t>，有賴</w:t>
      </w:r>
      <w:r w:rsidR="00E47D91" w:rsidRPr="000C4F09">
        <w:rPr>
          <w:rFonts w:hAnsi="標楷體" w:cs="標楷體" w:hint="eastAsia"/>
          <w:szCs w:val="32"/>
          <w:lang w:val="zh-TW"/>
        </w:rPr>
        <w:t>公平會協同</w:t>
      </w:r>
      <w:r w:rsidR="00E47D91" w:rsidRPr="000C4F09">
        <w:rPr>
          <w:rFonts w:hint="eastAsia"/>
        </w:rPr>
        <w:t>食藥署</w:t>
      </w:r>
      <w:r w:rsidR="00E47D91" w:rsidRPr="000C4F09">
        <w:rPr>
          <w:rFonts w:hint="eastAsia"/>
          <w:lang w:val="zh-TW"/>
        </w:rPr>
        <w:t>加強監管，方足以遏阻上述不法行為</w:t>
      </w:r>
      <w:r w:rsidR="00474A81" w:rsidRPr="000C4F09">
        <w:rPr>
          <w:rFonts w:hint="eastAsia"/>
          <w:lang w:val="zh-TW"/>
        </w:rPr>
        <w:t>。</w:t>
      </w:r>
    </w:p>
    <w:p w:rsidR="00435A0F" w:rsidRPr="000C4F09" w:rsidRDefault="00472E81" w:rsidP="00472E81">
      <w:pPr>
        <w:pStyle w:val="3"/>
        <w:ind w:left="1360" w:hanging="680"/>
      </w:pPr>
      <w:r w:rsidRPr="000C4F09">
        <w:rPr>
          <w:rFonts w:hAnsi="標楷體" w:cs="標楷體" w:hint="eastAsia"/>
          <w:szCs w:val="32"/>
          <w:lang w:val="zh-TW"/>
        </w:rPr>
        <w:t>綜上，公平會允宜協同衛福部食藥署想方設法研謀更</w:t>
      </w:r>
      <w:r w:rsidR="000062BB" w:rsidRPr="000C4F09">
        <w:rPr>
          <w:rFonts w:hAnsi="標楷體" w:cs="標楷體" w:hint="eastAsia"/>
          <w:szCs w:val="32"/>
          <w:lang w:val="zh-TW"/>
        </w:rPr>
        <w:t>為</w:t>
      </w:r>
      <w:r w:rsidRPr="000C4F09">
        <w:rPr>
          <w:rFonts w:hAnsi="標楷體" w:cs="標楷體" w:hint="eastAsia"/>
          <w:szCs w:val="32"/>
          <w:lang w:val="zh-TW"/>
        </w:rPr>
        <w:t>多元</w:t>
      </w:r>
      <w:r w:rsidR="000062BB" w:rsidRPr="000C4F09">
        <w:rPr>
          <w:rFonts w:hAnsi="標楷體" w:cs="標楷體" w:hint="eastAsia"/>
          <w:szCs w:val="32"/>
          <w:lang w:val="zh-TW"/>
        </w:rPr>
        <w:t>之措施，藉由雙方密切合作，來</w:t>
      </w:r>
      <w:r w:rsidRPr="000C4F09">
        <w:rPr>
          <w:rFonts w:hAnsi="標楷體" w:cs="標楷體" w:hint="eastAsia"/>
          <w:szCs w:val="32"/>
          <w:lang w:val="zh-TW"/>
        </w:rPr>
        <w:t>加強監管多層次傳銷事業及其參加人宣播違規食品、藥物、化粧品廣告；以共同打擊不法直銷業者違規行為，</w:t>
      </w:r>
      <w:r w:rsidR="00A700D8" w:rsidRPr="000C4F09">
        <w:rPr>
          <w:rFonts w:hAnsi="標楷體" w:cs="標楷體" w:hint="eastAsia"/>
          <w:szCs w:val="32"/>
          <w:lang w:val="zh-TW"/>
        </w:rPr>
        <w:t>匡</w:t>
      </w:r>
      <w:r w:rsidR="008D3711" w:rsidRPr="000C4F09">
        <w:rPr>
          <w:rFonts w:hAnsi="標楷體" w:cs="標楷體" w:hint="eastAsia"/>
          <w:szCs w:val="32"/>
          <w:lang w:val="zh-TW"/>
        </w:rPr>
        <w:t>正</w:t>
      </w:r>
      <w:r w:rsidR="007426DB" w:rsidRPr="000C4F09">
        <w:rPr>
          <w:rFonts w:hAnsi="標楷體" w:cs="標楷體" w:hint="eastAsia"/>
          <w:szCs w:val="32"/>
          <w:lang w:val="zh-TW"/>
        </w:rPr>
        <w:t>違規標示與廣告浮濫不實之歪風，</w:t>
      </w:r>
      <w:r w:rsidRPr="000C4F09">
        <w:rPr>
          <w:rFonts w:hAnsi="標楷體" w:cs="標楷體" w:hint="eastAsia"/>
          <w:szCs w:val="32"/>
          <w:lang w:val="zh-TW"/>
        </w:rPr>
        <w:t>並恢宏聯合稽查之效益</w:t>
      </w:r>
      <w:r w:rsidR="000062BB" w:rsidRPr="000C4F09">
        <w:rPr>
          <w:rFonts w:hAnsi="標楷體" w:cs="標楷體" w:hint="eastAsia"/>
          <w:szCs w:val="32"/>
          <w:lang w:val="zh-TW"/>
        </w:rPr>
        <w:t>。</w:t>
      </w:r>
    </w:p>
    <w:p w:rsidR="004E1D39" w:rsidRPr="000C4F09" w:rsidRDefault="008D3711" w:rsidP="004E1D39">
      <w:pPr>
        <w:pStyle w:val="2"/>
      </w:pPr>
      <w:r w:rsidRPr="000C4F09">
        <w:rPr>
          <w:rFonts w:hAnsi="標楷體" w:cs="標楷體" w:hint="eastAsia"/>
          <w:b/>
          <w:szCs w:val="32"/>
          <w:lang w:val="zh-TW"/>
        </w:rPr>
        <w:t>國內當前從事</w:t>
      </w:r>
      <w:r w:rsidRPr="000C4F09">
        <w:rPr>
          <w:rFonts w:hint="eastAsia"/>
          <w:b/>
          <w:lang w:val="zh-TW"/>
        </w:rPr>
        <w:t>食品、藥物、化粧品</w:t>
      </w:r>
      <w:r w:rsidRPr="000C4F09">
        <w:rPr>
          <w:rFonts w:hAnsi="標楷體" w:cs="標楷體" w:hint="eastAsia"/>
          <w:b/>
          <w:szCs w:val="32"/>
          <w:lang w:val="zh-TW"/>
        </w:rPr>
        <w:t>直銷之業者不計其數，故</w:t>
      </w:r>
      <w:r w:rsidR="004E1D39" w:rsidRPr="000C4F09">
        <w:rPr>
          <w:rFonts w:hAnsi="標楷體" w:cs="標楷體" w:hint="eastAsia"/>
          <w:b/>
          <w:szCs w:val="32"/>
          <w:lang w:val="zh-TW"/>
        </w:rPr>
        <w:t>公平會允</w:t>
      </w:r>
      <w:r w:rsidR="000062BB" w:rsidRPr="000C4F09">
        <w:rPr>
          <w:rFonts w:hAnsi="標楷體" w:cs="標楷體" w:hint="eastAsia"/>
          <w:b/>
          <w:szCs w:val="32"/>
          <w:lang w:val="zh-TW"/>
        </w:rPr>
        <w:t>應</w:t>
      </w:r>
      <w:r w:rsidR="004E1D39" w:rsidRPr="000C4F09">
        <w:rPr>
          <w:rFonts w:hint="eastAsia"/>
          <w:b/>
          <w:lang w:val="zh-TW"/>
        </w:rPr>
        <w:t>積極</w:t>
      </w:r>
      <w:r w:rsidR="0060150C" w:rsidRPr="000C4F09">
        <w:rPr>
          <w:rFonts w:hint="eastAsia"/>
          <w:b/>
          <w:lang w:val="zh-TW"/>
        </w:rPr>
        <w:t>主動</w:t>
      </w:r>
      <w:r w:rsidR="004E1D39" w:rsidRPr="000C4F09">
        <w:rPr>
          <w:rFonts w:hint="eastAsia"/>
          <w:b/>
          <w:lang w:val="zh-TW"/>
        </w:rPr>
        <w:t>查</w:t>
      </w:r>
      <w:r w:rsidR="00267671" w:rsidRPr="000C4F09">
        <w:rPr>
          <w:rFonts w:hint="eastAsia"/>
          <w:b/>
          <w:lang w:val="zh-TW"/>
        </w:rPr>
        <w:t>處</w:t>
      </w:r>
      <w:r w:rsidR="004E1D39" w:rsidRPr="000C4F09">
        <w:rPr>
          <w:rFonts w:hAnsi="標楷體" w:cs="標楷體" w:hint="eastAsia"/>
          <w:b/>
          <w:szCs w:val="32"/>
          <w:lang w:val="zh-TW"/>
        </w:rPr>
        <w:t>假「單層直銷」之名而行「多層次傳銷」之</w:t>
      </w:r>
      <w:r w:rsidR="00FF1C21" w:rsidRPr="000C4F09">
        <w:rPr>
          <w:rFonts w:hAnsi="標楷體" w:cs="標楷體" w:hint="eastAsia"/>
          <w:b/>
          <w:szCs w:val="32"/>
          <w:lang w:val="zh-TW"/>
        </w:rPr>
        <w:t>直銷業者</w:t>
      </w:r>
      <w:r w:rsidR="004E1D39" w:rsidRPr="000C4F09">
        <w:rPr>
          <w:rFonts w:hAnsi="標楷體" w:cs="標楷體" w:hint="eastAsia"/>
          <w:b/>
          <w:szCs w:val="32"/>
          <w:lang w:val="zh-TW"/>
        </w:rPr>
        <w:t>脫法行為，以確保消費者健康權益：</w:t>
      </w:r>
    </w:p>
    <w:p w:rsidR="00CF4ABC" w:rsidRPr="000C4F09" w:rsidRDefault="000062BB" w:rsidP="00CF4ABC">
      <w:pPr>
        <w:pStyle w:val="3"/>
        <w:ind w:left="1360" w:hanging="680"/>
      </w:pPr>
      <w:r w:rsidRPr="000C4F09">
        <w:rPr>
          <w:rFonts w:hint="eastAsia"/>
        </w:rPr>
        <w:t>查</w:t>
      </w:r>
      <w:r w:rsidR="00CF4ABC" w:rsidRPr="000C4F09">
        <w:rPr>
          <w:rFonts w:hint="eastAsia"/>
        </w:rPr>
        <w:t>一般坊間所稱直銷可分二大類，包括單層的直接銷售即「單層直銷」及多層級的直接銷售即「多層次傳銷」，傳銷態樣如下：</w:t>
      </w:r>
    </w:p>
    <w:p w:rsidR="00CF4ABC" w:rsidRPr="000C4F09" w:rsidRDefault="00CF4ABC" w:rsidP="00CF4ABC">
      <w:pPr>
        <w:pStyle w:val="4"/>
        <w:ind w:left="1700" w:hanging="680"/>
      </w:pPr>
      <w:r w:rsidRPr="000C4F09">
        <w:rPr>
          <w:rFonts w:hint="eastAsia"/>
        </w:rPr>
        <w:t>單層直銷係常見之一種行銷方式，由事業招募銷售人員，每位銷售人員大多有其固定之業務區域，並由各區域之經理人員負責輔導訓練，銷售人員之收入或由事業依聘雇合約發予薪資，或因與事業無聘雇關係，而採業績抽佣方式。</w:t>
      </w:r>
    </w:p>
    <w:p w:rsidR="00CF4ABC" w:rsidRPr="000C4F09" w:rsidRDefault="00CF4ABC" w:rsidP="00CF4ABC">
      <w:pPr>
        <w:pStyle w:val="4"/>
        <w:ind w:left="1700" w:hanging="680"/>
      </w:pPr>
      <w:r w:rsidRPr="000C4F09">
        <w:rPr>
          <w:rFonts w:hint="eastAsia"/>
        </w:rPr>
        <w:t>多層次傳銷之傳銷商除向事業購買商品，再將商品推廣、銷售他人以獲取差額利潤外，為獲取更多利潤，傳銷商更建立自己的銷售網，藉由人際關係擴展其銷售組織，縮短生產與消費者間通路成本。亦即，多層次傳銷具「傳」與「銷」兩大特性，傳銷商不但能推廣、銷售商品或服務，以獲得賣出商品或服務的差額利潤，也可介紹他人加入多層次傳銷事業，賺取額外的業績及組織獎金增加收入。</w:t>
      </w:r>
    </w:p>
    <w:p w:rsidR="000062BB" w:rsidRPr="000C4F09" w:rsidRDefault="000062BB" w:rsidP="00CF4ABC">
      <w:pPr>
        <w:pStyle w:val="3"/>
        <w:ind w:left="1360" w:hanging="680"/>
      </w:pPr>
      <w:r w:rsidRPr="000C4F09">
        <w:rPr>
          <w:rFonts w:hint="eastAsia"/>
        </w:rPr>
        <w:t>次</w:t>
      </w:r>
      <w:r w:rsidR="00CF4ABC" w:rsidRPr="000C4F09">
        <w:rPr>
          <w:rFonts w:hint="eastAsia"/>
        </w:rPr>
        <w:t>查</w:t>
      </w:r>
      <w:r w:rsidRPr="000C4F09">
        <w:rPr>
          <w:rFonts w:hAnsi="標楷體" w:cs="標楷體" w:hint="eastAsia"/>
          <w:szCs w:val="32"/>
          <w:lang w:val="zh-TW"/>
        </w:rPr>
        <w:t>公平會</w:t>
      </w:r>
      <w:r w:rsidR="00912F0D" w:rsidRPr="000C4F09">
        <w:rPr>
          <w:rFonts w:hAnsi="標楷體" w:cs="標楷體" w:hint="eastAsia"/>
          <w:szCs w:val="32"/>
          <w:lang w:val="zh-TW"/>
        </w:rPr>
        <w:t>先前曾受理民眾檢舉有關</w:t>
      </w:r>
      <w:r w:rsidR="00912F0D" w:rsidRPr="000C4F09">
        <w:rPr>
          <w:rFonts w:hint="eastAsia"/>
        </w:rPr>
        <w:t>蔬活農場、田</w:t>
      </w:r>
      <w:r w:rsidR="00912F0D" w:rsidRPr="000C4F09">
        <w:rPr>
          <w:rFonts w:hint="eastAsia"/>
        </w:rPr>
        <w:lastRenderedPageBreak/>
        <w:t>園小鎮等2家</w:t>
      </w:r>
      <w:r w:rsidR="00FF1C21" w:rsidRPr="000C4F09">
        <w:rPr>
          <w:rFonts w:hint="eastAsia"/>
        </w:rPr>
        <w:t>直</w:t>
      </w:r>
      <w:r w:rsidR="00912F0D" w:rsidRPr="000C4F09">
        <w:rPr>
          <w:rFonts w:hint="eastAsia"/>
        </w:rPr>
        <w:t>銷保健食品業者疑似非法從事傳銷之情事</w:t>
      </w:r>
      <w:r w:rsidR="00FF1C21" w:rsidRPr="000C4F09">
        <w:rPr>
          <w:rFonts w:hint="eastAsia"/>
        </w:rPr>
        <w:t>，嗣經該會調查結果如下</w:t>
      </w:r>
      <w:r w:rsidR="00912F0D" w:rsidRPr="000C4F09">
        <w:rPr>
          <w:rFonts w:hint="eastAsia"/>
        </w:rPr>
        <w:t>：</w:t>
      </w:r>
    </w:p>
    <w:p w:rsidR="00912F0D" w:rsidRPr="000C4F09" w:rsidRDefault="00912F0D" w:rsidP="00912F0D">
      <w:pPr>
        <w:pStyle w:val="4"/>
        <w:ind w:left="1700" w:hanging="680"/>
      </w:pPr>
      <w:r w:rsidRPr="000C4F09">
        <w:rPr>
          <w:rFonts w:hint="eastAsia"/>
          <w:bCs/>
        </w:rPr>
        <w:t>臺南市政府曾於103年6月27日及同年9月16日函移民眾反映台灣產經公司(田園小鎮)疑似非法從事傳銷之情事，惟民眾來文中未無說明其是否為多層次傳銷組織、獎金制度，亦未提供台灣產經公司相關參加契約、購貨證明及獎金發放等具體事證；復經該會自行上網查詢台灣產經公司網頁資料，亦查無涉有多層次傳銷組織行銷及團隊計酬之相關事證，故現階段尚難據以判斷其行為是否合致多層次傳銷管理法第3條</w:t>
      </w:r>
      <w:r w:rsidRPr="000C4F09">
        <w:rPr>
          <w:rStyle w:val="af4"/>
          <w:bCs/>
        </w:rPr>
        <w:footnoteReference w:id="9"/>
      </w:r>
      <w:r w:rsidRPr="000C4F09">
        <w:rPr>
          <w:rFonts w:hint="eastAsia"/>
          <w:bCs/>
        </w:rPr>
        <w:t>、第4條</w:t>
      </w:r>
      <w:r w:rsidRPr="000C4F09">
        <w:rPr>
          <w:rStyle w:val="af4"/>
          <w:bCs/>
        </w:rPr>
        <w:footnoteReference w:id="10"/>
      </w:r>
      <w:r w:rsidRPr="000C4F09">
        <w:rPr>
          <w:rFonts w:hint="eastAsia"/>
          <w:bCs/>
        </w:rPr>
        <w:t>及第5條</w:t>
      </w:r>
      <w:r w:rsidRPr="000C4F09">
        <w:rPr>
          <w:rStyle w:val="af4"/>
          <w:bCs/>
        </w:rPr>
        <w:footnoteReference w:id="11"/>
      </w:r>
      <w:r w:rsidRPr="000C4F09">
        <w:rPr>
          <w:rFonts w:hint="eastAsia"/>
          <w:bCs/>
        </w:rPr>
        <w:t>規定所稱多層次傳銷。</w:t>
      </w:r>
    </w:p>
    <w:p w:rsidR="00912F0D" w:rsidRPr="000C4F09" w:rsidRDefault="00912F0D" w:rsidP="00912F0D">
      <w:pPr>
        <w:pStyle w:val="4"/>
        <w:ind w:left="1700" w:hanging="680"/>
      </w:pPr>
      <w:r w:rsidRPr="000C4F09">
        <w:rPr>
          <w:rFonts w:hint="eastAsia"/>
        </w:rPr>
        <w:t>公平會</w:t>
      </w:r>
      <w:r w:rsidRPr="000C4F09">
        <w:rPr>
          <w:rFonts w:hint="eastAsia"/>
          <w:bCs/>
        </w:rPr>
        <w:t>於106年11月13日接獲民眾來函檢舉水素健康產業有限公司(蔬活農場)疑似以老鼠會方式利用不當手段銷售保健食品，經該會查民眾來文內容並未具體敘明該等業者實施多層次傳銷之實際運作方式，亦未提供該等業者招募傳銷商之參加契約、事業營運規章手冊、組織及獎金制度等具體事證，尚難僅依檢舉內容憑判該等事業是否有實施多層次傳銷行為。關於該等業者是否有未向公平會報備即實施多層次傳銷，疑涉有違反多層次傳銷管理法第6條規定部分，經該會赴水素健康產業有限公司說明會之地點新北市泰山區</w:t>
      </w:r>
      <w:r w:rsidRPr="000C4F09">
        <w:rPr>
          <w:rFonts w:hint="eastAsia"/>
          <w:bCs/>
        </w:rPr>
        <w:lastRenderedPageBreak/>
        <w:t>新民路現場查察，以及函請水素健康產業有限公司到會說明，就目前所掌握之相關事證，查悉有購買該公司商品之消費者即為公司會員，公司並發送一本購買紀錄本予會員，以方便其紀錄購買商品品項及累計點數；商品主要銷售對象為中年以上者或有需要者，銷售商品係以保健食品及一般生活用品如米製品、醬油及肥皂等為主，會員購買一定金額之商品，公司則會給予會員禮券或點數，點數或禮券累計一定數量即可贈換如多酚芥花調和油、芋香米、冬粉及衛生紙等日常生活用品，該公司並無與會員簽訂書面參加契約，目前尚無發現該公司有多層次傳銷組織行銷及團隊計酬之情形。</w:t>
      </w:r>
    </w:p>
    <w:p w:rsidR="001A112A" w:rsidRPr="000C4F09" w:rsidRDefault="000062BB" w:rsidP="00CF4ABC">
      <w:pPr>
        <w:pStyle w:val="3"/>
        <w:ind w:left="1360" w:hanging="680"/>
      </w:pPr>
      <w:r w:rsidRPr="000C4F09">
        <w:rPr>
          <w:rFonts w:hint="eastAsia"/>
        </w:rPr>
        <w:t>又查</w:t>
      </w:r>
      <w:r w:rsidR="002369AA" w:rsidRPr="000C4F09">
        <w:rPr>
          <w:rFonts w:hint="eastAsia"/>
        </w:rPr>
        <w:t>傳銷業者係以加入或招募會員、針對特定對象舉辦說明會……等異於一般量販、零售等販售通路方式推銷販售商品，在公平會僅管理多層次傳銷業者，食藥署採業者自主管理、透過民眾檢舉、監看媒體並對應辦理查驗登記之營養保健食品工廠辦理專案稽查等方式，難以對非屬列管之</w:t>
      </w:r>
      <w:r w:rsidR="0060150C" w:rsidRPr="000C4F09">
        <w:rPr>
          <w:rFonts w:hAnsi="標楷體" w:cs="標楷體" w:hint="eastAsia"/>
          <w:szCs w:val="32"/>
          <w:lang w:val="zh-TW"/>
        </w:rPr>
        <w:t>直銷</w:t>
      </w:r>
      <w:r w:rsidR="002369AA" w:rsidRPr="000C4F09">
        <w:rPr>
          <w:rFonts w:hint="eastAsia"/>
        </w:rPr>
        <w:t>保健食品</w:t>
      </w:r>
      <w:r w:rsidR="001C2D0F" w:rsidRPr="000C4F09">
        <w:rPr>
          <w:rFonts w:hint="eastAsia"/>
        </w:rPr>
        <w:t>業者</w:t>
      </w:r>
      <w:r w:rsidR="002369AA" w:rsidRPr="000C4F09">
        <w:rPr>
          <w:rFonts w:hint="eastAsia"/>
        </w:rPr>
        <w:t>進行現場推銷販售方式進行查處，致傳銷業者輒有</w:t>
      </w:r>
      <w:r w:rsidR="002369AA" w:rsidRPr="000C4F09">
        <w:rPr>
          <w:rFonts w:hAnsi="標楷體" w:cs="標楷體" w:hint="eastAsia"/>
          <w:szCs w:val="32"/>
          <w:lang w:val="zh-TW"/>
        </w:rPr>
        <w:t>假「單層直銷」之名而行「多層次傳銷」之脫法行為。</w:t>
      </w:r>
      <w:r w:rsidR="00267671" w:rsidRPr="000C4F09">
        <w:rPr>
          <w:rFonts w:hAnsi="標楷體" w:cs="標楷體" w:hint="eastAsia"/>
          <w:szCs w:val="32"/>
          <w:lang w:val="zh-TW"/>
        </w:rPr>
        <w:t>而一般社會大眾，並不</w:t>
      </w:r>
      <w:r w:rsidR="00735B7B" w:rsidRPr="000C4F09">
        <w:rPr>
          <w:rFonts w:hAnsi="標楷體" w:cs="標楷體" w:hint="eastAsia"/>
          <w:szCs w:val="32"/>
          <w:lang w:val="zh-TW"/>
        </w:rPr>
        <w:t>嫻熟</w:t>
      </w:r>
      <w:r w:rsidR="00735B7B" w:rsidRPr="000C4F09">
        <w:rPr>
          <w:rFonts w:hint="eastAsia"/>
        </w:rPr>
        <w:t>傳銷態樣，無從區分「單層直銷」或「多層次傳銷」，祇知本身或親友受害於</w:t>
      </w:r>
      <w:r w:rsidR="00735B7B" w:rsidRPr="000C4F09">
        <w:rPr>
          <w:rFonts w:hAnsi="標楷體" w:cs="標楷體" w:hint="eastAsia"/>
          <w:szCs w:val="32"/>
          <w:lang w:val="zh-TW"/>
        </w:rPr>
        <w:t>直銷業者之違規宣傳廣告</w:t>
      </w:r>
      <w:r w:rsidR="00267671" w:rsidRPr="000C4F09">
        <w:rPr>
          <w:rFonts w:hAnsi="標楷體" w:cs="標楷體" w:hint="eastAsia"/>
          <w:szCs w:val="32"/>
          <w:lang w:val="zh-TW"/>
        </w:rPr>
        <w:t>；</w:t>
      </w:r>
      <w:r w:rsidR="002369AA" w:rsidRPr="000C4F09">
        <w:rPr>
          <w:rFonts w:hAnsi="標楷體" w:cs="標楷體" w:hint="eastAsia"/>
          <w:szCs w:val="32"/>
          <w:lang w:val="zh-TW"/>
        </w:rPr>
        <w:t>此由</w:t>
      </w:r>
      <w:r w:rsidR="00267671" w:rsidRPr="000C4F09">
        <w:rPr>
          <w:rFonts w:hAnsi="標楷體" w:cs="標楷體" w:hint="eastAsia"/>
          <w:szCs w:val="32"/>
          <w:lang w:val="zh-TW"/>
        </w:rPr>
        <w:t>上述</w:t>
      </w:r>
      <w:r w:rsidR="0060150C" w:rsidRPr="000C4F09">
        <w:rPr>
          <w:rFonts w:hAnsi="標楷體" w:cs="標楷體" w:hint="eastAsia"/>
          <w:szCs w:val="32"/>
          <w:lang w:val="zh-TW"/>
        </w:rPr>
        <w:t>受害</w:t>
      </w:r>
      <w:r w:rsidR="00267671" w:rsidRPr="000C4F09">
        <w:rPr>
          <w:rFonts w:hAnsi="標楷體" w:cs="標楷體" w:hint="eastAsia"/>
          <w:szCs w:val="32"/>
          <w:lang w:val="zh-TW"/>
        </w:rPr>
        <w:t>民眾檢舉有關</w:t>
      </w:r>
      <w:r w:rsidR="006C1F5B" w:rsidRPr="000C4F09">
        <w:rPr>
          <w:rFonts w:hint="eastAsia"/>
        </w:rPr>
        <w:t>疑似非法從事傳銷之</w:t>
      </w:r>
      <w:r w:rsidR="00267671" w:rsidRPr="000C4F09">
        <w:rPr>
          <w:rFonts w:hint="eastAsia"/>
        </w:rPr>
        <w:t>案例</w:t>
      </w:r>
      <w:r w:rsidR="006C1F5B" w:rsidRPr="000C4F09">
        <w:rPr>
          <w:rFonts w:hint="eastAsia"/>
        </w:rPr>
        <w:t>，</w:t>
      </w:r>
      <w:r w:rsidR="00267671" w:rsidRPr="000C4F09">
        <w:rPr>
          <w:rFonts w:hint="eastAsia"/>
        </w:rPr>
        <w:t>可見一斑</w:t>
      </w:r>
      <w:r w:rsidR="00E47D91" w:rsidRPr="000C4F09">
        <w:rPr>
          <w:rFonts w:hAnsi="標楷體" w:cs="標楷體" w:hint="eastAsia"/>
          <w:szCs w:val="32"/>
          <w:lang w:val="zh-TW"/>
        </w:rPr>
        <w:t>。</w:t>
      </w:r>
    </w:p>
    <w:p w:rsidR="00E47D91" w:rsidRPr="000C4F09" w:rsidRDefault="00E47D91" w:rsidP="00E47D91">
      <w:pPr>
        <w:pStyle w:val="3"/>
        <w:ind w:left="1360" w:hanging="680"/>
      </w:pPr>
      <w:r w:rsidRPr="000C4F09">
        <w:rPr>
          <w:rFonts w:hAnsi="標楷體" w:cs="標楷體" w:hint="eastAsia"/>
          <w:szCs w:val="32"/>
          <w:lang w:val="zh-TW"/>
        </w:rPr>
        <w:t>綜上，</w:t>
      </w:r>
      <w:r w:rsidR="008D3711" w:rsidRPr="000C4F09">
        <w:rPr>
          <w:rFonts w:hAnsi="標楷體" w:cs="標楷體" w:hint="eastAsia"/>
          <w:szCs w:val="32"/>
          <w:lang w:val="zh-TW"/>
        </w:rPr>
        <w:t>鑑於國內當前從事</w:t>
      </w:r>
      <w:r w:rsidR="008D3711" w:rsidRPr="000C4F09">
        <w:rPr>
          <w:rFonts w:hint="eastAsia"/>
          <w:lang w:val="zh-TW"/>
        </w:rPr>
        <w:t>食品、藥物、化粧品</w:t>
      </w:r>
      <w:r w:rsidR="008D3711" w:rsidRPr="000C4F09">
        <w:rPr>
          <w:rFonts w:hAnsi="標楷體" w:cs="標楷體" w:hint="eastAsia"/>
          <w:szCs w:val="32"/>
          <w:lang w:val="zh-TW"/>
        </w:rPr>
        <w:t>直銷之業者不計其數，故</w:t>
      </w:r>
      <w:r w:rsidRPr="000C4F09">
        <w:rPr>
          <w:rFonts w:hAnsi="標楷體" w:cs="標楷體" w:hint="eastAsia"/>
          <w:szCs w:val="32"/>
          <w:lang w:val="zh-TW"/>
        </w:rPr>
        <w:t>公平會允</w:t>
      </w:r>
      <w:r w:rsidR="000062BB" w:rsidRPr="000C4F09">
        <w:rPr>
          <w:rFonts w:hAnsi="標楷體" w:cs="標楷體" w:hint="eastAsia"/>
          <w:szCs w:val="32"/>
          <w:lang w:val="zh-TW"/>
        </w:rPr>
        <w:t>應</w:t>
      </w:r>
      <w:r w:rsidR="00A06503" w:rsidRPr="000C4F09">
        <w:rPr>
          <w:rFonts w:hAnsi="標楷體" w:cs="標楷體" w:hint="eastAsia"/>
          <w:szCs w:val="32"/>
          <w:lang w:val="zh-TW"/>
        </w:rPr>
        <w:t>揚棄機關間各自為政之本位主義，</w:t>
      </w:r>
      <w:r w:rsidR="00B67577" w:rsidRPr="000C4F09">
        <w:rPr>
          <w:rFonts w:hAnsi="標楷體" w:cs="標楷體" w:hint="eastAsia"/>
          <w:szCs w:val="32"/>
          <w:lang w:val="zh-TW"/>
        </w:rPr>
        <w:t>加強彼此橫向溝通協調及聯合稽查工作，並</w:t>
      </w:r>
      <w:r w:rsidR="00267671" w:rsidRPr="000C4F09">
        <w:rPr>
          <w:rFonts w:hAnsi="標楷體" w:cs="標楷體" w:hint="eastAsia"/>
          <w:szCs w:val="32"/>
          <w:lang w:val="zh-TW"/>
        </w:rPr>
        <w:t>本於職權</w:t>
      </w:r>
      <w:r w:rsidRPr="000C4F09">
        <w:rPr>
          <w:rFonts w:hAnsi="標楷體" w:cs="標楷體" w:hint="eastAsia"/>
          <w:szCs w:val="32"/>
          <w:lang w:val="zh-TW"/>
        </w:rPr>
        <w:t>積極</w:t>
      </w:r>
      <w:r w:rsidR="00267671" w:rsidRPr="000C4F09">
        <w:rPr>
          <w:rFonts w:hAnsi="標楷體" w:cs="標楷體" w:hint="eastAsia"/>
          <w:szCs w:val="32"/>
          <w:lang w:val="zh-TW"/>
        </w:rPr>
        <w:t>主動</w:t>
      </w:r>
      <w:r w:rsidRPr="000C4F09">
        <w:rPr>
          <w:rFonts w:hAnsi="標楷體" w:cs="標楷體" w:hint="eastAsia"/>
          <w:szCs w:val="32"/>
          <w:lang w:val="zh-TW"/>
        </w:rPr>
        <w:t>查</w:t>
      </w:r>
      <w:r w:rsidR="00FF1C21" w:rsidRPr="000C4F09">
        <w:rPr>
          <w:rFonts w:hAnsi="標楷體" w:cs="標楷體" w:hint="eastAsia"/>
          <w:szCs w:val="32"/>
          <w:lang w:val="zh-TW"/>
        </w:rPr>
        <w:t>處</w:t>
      </w:r>
      <w:r w:rsidRPr="000C4F09">
        <w:rPr>
          <w:rFonts w:hAnsi="標楷體" w:cs="標楷體" w:hint="eastAsia"/>
          <w:szCs w:val="32"/>
          <w:lang w:val="zh-TW"/>
        </w:rPr>
        <w:t>假「單層直銷」之</w:t>
      </w:r>
      <w:r w:rsidRPr="000C4F09">
        <w:rPr>
          <w:rFonts w:hAnsi="標楷體" w:cs="標楷體" w:hint="eastAsia"/>
          <w:szCs w:val="32"/>
          <w:lang w:val="zh-TW"/>
        </w:rPr>
        <w:lastRenderedPageBreak/>
        <w:t>名而行「多層次傳銷」之</w:t>
      </w:r>
      <w:r w:rsidR="00FF1C21" w:rsidRPr="000C4F09">
        <w:rPr>
          <w:rFonts w:hAnsi="標楷體" w:cs="標楷體" w:hint="eastAsia"/>
          <w:szCs w:val="32"/>
          <w:lang w:val="zh-TW"/>
        </w:rPr>
        <w:t>直銷業者</w:t>
      </w:r>
      <w:r w:rsidRPr="000C4F09">
        <w:rPr>
          <w:rFonts w:hAnsi="標楷體" w:cs="標楷體" w:hint="eastAsia"/>
          <w:szCs w:val="32"/>
          <w:lang w:val="zh-TW"/>
        </w:rPr>
        <w:t>脫法行為，</w:t>
      </w:r>
      <w:r w:rsidR="00735B7B" w:rsidRPr="000C4F09">
        <w:rPr>
          <w:rFonts w:hAnsi="標楷體" w:cs="標楷體" w:hint="eastAsia"/>
          <w:szCs w:val="32"/>
          <w:lang w:val="zh-TW"/>
        </w:rPr>
        <w:t>而非消極被動地等</w:t>
      </w:r>
      <w:r w:rsidR="0060150C" w:rsidRPr="000C4F09">
        <w:rPr>
          <w:rFonts w:hAnsi="標楷體" w:cs="標楷體" w:hint="eastAsia"/>
          <w:szCs w:val="32"/>
          <w:lang w:val="zh-TW"/>
        </w:rPr>
        <w:t>待受害民眾之檢舉</w:t>
      </w:r>
      <w:r w:rsidR="00735B7B" w:rsidRPr="000C4F09">
        <w:rPr>
          <w:rFonts w:hAnsi="標楷體" w:cs="標楷體" w:hint="eastAsia"/>
          <w:szCs w:val="32"/>
          <w:lang w:val="zh-TW"/>
        </w:rPr>
        <w:t>，</w:t>
      </w:r>
      <w:r w:rsidRPr="000C4F09">
        <w:rPr>
          <w:rFonts w:hAnsi="標楷體" w:cs="標楷體" w:hint="eastAsia"/>
          <w:szCs w:val="32"/>
          <w:lang w:val="zh-TW"/>
        </w:rPr>
        <w:t>以確保消費者健康權益。</w:t>
      </w:r>
    </w:p>
    <w:bookmarkEnd w:id="46"/>
    <w:bookmarkEnd w:id="47"/>
    <w:bookmarkEnd w:id="48"/>
    <w:bookmarkEnd w:id="49"/>
    <w:bookmarkEnd w:id="50"/>
    <w:bookmarkEnd w:id="51"/>
    <w:bookmarkEnd w:id="52"/>
    <w:bookmarkEnd w:id="53"/>
    <w:bookmarkEnd w:id="54"/>
    <w:p w:rsidR="00255E08" w:rsidRPr="000C4F09" w:rsidRDefault="00255E08">
      <w:pPr>
        <w:pStyle w:val="10"/>
        <w:ind w:leftChars="800" w:left="2721" w:firstLine="680"/>
        <w:rPr>
          <w:bCs/>
        </w:rPr>
      </w:pPr>
    </w:p>
    <w:p w:rsidR="00255E08" w:rsidRPr="000C4F09" w:rsidRDefault="00255E08">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r w:rsidRPr="000C4F09">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r w:rsidRPr="000C4F09">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6C0CA7" w:rsidRPr="000C4F09" w:rsidRDefault="006C0CA7">
      <w:pPr>
        <w:pStyle w:val="2"/>
        <w:ind w:left="1020" w:hanging="680"/>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7"/>
      <w:bookmarkEnd w:id="78"/>
      <w:bookmarkEnd w:id="79"/>
      <w:r w:rsidRPr="000C4F09">
        <w:rPr>
          <w:rFonts w:hint="eastAsia"/>
        </w:rPr>
        <w:t>抄調查意見一至四，函請衛生福利部督飭食品藥物管理署確實檢討改進見復。</w:t>
      </w:r>
      <w:bookmarkEnd w:id="80"/>
      <w:bookmarkEnd w:id="81"/>
      <w:bookmarkEnd w:id="82"/>
      <w:bookmarkEnd w:id="83"/>
      <w:bookmarkEnd w:id="84"/>
      <w:bookmarkEnd w:id="85"/>
      <w:bookmarkEnd w:id="86"/>
      <w:bookmarkEnd w:id="87"/>
    </w:p>
    <w:p w:rsidR="006C0CA7" w:rsidRPr="000C4F09" w:rsidRDefault="006C0CA7" w:rsidP="00CF4ABC">
      <w:pPr>
        <w:pStyle w:val="2"/>
        <w:ind w:left="1020" w:hanging="680"/>
      </w:pPr>
      <w:bookmarkStart w:id="99" w:name="_Toc70241818"/>
      <w:bookmarkStart w:id="100" w:name="_Toc70242207"/>
      <w:bookmarkStart w:id="101" w:name="_Toc69556899"/>
      <w:bookmarkStart w:id="102" w:name="_Toc69556948"/>
      <w:bookmarkStart w:id="103" w:name="_Toc69609822"/>
      <w:r w:rsidRPr="000C4F09">
        <w:rPr>
          <w:rFonts w:hint="eastAsia"/>
        </w:rPr>
        <w:t>抄調查意見五，</w:t>
      </w:r>
      <w:bookmarkStart w:id="104" w:name="_Toc70241819"/>
      <w:bookmarkStart w:id="105" w:name="_Toc70242208"/>
      <w:bookmarkEnd w:id="99"/>
      <w:bookmarkEnd w:id="100"/>
      <w:r w:rsidRPr="000C4F09">
        <w:rPr>
          <w:rFonts w:hint="eastAsia"/>
        </w:rPr>
        <w:t>函請公平交易委員會協同衛生福利部食品藥物管理署研議辦理見復。</w:t>
      </w:r>
    </w:p>
    <w:p w:rsidR="006C0CA7" w:rsidRPr="000C4F09" w:rsidRDefault="006C0CA7" w:rsidP="00CF4ABC">
      <w:pPr>
        <w:pStyle w:val="2"/>
        <w:ind w:left="1020" w:hanging="680"/>
      </w:pPr>
      <w:r w:rsidRPr="000C4F09">
        <w:rPr>
          <w:rFonts w:hint="eastAsia"/>
        </w:rPr>
        <w:t>抄調查意見六，函請公平交易委員會確實檢討改進見復。</w:t>
      </w:r>
      <w:bookmarkEnd w:id="104"/>
      <w:bookmarkEnd w:id="105"/>
    </w:p>
    <w:p w:rsidR="006C0CA7" w:rsidRPr="000C4F09" w:rsidRDefault="006C0CA7">
      <w:pPr>
        <w:pStyle w:val="2"/>
        <w:ind w:left="1020" w:hanging="680"/>
      </w:pPr>
      <w:bookmarkStart w:id="106" w:name="_Toc69556900"/>
      <w:bookmarkStart w:id="107" w:name="_Toc69556949"/>
      <w:bookmarkStart w:id="108" w:name="_Toc69609823"/>
      <w:bookmarkStart w:id="109" w:name="_Toc70241821"/>
      <w:bookmarkStart w:id="110" w:name="_Toc70242210"/>
      <w:bookmarkStart w:id="111" w:name="_Toc2400397"/>
      <w:bookmarkStart w:id="112" w:name="_Toc4316191"/>
      <w:bookmarkStart w:id="113" w:name="_Toc4473332"/>
      <w:bookmarkEnd w:id="88"/>
      <w:bookmarkEnd w:id="89"/>
      <w:bookmarkEnd w:id="90"/>
      <w:bookmarkEnd w:id="91"/>
      <w:bookmarkEnd w:id="92"/>
      <w:bookmarkEnd w:id="93"/>
      <w:bookmarkEnd w:id="94"/>
      <w:bookmarkEnd w:id="95"/>
      <w:bookmarkEnd w:id="96"/>
      <w:bookmarkEnd w:id="97"/>
      <w:bookmarkEnd w:id="98"/>
      <w:bookmarkEnd w:id="101"/>
      <w:bookmarkEnd w:id="102"/>
      <w:bookmarkEnd w:id="103"/>
      <w:r w:rsidRPr="000C4F09">
        <w:rPr>
          <w:rFonts w:hint="eastAsia"/>
        </w:rPr>
        <w:t>本調查報告審議通過後，調查意見（含附表、附圖、附件）上網公布。</w:t>
      </w:r>
      <w:bookmarkEnd w:id="106"/>
      <w:bookmarkEnd w:id="107"/>
      <w:bookmarkEnd w:id="108"/>
      <w:bookmarkEnd w:id="109"/>
      <w:bookmarkEnd w:id="110"/>
    </w:p>
    <w:p w:rsidR="00255E08" w:rsidRPr="000C4F09" w:rsidRDefault="006C0CA7">
      <w:pPr>
        <w:pStyle w:val="2"/>
        <w:ind w:left="1020" w:hanging="680"/>
      </w:pPr>
      <w:bookmarkStart w:id="114" w:name="_Toc69556901"/>
      <w:bookmarkStart w:id="115" w:name="_Toc69556950"/>
      <w:bookmarkStart w:id="116" w:name="_Toc69609824"/>
      <w:bookmarkStart w:id="117" w:name="_Toc70241822"/>
      <w:bookmarkStart w:id="118" w:name="_Toc70242211"/>
      <w:r w:rsidRPr="000C4F09">
        <w:rPr>
          <w:rFonts w:hint="eastAsia"/>
        </w:rPr>
        <w:t>檢附派查函及相關附件，送請內政及少數民族、財政及經濟委員會</w:t>
      </w:r>
      <w:r w:rsidRPr="000C4F09">
        <w:rPr>
          <w:rFonts w:hAnsi="標楷體" w:hint="eastAsia"/>
        </w:rPr>
        <w:t>聯席會議</w:t>
      </w:r>
      <w:r w:rsidRPr="000C4F09">
        <w:rPr>
          <w:rFonts w:hint="eastAsia"/>
        </w:rPr>
        <w:t>處理。</w:t>
      </w:r>
      <w:bookmarkEnd w:id="111"/>
      <w:bookmarkEnd w:id="112"/>
      <w:bookmarkEnd w:id="113"/>
      <w:bookmarkEnd w:id="114"/>
      <w:bookmarkEnd w:id="115"/>
      <w:bookmarkEnd w:id="116"/>
      <w:bookmarkEnd w:id="117"/>
      <w:bookmarkEnd w:id="118"/>
    </w:p>
    <w:p w:rsidR="00A700D8" w:rsidRPr="000C4F09" w:rsidRDefault="00A700D8" w:rsidP="00A700D8">
      <w:pPr>
        <w:pStyle w:val="2"/>
        <w:numPr>
          <w:ilvl w:val="0"/>
          <w:numId w:val="0"/>
        </w:numPr>
        <w:ind w:left="1020"/>
      </w:pPr>
    </w:p>
    <w:p w:rsidR="00BD7CD7" w:rsidRDefault="00BD7CD7" w:rsidP="00BD7CD7">
      <w:pPr>
        <w:pStyle w:val="a5"/>
        <w:kinsoku w:val="0"/>
        <w:spacing w:before="0" w:after="0"/>
        <w:ind w:left="0" w:firstLineChars="900" w:firstLine="3637"/>
        <w:jc w:val="both"/>
        <w:rPr>
          <w:b w:val="0"/>
          <w:bCs/>
          <w:snapToGrid/>
          <w:spacing w:val="12"/>
          <w:kern w:val="0"/>
        </w:rPr>
      </w:pPr>
      <w:r>
        <w:rPr>
          <w:rFonts w:hint="eastAsia"/>
          <w:b w:val="0"/>
          <w:bCs/>
          <w:snapToGrid/>
          <w:spacing w:val="12"/>
          <w:kern w:val="0"/>
        </w:rPr>
        <w:t>調</w:t>
      </w:r>
      <w:r>
        <w:rPr>
          <w:b w:val="0"/>
          <w:bCs/>
          <w:snapToGrid/>
          <w:spacing w:val="12"/>
          <w:kern w:val="0"/>
        </w:rPr>
        <w:t>查委員</w:t>
      </w:r>
      <w:r>
        <w:rPr>
          <w:rFonts w:hint="eastAsia"/>
          <w:b w:val="0"/>
          <w:bCs/>
          <w:snapToGrid/>
          <w:spacing w:val="12"/>
          <w:kern w:val="0"/>
        </w:rPr>
        <w:t>:</w:t>
      </w:r>
      <w:r w:rsidRPr="00B776B0">
        <w:rPr>
          <w:b w:val="0"/>
          <w:bCs/>
          <w:snapToGrid/>
          <w:spacing w:val="12"/>
          <w:kern w:val="0"/>
        </w:rPr>
        <w:t>尹祚芊</w:t>
      </w:r>
    </w:p>
    <w:p w:rsidR="00BD7CD7" w:rsidRPr="000C4F09" w:rsidRDefault="00BD7CD7" w:rsidP="00BD7CD7">
      <w:pPr>
        <w:pStyle w:val="a5"/>
        <w:kinsoku w:val="0"/>
        <w:spacing w:before="0" w:after="0"/>
        <w:ind w:left="0" w:firstLineChars="1350" w:firstLine="5456"/>
        <w:jc w:val="both"/>
        <w:rPr>
          <w:b w:val="0"/>
          <w:bCs/>
          <w:snapToGrid/>
          <w:spacing w:val="12"/>
          <w:kern w:val="0"/>
        </w:rPr>
      </w:pPr>
      <w:r w:rsidRPr="00B776B0">
        <w:rPr>
          <w:b w:val="0"/>
          <w:bCs/>
          <w:snapToGrid/>
          <w:spacing w:val="12"/>
          <w:kern w:val="0"/>
        </w:rPr>
        <w:t>楊美鈴</w:t>
      </w:r>
    </w:p>
    <w:p w:rsidR="00255E08" w:rsidRPr="000C4F09" w:rsidRDefault="00255E08">
      <w:pPr>
        <w:pStyle w:val="a5"/>
        <w:kinsoku w:val="0"/>
        <w:spacing w:before="0" w:after="0"/>
        <w:ind w:leftChars="1100" w:left="3742" w:firstLineChars="500" w:firstLine="2021"/>
        <w:jc w:val="both"/>
        <w:rPr>
          <w:b w:val="0"/>
          <w:bCs/>
          <w:snapToGrid/>
          <w:spacing w:val="12"/>
          <w:kern w:val="0"/>
        </w:rPr>
      </w:pPr>
      <w:bookmarkStart w:id="119" w:name="_GoBack"/>
      <w:bookmarkEnd w:id="119"/>
    </w:p>
    <w:p w:rsidR="00255E08" w:rsidRPr="000C4F09" w:rsidRDefault="00255E08">
      <w:pPr>
        <w:pStyle w:val="a5"/>
        <w:kinsoku w:val="0"/>
        <w:spacing w:before="0" w:after="0"/>
        <w:ind w:leftChars="1100" w:left="3742" w:firstLineChars="500" w:firstLine="2021"/>
        <w:jc w:val="both"/>
        <w:rPr>
          <w:b w:val="0"/>
          <w:bCs/>
          <w:snapToGrid/>
          <w:spacing w:val="12"/>
          <w:kern w:val="0"/>
        </w:rPr>
      </w:pPr>
    </w:p>
    <w:p w:rsidR="00EC67D3" w:rsidRPr="000C4F09" w:rsidRDefault="00EC67D3">
      <w:pPr>
        <w:widowControl/>
        <w:rPr>
          <w:rFonts w:ascii="標楷體"/>
          <w:bCs/>
          <w:kern w:val="0"/>
        </w:rPr>
      </w:pPr>
      <w:r w:rsidRPr="000C4F09">
        <w:rPr>
          <w:bCs/>
        </w:rPr>
        <w:br w:type="page"/>
      </w:r>
    </w:p>
    <w:p w:rsidR="0000463E" w:rsidRDefault="0000463E" w:rsidP="0000463E">
      <w:pPr>
        <w:widowControl/>
        <w:spacing w:afterLines="50" w:after="228"/>
        <w:ind w:left="993" w:hangingChars="292" w:hanging="993"/>
        <w:rPr>
          <w:bCs/>
        </w:rPr>
      </w:pPr>
      <w:r>
        <w:rPr>
          <w:rFonts w:hint="eastAsia"/>
          <w:bCs/>
        </w:rPr>
        <w:lastRenderedPageBreak/>
        <w:t>附表、</w:t>
      </w:r>
      <w:r w:rsidRPr="004D669A">
        <w:rPr>
          <w:rFonts w:hint="eastAsia"/>
          <w:bCs/>
        </w:rPr>
        <w:t>105</w:t>
      </w:r>
      <w:r w:rsidRPr="004D669A">
        <w:rPr>
          <w:rFonts w:hint="eastAsia"/>
          <w:bCs/>
        </w:rPr>
        <w:t>年</w:t>
      </w:r>
      <w:r w:rsidRPr="004D669A">
        <w:rPr>
          <w:rFonts w:hint="eastAsia"/>
          <w:bCs/>
        </w:rPr>
        <w:t>1-12</w:t>
      </w:r>
      <w:r w:rsidRPr="004D669A">
        <w:rPr>
          <w:rFonts w:hint="eastAsia"/>
          <w:bCs/>
        </w:rPr>
        <w:t>月多層次傳銷事業宣播違規食品廣告裁處案件一覽表</w:t>
      </w:r>
    </w:p>
    <w:tbl>
      <w:tblPr>
        <w:tblpPr w:leftFromText="180" w:rightFromText="180" w:vertAnchor="text" w:horzAnchor="margin" w:tblpX="-512" w:tblpY="84"/>
        <w:tblW w:w="5511" w:type="pct"/>
        <w:tblLayout w:type="fixed"/>
        <w:tblCellMar>
          <w:left w:w="28" w:type="dxa"/>
          <w:right w:w="28" w:type="dxa"/>
        </w:tblCellMar>
        <w:tblLook w:val="04A0" w:firstRow="1" w:lastRow="0" w:firstColumn="1" w:lastColumn="0" w:noHBand="0" w:noVBand="1"/>
      </w:tblPr>
      <w:tblGrid>
        <w:gridCol w:w="2907"/>
        <w:gridCol w:w="2115"/>
        <w:gridCol w:w="2610"/>
        <w:gridCol w:w="839"/>
        <w:gridCol w:w="1266"/>
      </w:tblGrid>
      <w:tr w:rsidR="0000463E" w:rsidRPr="00C66B54" w:rsidTr="00884CBA">
        <w:trPr>
          <w:trHeight w:val="799"/>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463E" w:rsidRPr="004D669A" w:rsidRDefault="0000463E" w:rsidP="00884CBA">
            <w:pPr>
              <w:widowControl/>
              <w:spacing w:line="300" w:lineRule="exact"/>
              <w:jc w:val="both"/>
              <w:rPr>
                <w:b/>
                <w:bCs/>
                <w:kern w:val="0"/>
                <w:sz w:val="26"/>
                <w:szCs w:val="26"/>
              </w:rPr>
            </w:pPr>
            <w:r w:rsidRPr="004D669A">
              <w:rPr>
                <w:b/>
                <w:bCs/>
                <w:kern w:val="0"/>
                <w:sz w:val="26"/>
                <w:szCs w:val="26"/>
              </w:rPr>
              <w:t>多層次傳銷事業受處分廠商</w:t>
            </w:r>
            <w:r w:rsidRPr="004D669A">
              <w:rPr>
                <w:b/>
                <w:bCs/>
                <w:kern w:val="0"/>
                <w:sz w:val="26"/>
                <w:szCs w:val="26"/>
              </w:rPr>
              <w:t>(</w:t>
            </w:r>
            <w:r w:rsidRPr="004D669A">
              <w:rPr>
                <w:b/>
                <w:bCs/>
                <w:kern w:val="0"/>
                <w:sz w:val="26"/>
                <w:szCs w:val="26"/>
              </w:rPr>
              <w:t>人</w:t>
            </w:r>
            <w:r w:rsidRPr="004D669A">
              <w:rPr>
                <w:b/>
                <w:bCs/>
                <w:kern w:val="0"/>
                <w:sz w:val="26"/>
                <w:szCs w:val="26"/>
              </w:rPr>
              <w:t>)</w:t>
            </w:r>
            <w:r w:rsidRPr="004D669A">
              <w:rPr>
                <w:b/>
                <w:bCs/>
                <w:kern w:val="0"/>
                <w:sz w:val="26"/>
                <w:szCs w:val="26"/>
              </w:rPr>
              <w:t>名稱</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00463E" w:rsidRPr="004D669A" w:rsidRDefault="0000463E" w:rsidP="00884CBA">
            <w:pPr>
              <w:widowControl/>
              <w:spacing w:line="300" w:lineRule="exact"/>
              <w:jc w:val="both"/>
              <w:rPr>
                <w:b/>
                <w:bCs/>
                <w:kern w:val="0"/>
                <w:sz w:val="26"/>
                <w:szCs w:val="26"/>
              </w:rPr>
            </w:pPr>
            <w:r w:rsidRPr="004D669A">
              <w:rPr>
                <w:b/>
                <w:bCs/>
                <w:kern w:val="0"/>
                <w:sz w:val="26"/>
                <w:szCs w:val="26"/>
              </w:rPr>
              <w:t>處分書字號</w:t>
            </w:r>
          </w:p>
        </w:tc>
        <w:tc>
          <w:tcPr>
            <w:tcW w:w="1340" w:type="pct"/>
            <w:tcBorders>
              <w:top w:val="single" w:sz="4" w:space="0" w:color="auto"/>
              <w:left w:val="nil"/>
              <w:bottom w:val="single" w:sz="4" w:space="0" w:color="auto"/>
              <w:right w:val="single" w:sz="4" w:space="0" w:color="auto"/>
            </w:tcBorders>
            <w:shd w:val="clear" w:color="auto" w:fill="auto"/>
            <w:vAlign w:val="center"/>
            <w:hideMark/>
          </w:tcPr>
          <w:p w:rsidR="0000463E" w:rsidRPr="004D669A" w:rsidRDefault="0000463E" w:rsidP="00884CBA">
            <w:pPr>
              <w:widowControl/>
              <w:spacing w:line="300" w:lineRule="exact"/>
              <w:jc w:val="both"/>
              <w:rPr>
                <w:b/>
                <w:bCs/>
                <w:kern w:val="0"/>
                <w:sz w:val="26"/>
                <w:szCs w:val="26"/>
              </w:rPr>
            </w:pPr>
            <w:r w:rsidRPr="004D669A">
              <w:rPr>
                <w:b/>
                <w:bCs/>
                <w:kern w:val="0"/>
                <w:sz w:val="26"/>
                <w:szCs w:val="26"/>
              </w:rPr>
              <w:t>違反法條</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00463E" w:rsidRPr="004D669A" w:rsidRDefault="0000463E" w:rsidP="00884CBA">
            <w:pPr>
              <w:widowControl/>
              <w:spacing w:line="300" w:lineRule="exact"/>
              <w:jc w:val="both"/>
              <w:rPr>
                <w:b/>
                <w:bCs/>
                <w:kern w:val="0"/>
                <w:sz w:val="26"/>
                <w:szCs w:val="26"/>
              </w:rPr>
            </w:pPr>
            <w:r w:rsidRPr="004D669A">
              <w:rPr>
                <w:b/>
                <w:bCs/>
                <w:kern w:val="0"/>
                <w:sz w:val="26"/>
                <w:szCs w:val="26"/>
              </w:rPr>
              <w:t>罰鍰金額</w:t>
            </w:r>
            <w:r w:rsidRPr="004D669A">
              <w:rPr>
                <w:b/>
                <w:bCs/>
                <w:kern w:val="0"/>
                <w:sz w:val="26"/>
                <w:szCs w:val="26"/>
              </w:rPr>
              <w:t xml:space="preserve">         (</w:t>
            </w:r>
            <w:r w:rsidRPr="004D669A">
              <w:rPr>
                <w:b/>
                <w:bCs/>
                <w:kern w:val="0"/>
                <w:sz w:val="26"/>
                <w:szCs w:val="26"/>
              </w:rPr>
              <w:t>萬元</w:t>
            </w:r>
            <w:r w:rsidRPr="004D669A">
              <w:rPr>
                <w:b/>
                <w:bCs/>
                <w:kern w:val="0"/>
                <w:sz w:val="26"/>
                <w:szCs w:val="26"/>
              </w:rPr>
              <w:t>)</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00463E" w:rsidRPr="004D669A" w:rsidRDefault="0000463E" w:rsidP="00884CBA">
            <w:pPr>
              <w:widowControl/>
              <w:spacing w:line="300" w:lineRule="exact"/>
              <w:jc w:val="both"/>
              <w:rPr>
                <w:b/>
                <w:bCs/>
                <w:kern w:val="0"/>
                <w:sz w:val="26"/>
                <w:szCs w:val="26"/>
              </w:rPr>
            </w:pPr>
            <w:r w:rsidRPr="004D669A">
              <w:rPr>
                <w:b/>
                <w:bCs/>
                <w:kern w:val="0"/>
                <w:sz w:val="26"/>
                <w:szCs w:val="26"/>
              </w:rPr>
              <w:t>處分日期</w:t>
            </w:r>
          </w:p>
        </w:tc>
      </w:tr>
      <w:tr w:rsidR="0000463E" w:rsidRPr="00C66B54" w:rsidTr="00884CBA">
        <w:trPr>
          <w:trHeight w:val="603"/>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府衛食藥字第</w:t>
            </w:r>
            <w:r w:rsidRPr="005513A6">
              <w:rPr>
                <w:color w:val="000000"/>
                <w:kern w:val="0"/>
                <w:sz w:val="26"/>
                <w:szCs w:val="26"/>
              </w:rPr>
              <w:t>1050090977</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288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105.05.02</w:t>
            </w:r>
          </w:p>
        </w:tc>
      </w:tr>
      <w:tr w:rsidR="0000463E" w:rsidRPr="00C66B54" w:rsidTr="00884CBA">
        <w:trPr>
          <w:trHeight w:val="55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1050087077</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健康食品管理法第</w:t>
            </w:r>
            <w:r w:rsidRPr="005513A6">
              <w:rPr>
                <w:kern w:val="0"/>
                <w:sz w:val="26"/>
                <w:szCs w:val="26"/>
              </w:rPr>
              <w:t>14</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10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105.05.04</w:t>
            </w:r>
          </w:p>
        </w:tc>
      </w:tr>
      <w:tr w:rsidR="0000463E" w:rsidRPr="00C66B54" w:rsidTr="00884CBA">
        <w:trPr>
          <w:trHeight w:val="549"/>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1050106513</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10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105.05.20</w:t>
            </w:r>
          </w:p>
        </w:tc>
      </w:tr>
      <w:tr w:rsidR="0000463E" w:rsidRPr="00C66B54" w:rsidTr="00884CBA">
        <w:trPr>
          <w:trHeight w:val="557"/>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1050117423</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4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105.06.07</w:t>
            </w:r>
          </w:p>
        </w:tc>
      </w:tr>
      <w:tr w:rsidR="0000463E" w:rsidRPr="00C66B54" w:rsidTr="00884CBA">
        <w:trPr>
          <w:trHeight w:val="551"/>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中市衛食藥字第</w:t>
            </w:r>
            <w:r w:rsidRPr="005513A6">
              <w:rPr>
                <w:color w:val="000000"/>
                <w:kern w:val="0"/>
                <w:sz w:val="26"/>
                <w:szCs w:val="26"/>
              </w:rPr>
              <w:t>1050057960</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8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105.06.16</w:t>
            </w:r>
          </w:p>
        </w:tc>
      </w:tr>
      <w:tr w:rsidR="0000463E" w:rsidRPr="00C66B54" w:rsidTr="00884CBA">
        <w:trPr>
          <w:trHeight w:val="573"/>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中市衛食藥字第</w:t>
            </w:r>
            <w:r w:rsidRPr="005513A6">
              <w:rPr>
                <w:color w:val="000000"/>
                <w:kern w:val="0"/>
                <w:sz w:val="26"/>
                <w:szCs w:val="26"/>
              </w:rPr>
              <w:t>1050060688</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4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105.06.24</w:t>
            </w:r>
          </w:p>
        </w:tc>
      </w:tr>
      <w:tr w:rsidR="0000463E" w:rsidRPr="00C66B54" w:rsidTr="00884CBA">
        <w:trPr>
          <w:trHeight w:val="553"/>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中市衛食藥字第</w:t>
            </w:r>
            <w:r w:rsidRPr="005513A6">
              <w:rPr>
                <w:color w:val="000000"/>
                <w:kern w:val="0"/>
                <w:sz w:val="26"/>
                <w:szCs w:val="26"/>
              </w:rPr>
              <w:t>1050060690</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4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105.06.24</w:t>
            </w:r>
          </w:p>
        </w:tc>
      </w:tr>
      <w:tr w:rsidR="0000463E" w:rsidRPr="00C66B54" w:rsidTr="00884CBA">
        <w:trPr>
          <w:trHeight w:val="547"/>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中市衛食藥字第</w:t>
            </w:r>
            <w:r w:rsidRPr="005513A6">
              <w:rPr>
                <w:color w:val="000000"/>
                <w:kern w:val="0"/>
                <w:sz w:val="26"/>
                <w:szCs w:val="26"/>
              </w:rPr>
              <w:t>1050060692</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10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105.06.24</w:t>
            </w:r>
          </w:p>
        </w:tc>
      </w:tr>
      <w:tr w:rsidR="0000463E" w:rsidRPr="00C66B54" w:rsidTr="00884CBA">
        <w:trPr>
          <w:trHeight w:val="55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中市衛食藥字第</w:t>
            </w:r>
            <w:r w:rsidRPr="005513A6">
              <w:rPr>
                <w:color w:val="000000"/>
                <w:kern w:val="0"/>
                <w:sz w:val="26"/>
                <w:szCs w:val="26"/>
              </w:rPr>
              <w:t>1050063973</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4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105.06.30</w:t>
            </w:r>
          </w:p>
        </w:tc>
      </w:tr>
      <w:tr w:rsidR="0000463E" w:rsidRPr="00C66B54" w:rsidTr="00884CBA">
        <w:trPr>
          <w:trHeight w:val="549"/>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中市衛食藥字第</w:t>
            </w:r>
            <w:r w:rsidRPr="005513A6">
              <w:rPr>
                <w:color w:val="000000"/>
                <w:kern w:val="0"/>
                <w:sz w:val="26"/>
                <w:szCs w:val="26"/>
              </w:rPr>
              <w:t>1058006740</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4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105.07.18</w:t>
            </w:r>
          </w:p>
        </w:tc>
      </w:tr>
      <w:tr w:rsidR="0000463E" w:rsidRPr="00C66B54" w:rsidTr="00884CBA">
        <w:trPr>
          <w:trHeight w:val="571"/>
        </w:trPr>
        <w:tc>
          <w:tcPr>
            <w:tcW w:w="1493" w:type="pct"/>
            <w:tcBorders>
              <w:top w:val="nil"/>
              <w:left w:val="single" w:sz="4" w:space="0" w:color="auto"/>
              <w:bottom w:val="nil"/>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nil"/>
              <w:right w:val="single" w:sz="4" w:space="0" w:color="auto"/>
            </w:tcBorders>
            <w:shd w:val="clear" w:color="auto" w:fill="auto"/>
            <w:noWrap/>
            <w:vAlign w:val="bottom"/>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1050150746</w:t>
            </w:r>
            <w:r w:rsidRPr="005513A6">
              <w:rPr>
                <w:color w:val="000000"/>
                <w:kern w:val="0"/>
                <w:sz w:val="26"/>
                <w:szCs w:val="26"/>
              </w:rPr>
              <w:t>號</w:t>
            </w:r>
          </w:p>
        </w:tc>
        <w:tc>
          <w:tcPr>
            <w:tcW w:w="1340" w:type="pct"/>
            <w:tcBorders>
              <w:top w:val="nil"/>
              <w:left w:val="nil"/>
              <w:bottom w:val="nil"/>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nil"/>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12 </w:t>
            </w:r>
          </w:p>
        </w:tc>
        <w:tc>
          <w:tcPr>
            <w:tcW w:w="650" w:type="pct"/>
            <w:tcBorders>
              <w:top w:val="nil"/>
              <w:left w:val="nil"/>
              <w:bottom w:val="nil"/>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105.07.21</w:t>
            </w:r>
          </w:p>
        </w:tc>
      </w:tr>
      <w:tr w:rsidR="0000463E" w:rsidRPr="00C66B54" w:rsidTr="00884CBA">
        <w:trPr>
          <w:trHeight w:val="551"/>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1050150801</w:t>
            </w:r>
            <w:r w:rsidRPr="005513A6">
              <w:rPr>
                <w:color w:val="000000"/>
                <w:kern w:val="0"/>
                <w:sz w:val="26"/>
                <w:szCs w:val="26"/>
              </w:rPr>
              <w:t>號</w:t>
            </w:r>
          </w:p>
        </w:tc>
        <w:tc>
          <w:tcPr>
            <w:tcW w:w="1340" w:type="pct"/>
            <w:tcBorders>
              <w:top w:val="single" w:sz="4" w:space="0" w:color="auto"/>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4 </w:t>
            </w:r>
          </w:p>
        </w:tc>
        <w:tc>
          <w:tcPr>
            <w:tcW w:w="650" w:type="pct"/>
            <w:tcBorders>
              <w:top w:val="single" w:sz="4" w:space="0" w:color="auto"/>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105.07.21</w:t>
            </w:r>
          </w:p>
        </w:tc>
      </w:tr>
      <w:tr w:rsidR="0000463E" w:rsidRPr="00C66B54" w:rsidTr="00884CBA">
        <w:trPr>
          <w:trHeight w:val="559"/>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bottom"/>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1050150733</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16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105.07.21</w:t>
            </w:r>
          </w:p>
        </w:tc>
      </w:tr>
      <w:tr w:rsidR="0000463E" w:rsidRPr="00C66B54" w:rsidTr="00884CBA">
        <w:trPr>
          <w:trHeight w:val="553"/>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1050150803</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4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105.07.22</w:t>
            </w:r>
          </w:p>
        </w:tc>
      </w:tr>
      <w:tr w:rsidR="0000463E" w:rsidRPr="00C66B54" w:rsidTr="00884CBA">
        <w:trPr>
          <w:trHeight w:val="561"/>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bottom"/>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1050150807</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12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105.07.22</w:t>
            </w:r>
          </w:p>
        </w:tc>
      </w:tr>
      <w:tr w:rsidR="0000463E" w:rsidRPr="00C66B54" w:rsidTr="00884CBA">
        <w:trPr>
          <w:trHeight w:val="55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1050150800</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000000"/>
                <w:kern w:val="0"/>
                <w:sz w:val="26"/>
                <w:szCs w:val="26"/>
              </w:rPr>
            </w:pPr>
            <w:r w:rsidRPr="00211FC3">
              <w:rPr>
                <w:color w:val="000000"/>
                <w:kern w:val="0"/>
                <w:sz w:val="26"/>
                <w:szCs w:val="26"/>
              </w:rPr>
              <w:t xml:space="preserve">4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105.07.22</w:t>
            </w:r>
          </w:p>
        </w:tc>
      </w:tr>
      <w:tr w:rsidR="0000463E" w:rsidRPr="00C66B54" w:rsidTr="00884CBA">
        <w:trPr>
          <w:trHeight w:val="563"/>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宏醫國際股份有限公司</w:t>
            </w:r>
          </w:p>
        </w:tc>
        <w:tc>
          <w:tcPr>
            <w:tcW w:w="1086"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both"/>
              <w:rPr>
                <w:color w:val="000000"/>
                <w:kern w:val="0"/>
                <w:sz w:val="26"/>
                <w:szCs w:val="26"/>
              </w:rPr>
            </w:pPr>
            <w:r w:rsidRPr="005513A6">
              <w:rPr>
                <w:color w:val="000000"/>
                <w:kern w:val="0"/>
                <w:sz w:val="26"/>
                <w:szCs w:val="26"/>
              </w:rPr>
              <w:t>府授衛食字第</w:t>
            </w:r>
            <w:r w:rsidRPr="005513A6">
              <w:rPr>
                <w:color w:val="000000"/>
                <w:kern w:val="0"/>
                <w:sz w:val="26"/>
                <w:szCs w:val="26"/>
              </w:rPr>
              <w:t>1050150798</w:t>
            </w:r>
            <w:r w:rsidRPr="005513A6">
              <w:rPr>
                <w:color w:val="000000"/>
                <w:kern w:val="0"/>
                <w:sz w:val="26"/>
                <w:szCs w:val="26"/>
              </w:rPr>
              <w:t>號</w:t>
            </w:r>
          </w:p>
        </w:tc>
        <w:tc>
          <w:tcPr>
            <w:tcW w:w="1340" w:type="pct"/>
            <w:tcBorders>
              <w:top w:val="nil"/>
              <w:left w:val="nil"/>
              <w:bottom w:val="single" w:sz="4" w:space="0" w:color="auto"/>
              <w:right w:val="single" w:sz="4" w:space="0" w:color="auto"/>
            </w:tcBorders>
            <w:shd w:val="clear" w:color="auto" w:fill="auto"/>
            <w:vAlign w:val="center"/>
            <w:hideMark/>
          </w:tcPr>
          <w:p w:rsidR="0000463E" w:rsidRPr="005513A6" w:rsidRDefault="0000463E" w:rsidP="00884CBA">
            <w:pPr>
              <w:widowControl/>
              <w:spacing w:line="300" w:lineRule="exact"/>
              <w:jc w:val="both"/>
              <w:rPr>
                <w:kern w:val="0"/>
                <w:sz w:val="26"/>
                <w:szCs w:val="26"/>
              </w:rPr>
            </w:pPr>
            <w:r w:rsidRPr="005513A6">
              <w:rPr>
                <w:kern w:val="0"/>
                <w:sz w:val="26"/>
                <w:szCs w:val="26"/>
              </w:rPr>
              <w:t>食品安全衛生管理法第</w:t>
            </w:r>
            <w:r w:rsidRPr="005513A6">
              <w:rPr>
                <w:kern w:val="0"/>
                <w:sz w:val="26"/>
                <w:szCs w:val="26"/>
              </w:rPr>
              <w:t>28</w:t>
            </w:r>
            <w:r w:rsidRPr="005513A6">
              <w:rPr>
                <w:kern w:val="0"/>
                <w:sz w:val="26"/>
                <w:szCs w:val="26"/>
              </w:rPr>
              <w:t>條第</w:t>
            </w:r>
            <w:r w:rsidRPr="005513A6">
              <w:rPr>
                <w:kern w:val="0"/>
                <w:sz w:val="26"/>
                <w:szCs w:val="26"/>
              </w:rPr>
              <w:t>1</w:t>
            </w:r>
            <w:r w:rsidRPr="005513A6">
              <w:rPr>
                <w:kern w:val="0"/>
                <w:sz w:val="26"/>
                <w:szCs w:val="26"/>
              </w:rPr>
              <w:t>項</w:t>
            </w:r>
          </w:p>
        </w:tc>
        <w:tc>
          <w:tcPr>
            <w:tcW w:w="431" w:type="pct"/>
            <w:tcBorders>
              <w:top w:val="nil"/>
              <w:left w:val="nil"/>
              <w:bottom w:val="single" w:sz="4" w:space="0" w:color="auto"/>
              <w:right w:val="single" w:sz="4" w:space="0" w:color="auto"/>
            </w:tcBorders>
            <w:shd w:val="clear" w:color="auto" w:fill="FFFFFF" w:themeFill="background1"/>
            <w:vAlign w:val="center"/>
            <w:hideMark/>
          </w:tcPr>
          <w:p w:rsidR="0000463E" w:rsidRPr="00211FC3" w:rsidRDefault="0000463E" w:rsidP="00884CBA">
            <w:pPr>
              <w:widowControl/>
              <w:spacing w:line="300" w:lineRule="exact"/>
              <w:jc w:val="center"/>
              <w:rPr>
                <w:color w:val="FFFFFF" w:themeColor="background1"/>
                <w:kern w:val="0"/>
                <w:sz w:val="26"/>
                <w:szCs w:val="26"/>
              </w:rPr>
            </w:pPr>
            <w:r w:rsidRPr="00211FC3">
              <w:rPr>
                <w:color w:val="000000"/>
                <w:kern w:val="0"/>
                <w:sz w:val="26"/>
                <w:szCs w:val="26"/>
              </w:rPr>
              <w:t xml:space="preserve">4 </w:t>
            </w:r>
          </w:p>
        </w:tc>
        <w:tc>
          <w:tcPr>
            <w:tcW w:w="650" w:type="pct"/>
            <w:tcBorders>
              <w:top w:val="nil"/>
              <w:left w:val="nil"/>
              <w:bottom w:val="single" w:sz="4" w:space="0" w:color="auto"/>
              <w:right w:val="single" w:sz="4" w:space="0" w:color="auto"/>
            </w:tcBorders>
            <w:shd w:val="clear" w:color="auto" w:fill="auto"/>
            <w:noWrap/>
            <w:vAlign w:val="center"/>
            <w:hideMark/>
          </w:tcPr>
          <w:p w:rsidR="0000463E" w:rsidRPr="005513A6" w:rsidRDefault="0000463E" w:rsidP="00884CBA">
            <w:pPr>
              <w:widowControl/>
              <w:spacing w:line="300" w:lineRule="exact"/>
              <w:jc w:val="center"/>
              <w:rPr>
                <w:color w:val="000000"/>
                <w:kern w:val="0"/>
                <w:sz w:val="26"/>
                <w:szCs w:val="26"/>
              </w:rPr>
            </w:pPr>
            <w:r w:rsidRPr="005513A6">
              <w:rPr>
                <w:color w:val="000000"/>
                <w:kern w:val="0"/>
                <w:sz w:val="26"/>
                <w:szCs w:val="26"/>
              </w:rPr>
              <w:t>105.07.22</w:t>
            </w:r>
          </w:p>
        </w:tc>
      </w:tr>
    </w:tbl>
    <w:p w:rsidR="0000463E" w:rsidRPr="003C1DEE" w:rsidRDefault="0000463E" w:rsidP="0000463E">
      <w:pPr>
        <w:widowControl/>
        <w:ind w:leftChars="-166" w:left="2" w:hangingChars="189" w:hanging="567"/>
        <w:rPr>
          <w:rFonts w:ascii="標楷體"/>
          <w:bCs/>
          <w:kern w:val="0"/>
          <w:sz w:val="28"/>
          <w:szCs w:val="28"/>
        </w:rPr>
        <w:sectPr w:rsidR="0000463E" w:rsidRPr="003C1DEE">
          <w:footerReference w:type="default" r:id="rId8"/>
          <w:pgSz w:w="11907" w:h="16840" w:code="9"/>
          <w:pgMar w:top="1701" w:right="1418" w:bottom="1418" w:left="1418" w:header="851" w:footer="851" w:gutter="227"/>
          <w:pgNumType w:start="1"/>
          <w:cols w:space="425"/>
          <w:docGrid w:type="linesAndChars" w:linePitch="457" w:charSpace="4127"/>
        </w:sectPr>
      </w:pPr>
      <w:r w:rsidRPr="003C1DEE">
        <w:rPr>
          <w:rFonts w:ascii="標楷體" w:hint="eastAsia"/>
          <w:bCs/>
          <w:kern w:val="0"/>
          <w:sz w:val="28"/>
          <w:szCs w:val="28"/>
        </w:rPr>
        <w:t>資料來源：衛福部食藥署</w:t>
      </w:r>
    </w:p>
    <w:p w:rsidR="00A65E02" w:rsidRPr="000C4F09" w:rsidRDefault="00A65E02" w:rsidP="00A65E02">
      <w:pPr>
        <w:pStyle w:val="a0"/>
        <w:numPr>
          <w:ilvl w:val="0"/>
          <w:numId w:val="0"/>
        </w:numPr>
        <w:ind w:left="695" w:hanging="695"/>
        <w:rPr>
          <w:bCs/>
        </w:rPr>
      </w:pPr>
      <w:r w:rsidRPr="000C4F09">
        <w:rPr>
          <w:rFonts w:hint="eastAsia"/>
          <w:bCs/>
        </w:rPr>
        <w:lastRenderedPageBreak/>
        <w:t>附圖</w:t>
      </w:r>
    </w:p>
    <w:p w:rsidR="00A65E02" w:rsidRPr="000C4F09" w:rsidRDefault="00A65E02" w:rsidP="00A65E02">
      <w:pPr>
        <w:widowControl/>
        <w:rPr>
          <w:rFonts w:ascii="標楷體"/>
          <w:bCs/>
          <w:kern w:val="0"/>
        </w:rPr>
      </w:pPr>
      <w:r w:rsidRPr="000C4F09">
        <w:rPr>
          <w:rFonts w:ascii="標楷體"/>
          <w:bCs/>
          <w:noProof/>
          <w:kern w:val="0"/>
        </w:rPr>
        <w:drawing>
          <wp:inline distT="0" distB="0" distL="0" distR="0" wp14:anchorId="2925D342" wp14:editId="2B26560E">
            <wp:extent cx="8791575" cy="478155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1575" cy="4781550"/>
                    </a:xfrm>
                    <a:prstGeom prst="rect">
                      <a:avLst/>
                    </a:prstGeom>
                    <a:noFill/>
                    <a:ln>
                      <a:noFill/>
                    </a:ln>
                    <a:extLst/>
                  </pic:spPr>
                </pic:pic>
              </a:graphicData>
            </a:graphic>
          </wp:inline>
        </w:drawing>
      </w:r>
    </w:p>
    <w:p w:rsidR="000C4F09" w:rsidRPr="000C4F09" w:rsidRDefault="000C4F09" w:rsidP="007B0E30">
      <w:pPr>
        <w:sectPr w:rsidR="000C4F09" w:rsidRPr="000C4F09" w:rsidSect="001659A4">
          <w:footerReference w:type="default" r:id="rId10"/>
          <w:pgSz w:w="16840" w:h="11907" w:orient="landscape" w:code="9"/>
          <w:pgMar w:top="1418" w:right="1701" w:bottom="1418" w:left="1418" w:header="851" w:footer="851" w:gutter="227"/>
          <w:cols w:space="425"/>
          <w:docGrid w:type="linesAndChars" w:linePitch="457" w:charSpace="4127"/>
        </w:sectPr>
      </w:pPr>
      <w:r w:rsidRPr="0082332F">
        <w:rPr>
          <w:bCs/>
          <w:kern w:val="0"/>
          <w:sz w:val="24"/>
          <w:szCs w:val="24"/>
        </w:rPr>
        <w:t>資料來源：</w:t>
      </w:r>
      <w:r w:rsidRPr="0082332F">
        <w:rPr>
          <w:bCs/>
          <w:kern w:val="0"/>
          <w:sz w:val="24"/>
          <w:szCs w:val="24"/>
        </w:rPr>
        <w:t>https://www.stockfeel.com.tw</w:t>
      </w:r>
    </w:p>
    <w:p w:rsidR="003A4EF6" w:rsidRPr="000C4F09" w:rsidRDefault="003A4EF6" w:rsidP="003A4EF6">
      <w:pPr>
        <w:widowControl/>
        <w:ind w:left="1276" w:hangingChars="375" w:hanging="1276"/>
      </w:pPr>
      <w:r w:rsidRPr="000C4F09">
        <w:rPr>
          <w:rFonts w:hint="eastAsia"/>
          <w:bCs/>
        </w:rPr>
        <w:lastRenderedPageBreak/>
        <w:t>附件</w:t>
      </w:r>
      <w:r w:rsidRPr="000C4F09">
        <w:rPr>
          <w:rFonts w:hint="eastAsia"/>
          <w:bCs/>
        </w:rPr>
        <w:t>1</w:t>
      </w:r>
      <w:r w:rsidRPr="000C4F09">
        <w:rPr>
          <w:rFonts w:hint="eastAsia"/>
          <w:bCs/>
        </w:rPr>
        <w:t>、</w:t>
      </w:r>
      <w:r w:rsidRPr="000C4F09">
        <w:t>食品標示宣傳或廣告詞句涉及誇張易生誤解或醫療效能之認定基準</w:t>
      </w:r>
    </w:p>
    <w:p w:rsidR="003A4EF6" w:rsidRPr="000C4F09" w:rsidRDefault="003A4EF6" w:rsidP="003A4EF6">
      <w:pPr>
        <w:spacing w:line="320" w:lineRule="exact"/>
        <w:jc w:val="right"/>
        <w:rPr>
          <w:sz w:val="24"/>
          <w:szCs w:val="24"/>
        </w:rPr>
      </w:pPr>
      <w:r w:rsidRPr="000C4F09">
        <w:rPr>
          <w:sz w:val="24"/>
          <w:szCs w:val="24"/>
        </w:rPr>
        <w:t>101</w:t>
      </w:r>
      <w:r w:rsidRPr="000C4F09">
        <w:rPr>
          <w:sz w:val="24"/>
          <w:szCs w:val="24"/>
        </w:rPr>
        <w:t>年</w:t>
      </w:r>
      <w:r w:rsidRPr="000C4F09">
        <w:rPr>
          <w:sz w:val="24"/>
          <w:szCs w:val="24"/>
        </w:rPr>
        <w:t>9</w:t>
      </w:r>
      <w:r w:rsidRPr="000C4F09">
        <w:rPr>
          <w:sz w:val="24"/>
          <w:szCs w:val="24"/>
        </w:rPr>
        <w:t>月</w:t>
      </w:r>
      <w:r w:rsidRPr="000C4F09">
        <w:rPr>
          <w:sz w:val="24"/>
          <w:szCs w:val="24"/>
        </w:rPr>
        <w:t>28</w:t>
      </w:r>
      <w:r w:rsidRPr="000C4F09">
        <w:rPr>
          <w:sz w:val="24"/>
          <w:szCs w:val="24"/>
        </w:rPr>
        <w:t>日署授食字第</w:t>
      </w:r>
      <w:r w:rsidRPr="000C4F09">
        <w:rPr>
          <w:sz w:val="24"/>
          <w:szCs w:val="24"/>
        </w:rPr>
        <w:t>1013000020</w:t>
      </w:r>
      <w:r w:rsidRPr="000C4F09">
        <w:rPr>
          <w:sz w:val="24"/>
          <w:szCs w:val="24"/>
        </w:rPr>
        <w:t>號令發布</w:t>
      </w:r>
    </w:p>
    <w:p w:rsidR="003A4EF6" w:rsidRPr="000C4F09" w:rsidRDefault="003A4EF6" w:rsidP="003A4EF6">
      <w:pPr>
        <w:spacing w:line="320" w:lineRule="exact"/>
        <w:jc w:val="right"/>
        <w:rPr>
          <w:sz w:val="24"/>
          <w:szCs w:val="24"/>
        </w:rPr>
      </w:pPr>
      <w:r w:rsidRPr="000C4F09">
        <w:rPr>
          <w:sz w:val="24"/>
          <w:szCs w:val="24"/>
        </w:rPr>
        <w:t>103</w:t>
      </w:r>
      <w:r w:rsidRPr="000C4F09">
        <w:rPr>
          <w:sz w:val="24"/>
          <w:szCs w:val="24"/>
        </w:rPr>
        <w:t>年</w:t>
      </w:r>
      <w:r w:rsidRPr="000C4F09">
        <w:rPr>
          <w:sz w:val="24"/>
          <w:szCs w:val="24"/>
        </w:rPr>
        <w:t>1</w:t>
      </w:r>
      <w:r w:rsidRPr="000C4F09">
        <w:rPr>
          <w:sz w:val="24"/>
          <w:szCs w:val="24"/>
        </w:rPr>
        <w:t>月</w:t>
      </w:r>
      <w:r w:rsidRPr="000C4F09">
        <w:rPr>
          <w:sz w:val="24"/>
          <w:szCs w:val="24"/>
        </w:rPr>
        <w:t>7</w:t>
      </w:r>
      <w:r w:rsidRPr="000C4F09">
        <w:rPr>
          <w:sz w:val="24"/>
          <w:szCs w:val="24"/>
        </w:rPr>
        <w:t>日部授食字第</w:t>
      </w:r>
      <w:r w:rsidRPr="000C4F09">
        <w:rPr>
          <w:sz w:val="24"/>
          <w:szCs w:val="24"/>
        </w:rPr>
        <w:t>1021250977</w:t>
      </w:r>
      <w:r w:rsidRPr="000C4F09">
        <w:rPr>
          <w:sz w:val="24"/>
          <w:szCs w:val="24"/>
        </w:rPr>
        <w:t>號令修正發布</w:t>
      </w:r>
    </w:p>
    <w:p w:rsidR="003A4EF6" w:rsidRPr="000C4F09" w:rsidRDefault="003A4EF6" w:rsidP="003A4EF6">
      <w:pPr>
        <w:spacing w:line="320" w:lineRule="exact"/>
        <w:jc w:val="right"/>
        <w:rPr>
          <w:sz w:val="24"/>
          <w:szCs w:val="24"/>
        </w:rPr>
      </w:pPr>
      <w:r w:rsidRPr="000C4F09">
        <w:rPr>
          <w:sz w:val="24"/>
          <w:szCs w:val="24"/>
        </w:rPr>
        <w:t>105</w:t>
      </w:r>
      <w:r w:rsidRPr="000C4F09">
        <w:rPr>
          <w:sz w:val="24"/>
          <w:szCs w:val="24"/>
        </w:rPr>
        <w:t>年</w:t>
      </w:r>
      <w:r w:rsidRPr="000C4F09">
        <w:rPr>
          <w:sz w:val="24"/>
          <w:szCs w:val="24"/>
        </w:rPr>
        <w:t>6</w:t>
      </w:r>
      <w:r w:rsidRPr="000C4F09">
        <w:rPr>
          <w:sz w:val="24"/>
          <w:szCs w:val="24"/>
        </w:rPr>
        <w:t>月</w:t>
      </w:r>
      <w:r w:rsidRPr="000C4F09">
        <w:rPr>
          <w:sz w:val="24"/>
          <w:szCs w:val="24"/>
        </w:rPr>
        <w:t>17</w:t>
      </w:r>
      <w:r w:rsidRPr="000C4F09">
        <w:rPr>
          <w:sz w:val="24"/>
          <w:szCs w:val="24"/>
        </w:rPr>
        <w:t>日部授食字第</w:t>
      </w:r>
      <w:r w:rsidRPr="000C4F09">
        <w:rPr>
          <w:sz w:val="24"/>
          <w:szCs w:val="24"/>
        </w:rPr>
        <w:t>1051201580</w:t>
      </w:r>
      <w:r w:rsidRPr="000C4F09">
        <w:rPr>
          <w:sz w:val="24"/>
          <w:szCs w:val="24"/>
        </w:rPr>
        <w:t>號令修正發布</w:t>
      </w:r>
    </w:p>
    <w:p w:rsidR="003A4EF6" w:rsidRPr="000C4F09" w:rsidRDefault="003A4EF6" w:rsidP="003A4EF6">
      <w:pPr>
        <w:spacing w:afterLines="50" w:after="228" w:line="320" w:lineRule="exact"/>
        <w:jc w:val="right"/>
        <w:rPr>
          <w:sz w:val="24"/>
          <w:szCs w:val="24"/>
        </w:rPr>
      </w:pPr>
      <w:r w:rsidRPr="000C4F09">
        <w:rPr>
          <w:sz w:val="24"/>
          <w:szCs w:val="24"/>
        </w:rPr>
        <w:t>106</w:t>
      </w:r>
      <w:r w:rsidRPr="000C4F09">
        <w:rPr>
          <w:sz w:val="24"/>
          <w:szCs w:val="24"/>
        </w:rPr>
        <w:t>年</w:t>
      </w:r>
      <w:r w:rsidRPr="000C4F09">
        <w:rPr>
          <w:sz w:val="24"/>
          <w:szCs w:val="24"/>
        </w:rPr>
        <w:t>3</w:t>
      </w:r>
      <w:r w:rsidRPr="000C4F09">
        <w:rPr>
          <w:sz w:val="24"/>
          <w:szCs w:val="24"/>
        </w:rPr>
        <w:t>月</w:t>
      </w:r>
      <w:r w:rsidRPr="000C4F09">
        <w:rPr>
          <w:sz w:val="24"/>
          <w:szCs w:val="24"/>
        </w:rPr>
        <w:t>16</w:t>
      </w:r>
      <w:r w:rsidRPr="000C4F09">
        <w:rPr>
          <w:sz w:val="24"/>
          <w:szCs w:val="24"/>
        </w:rPr>
        <w:t>日衛授食字第</w:t>
      </w:r>
      <w:r w:rsidRPr="000C4F09">
        <w:rPr>
          <w:sz w:val="24"/>
          <w:szCs w:val="24"/>
        </w:rPr>
        <w:t>1061200468</w:t>
      </w:r>
      <w:r w:rsidRPr="000C4F09">
        <w:rPr>
          <w:sz w:val="24"/>
          <w:szCs w:val="24"/>
        </w:rPr>
        <w:t>號令修正發布</w:t>
      </w:r>
    </w:p>
    <w:p w:rsidR="003A4EF6" w:rsidRPr="000C4F09" w:rsidRDefault="003A4EF6" w:rsidP="003A4EF6">
      <w:pPr>
        <w:pStyle w:val="af5"/>
        <w:widowControl/>
        <w:numPr>
          <w:ilvl w:val="0"/>
          <w:numId w:val="4"/>
        </w:numPr>
        <w:shd w:val="clear" w:color="auto" w:fill="FFFFFF"/>
        <w:wordWrap w:val="0"/>
        <w:overflowPunct w:val="0"/>
        <w:spacing w:line="320" w:lineRule="exact"/>
        <w:ind w:leftChars="0" w:left="709" w:hanging="709"/>
        <w:jc w:val="both"/>
        <w:rPr>
          <w:rFonts w:ascii="標楷體" w:hAnsi="標楷體" w:cs="Arial"/>
          <w:spacing w:val="12"/>
          <w:kern w:val="0"/>
          <w:sz w:val="28"/>
          <w:szCs w:val="28"/>
        </w:rPr>
      </w:pPr>
      <w:r w:rsidRPr="000C4F09">
        <w:rPr>
          <w:rFonts w:ascii="標楷體" w:hAnsi="標楷體" w:cs="Arial"/>
          <w:spacing w:val="12"/>
          <w:kern w:val="0"/>
          <w:sz w:val="28"/>
          <w:szCs w:val="28"/>
        </w:rPr>
        <w:t>衛生福利部(以下稱本部)為維護國人健康，保障消費者權益，有效執行食品安全衛生管理法第二十八條，禁止食品標示、宣傳或廣告誇張、易生誤解或宣稱醫療效能，特訂定本基準。</w:t>
      </w:r>
    </w:p>
    <w:p w:rsidR="003A4EF6" w:rsidRPr="000C4F09" w:rsidRDefault="003A4EF6" w:rsidP="003A4EF6">
      <w:pPr>
        <w:pStyle w:val="af5"/>
        <w:widowControl/>
        <w:numPr>
          <w:ilvl w:val="0"/>
          <w:numId w:val="4"/>
        </w:numPr>
        <w:shd w:val="clear" w:color="auto" w:fill="FFFFFF"/>
        <w:wordWrap w:val="0"/>
        <w:overflowPunct w:val="0"/>
        <w:spacing w:line="320" w:lineRule="exact"/>
        <w:ind w:leftChars="0" w:left="709" w:hanging="709"/>
        <w:jc w:val="both"/>
        <w:rPr>
          <w:rFonts w:ascii="標楷體" w:hAnsi="標楷體" w:cs="Arial"/>
          <w:spacing w:val="12"/>
          <w:kern w:val="0"/>
          <w:sz w:val="28"/>
          <w:szCs w:val="28"/>
        </w:rPr>
      </w:pPr>
      <w:r w:rsidRPr="000C4F09">
        <w:rPr>
          <w:rFonts w:ascii="標楷體" w:hAnsi="標楷體" w:cs="Arial"/>
          <w:spacing w:val="12"/>
          <w:kern w:val="0"/>
          <w:sz w:val="28"/>
          <w:szCs w:val="28"/>
        </w:rPr>
        <w:t>食品標示、宣傳或廣告如有誇張、易生誤解或宣稱醫療效能之情形，且涉及違反健康食品管理法第六條規定者，應依違反健康食品管理法論處。</w:t>
      </w:r>
    </w:p>
    <w:p w:rsidR="003A4EF6" w:rsidRPr="000C4F09" w:rsidRDefault="003A4EF6" w:rsidP="003A4EF6">
      <w:pPr>
        <w:pStyle w:val="af5"/>
        <w:widowControl/>
        <w:numPr>
          <w:ilvl w:val="0"/>
          <w:numId w:val="4"/>
        </w:numPr>
        <w:shd w:val="clear" w:color="auto" w:fill="FFFFFF"/>
        <w:wordWrap w:val="0"/>
        <w:overflowPunct w:val="0"/>
        <w:spacing w:line="320" w:lineRule="exact"/>
        <w:ind w:leftChars="0" w:left="709" w:hanging="709"/>
        <w:jc w:val="both"/>
        <w:rPr>
          <w:rFonts w:ascii="標楷體" w:hAnsi="標楷體" w:cs="Arial"/>
          <w:spacing w:val="12"/>
          <w:kern w:val="0"/>
          <w:sz w:val="28"/>
          <w:szCs w:val="28"/>
        </w:rPr>
      </w:pPr>
      <w:r w:rsidRPr="000C4F09">
        <w:rPr>
          <w:rFonts w:ascii="標楷體" w:hAnsi="標楷體" w:cs="Arial"/>
          <w:spacing w:val="12"/>
          <w:kern w:val="0"/>
          <w:sz w:val="28"/>
          <w:szCs w:val="28"/>
        </w:rPr>
        <w:t xml:space="preserve">涉及誇張、易生誤解或醫療效能之認定基準如下: </w:t>
      </w:r>
    </w:p>
    <w:p w:rsidR="003A4EF6" w:rsidRPr="000C4F09" w:rsidRDefault="003A4EF6" w:rsidP="003A4EF6">
      <w:pPr>
        <w:pStyle w:val="af5"/>
        <w:widowControl/>
        <w:numPr>
          <w:ilvl w:val="1"/>
          <w:numId w:val="4"/>
        </w:numPr>
        <w:shd w:val="clear" w:color="auto" w:fill="FFFFFF"/>
        <w:wordWrap w:val="0"/>
        <w:overflowPunct w:val="0"/>
        <w:spacing w:line="320" w:lineRule="exact"/>
        <w:ind w:leftChars="0"/>
        <w:jc w:val="both"/>
        <w:rPr>
          <w:rFonts w:ascii="標楷體" w:hAnsi="標楷體" w:cs="Arial"/>
          <w:spacing w:val="12"/>
          <w:kern w:val="0"/>
          <w:sz w:val="28"/>
          <w:szCs w:val="28"/>
        </w:rPr>
      </w:pPr>
      <w:r w:rsidRPr="000C4F09">
        <w:rPr>
          <w:rFonts w:ascii="標楷體" w:hAnsi="標楷體" w:cs="Arial"/>
          <w:spacing w:val="12"/>
          <w:kern w:val="0"/>
          <w:sz w:val="28"/>
          <w:szCs w:val="28"/>
        </w:rPr>
        <w:t>使用下列詞句者，應認定為涉及醫療效能:</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宣稱預防、改善、減輕、診斷或治療疾病或特定生理情形:</w:t>
      </w:r>
    </w:p>
    <w:p w:rsidR="003A4EF6" w:rsidRPr="000C4F09" w:rsidRDefault="003A4EF6" w:rsidP="003A4EF6">
      <w:pPr>
        <w:widowControl/>
        <w:shd w:val="clear" w:color="auto" w:fill="FFFFFF"/>
        <w:wordWrap w:val="0"/>
        <w:overflowPunct w:val="0"/>
        <w:spacing w:line="320" w:lineRule="exact"/>
        <w:ind w:leftChars="375" w:left="2125" w:hangingChars="262" w:hanging="849"/>
        <w:jc w:val="both"/>
        <w:rPr>
          <w:rFonts w:ascii="標楷體" w:hAnsi="標楷體" w:cs="Arial"/>
          <w:spacing w:val="12"/>
          <w:kern w:val="0"/>
          <w:sz w:val="28"/>
          <w:szCs w:val="28"/>
        </w:rPr>
      </w:pPr>
      <w:r w:rsidRPr="000C4F09">
        <w:rPr>
          <w:rFonts w:ascii="標楷體" w:hAnsi="標楷體" w:cs="Arial"/>
          <w:spacing w:val="12"/>
          <w:kern w:val="0"/>
          <w:sz w:val="28"/>
          <w:szCs w:val="28"/>
        </w:rPr>
        <w:t>例句:治療近視。恢復視力。防止便秘。利尿。改善過敏體質。壯陽。強精。減輕過敏性皮膚病。治失眠。防止貧血。降血壓。改善血濁。清血。調整內分泌。防止更年期的提早。</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宣稱減輕或降低導致疾病有關之體內成分:</w:t>
      </w:r>
    </w:p>
    <w:p w:rsidR="003A4EF6" w:rsidRPr="000C4F09" w:rsidRDefault="003A4EF6" w:rsidP="003A4EF6">
      <w:pPr>
        <w:pStyle w:val="af5"/>
        <w:widowControl/>
        <w:shd w:val="clear" w:color="auto" w:fill="FFFFFF"/>
        <w:wordWrap w:val="0"/>
        <w:overflowPunct w:val="0"/>
        <w:spacing w:line="320" w:lineRule="exact"/>
        <w:ind w:leftChars="374" w:left="2121" w:hangingChars="262" w:hanging="849"/>
        <w:jc w:val="both"/>
        <w:rPr>
          <w:rFonts w:ascii="標楷體" w:hAnsi="標楷體" w:cs="Arial"/>
          <w:spacing w:val="12"/>
          <w:kern w:val="0"/>
          <w:sz w:val="28"/>
          <w:szCs w:val="28"/>
        </w:rPr>
      </w:pPr>
      <w:r w:rsidRPr="000C4F09">
        <w:rPr>
          <w:rFonts w:ascii="標楷體" w:hAnsi="標楷體" w:cs="Arial"/>
          <w:spacing w:val="12"/>
          <w:kern w:val="0"/>
          <w:sz w:val="28"/>
          <w:szCs w:val="28"/>
        </w:rPr>
        <w:t>例句:解肝毒。降肝脂。</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宣稱產品對疾病及疾病症候群或症狀有效:</w:t>
      </w:r>
    </w:p>
    <w:p w:rsidR="003A4EF6" w:rsidRPr="000C4F09" w:rsidRDefault="003A4EF6" w:rsidP="003A4EF6">
      <w:pPr>
        <w:widowControl/>
        <w:shd w:val="clear" w:color="auto" w:fill="FFFFFF"/>
        <w:wordWrap w:val="0"/>
        <w:overflowPunct w:val="0"/>
        <w:spacing w:line="320" w:lineRule="exact"/>
        <w:ind w:leftChars="375" w:left="2125" w:hangingChars="262" w:hanging="849"/>
        <w:jc w:val="both"/>
        <w:rPr>
          <w:rFonts w:ascii="標楷體" w:hAnsi="標楷體" w:cs="Arial"/>
          <w:spacing w:val="12"/>
          <w:kern w:val="0"/>
          <w:sz w:val="28"/>
          <w:szCs w:val="28"/>
        </w:rPr>
      </w:pPr>
      <w:r w:rsidRPr="000C4F09">
        <w:rPr>
          <w:rFonts w:ascii="標楷體" w:hAnsi="標楷體" w:cs="Arial"/>
          <w:spacing w:val="12"/>
          <w:kern w:val="0"/>
          <w:sz w:val="28"/>
          <w:szCs w:val="28"/>
        </w:rPr>
        <w:t>例句:消滯。降肝火。改善喉嚨發炎。祛痰止喘。消腫止痛。消除心律不整。解毒。</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涉及中藥材之效能者:</w:t>
      </w:r>
    </w:p>
    <w:p w:rsidR="003A4EF6" w:rsidRPr="000C4F09" w:rsidRDefault="003A4EF6" w:rsidP="003A4EF6">
      <w:pPr>
        <w:widowControl/>
        <w:shd w:val="clear" w:color="auto" w:fill="FFFFFF"/>
        <w:wordWrap w:val="0"/>
        <w:overflowPunct w:val="0"/>
        <w:spacing w:line="320" w:lineRule="exact"/>
        <w:ind w:leftChars="374" w:left="2270" w:hangingChars="308" w:hanging="998"/>
        <w:jc w:val="both"/>
        <w:rPr>
          <w:rFonts w:ascii="標楷體" w:hAnsi="標楷體" w:cs="Arial"/>
          <w:spacing w:val="12"/>
          <w:kern w:val="0"/>
          <w:sz w:val="28"/>
          <w:szCs w:val="28"/>
        </w:rPr>
      </w:pPr>
      <w:r w:rsidRPr="000C4F09">
        <w:rPr>
          <w:rFonts w:ascii="標楷體" w:hAnsi="標楷體" w:cs="Arial"/>
          <w:spacing w:val="12"/>
          <w:kern w:val="0"/>
          <w:sz w:val="28"/>
          <w:szCs w:val="28"/>
        </w:rPr>
        <w:t>例句：補腎。溫腎（化氣）。滋腎。固腎。健脾。補脾。益脾。溫脾。和胃。養胃。補胃。益胃。溫胃（建中）。翻胃。養心。清心火。補心。寧心。瀉心。鎮心。強心。清肺。宣肺。潤肺。傷肺。溫肺（化痰）。補肺。瀉肺。疏肝。養肝。瀉肝。鎮肝（熄風）。澀腸。潤腸。活血。化瘀。</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引用或摘錄出版品、典籍或以他人名義並述及醫藥效能:</w:t>
      </w:r>
    </w:p>
    <w:p w:rsidR="003A4EF6" w:rsidRPr="000C4F09" w:rsidRDefault="003A4EF6" w:rsidP="003A4EF6">
      <w:pPr>
        <w:widowControl/>
        <w:shd w:val="clear" w:color="auto" w:fill="FFFFFF"/>
        <w:wordWrap w:val="0"/>
        <w:overflowPunct w:val="0"/>
        <w:spacing w:line="320" w:lineRule="exact"/>
        <w:ind w:leftChars="375" w:left="2268" w:hangingChars="306" w:hanging="992"/>
        <w:jc w:val="both"/>
        <w:rPr>
          <w:rFonts w:ascii="標楷體" w:hAnsi="標楷體" w:cs="Arial"/>
          <w:spacing w:val="12"/>
          <w:kern w:val="0"/>
          <w:sz w:val="28"/>
          <w:szCs w:val="28"/>
        </w:rPr>
      </w:pPr>
      <w:r w:rsidRPr="000C4F09">
        <w:rPr>
          <w:rFonts w:ascii="標楷體" w:hAnsi="標楷體" w:cs="Arial"/>
          <w:spacing w:val="12"/>
          <w:kern w:val="0"/>
          <w:sz w:val="28"/>
          <w:szCs w:val="28"/>
        </w:rPr>
        <w:t>例句：「本草備要」記載：冬蟲夏草可止血化痰。「本草綱目」記載：黑豆可止痛。散五臟結積內寒。</w:t>
      </w:r>
    </w:p>
    <w:p w:rsidR="003A4EF6" w:rsidRPr="000C4F09" w:rsidRDefault="003A4EF6" w:rsidP="003A4EF6">
      <w:pPr>
        <w:pStyle w:val="af5"/>
        <w:widowControl/>
        <w:numPr>
          <w:ilvl w:val="1"/>
          <w:numId w:val="4"/>
        </w:numPr>
        <w:shd w:val="clear" w:color="auto" w:fill="FFFFFF"/>
        <w:wordWrap w:val="0"/>
        <w:overflowPunct w:val="0"/>
        <w:spacing w:line="320" w:lineRule="exact"/>
        <w:ind w:leftChars="0"/>
        <w:jc w:val="both"/>
        <w:rPr>
          <w:rFonts w:ascii="標楷體" w:hAnsi="標楷體" w:cs="Arial"/>
          <w:spacing w:val="12"/>
          <w:kern w:val="0"/>
          <w:sz w:val="28"/>
          <w:szCs w:val="28"/>
        </w:rPr>
      </w:pPr>
      <w:r w:rsidRPr="000C4F09">
        <w:rPr>
          <w:rFonts w:ascii="標楷體" w:hAnsi="標楷體" w:cs="Arial"/>
          <w:spacing w:val="12"/>
          <w:kern w:val="0"/>
          <w:sz w:val="28"/>
          <w:szCs w:val="28"/>
        </w:rPr>
        <w:t>使用下列詞句者，應認定為未涉及醫療效能，但涉及誇張或易生誤解:</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涉及生理功能者:</w:t>
      </w:r>
    </w:p>
    <w:p w:rsidR="003A4EF6" w:rsidRPr="000C4F09" w:rsidRDefault="003A4EF6" w:rsidP="003A4EF6">
      <w:pPr>
        <w:widowControl/>
        <w:shd w:val="clear" w:color="auto" w:fill="FFFFFF"/>
        <w:wordWrap w:val="0"/>
        <w:overflowPunct w:val="0"/>
        <w:spacing w:line="320" w:lineRule="exact"/>
        <w:ind w:leftChars="376" w:left="2271" w:hangingChars="306" w:hanging="992"/>
        <w:jc w:val="both"/>
        <w:rPr>
          <w:rFonts w:ascii="標楷體" w:hAnsi="標楷體" w:cs="Arial"/>
          <w:spacing w:val="12"/>
          <w:kern w:val="0"/>
          <w:sz w:val="28"/>
          <w:szCs w:val="28"/>
        </w:rPr>
      </w:pPr>
      <w:r w:rsidRPr="000C4F09">
        <w:rPr>
          <w:rFonts w:ascii="標楷體" w:hAnsi="標楷體" w:cs="Arial"/>
          <w:spacing w:val="12"/>
          <w:kern w:val="0"/>
          <w:sz w:val="28"/>
          <w:szCs w:val="28"/>
        </w:rPr>
        <w:lastRenderedPageBreak/>
        <w:t>例句：增強抵抗力。強化細胞功能。增智。補腦。增強記憶力。改善體質。解酒。清除自由基。排毒素。分解有害物質。改善更年期障礙。平胃氣。防止口臭。</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未涉及中藥材效能而涉及五官臟器者:</w:t>
      </w:r>
    </w:p>
    <w:p w:rsidR="003A4EF6" w:rsidRPr="000C4F09" w:rsidRDefault="003A4EF6" w:rsidP="003A4EF6">
      <w:pPr>
        <w:widowControl/>
        <w:shd w:val="clear" w:color="auto" w:fill="FFFFFF"/>
        <w:wordWrap w:val="0"/>
        <w:overflowPunct w:val="0"/>
        <w:spacing w:line="320" w:lineRule="exact"/>
        <w:ind w:leftChars="375" w:left="2268" w:hangingChars="306" w:hanging="992"/>
        <w:jc w:val="both"/>
        <w:rPr>
          <w:rFonts w:ascii="標楷體" w:hAnsi="標楷體" w:cs="Arial"/>
          <w:spacing w:val="12"/>
          <w:kern w:val="0"/>
          <w:sz w:val="28"/>
          <w:szCs w:val="28"/>
        </w:rPr>
      </w:pPr>
      <w:r w:rsidRPr="000C4F09">
        <w:rPr>
          <w:rFonts w:ascii="標楷體" w:hAnsi="標楷體" w:cs="Arial"/>
          <w:spacing w:val="12"/>
          <w:kern w:val="0"/>
          <w:sz w:val="28"/>
          <w:szCs w:val="28"/>
        </w:rPr>
        <w:t>例句：保護眼睛。增加血管彈性。</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涉及改變身體外觀者:</w:t>
      </w:r>
    </w:p>
    <w:p w:rsidR="003A4EF6" w:rsidRPr="000C4F09" w:rsidRDefault="003A4EF6" w:rsidP="003A4EF6">
      <w:pPr>
        <w:widowControl/>
        <w:shd w:val="clear" w:color="auto" w:fill="FFFFFF"/>
        <w:wordWrap w:val="0"/>
        <w:overflowPunct w:val="0"/>
        <w:spacing w:line="320" w:lineRule="exact"/>
        <w:ind w:leftChars="375" w:left="2268" w:hangingChars="306" w:hanging="992"/>
        <w:jc w:val="both"/>
        <w:rPr>
          <w:rFonts w:ascii="標楷體" w:hAnsi="標楷體" w:cs="Arial"/>
          <w:spacing w:val="12"/>
          <w:kern w:val="0"/>
          <w:sz w:val="28"/>
          <w:szCs w:val="28"/>
        </w:rPr>
      </w:pPr>
      <w:r w:rsidRPr="000C4F09">
        <w:rPr>
          <w:rFonts w:ascii="標楷體" w:hAnsi="標楷體" w:cs="Arial"/>
          <w:spacing w:val="12"/>
          <w:kern w:val="0"/>
          <w:sz w:val="28"/>
          <w:szCs w:val="28"/>
        </w:rPr>
        <w:t>例句：豐胸。預防乳房下垂。減肥。塑身。增高。使頭髮烏黑。延遲衰老。防止老化。改善皺紋。美白。纖體(瘦身)。</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jc w:val="both"/>
        <w:rPr>
          <w:rFonts w:ascii="標楷體" w:hAnsi="標楷體" w:cs="Arial"/>
          <w:spacing w:val="12"/>
          <w:kern w:val="0"/>
          <w:sz w:val="28"/>
          <w:szCs w:val="28"/>
        </w:rPr>
      </w:pPr>
      <w:r w:rsidRPr="000C4F09">
        <w:rPr>
          <w:rFonts w:ascii="標楷體" w:hAnsi="標楷體" w:cs="Arial"/>
          <w:spacing w:val="12"/>
          <w:kern w:val="0"/>
          <w:sz w:val="28"/>
          <w:szCs w:val="28"/>
        </w:rPr>
        <w:t>引用本部部授食字號或相當意義詞句者:</w:t>
      </w:r>
    </w:p>
    <w:p w:rsidR="003A4EF6" w:rsidRPr="000C4F09" w:rsidRDefault="003A4EF6" w:rsidP="003A4EF6">
      <w:pPr>
        <w:widowControl/>
        <w:shd w:val="clear" w:color="auto" w:fill="FFFFFF"/>
        <w:wordWrap w:val="0"/>
        <w:overflowPunct w:val="0"/>
        <w:spacing w:line="320" w:lineRule="exact"/>
        <w:ind w:leftChars="375" w:left="2125" w:hangingChars="262" w:hanging="849"/>
        <w:jc w:val="both"/>
        <w:rPr>
          <w:rFonts w:ascii="標楷體" w:hAnsi="標楷體" w:cs="Arial"/>
          <w:spacing w:val="12"/>
          <w:kern w:val="0"/>
          <w:sz w:val="28"/>
          <w:szCs w:val="28"/>
        </w:rPr>
      </w:pPr>
      <w:r w:rsidRPr="000C4F09">
        <w:rPr>
          <w:rFonts w:ascii="標楷體" w:hAnsi="標楷體" w:cs="Arial"/>
          <w:spacing w:val="12"/>
          <w:kern w:val="0"/>
          <w:sz w:val="28"/>
          <w:szCs w:val="28"/>
        </w:rPr>
        <w:t>例句：部授食字第</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號。衛署食字第</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號。署授衛食字第</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號。FDA</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字第</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號。衛署食字第</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號許可。衛署食字第</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號審查合格。領有衛生署食字號。獲得衛生署食字號許可。通過衛生署配方審查。本產品經衛署食字第</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號配方審查認定為食品。本產品經衛署食字第</w:t>
      </w:r>
      <w:r w:rsidRPr="000C4F09">
        <w:rPr>
          <w:rFonts w:ascii="標楷體" w:hAnsi="標楷體" w:cs="細明體" w:hint="eastAsia"/>
          <w:spacing w:val="12"/>
          <w:kern w:val="0"/>
          <w:sz w:val="28"/>
          <w:szCs w:val="28"/>
        </w:rPr>
        <w:t>◎◎◎◎◎◎◎◎◎◎</w:t>
      </w:r>
      <w:r w:rsidRPr="000C4F09">
        <w:rPr>
          <w:rFonts w:ascii="標楷體" w:hAnsi="標楷體" w:cs="Arial"/>
          <w:spacing w:val="12"/>
          <w:kern w:val="0"/>
          <w:sz w:val="28"/>
          <w:szCs w:val="28"/>
        </w:rPr>
        <w:t>號查驗登記認定為食品。</w:t>
      </w:r>
    </w:p>
    <w:p w:rsidR="003A4EF6" w:rsidRPr="000C4F09" w:rsidRDefault="003A4EF6" w:rsidP="003A4EF6">
      <w:pPr>
        <w:pStyle w:val="af5"/>
        <w:widowControl/>
        <w:numPr>
          <w:ilvl w:val="0"/>
          <w:numId w:val="4"/>
        </w:numPr>
        <w:shd w:val="clear" w:color="auto" w:fill="FFFFFF"/>
        <w:wordWrap w:val="0"/>
        <w:overflowPunct w:val="0"/>
        <w:spacing w:line="320" w:lineRule="exact"/>
        <w:ind w:leftChars="0"/>
        <w:jc w:val="both"/>
        <w:rPr>
          <w:rFonts w:ascii="標楷體" w:hAnsi="標楷體" w:cs="Arial"/>
          <w:spacing w:val="12"/>
          <w:kern w:val="0"/>
          <w:sz w:val="28"/>
          <w:szCs w:val="28"/>
        </w:rPr>
      </w:pPr>
      <w:r w:rsidRPr="000C4F09">
        <w:rPr>
          <w:rFonts w:ascii="標楷體" w:hAnsi="標楷體" w:cs="Arial"/>
          <w:spacing w:val="12"/>
          <w:kern w:val="0"/>
          <w:sz w:val="28"/>
          <w:szCs w:val="28"/>
        </w:rPr>
        <w:t>使用下列詞句者，應認定為未涉及誇張、易生誤解或醫療效能:</w:t>
      </w:r>
    </w:p>
    <w:p w:rsidR="003A4EF6" w:rsidRPr="000C4F09" w:rsidRDefault="003A4EF6" w:rsidP="003A4EF6">
      <w:pPr>
        <w:pStyle w:val="af5"/>
        <w:widowControl/>
        <w:numPr>
          <w:ilvl w:val="1"/>
          <w:numId w:val="4"/>
        </w:numPr>
        <w:shd w:val="clear" w:color="auto" w:fill="FFFFFF"/>
        <w:wordWrap w:val="0"/>
        <w:overflowPunct w:val="0"/>
        <w:spacing w:line="320" w:lineRule="exact"/>
        <w:ind w:leftChars="0"/>
        <w:jc w:val="both"/>
        <w:rPr>
          <w:rFonts w:ascii="標楷體" w:hAnsi="標楷體" w:cs="Arial"/>
          <w:spacing w:val="12"/>
          <w:kern w:val="0"/>
          <w:sz w:val="28"/>
          <w:szCs w:val="28"/>
        </w:rPr>
      </w:pPr>
      <w:r w:rsidRPr="000C4F09">
        <w:rPr>
          <w:rFonts w:ascii="標楷體" w:hAnsi="標楷體" w:cs="Arial"/>
          <w:spacing w:val="12"/>
          <w:kern w:val="0"/>
          <w:sz w:val="28"/>
          <w:szCs w:val="28"/>
        </w:rPr>
        <w:t>通常可使用之例句:</w:t>
      </w:r>
    </w:p>
    <w:p w:rsidR="003A4EF6" w:rsidRPr="000C4F09" w:rsidRDefault="003A4EF6" w:rsidP="003A4EF6">
      <w:pPr>
        <w:widowControl/>
        <w:shd w:val="clear" w:color="auto" w:fill="FFFFFF"/>
        <w:wordWrap w:val="0"/>
        <w:overflowPunct w:val="0"/>
        <w:spacing w:line="320" w:lineRule="exact"/>
        <w:ind w:left="1134" w:hanging="2"/>
        <w:jc w:val="both"/>
        <w:rPr>
          <w:rFonts w:ascii="標楷體" w:hAnsi="標楷體" w:cs="Arial"/>
          <w:spacing w:val="12"/>
          <w:kern w:val="0"/>
          <w:sz w:val="28"/>
          <w:szCs w:val="28"/>
        </w:rPr>
      </w:pPr>
      <w:r w:rsidRPr="000C4F09">
        <w:rPr>
          <w:rFonts w:ascii="標楷體" w:hAnsi="標楷體" w:cs="Arial"/>
          <w:spacing w:val="12"/>
          <w:kern w:val="0"/>
          <w:sz w:val="28"/>
          <w:szCs w:val="28"/>
        </w:rPr>
        <w:t>幫助牙齒骨骼正常發育。幫助消化。幫助維持消化道機能。改變細菌叢生態。使排便順暢。調整體質。調節生理機能。滋補強身。增強體力。精神旺盛。養顏美容。幫助入睡。營養補給。健康維持。青春美麗。產前產後或病後之補養。促進新陳代謝。清涼解渴。生津止渴。促進食慾。開胃。退火。降火氣。使口氣芬芳。促進唾液分泌。潤喉。「本草綱目」記載梅子氣味甘酸，可生津解渴（未述及醫藥效能）。</w:t>
      </w:r>
    </w:p>
    <w:p w:rsidR="003A4EF6" w:rsidRPr="000C4F09" w:rsidRDefault="003A4EF6" w:rsidP="003A4EF6">
      <w:pPr>
        <w:pStyle w:val="af5"/>
        <w:widowControl/>
        <w:numPr>
          <w:ilvl w:val="1"/>
          <w:numId w:val="4"/>
        </w:numPr>
        <w:shd w:val="clear" w:color="auto" w:fill="FFFFFF"/>
        <w:wordWrap w:val="0"/>
        <w:overflowPunct w:val="0"/>
        <w:spacing w:line="320" w:lineRule="exact"/>
        <w:ind w:leftChars="0"/>
        <w:jc w:val="both"/>
        <w:rPr>
          <w:rFonts w:ascii="標楷體" w:hAnsi="標楷體" w:cs="Arial"/>
          <w:spacing w:val="12"/>
          <w:kern w:val="0"/>
          <w:sz w:val="28"/>
          <w:szCs w:val="28"/>
        </w:rPr>
      </w:pPr>
      <w:r w:rsidRPr="000C4F09">
        <w:rPr>
          <w:rFonts w:ascii="標楷體" w:hAnsi="標楷體" w:cs="Arial"/>
          <w:spacing w:val="12"/>
          <w:kern w:val="0"/>
          <w:sz w:val="28"/>
          <w:szCs w:val="28"/>
        </w:rPr>
        <w:t>一般營養素可敘述之生理功能例句 (須明敘係營養素之生理功能，例如:膳食纖維可促進腸道蠕動；維生素A有助於維持在暗處的視覺；維生素D可增進鈣吸收):</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left="1276" w:hanging="316"/>
        <w:jc w:val="both"/>
        <w:rPr>
          <w:rFonts w:ascii="標楷體" w:hAnsi="標楷體" w:cs="Arial"/>
          <w:spacing w:val="12"/>
          <w:kern w:val="0"/>
          <w:sz w:val="28"/>
          <w:szCs w:val="28"/>
        </w:rPr>
      </w:pPr>
      <w:r w:rsidRPr="000C4F09">
        <w:rPr>
          <w:rFonts w:ascii="標楷體" w:hAnsi="標楷體" w:cs="Arial"/>
          <w:spacing w:val="12"/>
          <w:kern w:val="0"/>
          <w:sz w:val="28"/>
          <w:szCs w:val="28"/>
        </w:rPr>
        <w:t>維生素或礦物質:</w:t>
      </w:r>
    </w:p>
    <w:p w:rsidR="003A4EF6" w:rsidRPr="000C4F09" w:rsidRDefault="003A4EF6" w:rsidP="003A4EF6">
      <w:pPr>
        <w:widowControl/>
        <w:shd w:val="clear" w:color="auto" w:fill="FFFFFF"/>
        <w:wordWrap w:val="0"/>
        <w:overflowPunct w:val="0"/>
        <w:spacing w:line="320" w:lineRule="exact"/>
        <w:ind w:left="960"/>
        <w:jc w:val="both"/>
        <w:rPr>
          <w:rFonts w:ascii="標楷體" w:hAnsi="標楷體" w:cs="Arial"/>
          <w:spacing w:val="12"/>
          <w:kern w:val="0"/>
          <w:sz w:val="28"/>
          <w:szCs w:val="28"/>
        </w:rPr>
      </w:pPr>
      <w:r w:rsidRPr="000C4F09">
        <w:rPr>
          <w:rFonts w:ascii="標楷體" w:hAnsi="標楷體" w:cs="Arial"/>
          <w:spacing w:val="12"/>
          <w:kern w:val="0"/>
          <w:sz w:val="28"/>
          <w:szCs w:val="28"/>
        </w:rPr>
        <w:t>例句如附表一。</w:t>
      </w:r>
    </w:p>
    <w:p w:rsidR="003A4EF6" w:rsidRPr="000C4F09" w:rsidRDefault="003A4EF6" w:rsidP="003A4EF6">
      <w:pPr>
        <w:pStyle w:val="af5"/>
        <w:widowControl/>
        <w:numPr>
          <w:ilvl w:val="2"/>
          <w:numId w:val="4"/>
        </w:numPr>
        <w:shd w:val="clear" w:color="auto" w:fill="FFFFFF"/>
        <w:wordWrap w:val="0"/>
        <w:overflowPunct w:val="0"/>
        <w:spacing w:line="320" w:lineRule="exact"/>
        <w:ind w:leftChars="0"/>
        <w:jc w:val="both"/>
        <w:rPr>
          <w:rFonts w:ascii="標楷體" w:hAnsi="標楷體" w:cs="Arial"/>
          <w:spacing w:val="12"/>
          <w:kern w:val="0"/>
          <w:sz w:val="28"/>
          <w:szCs w:val="28"/>
        </w:rPr>
      </w:pPr>
      <w:r w:rsidRPr="000C4F09">
        <w:rPr>
          <w:rFonts w:ascii="標楷體" w:hAnsi="標楷體" w:cs="Arial"/>
          <w:spacing w:val="12"/>
          <w:kern w:val="0"/>
          <w:sz w:val="28"/>
          <w:szCs w:val="28"/>
        </w:rPr>
        <w:t>其他營養素:</w:t>
      </w:r>
    </w:p>
    <w:p w:rsidR="003A4EF6" w:rsidRPr="000C4F09" w:rsidRDefault="003A4EF6" w:rsidP="003A4EF6">
      <w:pPr>
        <w:widowControl/>
        <w:shd w:val="clear" w:color="auto" w:fill="FFFFFF"/>
        <w:wordWrap w:val="0"/>
        <w:overflowPunct w:val="0"/>
        <w:spacing w:line="320" w:lineRule="exact"/>
        <w:ind w:left="960"/>
        <w:jc w:val="both"/>
        <w:rPr>
          <w:rFonts w:ascii="標楷體"/>
          <w:bCs/>
          <w:kern w:val="0"/>
        </w:rPr>
      </w:pPr>
      <w:r w:rsidRPr="000C4F09">
        <w:rPr>
          <w:rFonts w:ascii="標楷體" w:hAnsi="標楷體" w:cs="Arial"/>
          <w:spacing w:val="12"/>
          <w:kern w:val="0"/>
          <w:sz w:val="28"/>
          <w:szCs w:val="28"/>
        </w:rPr>
        <w:t>例句如附表二。</w:t>
      </w:r>
      <w:r w:rsidRPr="000C4F09">
        <w:rPr>
          <w:bCs/>
        </w:rPr>
        <w:br w:type="page"/>
      </w:r>
    </w:p>
    <w:p w:rsidR="003A4EF6" w:rsidRPr="000C4F09" w:rsidRDefault="003A4EF6" w:rsidP="003A4EF6">
      <w:pPr>
        <w:widowControl/>
        <w:rPr>
          <w:b/>
          <w:bCs/>
        </w:rPr>
      </w:pPr>
      <w:r w:rsidRPr="000C4F09">
        <w:rPr>
          <w:rFonts w:hint="eastAsia"/>
          <w:bCs/>
        </w:rPr>
        <w:lastRenderedPageBreak/>
        <w:t>附件</w:t>
      </w:r>
      <w:r w:rsidRPr="000C4F09">
        <w:rPr>
          <w:rFonts w:hint="eastAsia"/>
          <w:bCs/>
        </w:rPr>
        <w:t>2</w:t>
      </w:r>
      <w:r w:rsidRPr="000C4F09">
        <w:rPr>
          <w:rFonts w:hint="eastAsia"/>
          <w:bCs/>
        </w:rPr>
        <w:t>、</w:t>
      </w:r>
      <w:r w:rsidRPr="000C4F09">
        <w:rPr>
          <w:rFonts w:hint="eastAsia"/>
          <w:b/>
          <w:bCs/>
        </w:rPr>
        <w:t>食品安全衛生管理法行政罰行為數認定標準</w:t>
      </w:r>
    </w:p>
    <w:p w:rsidR="003A4EF6" w:rsidRPr="000C4F09" w:rsidRDefault="003A4EF6" w:rsidP="003A4EF6">
      <w:pPr>
        <w:widowControl/>
        <w:jc w:val="right"/>
        <w:rPr>
          <w:bCs/>
          <w:sz w:val="24"/>
          <w:szCs w:val="24"/>
        </w:rPr>
      </w:pPr>
      <w:r w:rsidRPr="000C4F09">
        <w:rPr>
          <w:bCs/>
          <w:sz w:val="24"/>
          <w:szCs w:val="24"/>
        </w:rPr>
        <w:t>104</w:t>
      </w:r>
      <w:r w:rsidRPr="000C4F09">
        <w:rPr>
          <w:bCs/>
          <w:sz w:val="24"/>
          <w:szCs w:val="24"/>
        </w:rPr>
        <w:t>年</w:t>
      </w:r>
      <w:r w:rsidRPr="000C4F09">
        <w:rPr>
          <w:bCs/>
          <w:sz w:val="24"/>
          <w:szCs w:val="24"/>
        </w:rPr>
        <w:t>6</w:t>
      </w:r>
      <w:r w:rsidRPr="000C4F09">
        <w:rPr>
          <w:bCs/>
          <w:sz w:val="24"/>
          <w:szCs w:val="24"/>
        </w:rPr>
        <w:t>月</w:t>
      </w:r>
      <w:r w:rsidRPr="000C4F09">
        <w:rPr>
          <w:bCs/>
          <w:sz w:val="24"/>
          <w:szCs w:val="24"/>
        </w:rPr>
        <w:t>22</w:t>
      </w:r>
      <w:r w:rsidRPr="000C4F09">
        <w:rPr>
          <w:bCs/>
          <w:sz w:val="24"/>
          <w:szCs w:val="24"/>
        </w:rPr>
        <w:t>日部授食字第</w:t>
      </w:r>
      <w:r w:rsidRPr="000C4F09">
        <w:rPr>
          <w:bCs/>
          <w:sz w:val="24"/>
          <w:szCs w:val="24"/>
        </w:rPr>
        <w:t>1041302023</w:t>
      </w:r>
      <w:r w:rsidRPr="000C4F09">
        <w:rPr>
          <w:bCs/>
          <w:sz w:val="24"/>
          <w:szCs w:val="24"/>
        </w:rPr>
        <w:t>號令</w:t>
      </w:r>
    </w:p>
    <w:p w:rsidR="003A4EF6" w:rsidRPr="000C4F09" w:rsidRDefault="003A4EF6" w:rsidP="003A4EF6">
      <w:pPr>
        <w:widowControl/>
        <w:numPr>
          <w:ilvl w:val="0"/>
          <w:numId w:val="5"/>
        </w:numPr>
        <w:overflowPunct w:val="0"/>
        <w:spacing w:line="380" w:lineRule="exact"/>
        <w:ind w:left="1843" w:hanging="1843"/>
        <w:jc w:val="both"/>
        <w:rPr>
          <w:bCs/>
          <w:sz w:val="28"/>
          <w:szCs w:val="28"/>
        </w:rPr>
      </w:pPr>
      <w:r w:rsidRPr="000C4F09">
        <w:rPr>
          <w:rFonts w:hint="eastAsia"/>
          <w:bCs/>
          <w:sz w:val="28"/>
          <w:szCs w:val="28"/>
        </w:rPr>
        <w:t>本標準依食品安全衛生管理法（以下簡稱本法）第五十五條之一規定訂定之。</w:t>
      </w:r>
    </w:p>
    <w:p w:rsidR="003A4EF6" w:rsidRPr="000C4F09" w:rsidRDefault="003A4EF6" w:rsidP="003A4EF6">
      <w:pPr>
        <w:widowControl/>
        <w:numPr>
          <w:ilvl w:val="0"/>
          <w:numId w:val="5"/>
        </w:numPr>
        <w:tabs>
          <w:tab w:val="clear" w:pos="1125"/>
          <w:tab w:val="num" w:pos="1843"/>
        </w:tabs>
        <w:overflowPunct w:val="0"/>
        <w:spacing w:line="380" w:lineRule="exact"/>
        <w:ind w:left="1843" w:hanging="1843"/>
        <w:jc w:val="both"/>
        <w:rPr>
          <w:bCs/>
          <w:sz w:val="28"/>
          <w:szCs w:val="28"/>
        </w:rPr>
      </w:pPr>
      <w:r w:rsidRPr="000C4F09">
        <w:rPr>
          <w:rFonts w:hint="eastAsia"/>
          <w:bCs/>
          <w:sz w:val="28"/>
          <w:szCs w:val="28"/>
        </w:rPr>
        <w:t>依本法有不得製造、加工、調配、包裝、運送、貯存、販賣、輸入、輸出、作為贈品或公開陳列特定物品之義務而違反者，依下列基準判斷其行為數：</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一、不同日之行為。</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二、不同品項之物品。</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三、不同場所之行為或物品。</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四、受侵害對象之個數。</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五、限期改善之期限。</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六、其他經主管機關認定之事項。</w:t>
      </w:r>
    </w:p>
    <w:p w:rsidR="003A4EF6" w:rsidRPr="000C4F09" w:rsidRDefault="003A4EF6" w:rsidP="003A4EF6">
      <w:pPr>
        <w:widowControl/>
        <w:numPr>
          <w:ilvl w:val="0"/>
          <w:numId w:val="5"/>
        </w:numPr>
        <w:tabs>
          <w:tab w:val="clear" w:pos="1125"/>
          <w:tab w:val="num" w:pos="1843"/>
        </w:tabs>
        <w:overflowPunct w:val="0"/>
        <w:spacing w:line="380" w:lineRule="exact"/>
        <w:ind w:left="1843" w:hanging="1843"/>
        <w:jc w:val="both"/>
        <w:rPr>
          <w:bCs/>
          <w:sz w:val="28"/>
          <w:szCs w:val="28"/>
        </w:rPr>
      </w:pPr>
      <w:r w:rsidRPr="000C4F09">
        <w:rPr>
          <w:rFonts w:hint="eastAsia"/>
          <w:bCs/>
          <w:sz w:val="28"/>
          <w:szCs w:val="28"/>
        </w:rPr>
        <w:t>實施違反本法第二十八條廣告限制規定之行為者，依下列基準判斷其行為數：</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一、不同品項之產品。</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二、不同版本之廣告。</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三、不同刊播媒介之個數。</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四、不同日之刊播。</w:t>
      </w:r>
    </w:p>
    <w:p w:rsidR="003A4EF6" w:rsidRPr="000C4F09" w:rsidRDefault="003A4EF6" w:rsidP="003A4EF6">
      <w:pPr>
        <w:widowControl/>
        <w:numPr>
          <w:ilvl w:val="0"/>
          <w:numId w:val="5"/>
        </w:numPr>
        <w:tabs>
          <w:tab w:val="clear" w:pos="1125"/>
          <w:tab w:val="num" w:pos="1843"/>
        </w:tabs>
        <w:overflowPunct w:val="0"/>
        <w:spacing w:line="380" w:lineRule="exact"/>
        <w:ind w:left="1843" w:hanging="1843"/>
        <w:jc w:val="both"/>
        <w:rPr>
          <w:bCs/>
          <w:sz w:val="28"/>
          <w:szCs w:val="28"/>
        </w:rPr>
      </w:pPr>
      <w:r w:rsidRPr="000C4F09">
        <w:rPr>
          <w:rFonts w:hint="eastAsia"/>
          <w:bCs/>
          <w:sz w:val="28"/>
          <w:szCs w:val="28"/>
        </w:rPr>
        <w:t>判斷前二條之行為數時，應斟酌下列各款情事：</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一、</w:t>
      </w:r>
      <w:r w:rsidRPr="000C4F09">
        <w:rPr>
          <w:bCs/>
          <w:sz w:val="28"/>
          <w:szCs w:val="28"/>
        </w:rPr>
        <w:tab/>
      </w:r>
      <w:r w:rsidRPr="000C4F09">
        <w:rPr>
          <w:rFonts w:hint="eastAsia"/>
          <w:bCs/>
          <w:sz w:val="28"/>
          <w:szCs w:val="28"/>
        </w:rPr>
        <w:t>違反之動機及目的。</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二、</w:t>
      </w:r>
      <w:r w:rsidRPr="000C4F09">
        <w:rPr>
          <w:bCs/>
          <w:sz w:val="28"/>
          <w:szCs w:val="28"/>
        </w:rPr>
        <w:tab/>
      </w:r>
      <w:r w:rsidRPr="000C4F09">
        <w:rPr>
          <w:rFonts w:hint="eastAsia"/>
          <w:bCs/>
          <w:sz w:val="28"/>
          <w:szCs w:val="28"/>
        </w:rPr>
        <w:t>違反之手段。</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三、</w:t>
      </w:r>
      <w:r w:rsidRPr="000C4F09">
        <w:rPr>
          <w:bCs/>
          <w:sz w:val="28"/>
          <w:szCs w:val="28"/>
        </w:rPr>
        <w:tab/>
      </w:r>
      <w:r w:rsidRPr="000C4F09">
        <w:rPr>
          <w:rFonts w:hint="eastAsia"/>
          <w:bCs/>
          <w:sz w:val="28"/>
          <w:szCs w:val="28"/>
        </w:rPr>
        <w:t>違反義務之影響程度。</w:t>
      </w:r>
    </w:p>
    <w:p w:rsidR="003A4EF6" w:rsidRPr="000C4F09" w:rsidRDefault="003A4EF6" w:rsidP="00EC5B17">
      <w:pPr>
        <w:widowControl/>
        <w:overflowPunct w:val="0"/>
        <w:spacing w:line="380" w:lineRule="exact"/>
        <w:ind w:firstLineChars="614" w:firstLine="1843"/>
        <w:jc w:val="both"/>
        <w:rPr>
          <w:bCs/>
          <w:sz w:val="28"/>
          <w:szCs w:val="28"/>
        </w:rPr>
      </w:pPr>
      <w:r w:rsidRPr="000C4F09">
        <w:rPr>
          <w:rFonts w:hint="eastAsia"/>
          <w:bCs/>
          <w:sz w:val="28"/>
          <w:szCs w:val="28"/>
        </w:rPr>
        <w:t>四、</w:t>
      </w:r>
      <w:r w:rsidRPr="000C4F09">
        <w:rPr>
          <w:bCs/>
          <w:sz w:val="28"/>
          <w:szCs w:val="28"/>
        </w:rPr>
        <w:tab/>
      </w:r>
      <w:r w:rsidRPr="000C4F09">
        <w:rPr>
          <w:rFonts w:hint="eastAsia"/>
          <w:bCs/>
          <w:sz w:val="28"/>
          <w:szCs w:val="28"/>
        </w:rPr>
        <w:t>違反義務所致之所生危害及損害。</w:t>
      </w:r>
    </w:p>
    <w:p w:rsidR="003A4EF6" w:rsidRPr="000C4F09" w:rsidRDefault="003A4EF6" w:rsidP="003A4EF6">
      <w:pPr>
        <w:widowControl/>
        <w:numPr>
          <w:ilvl w:val="0"/>
          <w:numId w:val="5"/>
        </w:numPr>
        <w:tabs>
          <w:tab w:val="clear" w:pos="1125"/>
          <w:tab w:val="num" w:pos="1843"/>
        </w:tabs>
        <w:overflowPunct w:val="0"/>
        <w:spacing w:line="380" w:lineRule="exact"/>
        <w:ind w:left="1843" w:hanging="1843"/>
        <w:jc w:val="both"/>
        <w:rPr>
          <w:bCs/>
          <w:sz w:val="28"/>
          <w:szCs w:val="28"/>
        </w:rPr>
      </w:pPr>
      <w:r w:rsidRPr="000C4F09">
        <w:rPr>
          <w:rFonts w:hint="eastAsia"/>
          <w:bCs/>
          <w:sz w:val="28"/>
          <w:szCs w:val="28"/>
        </w:rPr>
        <w:t>依本法有應作為之義務而不作為，其違法狀態持續者，以主管機關裁處行政罰之行政處分送達行為人時，為一行為。</w:t>
      </w:r>
    </w:p>
    <w:p w:rsidR="003A4EF6" w:rsidRPr="000C4F09" w:rsidRDefault="003A4EF6" w:rsidP="003A4EF6">
      <w:pPr>
        <w:widowControl/>
        <w:overflowPunct w:val="0"/>
        <w:spacing w:line="380" w:lineRule="exact"/>
        <w:ind w:leftChars="542" w:left="1844"/>
        <w:jc w:val="both"/>
        <w:rPr>
          <w:bCs/>
          <w:sz w:val="28"/>
          <w:szCs w:val="28"/>
        </w:rPr>
      </w:pPr>
      <w:r w:rsidRPr="000C4F09">
        <w:rPr>
          <w:rFonts w:hint="eastAsia"/>
          <w:bCs/>
          <w:sz w:val="28"/>
          <w:szCs w:val="28"/>
        </w:rPr>
        <w:t>前項經主管機關裁處並於行政處分送達後，違反義務人仍不作為者，為另一違反義務之行為。</w:t>
      </w:r>
    </w:p>
    <w:p w:rsidR="003A4EF6" w:rsidRPr="000C4F09" w:rsidRDefault="003A4EF6" w:rsidP="003A4EF6">
      <w:pPr>
        <w:widowControl/>
        <w:numPr>
          <w:ilvl w:val="0"/>
          <w:numId w:val="5"/>
        </w:numPr>
        <w:tabs>
          <w:tab w:val="clear" w:pos="1125"/>
          <w:tab w:val="num" w:pos="1843"/>
        </w:tabs>
        <w:overflowPunct w:val="0"/>
        <w:spacing w:line="380" w:lineRule="exact"/>
        <w:ind w:left="1843" w:hanging="1843"/>
        <w:jc w:val="both"/>
        <w:rPr>
          <w:bCs/>
          <w:sz w:val="28"/>
          <w:szCs w:val="28"/>
        </w:rPr>
      </w:pPr>
      <w:r w:rsidRPr="000C4F09">
        <w:rPr>
          <w:rFonts w:hint="eastAsia"/>
          <w:bCs/>
          <w:sz w:val="28"/>
          <w:szCs w:val="28"/>
        </w:rPr>
        <w:t>依本法有容忍主管機關進入製造、加工、調配、包裝、運送、貯存、販賣場所執行現場查核及抽樣檢驗之義務而規避、妨礙或拒絕者，以同一日相同行政目的之查核或檢驗要求所為規避、妨礙或拒絕，為一行為。依不同法規所為相同內容之查核或檢驗要求，亦同。</w:t>
      </w:r>
    </w:p>
    <w:p w:rsidR="006C0CA7" w:rsidRPr="000C4F09" w:rsidRDefault="003A4EF6" w:rsidP="00EC5B17">
      <w:pPr>
        <w:widowControl/>
        <w:numPr>
          <w:ilvl w:val="0"/>
          <w:numId w:val="5"/>
        </w:numPr>
        <w:kinsoku w:val="0"/>
        <w:overflowPunct w:val="0"/>
        <w:spacing w:line="380" w:lineRule="exact"/>
        <w:ind w:left="900" w:hangingChars="300" w:hanging="900"/>
        <w:jc w:val="both"/>
        <w:rPr>
          <w:noProof/>
          <w:sz w:val="28"/>
          <w:szCs w:val="28"/>
        </w:rPr>
      </w:pPr>
      <w:r w:rsidRPr="000C4F09">
        <w:rPr>
          <w:bCs/>
          <w:sz w:val="28"/>
          <w:szCs w:val="28"/>
        </w:rPr>
        <w:t xml:space="preserve">  </w:t>
      </w:r>
      <w:r w:rsidRPr="000C4F09">
        <w:rPr>
          <w:rFonts w:hint="eastAsia"/>
          <w:bCs/>
          <w:sz w:val="28"/>
          <w:szCs w:val="28"/>
        </w:rPr>
        <w:t>本標準自發布日施行。</w:t>
      </w:r>
    </w:p>
    <w:sectPr w:rsidR="006C0CA7" w:rsidRPr="000C4F09" w:rsidSect="006C0CA7">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927" w:rsidRDefault="00F27927" w:rsidP="00255E08">
      <w:r>
        <w:separator/>
      </w:r>
    </w:p>
  </w:endnote>
  <w:endnote w:type="continuationSeparator" w:id="0">
    <w:p w:rsidR="00F27927" w:rsidRDefault="00F27927"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3E" w:rsidRDefault="0000463E">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BD7CD7">
      <w:rPr>
        <w:rStyle w:val="a7"/>
        <w:noProof/>
        <w:sz w:val="24"/>
      </w:rPr>
      <w:t>18</w:t>
    </w:r>
    <w:r>
      <w:rPr>
        <w:rStyle w:val="a7"/>
        <w:sz w:val="24"/>
      </w:rPr>
      <w:fldChar w:fldCharType="end"/>
    </w:r>
  </w:p>
  <w:p w:rsidR="0000463E" w:rsidRDefault="0000463E">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F6" w:rsidRDefault="003A4EF6">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BD7CD7">
      <w:rPr>
        <w:rStyle w:val="a7"/>
        <w:noProof/>
        <w:sz w:val="24"/>
      </w:rPr>
      <w:t>23</w:t>
    </w:r>
    <w:r>
      <w:rPr>
        <w:rStyle w:val="a7"/>
        <w:sz w:val="24"/>
      </w:rPr>
      <w:fldChar w:fldCharType="end"/>
    </w:r>
  </w:p>
  <w:p w:rsidR="003A4EF6" w:rsidRDefault="003A4EF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927" w:rsidRDefault="00F27927" w:rsidP="00255E08">
      <w:r>
        <w:separator/>
      </w:r>
    </w:p>
  </w:footnote>
  <w:footnote w:type="continuationSeparator" w:id="0">
    <w:p w:rsidR="00F27927" w:rsidRDefault="00F27927" w:rsidP="00255E08">
      <w:r>
        <w:continuationSeparator/>
      </w:r>
    </w:p>
  </w:footnote>
  <w:footnote w:id="1">
    <w:p w:rsidR="003A4EF6" w:rsidRPr="00F11D6B" w:rsidRDefault="003A4EF6" w:rsidP="009D1B4C">
      <w:pPr>
        <w:pStyle w:val="af2"/>
      </w:pPr>
      <w:r>
        <w:rPr>
          <w:rStyle w:val="af4"/>
        </w:rPr>
        <w:footnoteRef/>
      </w:r>
      <w:r>
        <w:t xml:space="preserve"> </w:t>
      </w:r>
      <w:r>
        <w:rPr>
          <w:rFonts w:hint="eastAsia"/>
        </w:rPr>
        <w:t>係從大豆中提煉出優良蛋白質成分，屬於一般</w:t>
      </w:r>
      <w:r w:rsidRPr="00C23824">
        <w:rPr>
          <w:rFonts w:hint="eastAsia"/>
        </w:rPr>
        <w:t>營養補充品</w:t>
      </w:r>
      <w:r>
        <w:rPr>
          <w:rFonts w:hint="eastAsia"/>
        </w:rPr>
        <w:t>，卻充當奶粉販售。</w:t>
      </w:r>
    </w:p>
  </w:footnote>
  <w:footnote w:id="2">
    <w:p w:rsidR="003A4EF6" w:rsidRPr="00E57B3F" w:rsidRDefault="003A4EF6" w:rsidP="00C404E1">
      <w:pPr>
        <w:pStyle w:val="af2"/>
      </w:pPr>
      <w:r>
        <w:rPr>
          <w:rStyle w:val="af4"/>
        </w:rPr>
        <w:footnoteRef/>
      </w:r>
      <w:r>
        <w:rPr>
          <w:rFonts w:hint="eastAsia"/>
        </w:rPr>
        <w:t xml:space="preserve"> </w:t>
      </w:r>
      <w:r w:rsidRPr="00E57B3F">
        <w:rPr>
          <w:rFonts w:hint="eastAsia"/>
        </w:rPr>
        <w:t>擁有小綠人標章，才是有政府的功效背書保證的健康食品</w:t>
      </w:r>
      <w:r>
        <w:rPr>
          <w:rFonts w:hint="eastAsia"/>
        </w:rPr>
        <w:t>。</w:t>
      </w:r>
    </w:p>
  </w:footnote>
  <w:footnote w:id="3">
    <w:p w:rsidR="003A4EF6" w:rsidRPr="00624425" w:rsidRDefault="003A4EF6" w:rsidP="00570C7D">
      <w:pPr>
        <w:pStyle w:val="af2"/>
      </w:pPr>
      <w:r>
        <w:rPr>
          <w:rStyle w:val="af4"/>
        </w:rPr>
        <w:footnoteRef/>
      </w:r>
      <w:r>
        <w:t xml:space="preserve"> </w:t>
      </w:r>
      <w:r w:rsidRPr="00D72758">
        <w:t>https://consumer.fda.gov.tw/Food/InfoHealthFood.aspx?nodeID=162#</w:t>
      </w:r>
    </w:p>
  </w:footnote>
  <w:footnote w:id="4">
    <w:p w:rsidR="003A4EF6" w:rsidRPr="00C454D5" w:rsidRDefault="003A4EF6" w:rsidP="00D739B9">
      <w:pPr>
        <w:pStyle w:val="af2"/>
        <w:jc w:val="both"/>
      </w:pPr>
      <w:r>
        <w:rPr>
          <w:rStyle w:val="af4"/>
        </w:rPr>
        <w:footnoteRef/>
      </w:r>
      <w:r>
        <w:rPr>
          <w:rFonts w:hint="eastAsia"/>
        </w:rPr>
        <w:t xml:space="preserve"> </w:t>
      </w:r>
      <w:r>
        <w:rPr>
          <w:rFonts w:hint="eastAsia"/>
        </w:rPr>
        <w:t>配合</w:t>
      </w:r>
      <w:r>
        <w:rPr>
          <w:rFonts w:hint="eastAsia"/>
        </w:rPr>
        <w:t>107</w:t>
      </w:r>
      <w:r w:rsidRPr="00AA0460">
        <w:rPr>
          <w:rFonts w:hint="eastAsia"/>
        </w:rPr>
        <w:t>年</w:t>
      </w:r>
      <w:r>
        <w:rPr>
          <w:rFonts w:hint="eastAsia"/>
        </w:rPr>
        <w:t>1</w:t>
      </w:r>
      <w:r w:rsidRPr="00AA0460">
        <w:rPr>
          <w:rFonts w:hint="eastAsia"/>
        </w:rPr>
        <w:t>月</w:t>
      </w:r>
      <w:r>
        <w:rPr>
          <w:rFonts w:hint="eastAsia"/>
        </w:rPr>
        <w:t>24</w:t>
      </w:r>
      <w:r w:rsidRPr="00AA0460">
        <w:rPr>
          <w:rFonts w:hint="eastAsia"/>
        </w:rPr>
        <w:t>日公布修正食品安全衛生管理</w:t>
      </w:r>
      <w:r>
        <w:rPr>
          <w:rFonts w:hint="eastAsia"/>
        </w:rPr>
        <w:t>法</w:t>
      </w:r>
      <w:r w:rsidRPr="00AA0460">
        <w:rPr>
          <w:rFonts w:hint="eastAsia"/>
        </w:rPr>
        <w:t>第</w:t>
      </w:r>
      <w:r>
        <w:rPr>
          <w:rFonts w:hint="eastAsia"/>
        </w:rPr>
        <w:t>28</w:t>
      </w:r>
      <w:r w:rsidRPr="00AA0460">
        <w:rPr>
          <w:rFonts w:hint="eastAsia"/>
        </w:rPr>
        <w:t>條第</w:t>
      </w:r>
      <w:r>
        <w:rPr>
          <w:rFonts w:hint="eastAsia"/>
        </w:rPr>
        <w:t>4</w:t>
      </w:r>
      <w:r w:rsidRPr="00AA0460">
        <w:rPr>
          <w:rFonts w:hint="eastAsia"/>
        </w:rPr>
        <w:t>項規定</w:t>
      </w:r>
      <w:r w:rsidRPr="00AA0460">
        <w:rPr>
          <w:rFonts w:hint="eastAsia"/>
        </w:rPr>
        <w:t>:</w:t>
      </w:r>
      <w:r w:rsidRPr="00AA0460">
        <w:rPr>
          <w:rFonts w:hint="eastAsia"/>
        </w:rPr>
        <w:t>「</w:t>
      </w:r>
      <w:r>
        <w:rPr>
          <w:rFonts w:hint="eastAsia"/>
        </w:rPr>
        <w:t>第一項不實、誇張或易生誤解與第二項醫療效能之認定基準、宣傳或廣告之內容、方式及其他應遵行事項之準則，由中央主管機關定之。」</w:t>
      </w:r>
      <w:r w:rsidRPr="002E31A7">
        <w:rPr>
          <w:rFonts w:hint="eastAsia"/>
        </w:rPr>
        <w:t>衛福部</w:t>
      </w:r>
      <w:r>
        <w:rPr>
          <w:rFonts w:hint="eastAsia"/>
        </w:rPr>
        <w:t>107</w:t>
      </w:r>
      <w:r>
        <w:rPr>
          <w:rFonts w:hint="eastAsia"/>
        </w:rPr>
        <w:t>年</w:t>
      </w:r>
      <w:r>
        <w:rPr>
          <w:rFonts w:hint="eastAsia"/>
        </w:rPr>
        <w:t>6</w:t>
      </w:r>
      <w:r>
        <w:rPr>
          <w:rFonts w:hint="eastAsia"/>
        </w:rPr>
        <w:t>月</w:t>
      </w:r>
      <w:r>
        <w:rPr>
          <w:rFonts w:hint="eastAsia"/>
        </w:rPr>
        <w:t>6</w:t>
      </w:r>
      <w:r>
        <w:rPr>
          <w:rFonts w:hint="eastAsia"/>
        </w:rPr>
        <w:t>日衛授食字第</w:t>
      </w:r>
      <w:r>
        <w:rPr>
          <w:rFonts w:hint="eastAsia"/>
        </w:rPr>
        <w:t>1071200471</w:t>
      </w:r>
      <w:r>
        <w:rPr>
          <w:rFonts w:hint="eastAsia"/>
        </w:rPr>
        <w:t>號公告</w:t>
      </w:r>
      <w:r w:rsidRPr="005D7FEF">
        <w:rPr>
          <w:rFonts w:hint="eastAsia"/>
        </w:rPr>
        <w:t>預告訂定「食品標示宣傳或廣告涉及不實誇張易生誤解或醫療效能之認定基準準則」草案</w:t>
      </w:r>
      <w:r>
        <w:rPr>
          <w:rFonts w:hint="eastAsia"/>
        </w:rPr>
        <w:t>。</w:t>
      </w:r>
    </w:p>
  </w:footnote>
  <w:footnote w:id="5">
    <w:p w:rsidR="003A4EF6" w:rsidRPr="00F110B5" w:rsidRDefault="003A4EF6">
      <w:pPr>
        <w:pStyle w:val="af2"/>
      </w:pPr>
      <w:r>
        <w:rPr>
          <w:rStyle w:val="af4"/>
        </w:rPr>
        <w:footnoteRef/>
      </w:r>
      <w:r>
        <w:t xml:space="preserve"> </w:t>
      </w:r>
      <w:r w:rsidRPr="00F110B5">
        <w:t>https://tw.appledaily.com/new/realtime/20180305/1308337/</w:t>
      </w:r>
    </w:p>
  </w:footnote>
  <w:footnote w:id="6">
    <w:p w:rsidR="003A4EF6" w:rsidRDefault="003A4EF6">
      <w:pPr>
        <w:pStyle w:val="af2"/>
      </w:pPr>
      <w:r>
        <w:rPr>
          <w:rStyle w:val="af4"/>
        </w:rPr>
        <w:footnoteRef/>
      </w:r>
      <w:r>
        <w:t xml:space="preserve"> </w:t>
      </w:r>
      <w:r w:rsidRPr="005F4984">
        <w:rPr>
          <w:rFonts w:hint="eastAsia"/>
        </w:rPr>
        <w:t>現已更名為「華藥生醫股份有限公司」</w:t>
      </w:r>
      <w:r>
        <w:rPr>
          <w:rFonts w:hint="eastAsia"/>
        </w:rPr>
        <w:t>。</w:t>
      </w:r>
    </w:p>
  </w:footnote>
  <w:footnote w:id="7">
    <w:p w:rsidR="003A4EF6" w:rsidRDefault="003A4EF6">
      <w:pPr>
        <w:pStyle w:val="af2"/>
      </w:pPr>
      <w:r>
        <w:rPr>
          <w:rStyle w:val="af4"/>
        </w:rPr>
        <w:footnoteRef/>
      </w:r>
      <w:r>
        <w:t xml:space="preserve"> </w:t>
      </w:r>
      <w:r w:rsidRPr="0004015E">
        <w:t>https://www.mvdis.gov.tw/m3-emv-cht/public/about</w:t>
      </w:r>
    </w:p>
  </w:footnote>
  <w:footnote w:id="8">
    <w:p w:rsidR="003A4EF6" w:rsidRDefault="003A4EF6" w:rsidP="00827AD2">
      <w:pPr>
        <w:pStyle w:val="af2"/>
        <w:jc w:val="both"/>
      </w:pPr>
      <w:r>
        <w:rPr>
          <w:rStyle w:val="af4"/>
        </w:rPr>
        <w:footnoteRef/>
      </w:r>
      <w:r>
        <w:rPr>
          <w:rFonts w:hint="eastAsia"/>
        </w:rPr>
        <w:t xml:space="preserve"> </w:t>
      </w:r>
      <w:r w:rsidRPr="003442E9">
        <w:rPr>
          <w:rFonts w:hint="eastAsia"/>
        </w:rPr>
        <w:t>依公平會查復該會多層次傳銷管理系統，蔬活農場及田園小鎮等業者並非向該會報備之多層次傳銷事業。</w:t>
      </w:r>
    </w:p>
  </w:footnote>
  <w:footnote w:id="9">
    <w:p w:rsidR="003A4EF6" w:rsidRPr="00671F3F" w:rsidRDefault="003A4EF6" w:rsidP="00827AD2">
      <w:pPr>
        <w:pStyle w:val="af2"/>
        <w:jc w:val="both"/>
      </w:pPr>
      <w:r>
        <w:rPr>
          <w:rStyle w:val="af4"/>
        </w:rPr>
        <w:footnoteRef/>
      </w:r>
      <w:r>
        <w:t xml:space="preserve"> </w:t>
      </w:r>
      <w:r w:rsidRPr="00671F3F">
        <w:rPr>
          <w:rFonts w:hint="eastAsia"/>
          <w:bCs/>
        </w:rPr>
        <w:t>多層次傳銷管理法第</w:t>
      </w:r>
      <w:r w:rsidRPr="00671F3F">
        <w:rPr>
          <w:rFonts w:hint="eastAsia"/>
          <w:bCs/>
        </w:rPr>
        <w:t>3</w:t>
      </w:r>
      <w:r w:rsidRPr="00671F3F">
        <w:rPr>
          <w:rFonts w:hint="eastAsia"/>
          <w:bCs/>
        </w:rPr>
        <w:t>條</w:t>
      </w:r>
      <w:r>
        <w:rPr>
          <w:rFonts w:hint="eastAsia"/>
          <w:bCs/>
        </w:rPr>
        <w:t>規定：</w:t>
      </w:r>
      <w:r>
        <w:rPr>
          <w:rFonts w:ascii="標楷體" w:hAnsi="標楷體" w:hint="eastAsia"/>
          <w:bCs/>
        </w:rPr>
        <w:t>「</w:t>
      </w:r>
      <w:r w:rsidRPr="00671F3F">
        <w:rPr>
          <w:rFonts w:ascii="標楷體" w:hAnsi="標楷體"/>
          <w:bCs/>
        </w:rPr>
        <w:t>本法所稱多層次傳銷，指透過傳銷商介紹他人參加，建立多層級組織以推廣、銷售商品或服務之行銷方式。</w:t>
      </w:r>
      <w:r>
        <w:rPr>
          <w:rFonts w:ascii="標楷體" w:hAnsi="標楷體" w:hint="eastAsia"/>
          <w:bCs/>
        </w:rPr>
        <w:t>」</w:t>
      </w:r>
    </w:p>
  </w:footnote>
  <w:footnote w:id="10">
    <w:p w:rsidR="003A4EF6" w:rsidRPr="00671F3F" w:rsidRDefault="003A4EF6" w:rsidP="00827AD2">
      <w:pPr>
        <w:pStyle w:val="af2"/>
        <w:jc w:val="both"/>
      </w:pPr>
      <w:r>
        <w:rPr>
          <w:rStyle w:val="af4"/>
        </w:rPr>
        <w:footnoteRef/>
      </w:r>
      <w:r>
        <w:rPr>
          <w:rFonts w:hint="eastAsia"/>
          <w:bCs/>
        </w:rPr>
        <w:t xml:space="preserve"> </w:t>
      </w:r>
      <w:r w:rsidRPr="00671F3F">
        <w:rPr>
          <w:rFonts w:hint="eastAsia"/>
          <w:bCs/>
        </w:rPr>
        <w:t>多層次傳銷管理法第</w:t>
      </w:r>
      <w:r>
        <w:rPr>
          <w:rFonts w:hint="eastAsia"/>
          <w:bCs/>
        </w:rPr>
        <w:t>4</w:t>
      </w:r>
      <w:r w:rsidRPr="00671F3F">
        <w:rPr>
          <w:rFonts w:hint="eastAsia"/>
          <w:bCs/>
        </w:rPr>
        <w:t>條規定：「</w:t>
      </w:r>
      <w:r w:rsidRPr="00671F3F">
        <w:rPr>
          <w:bCs/>
        </w:rPr>
        <w:t>本法所稱多層次傳銷事業，指統籌規劃或實施前條傳銷行為之公司、工商行號、團體或個人。</w:t>
      </w:r>
      <w:r w:rsidRPr="00671F3F">
        <w:rPr>
          <w:bCs/>
        </w:rPr>
        <w:t> </w:t>
      </w:r>
      <w:r w:rsidRPr="00671F3F">
        <w:rPr>
          <w:bCs/>
        </w:rPr>
        <w:t>外國多層次傳銷事業之傳銷商或第三人，引進或實施該事業之多層次傳銷計畫或組織者，視為前項之多層次傳銷事業。</w:t>
      </w:r>
      <w:r>
        <w:rPr>
          <w:rFonts w:ascii="標楷體" w:hAnsi="標楷體" w:hint="eastAsia"/>
          <w:bCs/>
        </w:rPr>
        <w:t>」</w:t>
      </w:r>
    </w:p>
  </w:footnote>
  <w:footnote w:id="11">
    <w:p w:rsidR="003A4EF6" w:rsidRDefault="003A4EF6" w:rsidP="00827AD2">
      <w:pPr>
        <w:pStyle w:val="af2"/>
        <w:jc w:val="both"/>
      </w:pPr>
      <w:r>
        <w:rPr>
          <w:rStyle w:val="af4"/>
        </w:rPr>
        <w:footnoteRef/>
      </w:r>
      <w:r>
        <w:rPr>
          <w:rFonts w:hint="eastAsia"/>
          <w:bCs/>
        </w:rPr>
        <w:t xml:space="preserve"> </w:t>
      </w:r>
      <w:r w:rsidRPr="00671F3F">
        <w:rPr>
          <w:rFonts w:hint="eastAsia"/>
          <w:bCs/>
        </w:rPr>
        <w:t>多層次傳銷管理法第</w:t>
      </w:r>
      <w:r>
        <w:rPr>
          <w:rFonts w:hint="eastAsia"/>
          <w:bCs/>
        </w:rPr>
        <w:t>5</w:t>
      </w:r>
      <w:r w:rsidRPr="00671F3F">
        <w:rPr>
          <w:rFonts w:hint="eastAsia"/>
          <w:bCs/>
        </w:rPr>
        <w:t>條規定：「</w:t>
      </w:r>
      <w:r w:rsidRPr="00671F3F">
        <w:rPr>
          <w:bCs/>
        </w:rPr>
        <w:t>本法所稱傳銷商，指參加多層次傳銷事業，推廣、銷售商品或服務，而獲得佣金、獎金或其他經濟利益，並得介紹他人參加及因被介紹之人為推廣、銷售商品或服務，或介紹他人參加，而獲得佣金、獎金或其他經濟利益者。與多層次傳銷事業約定，於一定條件成就後，始取得推廣、銷售商品或服務，及介紹他人參加之資格者，自約定時起，視為前項之傳銷商。</w:t>
      </w:r>
      <w:r>
        <w:rPr>
          <w:rFonts w:ascii="標楷體" w:hAnsi="標楷體" w:hint="eastAsia"/>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B082BC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114"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116"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770820"/>
    <w:multiLevelType w:val="hybridMultilevel"/>
    <w:tmpl w:val="6F6C10B6"/>
    <w:lvl w:ilvl="0" w:tplc="8D26764C">
      <w:start w:val="1"/>
      <w:numFmt w:val="taiwaneseCountingThousand"/>
      <w:lvlText w:val="第  %1  條"/>
      <w:lvlJc w:val="left"/>
      <w:pPr>
        <w:tabs>
          <w:tab w:val="num" w:pos="1125"/>
        </w:tabs>
        <w:ind w:left="1125" w:hanging="1125"/>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796D2FF0"/>
    <w:multiLevelType w:val="hybridMultilevel"/>
    <w:tmpl w:val="9E9E9AA8"/>
    <w:lvl w:ilvl="0" w:tplc="04090015">
      <w:start w:val="1"/>
      <w:numFmt w:val="taiwaneseCountingThousand"/>
      <w:lvlText w:val="%1、"/>
      <w:lvlJc w:val="left"/>
      <w:pPr>
        <w:ind w:left="480" w:hanging="480"/>
      </w:pPr>
    </w:lvl>
    <w:lvl w:ilvl="1" w:tplc="757A658A">
      <w:start w:val="1"/>
      <w:numFmt w:val="taiwaneseCountingThousand"/>
      <w:lvlText w:val="(%2)"/>
      <w:lvlJc w:val="left"/>
      <w:pPr>
        <w:ind w:left="960" w:hanging="480"/>
      </w:pPr>
      <w:rPr>
        <w:rFonts w:hint="default"/>
        <w:b w:val="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20"/>
    <w:rsid w:val="00003759"/>
    <w:rsid w:val="0000463E"/>
    <w:rsid w:val="000062BB"/>
    <w:rsid w:val="000213B5"/>
    <w:rsid w:val="00025029"/>
    <w:rsid w:val="0002776C"/>
    <w:rsid w:val="0004015E"/>
    <w:rsid w:val="00054A97"/>
    <w:rsid w:val="00056012"/>
    <w:rsid w:val="00061449"/>
    <w:rsid w:val="00083FC4"/>
    <w:rsid w:val="00085EB0"/>
    <w:rsid w:val="000907DB"/>
    <w:rsid w:val="000917E6"/>
    <w:rsid w:val="000A0953"/>
    <w:rsid w:val="000C4F09"/>
    <w:rsid w:val="000C7C6B"/>
    <w:rsid w:val="000D0479"/>
    <w:rsid w:val="000D67AB"/>
    <w:rsid w:val="000F47FD"/>
    <w:rsid w:val="001122A4"/>
    <w:rsid w:val="0012737A"/>
    <w:rsid w:val="0012743E"/>
    <w:rsid w:val="00142737"/>
    <w:rsid w:val="0014299A"/>
    <w:rsid w:val="00155337"/>
    <w:rsid w:val="00155551"/>
    <w:rsid w:val="0016250C"/>
    <w:rsid w:val="001659A4"/>
    <w:rsid w:val="00174EBF"/>
    <w:rsid w:val="0018703C"/>
    <w:rsid w:val="001A112A"/>
    <w:rsid w:val="001A446A"/>
    <w:rsid w:val="001B55D0"/>
    <w:rsid w:val="001C0DBC"/>
    <w:rsid w:val="001C2D0F"/>
    <w:rsid w:val="001C55A4"/>
    <w:rsid w:val="001D1DB8"/>
    <w:rsid w:val="001E3CDA"/>
    <w:rsid w:val="002014BB"/>
    <w:rsid w:val="00205E71"/>
    <w:rsid w:val="00217E14"/>
    <w:rsid w:val="002369AA"/>
    <w:rsid w:val="002377BA"/>
    <w:rsid w:val="00241BF3"/>
    <w:rsid w:val="00247BDC"/>
    <w:rsid w:val="00255E08"/>
    <w:rsid w:val="00267671"/>
    <w:rsid w:val="002A085A"/>
    <w:rsid w:val="002C1812"/>
    <w:rsid w:val="002C4984"/>
    <w:rsid w:val="002D19AF"/>
    <w:rsid w:val="002E2E1B"/>
    <w:rsid w:val="002E31A7"/>
    <w:rsid w:val="002E3CB9"/>
    <w:rsid w:val="002F5056"/>
    <w:rsid w:val="002F6942"/>
    <w:rsid w:val="00317E44"/>
    <w:rsid w:val="003242E9"/>
    <w:rsid w:val="00330A5A"/>
    <w:rsid w:val="003479E0"/>
    <w:rsid w:val="003641F4"/>
    <w:rsid w:val="00364BBB"/>
    <w:rsid w:val="003652F8"/>
    <w:rsid w:val="00366C55"/>
    <w:rsid w:val="003747CC"/>
    <w:rsid w:val="003754D3"/>
    <w:rsid w:val="003758E2"/>
    <w:rsid w:val="00377E62"/>
    <w:rsid w:val="00384A0B"/>
    <w:rsid w:val="00394B07"/>
    <w:rsid w:val="003A4EF6"/>
    <w:rsid w:val="003A5E8A"/>
    <w:rsid w:val="003B2913"/>
    <w:rsid w:val="003C1148"/>
    <w:rsid w:val="003E675A"/>
    <w:rsid w:val="003F11E2"/>
    <w:rsid w:val="003F1E88"/>
    <w:rsid w:val="003F28D8"/>
    <w:rsid w:val="004002A8"/>
    <w:rsid w:val="004048B9"/>
    <w:rsid w:val="0041025F"/>
    <w:rsid w:val="00435A0F"/>
    <w:rsid w:val="00442EA7"/>
    <w:rsid w:val="004573E2"/>
    <w:rsid w:val="00463B92"/>
    <w:rsid w:val="004720C1"/>
    <w:rsid w:val="00472E81"/>
    <w:rsid w:val="00474A81"/>
    <w:rsid w:val="0048293D"/>
    <w:rsid w:val="00490A40"/>
    <w:rsid w:val="00497C89"/>
    <w:rsid w:val="004A258C"/>
    <w:rsid w:val="004A4B5F"/>
    <w:rsid w:val="004A7A90"/>
    <w:rsid w:val="004C1D9E"/>
    <w:rsid w:val="004C4F0E"/>
    <w:rsid w:val="004D0355"/>
    <w:rsid w:val="004D166B"/>
    <w:rsid w:val="004D24F7"/>
    <w:rsid w:val="004D55F1"/>
    <w:rsid w:val="004E102B"/>
    <w:rsid w:val="004E1D39"/>
    <w:rsid w:val="004E3A9A"/>
    <w:rsid w:val="00502F35"/>
    <w:rsid w:val="005629A7"/>
    <w:rsid w:val="00570C7D"/>
    <w:rsid w:val="0057388C"/>
    <w:rsid w:val="005764DC"/>
    <w:rsid w:val="005766ED"/>
    <w:rsid w:val="005A6880"/>
    <w:rsid w:val="005D7FEF"/>
    <w:rsid w:val="005E0D35"/>
    <w:rsid w:val="005F012D"/>
    <w:rsid w:val="005F1BE3"/>
    <w:rsid w:val="005F4984"/>
    <w:rsid w:val="0060150C"/>
    <w:rsid w:val="006221AF"/>
    <w:rsid w:val="00624425"/>
    <w:rsid w:val="0063378D"/>
    <w:rsid w:val="006411AD"/>
    <w:rsid w:val="00656220"/>
    <w:rsid w:val="00682F3C"/>
    <w:rsid w:val="00684059"/>
    <w:rsid w:val="006B4EEA"/>
    <w:rsid w:val="006B612B"/>
    <w:rsid w:val="006C0CA7"/>
    <w:rsid w:val="006C1F5B"/>
    <w:rsid w:val="006C45FD"/>
    <w:rsid w:val="006D1022"/>
    <w:rsid w:val="006D3274"/>
    <w:rsid w:val="006D5735"/>
    <w:rsid w:val="006F4AF1"/>
    <w:rsid w:val="007033E1"/>
    <w:rsid w:val="007267D9"/>
    <w:rsid w:val="00734F10"/>
    <w:rsid w:val="00735B7B"/>
    <w:rsid w:val="007426DB"/>
    <w:rsid w:val="0074634B"/>
    <w:rsid w:val="00762990"/>
    <w:rsid w:val="00773DCF"/>
    <w:rsid w:val="00785340"/>
    <w:rsid w:val="007912C1"/>
    <w:rsid w:val="00795841"/>
    <w:rsid w:val="00796BB5"/>
    <w:rsid w:val="007A33C9"/>
    <w:rsid w:val="007A3B5D"/>
    <w:rsid w:val="007B0E30"/>
    <w:rsid w:val="007C3F14"/>
    <w:rsid w:val="007C4A49"/>
    <w:rsid w:val="007E0FDD"/>
    <w:rsid w:val="007F62FD"/>
    <w:rsid w:val="0080117C"/>
    <w:rsid w:val="00827AD2"/>
    <w:rsid w:val="00832808"/>
    <w:rsid w:val="00833241"/>
    <w:rsid w:val="0084110E"/>
    <w:rsid w:val="0085411E"/>
    <w:rsid w:val="00856027"/>
    <w:rsid w:val="008563C6"/>
    <w:rsid w:val="00856428"/>
    <w:rsid w:val="00856671"/>
    <w:rsid w:val="00865A75"/>
    <w:rsid w:val="00867EE8"/>
    <w:rsid w:val="008744AA"/>
    <w:rsid w:val="00875921"/>
    <w:rsid w:val="008837F4"/>
    <w:rsid w:val="00886203"/>
    <w:rsid w:val="008A4B8B"/>
    <w:rsid w:val="008C3BC8"/>
    <w:rsid w:val="008D3711"/>
    <w:rsid w:val="008D4F73"/>
    <w:rsid w:val="008E5A75"/>
    <w:rsid w:val="008F503F"/>
    <w:rsid w:val="00912F0D"/>
    <w:rsid w:val="009130DC"/>
    <w:rsid w:val="0091386C"/>
    <w:rsid w:val="00917C3C"/>
    <w:rsid w:val="00941C7A"/>
    <w:rsid w:val="0095323D"/>
    <w:rsid w:val="00953490"/>
    <w:rsid w:val="00960F84"/>
    <w:rsid w:val="00962D8D"/>
    <w:rsid w:val="00967FB7"/>
    <w:rsid w:val="00975D37"/>
    <w:rsid w:val="0098294B"/>
    <w:rsid w:val="00985682"/>
    <w:rsid w:val="0099453B"/>
    <w:rsid w:val="009A3627"/>
    <w:rsid w:val="009C13D9"/>
    <w:rsid w:val="009C2E6F"/>
    <w:rsid w:val="009C56B6"/>
    <w:rsid w:val="009C6346"/>
    <w:rsid w:val="009D1B4C"/>
    <w:rsid w:val="00A03C7C"/>
    <w:rsid w:val="00A06503"/>
    <w:rsid w:val="00A25A42"/>
    <w:rsid w:val="00A25FE3"/>
    <w:rsid w:val="00A36AB8"/>
    <w:rsid w:val="00A4296B"/>
    <w:rsid w:val="00A65E02"/>
    <w:rsid w:val="00A663B2"/>
    <w:rsid w:val="00A700D8"/>
    <w:rsid w:val="00A869AD"/>
    <w:rsid w:val="00A86F8A"/>
    <w:rsid w:val="00AA0460"/>
    <w:rsid w:val="00AA3354"/>
    <w:rsid w:val="00AB7696"/>
    <w:rsid w:val="00AE055C"/>
    <w:rsid w:val="00AE55C8"/>
    <w:rsid w:val="00AE6DD1"/>
    <w:rsid w:val="00AF7977"/>
    <w:rsid w:val="00B04CA2"/>
    <w:rsid w:val="00B1397D"/>
    <w:rsid w:val="00B15CCA"/>
    <w:rsid w:val="00B17F65"/>
    <w:rsid w:val="00B213C0"/>
    <w:rsid w:val="00B22793"/>
    <w:rsid w:val="00B344C4"/>
    <w:rsid w:val="00B36A8E"/>
    <w:rsid w:val="00B50E75"/>
    <w:rsid w:val="00B52148"/>
    <w:rsid w:val="00B55CB2"/>
    <w:rsid w:val="00B67577"/>
    <w:rsid w:val="00B770ED"/>
    <w:rsid w:val="00B77312"/>
    <w:rsid w:val="00B96767"/>
    <w:rsid w:val="00B9677A"/>
    <w:rsid w:val="00B96C55"/>
    <w:rsid w:val="00BA539F"/>
    <w:rsid w:val="00BA6CA1"/>
    <w:rsid w:val="00BA758C"/>
    <w:rsid w:val="00BB65A7"/>
    <w:rsid w:val="00BB6BFB"/>
    <w:rsid w:val="00BD0107"/>
    <w:rsid w:val="00BD643E"/>
    <w:rsid w:val="00BD7CD7"/>
    <w:rsid w:val="00BF6658"/>
    <w:rsid w:val="00C00629"/>
    <w:rsid w:val="00C03A72"/>
    <w:rsid w:val="00C108BD"/>
    <w:rsid w:val="00C13C9F"/>
    <w:rsid w:val="00C23824"/>
    <w:rsid w:val="00C2629F"/>
    <w:rsid w:val="00C404E1"/>
    <w:rsid w:val="00C413C0"/>
    <w:rsid w:val="00C454D5"/>
    <w:rsid w:val="00C57028"/>
    <w:rsid w:val="00C72708"/>
    <w:rsid w:val="00C83212"/>
    <w:rsid w:val="00C846E3"/>
    <w:rsid w:val="00C872F8"/>
    <w:rsid w:val="00C91C89"/>
    <w:rsid w:val="00C9790B"/>
    <w:rsid w:val="00CB7CBE"/>
    <w:rsid w:val="00CC3673"/>
    <w:rsid w:val="00CD1DBC"/>
    <w:rsid w:val="00CD51BC"/>
    <w:rsid w:val="00CD663E"/>
    <w:rsid w:val="00CD6FE0"/>
    <w:rsid w:val="00CE59B8"/>
    <w:rsid w:val="00CF4ABC"/>
    <w:rsid w:val="00D118E9"/>
    <w:rsid w:val="00D147ED"/>
    <w:rsid w:val="00D17077"/>
    <w:rsid w:val="00D23B03"/>
    <w:rsid w:val="00D42B08"/>
    <w:rsid w:val="00D43329"/>
    <w:rsid w:val="00D72758"/>
    <w:rsid w:val="00D739B9"/>
    <w:rsid w:val="00D7596E"/>
    <w:rsid w:val="00D81EFE"/>
    <w:rsid w:val="00D93DA1"/>
    <w:rsid w:val="00DA0CDC"/>
    <w:rsid w:val="00DA6999"/>
    <w:rsid w:val="00DB2796"/>
    <w:rsid w:val="00DC29D2"/>
    <w:rsid w:val="00DD2210"/>
    <w:rsid w:val="00DD3189"/>
    <w:rsid w:val="00DD6A5E"/>
    <w:rsid w:val="00DE0C42"/>
    <w:rsid w:val="00E01D51"/>
    <w:rsid w:val="00E11C24"/>
    <w:rsid w:val="00E417A7"/>
    <w:rsid w:val="00E418BC"/>
    <w:rsid w:val="00E43157"/>
    <w:rsid w:val="00E437A0"/>
    <w:rsid w:val="00E44D68"/>
    <w:rsid w:val="00E47D91"/>
    <w:rsid w:val="00E569E7"/>
    <w:rsid w:val="00E57B3F"/>
    <w:rsid w:val="00E832B1"/>
    <w:rsid w:val="00E84119"/>
    <w:rsid w:val="00E92358"/>
    <w:rsid w:val="00E931DC"/>
    <w:rsid w:val="00EA1045"/>
    <w:rsid w:val="00EA41C1"/>
    <w:rsid w:val="00EC5B17"/>
    <w:rsid w:val="00EC67D3"/>
    <w:rsid w:val="00ED5412"/>
    <w:rsid w:val="00EE4C36"/>
    <w:rsid w:val="00EF4AF8"/>
    <w:rsid w:val="00F1071C"/>
    <w:rsid w:val="00F110B5"/>
    <w:rsid w:val="00F11D6B"/>
    <w:rsid w:val="00F2469A"/>
    <w:rsid w:val="00F277A5"/>
    <w:rsid w:val="00F27927"/>
    <w:rsid w:val="00F66F0C"/>
    <w:rsid w:val="00F6772E"/>
    <w:rsid w:val="00F84D70"/>
    <w:rsid w:val="00FA12EA"/>
    <w:rsid w:val="00FB5999"/>
    <w:rsid w:val="00FC4052"/>
    <w:rsid w:val="00FC5B95"/>
    <w:rsid w:val="00FE5A01"/>
    <w:rsid w:val="00FF1C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F83174-962C-418F-8478-C037AEEC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2014BB"/>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2014BB"/>
    <w:rPr>
      <w:rFonts w:asciiTheme="majorHAnsi" w:eastAsiaTheme="majorEastAsia" w:hAnsiTheme="majorHAnsi" w:cstheme="majorBidi"/>
      <w:kern w:val="2"/>
      <w:sz w:val="18"/>
      <w:szCs w:val="18"/>
    </w:rPr>
  </w:style>
  <w:style w:type="paragraph" w:styleId="af2">
    <w:name w:val="footnote text"/>
    <w:basedOn w:val="a1"/>
    <w:link w:val="af3"/>
    <w:uiPriority w:val="99"/>
    <w:semiHidden/>
    <w:unhideWhenUsed/>
    <w:rsid w:val="005F4984"/>
    <w:pPr>
      <w:snapToGrid w:val="0"/>
    </w:pPr>
    <w:rPr>
      <w:sz w:val="20"/>
    </w:rPr>
  </w:style>
  <w:style w:type="character" w:customStyle="1" w:styleId="af3">
    <w:name w:val="註腳文字 字元"/>
    <w:basedOn w:val="a2"/>
    <w:link w:val="af2"/>
    <w:uiPriority w:val="99"/>
    <w:semiHidden/>
    <w:rsid w:val="005F4984"/>
    <w:rPr>
      <w:rFonts w:eastAsia="標楷體"/>
      <w:kern w:val="2"/>
    </w:rPr>
  </w:style>
  <w:style w:type="character" w:styleId="af4">
    <w:name w:val="footnote reference"/>
    <w:basedOn w:val="a2"/>
    <w:uiPriority w:val="99"/>
    <w:semiHidden/>
    <w:unhideWhenUsed/>
    <w:rsid w:val="005F4984"/>
    <w:rPr>
      <w:vertAlign w:val="superscript"/>
    </w:rPr>
  </w:style>
  <w:style w:type="paragraph" w:styleId="af5">
    <w:name w:val="List Paragraph"/>
    <w:basedOn w:val="a1"/>
    <w:uiPriority w:val="34"/>
    <w:qFormat/>
    <w:rsid w:val="003A4E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928094">
      <w:bodyDiv w:val="1"/>
      <w:marLeft w:val="0"/>
      <w:marRight w:val="0"/>
      <w:marTop w:val="0"/>
      <w:marBottom w:val="0"/>
      <w:divBdr>
        <w:top w:val="none" w:sz="0" w:space="0" w:color="auto"/>
        <w:left w:val="none" w:sz="0" w:space="0" w:color="auto"/>
        <w:bottom w:val="none" w:sz="0" w:space="0" w:color="auto"/>
        <w:right w:val="none" w:sz="0" w:space="0" w:color="auto"/>
      </w:divBdr>
      <w:divsChild>
        <w:div w:id="113377740">
          <w:marLeft w:val="0"/>
          <w:marRight w:val="0"/>
          <w:marTop w:val="0"/>
          <w:marBottom w:val="0"/>
          <w:divBdr>
            <w:top w:val="none" w:sz="0" w:space="0" w:color="auto"/>
            <w:left w:val="none" w:sz="0" w:space="0" w:color="auto"/>
            <w:bottom w:val="none" w:sz="0" w:space="0" w:color="auto"/>
            <w:right w:val="none" w:sz="0" w:space="0" w:color="auto"/>
          </w:divBdr>
          <w:divsChild>
            <w:div w:id="884559974">
              <w:marLeft w:val="0"/>
              <w:marRight w:val="0"/>
              <w:marTop w:val="100"/>
              <w:marBottom w:val="100"/>
              <w:divBdr>
                <w:top w:val="none" w:sz="0" w:space="0" w:color="auto"/>
                <w:left w:val="none" w:sz="0" w:space="0" w:color="auto"/>
                <w:bottom w:val="none" w:sz="0" w:space="0" w:color="auto"/>
                <w:right w:val="none" w:sz="0" w:space="0" w:color="auto"/>
              </w:divBdr>
              <w:divsChild>
                <w:div w:id="375080326">
                  <w:marLeft w:val="0"/>
                  <w:marRight w:val="0"/>
                  <w:marTop w:val="100"/>
                  <w:marBottom w:val="100"/>
                  <w:divBdr>
                    <w:top w:val="none" w:sz="0" w:space="0" w:color="auto"/>
                    <w:left w:val="none" w:sz="0" w:space="0" w:color="auto"/>
                    <w:bottom w:val="none" w:sz="0" w:space="0" w:color="auto"/>
                    <w:right w:val="none" w:sz="0" w:space="0" w:color="auto"/>
                  </w:divBdr>
                  <w:divsChild>
                    <w:div w:id="2008745648">
                      <w:marLeft w:val="0"/>
                      <w:marRight w:val="0"/>
                      <w:marTop w:val="0"/>
                      <w:marBottom w:val="0"/>
                      <w:divBdr>
                        <w:top w:val="none" w:sz="0" w:space="0" w:color="auto"/>
                        <w:left w:val="none" w:sz="0" w:space="0" w:color="auto"/>
                        <w:bottom w:val="none" w:sz="0" w:space="0" w:color="auto"/>
                        <w:right w:val="none" w:sz="0" w:space="0" w:color="auto"/>
                      </w:divBdr>
                      <w:divsChild>
                        <w:div w:id="1337187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E056-4FE0-476E-B5F1-99B315D2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23</Pages>
  <Words>1934</Words>
  <Characters>11024</Characters>
  <Application>Microsoft Office Word</Application>
  <DocSecurity>0</DocSecurity>
  <Lines>91</Lines>
  <Paragraphs>25</Paragraphs>
  <ScaleCrop>false</ScaleCrop>
  <Company>cy</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吳宏杰</cp:lastModifiedBy>
  <cp:revision>2</cp:revision>
  <cp:lastPrinted>2018-07-03T07:33:00Z</cp:lastPrinted>
  <dcterms:created xsi:type="dcterms:W3CDTF">2019-04-10T08:46:00Z</dcterms:created>
  <dcterms:modified xsi:type="dcterms:W3CDTF">2019-04-10T08:46:00Z</dcterms:modified>
</cp:coreProperties>
</file>