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F6D" w:rsidRDefault="00D5308B" w:rsidP="00CD53A3">
      <w:pPr>
        <w:pStyle w:val="a6"/>
        <w:kinsoku w:val="0"/>
        <w:spacing w:before="0"/>
        <w:ind w:leftChars="700" w:left="2381" w:firstLine="0"/>
        <w:rPr>
          <w:rFonts w:hAnsi="Arial"/>
          <w:bCs/>
          <w:kern w:val="0"/>
          <w:szCs w:val="48"/>
        </w:rPr>
      </w:pPr>
      <w:r w:rsidRPr="00BF6982">
        <w:rPr>
          <w:rFonts w:hint="eastAsia"/>
          <w:bCs/>
          <w:snapToGrid/>
          <w:spacing w:val="200"/>
          <w:kern w:val="0"/>
          <w:sz w:val="40"/>
        </w:rPr>
        <w:t>調查</w:t>
      </w: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r w:rsidR="006B7F6D" w:rsidRPr="00CD53A3">
        <w:rPr>
          <w:rFonts w:hint="eastAsia"/>
          <w:bCs/>
          <w:snapToGrid/>
          <w:spacing w:val="200"/>
          <w:kern w:val="0"/>
          <w:sz w:val="40"/>
        </w:rPr>
        <w:t>意見</w:t>
      </w:r>
      <w:bookmarkStart w:id="12" w:name="_Toc524902730"/>
      <w:bookmarkEnd w:id="0"/>
      <w:bookmarkEnd w:id="1"/>
      <w:bookmarkEnd w:id="2"/>
      <w:bookmarkEnd w:id="3"/>
      <w:bookmarkEnd w:id="4"/>
      <w:bookmarkEnd w:id="5"/>
      <w:bookmarkEnd w:id="6"/>
      <w:bookmarkEnd w:id="7"/>
      <w:bookmarkEnd w:id="8"/>
      <w:bookmarkEnd w:id="9"/>
      <w:bookmarkEnd w:id="10"/>
      <w:bookmarkEnd w:id="11"/>
      <w:r w:rsidR="006B7F6D" w:rsidRPr="00BF6982">
        <w:rPr>
          <w:rFonts w:hAnsi="Arial" w:hint="eastAsia"/>
          <w:bCs/>
          <w:kern w:val="0"/>
          <w:szCs w:val="48"/>
        </w:rPr>
        <w:t xml:space="preserve">    </w:t>
      </w:r>
    </w:p>
    <w:p w:rsidR="00CD53A3" w:rsidRDefault="00CD53A3" w:rsidP="00CD53A3">
      <w:pPr>
        <w:pStyle w:val="1"/>
        <w:ind w:left="2380" w:hanging="2380"/>
      </w:pPr>
      <w:bookmarkStart w:id="13" w:name="_Toc524892368"/>
      <w:bookmarkStart w:id="14" w:name="_Toc524895638"/>
      <w:bookmarkStart w:id="15" w:name="_Toc524896184"/>
      <w:bookmarkStart w:id="16" w:name="_Toc524896214"/>
      <w:bookmarkStart w:id="17" w:name="_Toc524902720"/>
      <w:bookmarkStart w:id="18" w:name="_Toc525066139"/>
      <w:bookmarkStart w:id="19" w:name="_Toc525070829"/>
      <w:bookmarkStart w:id="20" w:name="_Toc525938369"/>
      <w:bookmarkStart w:id="21" w:name="_Toc525939217"/>
      <w:bookmarkStart w:id="22" w:name="_Toc525939722"/>
      <w:bookmarkStart w:id="23" w:name="_Toc529218256"/>
      <w:bookmarkStart w:id="24" w:name="_Toc529222679"/>
      <w:bookmarkStart w:id="25" w:name="_Toc529223101"/>
      <w:bookmarkStart w:id="26" w:name="_Toc529223852"/>
      <w:bookmarkStart w:id="27" w:name="_Toc529228248"/>
      <w:bookmarkStart w:id="28" w:name="_Toc2400384"/>
      <w:bookmarkStart w:id="29" w:name="_Toc4316179"/>
      <w:bookmarkStart w:id="30" w:name="_Toc4473320"/>
      <w:bookmarkStart w:id="31" w:name="_Toc69556887"/>
      <w:bookmarkStart w:id="32" w:name="_Toc69556936"/>
      <w:bookmarkStart w:id="33" w:name="_Toc69609810"/>
      <w:bookmarkStart w:id="34" w:name="_Toc70241806"/>
      <w:bookmarkStart w:id="35" w:name="_Toc70242195"/>
      <w:r w:rsidRPr="00BF6982">
        <w:rPr>
          <w:rFonts w:hint="eastAsia"/>
        </w:rPr>
        <w:t>案　　由：</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BF6982">
        <w:rPr>
          <w:rFonts w:hint="eastAsia"/>
        </w:rPr>
        <w:t>據訴，臺北市政府警察局於106年12月23日執行當日「反對勞基法惡法修法、保障勞工權益」之集會遊行維序事件時，至當日晚上約11時左右，於未說明法律依據之情形下，逕行抓捕現場已表明身分協助民眾之三位律師，並載至內湖丟包，此執行勤務是否有所違失？且近期警方處理民眾之陳情抗議活動時，動輒調度大批警力、廣設拒馬與蛇籠，其執法是否有違比例原則？均有深入瞭解之必要。</w:t>
      </w:r>
    </w:p>
    <w:p w:rsidR="00CD53A3" w:rsidRPr="00BF6982" w:rsidRDefault="00CD53A3" w:rsidP="00CD53A3">
      <w:pPr>
        <w:pStyle w:val="1"/>
        <w:ind w:left="2380" w:hanging="2380"/>
      </w:pPr>
      <w:r>
        <w:rPr>
          <w:rFonts w:hint="eastAsia"/>
        </w:rPr>
        <w:t>調查</w:t>
      </w:r>
      <w:r>
        <w:t>意見</w:t>
      </w:r>
      <w:r>
        <w:rPr>
          <w:rFonts w:hint="eastAsia"/>
        </w:rPr>
        <w:t>:</w:t>
      </w:r>
    </w:p>
    <w:p w:rsidR="006B7F6D" w:rsidRPr="00BF6982" w:rsidRDefault="00BD47D8" w:rsidP="006B7F6D">
      <w:pPr>
        <w:numPr>
          <w:ilvl w:val="1"/>
          <w:numId w:val="1"/>
        </w:numPr>
        <w:kinsoku w:val="0"/>
        <w:jc w:val="both"/>
        <w:outlineLvl w:val="1"/>
        <w:rPr>
          <w:rFonts w:ascii="標楷體" w:hAnsi="Arial"/>
          <w:b/>
          <w:bCs/>
          <w:kern w:val="0"/>
          <w:szCs w:val="48"/>
        </w:rPr>
      </w:pPr>
      <w:r w:rsidRPr="00BF6982">
        <w:rPr>
          <w:rFonts w:ascii="標楷體" w:hAnsi="Arial" w:hint="eastAsia"/>
          <w:b/>
          <w:bCs/>
          <w:kern w:val="0"/>
          <w:szCs w:val="48"/>
        </w:rPr>
        <w:t>臺北市</w:t>
      </w:r>
      <w:r w:rsidR="006B7F6D" w:rsidRPr="00BF6982">
        <w:rPr>
          <w:rFonts w:ascii="標楷體" w:hAnsi="Arial" w:hint="eastAsia"/>
          <w:b/>
          <w:bCs/>
          <w:kern w:val="0"/>
          <w:szCs w:val="48"/>
        </w:rPr>
        <w:t>政府因陳抗民眾於106年12月23日晚間違法占領交通要道，嚴重影響社會秩序及用路人權益，於</w:t>
      </w:r>
      <w:r w:rsidR="00F71EE7" w:rsidRPr="00BF6982">
        <w:rPr>
          <w:rFonts w:ascii="標楷體" w:hAnsi="Arial" w:hint="eastAsia"/>
          <w:b/>
          <w:bCs/>
          <w:kern w:val="0"/>
          <w:szCs w:val="48"/>
        </w:rPr>
        <w:t>晚間9</w:t>
      </w:r>
      <w:r w:rsidR="006B7F6D" w:rsidRPr="00BF6982">
        <w:rPr>
          <w:rFonts w:ascii="標楷體" w:hAnsi="Arial" w:hint="eastAsia"/>
          <w:b/>
          <w:bCs/>
          <w:kern w:val="0"/>
          <w:szCs w:val="48"/>
        </w:rPr>
        <w:t>時50分授權</w:t>
      </w:r>
      <w:r w:rsidRPr="00BF6982">
        <w:rPr>
          <w:rFonts w:ascii="標楷體" w:hAnsi="Arial" w:hint="eastAsia"/>
          <w:b/>
          <w:bCs/>
          <w:kern w:val="0"/>
          <w:szCs w:val="48"/>
        </w:rPr>
        <w:t>臺北市警局</w:t>
      </w:r>
      <w:r w:rsidR="006B7F6D" w:rsidRPr="00BF6982">
        <w:rPr>
          <w:rFonts w:ascii="標楷體" w:hAnsi="Arial" w:hint="eastAsia"/>
          <w:b/>
          <w:bCs/>
          <w:kern w:val="0"/>
          <w:szCs w:val="48"/>
        </w:rPr>
        <w:t>採取必要措施排除，該指示已考量</w:t>
      </w:r>
      <w:r w:rsidR="00333809">
        <w:rPr>
          <w:rFonts w:ascii="標楷體" w:hAnsi="Arial" w:hint="eastAsia"/>
          <w:b/>
          <w:bCs/>
          <w:kern w:val="0"/>
          <w:szCs w:val="48"/>
        </w:rPr>
        <w:t>社會大眾權益及陳抗民眾意見表達之均衡維護，尚無疑義；中正一</w:t>
      </w:r>
      <w:r w:rsidR="00333809" w:rsidRPr="00AA042C">
        <w:rPr>
          <w:rFonts w:ascii="標楷體" w:hAnsi="Arial" w:hint="eastAsia"/>
          <w:szCs w:val="36"/>
        </w:rPr>
        <w:t>分局</w:t>
      </w:r>
      <w:r w:rsidR="006B7F6D" w:rsidRPr="00AA042C">
        <w:rPr>
          <w:rFonts w:ascii="標楷體" w:hAnsi="Arial" w:hint="eastAsia"/>
          <w:szCs w:val="36"/>
        </w:rPr>
        <w:t>廖材楨</w:t>
      </w:r>
      <w:r w:rsidR="00333809" w:rsidRPr="00AA042C">
        <w:rPr>
          <w:rFonts w:ascii="標楷體" w:hAnsi="Arial" w:hint="eastAsia"/>
          <w:szCs w:val="36"/>
        </w:rPr>
        <w:t>分局長</w:t>
      </w:r>
      <w:r w:rsidR="006B7F6D" w:rsidRPr="00AA042C">
        <w:rPr>
          <w:rFonts w:ascii="標楷體" w:hAnsi="Arial" w:hint="eastAsia"/>
          <w:szCs w:val="36"/>
        </w:rPr>
        <w:t>綜合現場全般狀況，經舉牌4次後決定強制驅離現場群</w:t>
      </w:r>
      <w:r w:rsidR="006B7F6D" w:rsidRPr="00BF6982">
        <w:rPr>
          <w:rFonts w:ascii="標楷體" w:hAnsi="Arial" w:hint="eastAsia"/>
          <w:b/>
          <w:bCs/>
          <w:kern w:val="0"/>
          <w:szCs w:val="48"/>
        </w:rPr>
        <w:t>眾，且因客觀上當時抗議民眾仍有流竄持續占據幹道、推擠員警及聲援等情事，故於</w:t>
      </w:r>
      <w:r w:rsidR="00100260" w:rsidRPr="00AA042C">
        <w:rPr>
          <w:rFonts w:ascii="標楷體" w:hAnsi="Arial" w:hint="eastAsia"/>
          <w:szCs w:val="36"/>
        </w:rPr>
        <w:t>晚間11</w:t>
      </w:r>
      <w:r w:rsidR="006B7F6D" w:rsidRPr="00AA042C">
        <w:rPr>
          <w:rFonts w:ascii="標楷體" w:hAnsi="Arial" w:hint="eastAsia"/>
          <w:szCs w:val="36"/>
        </w:rPr>
        <w:t>時</w:t>
      </w:r>
      <w:r w:rsidR="006B7F6D" w:rsidRPr="00BF6982">
        <w:rPr>
          <w:rFonts w:ascii="標楷體" w:hAnsi="Arial" w:hint="eastAsia"/>
          <w:b/>
          <w:bCs/>
          <w:kern w:val="0"/>
          <w:szCs w:val="48"/>
        </w:rPr>
        <w:t>許圈圍管束部分民眾至隔日凌晨，其目的在避免抗議群眾合流滋事，亦無重大明顯的裁量瑕疵；隔日凌晨0時45分後，市區主要幹道交通已恢復順暢，整體抗爭態勢收歛，而被圈圍的民眾已顯勞頓，一再要求自行離去，加以現場非屬管制區，客觀上無發生立即或重大危險之虞，但警方拒絕與民眾溝通，協商採取有效的解散方式，逕於深夜強制將民眾載至偏遠市郊「丟包」，引發各界有關警方濫權之質疑，核有失當，允應檢討改善。</w:t>
      </w:r>
    </w:p>
    <w:p w:rsidR="006B7F6D" w:rsidRPr="00BF6982" w:rsidRDefault="006B7F6D" w:rsidP="006B7F6D">
      <w:pPr>
        <w:numPr>
          <w:ilvl w:val="2"/>
          <w:numId w:val="1"/>
        </w:numPr>
        <w:kinsoku w:val="0"/>
        <w:ind w:left="1361" w:hanging="681"/>
        <w:jc w:val="both"/>
        <w:outlineLvl w:val="2"/>
        <w:rPr>
          <w:rFonts w:ascii="標楷體" w:hAnsi="Arial"/>
          <w:b/>
          <w:bCs/>
          <w:kern w:val="0"/>
          <w:szCs w:val="36"/>
        </w:rPr>
      </w:pPr>
      <w:bookmarkStart w:id="36" w:name="_Toc525066147"/>
      <w:bookmarkStart w:id="37" w:name="_Toc525070838"/>
      <w:bookmarkStart w:id="38" w:name="_Toc525938378"/>
      <w:bookmarkStart w:id="39" w:name="_Toc525939226"/>
      <w:bookmarkStart w:id="40" w:name="_Toc525939731"/>
      <w:bookmarkStart w:id="41" w:name="_Toc529218271"/>
      <w:bookmarkStart w:id="42" w:name="_Toc529222688"/>
      <w:bookmarkStart w:id="43" w:name="_Toc529223110"/>
      <w:bookmarkStart w:id="44" w:name="_Toc529223861"/>
      <w:bookmarkStart w:id="45" w:name="_Toc529228264"/>
      <w:bookmarkStart w:id="46" w:name="_Toc2400394"/>
      <w:bookmarkStart w:id="47" w:name="_Toc4316188"/>
      <w:bookmarkStart w:id="48" w:name="_Toc4473329"/>
      <w:bookmarkStart w:id="49" w:name="_Toc69556896"/>
      <w:bookmarkStart w:id="50" w:name="_Toc69556945"/>
      <w:bookmarkStart w:id="51" w:name="_Toc69609819"/>
      <w:r w:rsidRPr="00BF6982">
        <w:rPr>
          <w:rFonts w:ascii="標楷體" w:hAnsi="Arial" w:hint="eastAsia"/>
          <w:b/>
          <w:bCs/>
          <w:kern w:val="0"/>
          <w:szCs w:val="36"/>
        </w:rPr>
        <w:lastRenderedPageBreak/>
        <w:t>臺北市政府於晚間9時50分基於維護社會大眾用路權利，授權臺北市警局依法排除，係為維護社會大眾權益，並已考量陳抗民眾意見表達之均衡維護，故該指示並無疑義。</w:t>
      </w:r>
    </w:p>
    <w:p w:rsidR="006B7F6D" w:rsidRPr="00BF6982" w:rsidRDefault="006B7F6D" w:rsidP="006B7F6D">
      <w:pPr>
        <w:numPr>
          <w:ilvl w:val="3"/>
          <w:numId w:val="1"/>
        </w:numPr>
        <w:ind w:left="1700" w:hanging="680"/>
        <w:jc w:val="both"/>
        <w:outlineLvl w:val="3"/>
        <w:rPr>
          <w:rFonts w:ascii="標楷體" w:hAnsi="Arial"/>
          <w:bCs/>
          <w:szCs w:val="36"/>
        </w:rPr>
      </w:pPr>
      <w:r w:rsidRPr="00BF6982">
        <w:rPr>
          <w:rFonts w:ascii="標楷體" w:hAnsi="Arial" w:hint="eastAsia"/>
          <w:szCs w:val="36"/>
        </w:rPr>
        <w:t>106年12月23日「反對勞基法惡法修法、保障勞工權益」集會遊行活動，係由全國金融業工會聯合總會秘書長韓仕賢申請，勞團毛振飛、團結工聯黃育德為總指揮，遊行參與團體計有臺北市、桃園市、中華電信公會、銀行公會等團體，係合法申請核准之集會遊行，有</w:t>
      </w:r>
      <w:r w:rsidR="00414473" w:rsidRPr="00BF6982">
        <w:rPr>
          <w:rFonts w:ascii="標楷體" w:hAnsi="Arial" w:hint="eastAsia"/>
          <w:szCs w:val="36"/>
        </w:rPr>
        <w:t>臺北市警</w:t>
      </w:r>
      <w:r w:rsidRPr="00BF6982">
        <w:rPr>
          <w:rFonts w:ascii="標楷體" w:hAnsi="Arial" w:hint="eastAsia"/>
          <w:szCs w:val="36"/>
        </w:rPr>
        <w:t>局</w:t>
      </w:r>
      <w:r w:rsidR="00414473" w:rsidRPr="00BF6982">
        <w:rPr>
          <w:rFonts w:ascii="標楷體" w:hAnsi="Arial" w:hint="eastAsia"/>
          <w:szCs w:val="36"/>
        </w:rPr>
        <w:t>中正</w:t>
      </w:r>
      <w:r w:rsidRPr="00BF6982">
        <w:rPr>
          <w:rFonts w:ascii="標楷體" w:hAnsi="Arial" w:hint="eastAsia"/>
          <w:szCs w:val="36"/>
        </w:rPr>
        <w:t>一分局核定集會遊行通知書足稽。當日下午6時4分許，主辦單位宣布陳抗活動結束，參與之勞工團體陸續解散並搭車離開。但有部分到場串聯聲援之團體，及經由大眾傳媒及社群媒體號召之民眾約300人，為凸顯訴求，採取遍地開花，隨機癱瘓交通的方式進行抗爭。依</w:t>
      </w:r>
      <w:r w:rsidR="00BD47D8" w:rsidRPr="00BF6982">
        <w:rPr>
          <w:rFonts w:ascii="標楷體" w:hAnsi="Arial" w:hint="eastAsia"/>
          <w:szCs w:val="36"/>
        </w:rPr>
        <w:t>臺北市警局</w:t>
      </w:r>
      <w:r w:rsidRPr="00BF6982">
        <w:rPr>
          <w:rFonts w:ascii="標楷體" w:hAnsi="Arial" w:hint="eastAsia"/>
          <w:szCs w:val="36"/>
        </w:rPr>
        <w:t>時序表記載，當日</w:t>
      </w:r>
      <w:r w:rsidR="00100260" w:rsidRPr="00AA042C">
        <w:rPr>
          <w:rFonts w:ascii="標楷體" w:hAnsi="Arial" w:hint="eastAsia"/>
          <w:szCs w:val="36"/>
        </w:rPr>
        <w:t>下午6時</w:t>
      </w:r>
      <w:r w:rsidRPr="00BF6982">
        <w:rPr>
          <w:rFonts w:ascii="標楷體" w:hAnsi="Arial" w:hint="eastAsia"/>
          <w:szCs w:val="36"/>
        </w:rPr>
        <w:t>20分許市民大道、中山北路往南慢車道開放通行，部分民眾不顧警察之指揮，靜坐於車前，不讓車輛通行，持續癱瘓中山、忠孝二條南北與東西動脈，僵持2小時後警方調動警力，群眾又於</w:t>
      </w:r>
      <w:r w:rsidR="00100260" w:rsidRPr="00AA042C">
        <w:rPr>
          <w:rFonts w:ascii="標楷體" w:hAnsi="Arial" w:hint="eastAsia"/>
          <w:szCs w:val="36"/>
        </w:rPr>
        <w:t>晚間8</w:t>
      </w:r>
      <w:r w:rsidRPr="00AA042C">
        <w:rPr>
          <w:rFonts w:ascii="標楷體" w:hAnsi="Arial" w:hint="eastAsia"/>
          <w:szCs w:val="36"/>
        </w:rPr>
        <w:t>時</w:t>
      </w:r>
      <w:r w:rsidRPr="00BF6982">
        <w:rPr>
          <w:rFonts w:ascii="標楷體" w:hAnsi="Arial" w:hint="eastAsia"/>
          <w:szCs w:val="36"/>
        </w:rPr>
        <w:t>48分許，沿忠孝西路南側往西移動，於</w:t>
      </w:r>
      <w:r w:rsidR="00100260" w:rsidRPr="00AA042C">
        <w:rPr>
          <w:rFonts w:ascii="標楷體" w:hAnsi="Arial" w:hint="eastAsia"/>
          <w:szCs w:val="36"/>
        </w:rPr>
        <w:t>晚間8時</w:t>
      </w:r>
      <w:r w:rsidRPr="00BF6982">
        <w:rPr>
          <w:rFonts w:ascii="標楷體" w:hAnsi="Arial" w:hint="eastAsia"/>
          <w:szCs w:val="36"/>
        </w:rPr>
        <w:t>55分占據忠孝西路與公園路口，再沿公園路、襄陽路、懷寧街、衡陽路、成都路、西寧南路、忠孝西路、洛陽街、塔城街、市民大道、中山北路、忠孝東路等各交通幹道流竄，期間於</w:t>
      </w:r>
      <w:r w:rsidR="00100260" w:rsidRPr="00AA042C">
        <w:rPr>
          <w:rFonts w:ascii="標楷體" w:hAnsi="Arial" w:hint="eastAsia"/>
          <w:szCs w:val="36"/>
        </w:rPr>
        <w:t>晚間9時</w:t>
      </w:r>
      <w:r w:rsidRPr="00BF6982">
        <w:rPr>
          <w:rFonts w:ascii="標楷體" w:hAnsi="Arial" w:hint="eastAsia"/>
          <w:szCs w:val="36"/>
        </w:rPr>
        <w:t>10分占據中華路與寶慶路口，阻擋車輛行進，</w:t>
      </w:r>
      <w:r w:rsidR="00100260" w:rsidRPr="00AA042C">
        <w:rPr>
          <w:rFonts w:ascii="標楷體" w:hAnsi="Arial" w:hint="eastAsia"/>
          <w:szCs w:val="36"/>
        </w:rPr>
        <w:t>晚間9</w:t>
      </w:r>
      <w:r w:rsidRPr="00BF6982">
        <w:rPr>
          <w:rFonts w:ascii="標楷體" w:hAnsi="Arial" w:hint="eastAsia"/>
          <w:szCs w:val="36"/>
        </w:rPr>
        <w:t>時37分占據忠孝西路與西寧南路口，</w:t>
      </w:r>
      <w:r w:rsidR="00100260" w:rsidRPr="00AA042C">
        <w:rPr>
          <w:rFonts w:ascii="標楷體" w:hAnsi="Arial" w:hint="eastAsia"/>
          <w:szCs w:val="36"/>
        </w:rPr>
        <w:t>晚間9</w:t>
      </w:r>
      <w:r w:rsidRPr="00AA042C">
        <w:rPr>
          <w:rFonts w:ascii="標楷體" w:hAnsi="Arial" w:hint="eastAsia"/>
          <w:szCs w:val="36"/>
        </w:rPr>
        <w:t>時</w:t>
      </w:r>
      <w:r w:rsidRPr="00BF6982">
        <w:rPr>
          <w:rFonts w:ascii="標楷體" w:hAnsi="Arial" w:hint="eastAsia"/>
          <w:szCs w:val="36"/>
        </w:rPr>
        <w:t>40分占據忠孝橋橋頭，阻擋臺北市往新北市車流，進而影響到往機場之民眾，並與民眾發生口角等情，核與媒</w:t>
      </w:r>
      <w:r w:rsidRPr="00BF6982">
        <w:rPr>
          <w:rFonts w:ascii="標楷體" w:hAnsi="Arial" w:hint="eastAsia"/>
          <w:szCs w:val="36"/>
        </w:rPr>
        <w:lastRenderedPageBreak/>
        <w:t>體即時報導內容相符。</w:t>
      </w:r>
    </w:p>
    <w:p w:rsidR="006B7F6D" w:rsidRPr="00BF6982" w:rsidRDefault="00F71EE7" w:rsidP="006B7F6D">
      <w:pPr>
        <w:numPr>
          <w:ilvl w:val="3"/>
          <w:numId w:val="1"/>
        </w:numPr>
        <w:ind w:left="1700" w:hanging="680"/>
        <w:jc w:val="both"/>
        <w:outlineLvl w:val="3"/>
        <w:rPr>
          <w:rFonts w:ascii="標楷體" w:hAnsi="Arial"/>
          <w:bCs/>
          <w:szCs w:val="36"/>
        </w:rPr>
      </w:pPr>
      <w:r w:rsidRPr="00BF6982">
        <w:rPr>
          <w:rFonts w:ascii="標楷體" w:hAnsi="Arial" w:hint="eastAsia"/>
          <w:szCs w:val="36"/>
        </w:rPr>
        <w:t>臺北市政府</w:t>
      </w:r>
      <w:r w:rsidR="006B7F6D" w:rsidRPr="00BF6982">
        <w:rPr>
          <w:rFonts w:ascii="標楷體" w:hAnsi="Arial" w:hint="eastAsia"/>
          <w:szCs w:val="36"/>
        </w:rPr>
        <w:t>相關指令下達經過，</w:t>
      </w:r>
      <w:r w:rsidR="00BD47D8" w:rsidRPr="00BF6982">
        <w:rPr>
          <w:rFonts w:ascii="標楷體" w:hAnsi="Arial" w:hint="eastAsia"/>
          <w:szCs w:val="36"/>
        </w:rPr>
        <w:t>市</w:t>
      </w:r>
      <w:r w:rsidR="006B7F6D" w:rsidRPr="00BF6982">
        <w:rPr>
          <w:rFonts w:ascii="標楷體" w:hAnsi="Arial" w:hint="eastAsia"/>
          <w:szCs w:val="36"/>
        </w:rPr>
        <w:t>長柯文哲於12月24日向媒體表示：23日晚間9點多，警察局長陳嘉昌曾詢問堵住交通怎麼辦？其當下指示，其他還可以執法從寬，堵住幹線交通不行，要排除等語。與</w:t>
      </w:r>
      <w:r w:rsidR="00BD47D8" w:rsidRPr="00BF6982">
        <w:rPr>
          <w:rFonts w:ascii="標楷體" w:hAnsi="Arial" w:hint="eastAsia"/>
          <w:szCs w:val="36"/>
        </w:rPr>
        <w:t>臺北市警局</w:t>
      </w:r>
      <w:r w:rsidR="006B7F6D" w:rsidRPr="00BF6982">
        <w:rPr>
          <w:rFonts w:ascii="標楷體" w:hAnsi="Arial" w:hint="eastAsia"/>
          <w:szCs w:val="36"/>
        </w:rPr>
        <w:t>執行「1223專案」勤務時序表記載：「</w:t>
      </w:r>
      <w:r w:rsidR="00100260" w:rsidRPr="00AA042C">
        <w:rPr>
          <w:rFonts w:ascii="標楷體" w:hAnsi="Arial" w:hint="eastAsia"/>
          <w:szCs w:val="36"/>
        </w:rPr>
        <w:t>晚間9</w:t>
      </w:r>
      <w:r w:rsidR="006B7F6D" w:rsidRPr="00AA042C">
        <w:rPr>
          <w:rFonts w:ascii="標楷體" w:hAnsi="Arial" w:hint="eastAsia"/>
          <w:szCs w:val="36"/>
        </w:rPr>
        <w:t>時</w:t>
      </w:r>
      <w:r w:rsidR="006B7F6D" w:rsidRPr="00BF6982">
        <w:rPr>
          <w:rFonts w:ascii="標楷體" w:hAnsi="Arial" w:hint="eastAsia"/>
          <w:szCs w:val="36"/>
        </w:rPr>
        <w:t>50分</w:t>
      </w:r>
      <w:r w:rsidRPr="00BF6982">
        <w:rPr>
          <w:rFonts w:ascii="標楷體" w:hAnsi="Arial" w:hint="eastAsia"/>
          <w:szCs w:val="36"/>
        </w:rPr>
        <w:t>，因群眾持續</w:t>
      </w:r>
      <w:r w:rsidR="00524D68" w:rsidRPr="00BF6982">
        <w:rPr>
          <w:rFonts w:ascii="標楷體" w:hAnsi="Arial" w:hint="eastAsia"/>
          <w:szCs w:val="36"/>
        </w:rPr>
        <w:t>占</w:t>
      </w:r>
      <w:r w:rsidRPr="00BF6982">
        <w:rPr>
          <w:rFonts w:ascii="標楷體" w:hAnsi="Arial" w:hint="eastAsia"/>
          <w:szCs w:val="36"/>
        </w:rPr>
        <w:t>據道路，癱瘓交通，引發公共危險，</w:t>
      </w:r>
      <w:r w:rsidR="006B7F6D" w:rsidRPr="00BF6982">
        <w:rPr>
          <w:rFonts w:ascii="標楷體" w:hAnsi="Arial" w:hint="eastAsia"/>
          <w:szCs w:val="36"/>
        </w:rPr>
        <w:t>局長將現場狀況向市長報備，授權</w:t>
      </w:r>
      <w:r w:rsidRPr="00BF6982">
        <w:rPr>
          <w:rFonts w:ascii="標楷體" w:hAnsi="Arial" w:hint="eastAsia"/>
          <w:szCs w:val="36"/>
        </w:rPr>
        <w:t>本</w:t>
      </w:r>
      <w:r w:rsidR="006B7F6D" w:rsidRPr="00BF6982">
        <w:rPr>
          <w:rFonts w:ascii="標楷體" w:hAnsi="Arial" w:hint="eastAsia"/>
          <w:szCs w:val="36"/>
        </w:rPr>
        <w:t>局處理，由中正一分局下令勸（抬）離舉牌制止仍不離去群眾」，互核相符。</w:t>
      </w:r>
    </w:p>
    <w:p w:rsidR="006B7F6D" w:rsidRPr="00BF6982" w:rsidRDefault="006B7F6D" w:rsidP="006B7F6D">
      <w:pPr>
        <w:numPr>
          <w:ilvl w:val="3"/>
          <w:numId w:val="1"/>
        </w:numPr>
        <w:ind w:left="1700" w:hanging="680"/>
        <w:jc w:val="both"/>
        <w:outlineLvl w:val="3"/>
        <w:rPr>
          <w:rFonts w:ascii="標楷體" w:hAnsi="Arial"/>
          <w:bCs/>
          <w:szCs w:val="36"/>
        </w:rPr>
      </w:pPr>
      <w:r w:rsidRPr="00BF6982">
        <w:rPr>
          <w:rFonts w:ascii="標楷體" w:hAnsi="Arial" w:hint="eastAsia"/>
          <w:szCs w:val="36"/>
        </w:rPr>
        <w:t>經查，當晚陳抗活動之主體非原申請之勞工團體，而係自行到場聲援及經由大眾傳媒及社群媒體號召之民眾，依司法院釋字第718號解釋，該陳抗活動可能</w:t>
      </w:r>
      <w:r w:rsidR="00D709F4" w:rsidRPr="00BF6982">
        <w:rPr>
          <w:rFonts w:ascii="標楷體" w:hAnsi="Arial" w:hint="eastAsia"/>
          <w:szCs w:val="36"/>
        </w:rPr>
        <w:t>具有</w:t>
      </w:r>
      <w:r w:rsidRPr="00BF6982">
        <w:rPr>
          <w:rFonts w:ascii="標楷體" w:hAnsi="Arial" w:hint="eastAsia"/>
          <w:szCs w:val="36"/>
        </w:rPr>
        <w:t>「偶發性」集會遊行</w:t>
      </w:r>
      <w:r w:rsidR="00D709F4" w:rsidRPr="00BF6982">
        <w:rPr>
          <w:rFonts w:ascii="標楷體" w:hAnsi="Arial" w:hint="eastAsia"/>
          <w:szCs w:val="36"/>
        </w:rPr>
        <w:t>性質</w:t>
      </w:r>
      <w:r w:rsidRPr="00BF6982">
        <w:rPr>
          <w:rFonts w:ascii="標楷體" w:hAnsi="Arial" w:hint="eastAsia"/>
          <w:szCs w:val="36"/>
        </w:rPr>
        <w:t>，且陳抗活動本質上即可能造成交通之妨礙。但審酌當時群眾佔據之道路屬交通要道（中山北路與忠孝東路口、中華路、忠孝橋、市民大道等），陳抗人士並有阻擋過路之公車、汽機車等行為，癱瘓交通之狀況極為嚴重，客觀上有致生公共危險之情形，且主辦單位宣布活動結束後（下午6時）逾5小時（晚間11時），</w:t>
      </w:r>
      <w:r w:rsidR="00BD47D8" w:rsidRPr="00BF6982">
        <w:rPr>
          <w:rFonts w:ascii="標楷體" w:hAnsi="Arial" w:hint="eastAsia"/>
          <w:szCs w:val="36"/>
        </w:rPr>
        <w:t>臺北市警局</w:t>
      </w:r>
      <w:r w:rsidRPr="00BF6982">
        <w:rPr>
          <w:rFonts w:ascii="標楷體" w:hAnsi="Arial" w:hint="eastAsia"/>
          <w:szCs w:val="36"/>
        </w:rPr>
        <w:t>始終採取柔性勸導的方式，且由</w:t>
      </w:r>
      <w:r w:rsidR="00BD47D8" w:rsidRPr="00BF6982">
        <w:rPr>
          <w:rFonts w:ascii="標楷體" w:hAnsi="Arial" w:hint="eastAsia"/>
          <w:szCs w:val="36"/>
        </w:rPr>
        <w:t>臺北市</w:t>
      </w:r>
      <w:r w:rsidRPr="00BF6982">
        <w:rPr>
          <w:rFonts w:ascii="標楷體" w:hAnsi="Arial" w:hint="eastAsia"/>
          <w:szCs w:val="36"/>
        </w:rPr>
        <w:t>長之指示內容，係要求執法從寬，針對阻礙交通幹線的狀況加以排除觀之，實已兼顧民眾意見表達的權利，故該項指示尚無疑義。</w:t>
      </w:r>
    </w:p>
    <w:p w:rsidR="006B7F6D" w:rsidRPr="00BF6982" w:rsidRDefault="00333809" w:rsidP="006B7F6D">
      <w:pPr>
        <w:numPr>
          <w:ilvl w:val="2"/>
          <w:numId w:val="1"/>
        </w:numPr>
        <w:kinsoku w:val="0"/>
        <w:jc w:val="both"/>
        <w:outlineLvl w:val="2"/>
        <w:rPr>
          <w:rFonts w:ascii="標楷體" w:hAnsi="Arial"/>
          <w:b/>
          <w:bCs/>
          <w:kern w:val="0"/>
          <w:szCs w:val="36"/>
        </w:rPr>
      </w:pPr>
      <w:r>
        <w:rPr>
          <w:rFonts w:ascii="標楷體" w:hAnsi="Arial" w:hint="eastAsia"/>
          <w:b/>
          <w:bCs/>
          <w:kern w:val="0"/>
          <w:szCs w:val="36"/>
        </w:rPr>
        <w:t>鑑於當時陳抗活動違法脫序情形，中正一</w:t>
      </w:r>
      <w:r w:rsidRPr="00AA042C">
        <w:rPr>
          <w:rFonts w:ascii="標楷體" w:hAnsi="Arial" w:hint="eastAsia"/>
          <w:b/>
          <w:bCs/>
          <w:kern w:val="0"/>
          <w:szCs w:val="36"/>
        </w:rPr>
        <w:t>分局</w:t>
      </w:r>
      <w:r w:rsidR="006B7F6D" w:rsidRPr="00AA042C">
        <w:rPr>
          <w:rFonts w:ascii="標楷體" w:hAnsi="Arial" w:hint="eastAsia"/>
          <w:b/>
          <w:bCs/>
          <w:kern w:val="0"/>
          <w:szCs w:val="36"/>
        </w:rPr>
        <w:t>廖材楨</w:t>
      </w:r>
      <w:r w:rsidRPr="00AA042C">
        <w:rPr>
          <w:rFonts w:ascii="標楷體" w:hAnsi="Arial" w:hint="eastAsia"/>
          <w:b/>
          <w:bCs/>
          <w:kern w:val="0"/>
          <w:szCs w:val="36"/>
        </w:rPr>
        <w:t>分局長</w:t>
      </w:r>
      <w:r w:rsidR="006B7F6D" w:rsidRPr="00BF6982">
        <w:rPr>
          <w:rFonts w:ascii="標楷體" w:hAnsi="Arial" w:hint="eastAsia"/>
          <w:b/>
          <w:bCs/>
          <w:kern w:val="0"/>
          <w:szCs w:val="36"/>
        </w:rPr>
        <w:t>綜合全般狀況，經舉牌警告及命令解散等程序，決定對隨機移轉的陳抗民眾命令解散，並未違反集會遊行法之相關規定。</w:t>
      </w:r>
    </w:p>
    <w:p w:rsidR="006B7F6D" w:rsidRPr="00BF6982" w:rsidRDefault="006B7F6D" w:rsidP="00AA042C">
      <w:pPr>
        <w:pStyle w:val="4"/>
        <w:ind w:left="1700" w:hanging="680"/>
      </w:pPr>
      <w:r w:rsidRPr="00BF6982">
        <w:rPr>
          <w:rFonts w:hint="eastAsia"/>
        </w:rPr>
        <w:t>按集會遊行法第25條規定，集會遊行有違反法</w:t>
      </w:r>
      <w:r w:rsidRPr="00BF6982">
        <w:rPr>
          <w:rFonts w:hint="eastAsia"/>
        </w:rPr>
        <w:lastRenderedPageBreak/>
        <w:t>令之行為時，主管機關得予警告、制止或命令解散；該制止及命令解散，主管機關得強制為之。有關市長指示排除街頭抗議後，警方強制措施之決定及下達經過，詢據臺北市警局表示：當日指揮係由中正一分局執行，陳嘉昌局長下達依法行政、符合比例原則、注意安全等三項裁示，因該局係市政府所屬機關，有告知市長執行的決定等語。副局長方仰寧另補充說明：當日指揮權在中正一分局長，分局長下令圈圍帶離群眾時，有告知該局指揮所；因長官不在現場，強制力執行後會告知市府及警政署長官，但不是請示長官下命令等語。亦即當日晚間市長雖指示排除交通幹道阻塞，但命令解散及管束、帶離抗議民眾，係由現場指揮官中正一</w:t>
      </w:r>
      <w:r w:rsidR="002E2375" w:rsidRPr="00BF6982">
        <w:rPr>
          <w:rFonts w:hint="eastAsia"/>
          <w:bCs/>
          <w:kern w:val="0"/>
        </w:rPr>
        <w:t>分局</w:t>
      </w:r>
      <w:r w:rsidR="002E2375" w:rsidRPr="00AA042C">
        <w:rPr>
          <w:rFonts w:hint="eastAsia"/>
        </w:rPr>
        <w:t>廖材楨分局長</w:t>
      </w:r>
      <w:r w:rsidRPr="00BF6982">
        <w:rPr>
          <w:rFonts w:hint="eastAsia"/>
        </w:rPr>
        <w:t>所為。依集會遊</w:t>
      </w:r>
      <w:r w:rsidR="00BD47D8" w:rsidRPr="00BF6982">
        <w:rPr>
          <w:rFonts w:hint="eastAsia"/>
        </w:rPr>
        <w:t>行</w:t>
      </w:r>
      <w:r w:rsidRPr="00BF6982">
        <w:rPr>
          <w:rFonts w:hint="eastAsia"/>
        </w:rPr>
        <w:t>法第3條規定，集會遊行事件之主管機關為所在地轄區警察分局，故由中正一分局</w:t>
      </w:r>
      <w:r w:rsidR="00333809" w:rsidRPr="00AA042C">
        <w:rPr>
          <w:rFonts w:hint="eastAsia"/>
        </w:rPr>
        <w:t>分局</w:t>
      </w:r>
      <w:r w:rsidRPr="00BF6982">
        <w:rPr>
          <w:rFonts w:hint="eastAsia"/>
        </w:rPr>
        <w:t>長為舉牌處分及下令強制驅離，依法並無違誤。</w:t>
      </w:r>
    </w:p>
    <w:p w:rsidR="006B7F6D" w:rsidRPr="00BF6982" w:rsidRDefault="006B7F6D" w:rsidP="00AA042C">
      <w:pPr>
        <w:pStyle w:val="4"/>
        <w:ind w:left="1700" w:hanging="680"/>
      </w:pPr>
      <w:r w:rsidRPr="00BF6982">
        <w:rPr>
          <w:rFonts w:hint="eastAsia"/>
        </w:rPr>
        <w:t>經查，</w:t>
      </w:r>
      <w:r w:rsidRPr="00AA042C">
        <w:rPr>
          <w:rFonts w:hint="eastAsia"/>
        </w:rPr>
        <w:t>當晚中正一</w:t>
      </w:r>
      <w:r w:rsidR="00333809" w:rsidRPr="00AA042C">
        <w:rPr>
          <w:rFonts w:hint="eastAsia"/>
        </w:rPr>
        <w:t>分局廖材楨</w:t>
      </w:r>
      <w:r w:rsidRPr="00AA042C">
        <w:rPr>
          <w:rFonts w:hint="eastAsia"/>
        </w:rPr>
        <w:t>分局長</w:t>
      </w:r>
      <w:r w:rsidRPr="00BF6982">
        <w:rPr>
          <w:rFonts w:hint="eastAsia"/>
        </w:rPr>
        <w:t>對於抗議民眾前揭占據道路之行為，於</w:t>
      </w:r>
      <w:r w:rsidR="00100260" w:rsidRPr="00AA042C">
        <w:rPr>
          <w:rFonts w:hint="eastAsia"/>
        </w:rPr>
        <w:t>晚間9</w:t>
      </w:r>
      <w:r w:rsidRPr="00BF6982">
        <w:rPr>
          <w:rFonts w:hint="eastAsia"/>
        </w:rPr>
        <w:t>時42</w:t>
      </w:r>
      <w:r w:rsidR="00524D68" w:rsidRPr="00BF6982">
        <w:rPr>
          <w:rFonts w:hint="eastAsia"/>
        </w:rPr>
        <w:t>分第1</w:t>
      </w:r>
      <w:r w:rsidRPr="00BF6982">
        <w:rPr>
          <w:rFonts w:hint="eastAsia"/>
        </w:rPr>
        <w:t>次舉牌警告、</w:t>
      </w:r>
      <w:r w:rsidR="00100260" w:rsidRPr="00AA042C">
        <w:rPr>
          <w:rFonts w:hint="eastAsia"/>
        </w:rPr>
        <w:t>晚間9</w:t>
      </w:r>
      <w:r w:rsidRPr="00BF6982">
        <w:rPr>
          <w:rFonts w:hint="eastAsia"/>
        </w:rPr>
        <w:t>時48分第</w:t>
      </w:r>
      <w:r w:rsidR="00524D68" w:rsidRPr="00BF6982">
        <w:rPr>
          <w:rFonts w:hint="eastAsia"/>
        </w:rPr>
        <w:t>2</w:t>
      </w:r>
      <w:r w:rsidRPr="00BF6982">
        <w:rPr>
          <w:rFonts w:hint="eastAsia"/>
        </w:rPr>
        <w:t>次舉牌命令解散。</w:t>
      </w:r>
      <w:r w:rsidR="00100260" w:rsidRPr="00AA042C">
        <w:rPr>
          <w:rFonts w:hint="eastAsia"/>
        </w:rPr>
        <w:t>晚間9</w:t>
      </w:r>
      <w:r w:rsidRPr="00BF6982">
        <w:rPr>
          <w:rFonts w:hint="eastAsia"/>
        </w:rPr>
        <w:t>時50分市長</w:t>
      </w:r>
      <w:r w:rsidR="00D709F4" w:rsidRPr="00BF6982">
        <w:rPr>
          <w:rFonts w:hint="eastAsia"/>
        </w:rPr>
        <w:t>指示</w:t>
      </w:r>
      <w:r w:rsidRPr="00BF6982">
        <w:rPr>
          <w:rFonts w:hint="eastAsia"/>
        </w:rPr>
        <w:t>排除後，</w:t>
      </w:r>
      <w:r w:rsidR="00100260" w:rsidRPr="00AA042C">
        <w:rPr>
          <w:rFonts w:hint="eastAsia"/>
        </w:rPr>
        <w:t>晚間10</w:t>
      </w:r>
      <w:r w:rsidRPr="00BF6982">
        <w:rPr>
          <w:rFonts w:hint="eastAsia"/>
        </w:rPr>
        <w:t>時抗議民眾因占據中華路與漢口街口，廖</w:t>
      </w:r>
      <w:r w:rsidR="00D7547D" w:rsidRPr="00AA042C">
        <w:rPr>
          <w:rFonts w:hint="eastAsia"/>
        </w:rPr>
        <w:t>材楨</w:t>
      </w:r>
      <w:r w:rsidRPr="00BF6982">
        <w:rPr>
          <w:rFonts w:hint="eastAsia"/>
        </w:rPr>
        <w:t>分局長第3次舉牌制止；</w:t>
      </w:r>
      <w:r w:rsidR="00100260" w:rsidRPr="00AA042C">
        <w:rPr>
          <w:rFonts w:hint="eastAsia"/>
        </w:rPr>
        <w:t>晚間10</w:t>
      </w:r>
      <w:r w:rsidRPr="00BF6982">
        <w:rPr>
          <w:rFonts w:hint="eastAsia"/>
        </w:rPr>
        <w:t>時26分民眾因占據中華路、忠孝西路口，廖</w:t>
      </w:r>
      <w:r w:rsidR="00D7547D" w:rsidRPr="00AA042C">
        <w:rPr>
          <w:rFonts w:hint="eastAsia"/>
        </w:rPr>
        <w:t>材楨</w:t>
      </w:r>
      <w:r w:rsidRPr="00BF6982">
        <w:rPr>
          <w:rFonts w:hint="eastAsia"/>
        </w:rPr>
        <w:t>分局長第4次舉牌制止，但民眾仍持續癱瘓交通。</w:t>
      </w:r>
      <w:r w:rsidR="00100260" w:rsidRPr="00AA042C">
        <w:rPr>
          <w:rFonts w:hint="eastAsia"/>
        </w:rPr>
        <w:t>晚間10</w:t>
      </w:r>
      <w:r w:rsidRPr="00BF6982">
        <w:rPr>
          <w:rFonts w:hint="eastAsia"/>
        </w:rPr>
        <w:t>時30分又占據塔城街與市民大道口。</w:t>
      </w:r>
      <w:r w:rsidR="00100260" w:rsidRPr="00AA042C">
        <w:rPr>
          <w:rFonts w:hint="eastAsia"/>
        </w:rPr>
        <w:t>晚間10</w:t>
      </w:r>
      <w:r w:rsidRPr="00BF6982">
        <w:rPr>
          <w:rFonts w:hint="eastAsia"/>
        </w:rPr>
        <w:t>時55分群眾返回中山南路與忠孝西路口，</w:t>
      </w:r>
      <w:r w:rsidR="00100260" w:rsidRPr="00AA042C">
        <w:rPr>
          <w:rFonts w:hint="eastAsia"/>
        </w:rPr>
        <w:t>晚間11</w:t>
      </w:r>
      <w:r w:rsidRPr="00BF6982">
        <w:rPr>
          <w:rFonts w:hint="eastAsia"/>
        </w:rPr>
        <w:t>時2分與警方發生推擠衝突。警方遂在中山北路進行圈圍（忠孝西路至北平東路間），惟群眾於</w:t>
      </w:r>
      <w:r w:rsidR="00100260" w:rsidRPr="00AA042C">
        <w:rPr>
          <w:rFonts w:hint="eastAsia"/>
        </w:rPr>
        <w:t>晚間11</w:t>
      </w:r>
      <w:r w:rsidRPr="00BF6982">
        <w:rPr>
          <w:rFonts w:hint="eastAsia"/>
        </w:rPr>
        <w:t>時8分找到縫隙由中山北路1段8</w:t>
      </w:r>
      <w:r w:rsidR="00333809">
        <w:rPr>
          <w:rFonts w:hint="eastAsia"/>
        </w:rPr>
        <w:t>巷竄出。綜據現場陳</w:t>
      </w:r>
      <w:r w:rsidR="00333809">
        <w:rPr>
          <w:rFonts w:hint="eastAsia"/>
        </w:rPr>
        <w:lastRenderedPageBreak/>
        <w:t>抗失序、車輛堵塞等狀態，中正一</w:t>
      </w:r>
      <w:r w:rsidR="00333809" w:rsidRPr="00AA042C">
        <w:rPr>
          <w:rFonts w:hint="eastAsia"/>
        </w:rPr>
        <w:t>分局</w:t>
      </w:r>
      <w:r w:rsidRPr="00AA042C">
        <w:rPr>
          <w:rFonts w:hint="eastAsia"/>
        </w:rPr>
        <w:t>廖材楨</w:t>
      </w:r>
      <w:r w:rsidR="00333809" w:rsidRPr="00AA042C">
        <w:rPr>
          <w:rFonts w:hint="eastAsia"/>
        </w:rPr>
        <w:t>分局長</w:t>
      </w:r>
      <w:r w:rsidR="00D709F4" w:rsidRPr="00BF6982">
        <w:rPr>
          <w:rFonts w:hint="eastAsia"/>
        </w:rPr>
        <w:t>依</w:t>
      </w:r>
      <w:r w:rsidRPr="00BF6982">
        <w:rPr>
          <w:rFonts w:hint="eastAsia"/>
        </w:rPr>
        <w:t>現場全般狀況，經舉牌警告及命令解散等法定程序，決定對隨機移轉及占據道路的陳抗民眾採取強制驅散，未違反集會遊行法相關規定。</w:t>
      </w:r>
    </w:p>
    <w:p w:rsidR="006B7F6D" w:rsidRPr="00BF6982" w:rsidRDefault="006B7F6D" w:rsidP="006B7F6D">
      <w:pPr>
        <w:numPr>
          <w:ilvl w:val="2"/>
          <w:numId w:val="1"/>
        </w:numPr>
        <w:kinsoku w:val="0"/>
        <w:jc w:val="both"/>
        <w:outlineLvl w:val="2"/>
        <w:rPr>
          <w:rFonts w:ascii="標楷體" w:hAnsi="Arial"/>
          <w:b/>
          <w:bCs/>
          <w:kern w:val="0"/>
          <w:szCs w:val="36"/>
        </w:rPr>
      </w:pPr>
      <w:r w:rsidRPr="00BF6982">
        <w:rPr>
          <w:rFonts w:ascii="標楷體" w:hAnsi="Arial" w:hint="eastAsia"/>
          <w:b/>
          <w:bCs/>
          <w:kern w:val="0"/>
          <w:szCs w:val="36"/>
        </w:rPr>
        <w:t>警方當晚4次舉牌之地點雖非在</w:t>
      </w:r>
      <w:r w:rsidR="00BD47D8" w:rsidRPr="00BF6982">
        <w:rPr>
          <w:rFonts w:ascii="標楷體" w:hAnsi="Arial" w:hint="eastAsia"/>
          <w:b/>
          <w:bCs/>
          <w:kern w:val="0"/>
          <w:szCs w:val="36"/>
        </w:rPr>
        <w:t>臺北車站</w:t>
      </w:r>
      <w:r w:rsidRPr="00BF6982">
        <w:rPr>
          <w:rFonts w:ascii="標楷體" w:hAnsi="Arial" w:hint="eastAsia"/>
          <w:b/>
          <w:bCs/>
          <w:kern w:val="0"/>
          <w:szCs w:val="36"/>
        </w:rPr>
        <w:t>東三門，但陳抗民眾係隨機移轉，而舉牌之對象在圈圍的民眾內。綜據各項事證，可認為警方已向陳抗民眾傳達命令解散及將實施強制驅離之意思表示。惟抗爭地點分散，仍應檢討未來如遇類似狀況，應分別多次在適當地點舉牌，使執法對象能充分知悉。</w:t>
      </w:r>
    </w:p>
    <w:p w:rsidR="00AB4E23" w:rsidRPr="00BF6982" w:rsidRDefault="006B7F6D" w:rsidP="00AB4E23">
      <w:pPr>
        <w:pStyle w:val="4"/>
      </w:pPr>
      <w:r w:rsidRPr="00BF6982">
        <w:rPr>
          <w:rFonts w:hint="eastAsia"/>
        </w:rPr>
        <w:t>有關外界質疑警方圈圍</w:t>
      </w:r>
      <w:r w:rsidR="00BD47D8" w:rsidRPr="00BF6982">
        <w:rPr>
          <w:rFonts w:hint="eastAsia"/>
        </w:rPr>
        <w:t>臺北車站</w:t>
      </w:r>
      <w:r w:rsidRPr="00BF6982">
        <w:rPr>
          <w:rFonts w:hint="eastAsia"/>
        </w:rPr>
        <w:t>東三門前之群</w:t>
      </w:r>
      <w:r w:rsidR="00BD47D8" w:rsidRPr="00BF6982">
        <w:rPr>
          <w:rFonts w:hint="eastAsia"/>
        </w:rPr>
        <w:t>眾</w:t>
      </w:r>
      <w:r w:rsidRPr="00BF6982">
        <w:rPr>
          <w:rFonts w:hint="eastAsia"/>
        </w:rPr>
        <w:t>前，未先行舉牌警告及勸導民眾自行離去乙節，據</w:t>
      </w:r>
      <w:r w:rsidR="00BD47D8" w:rsidRPr="00BF6982">
        <w:rPr>
          <w:rFonts w:hint="eastAsia"/>
        </w:rPr>
        <w:t>臺北市警局</w:t>
      </w:r>
      <w:r w:rsidRPr="00BF6982">
        <w:rPr>
          <w:rFonts w:hint="eastAsia"/>
        </w:rPr>
        <w:t>表示：該次圈圍民眾前，曾有4次舉牌制止，該4</w:t>
      </w:r>
      <w:r w:rsidR="00333809">
        <w:rPr>
          <w:rFonts w:hint="eastAsia"/>
        </w:rPr>
        <w:t>次舉牌係由中正一</w:t>
      </w:r>
      <w:r w:rsidR="00333809" w:rsidRPr="00AA042C">
        <w:rPr>
          <w:rFonts w:hint="eastAsia"/>
        </w:rPr>
        <w:t>分局</w:t>
      </w:r>
      <w:r w:rsidRPr="00AA042C">
        <w:rPr>
          <w:rFonts w:hint="eastAsia"/>
        </w:rPr>
        <w:t>廖材楨</w:t>
      </w:r>
      <w:r w:rsidR="00333809" w:rsidRPr="00AA042C">
        <w:rPr>
          <w:rFonts w:hint="eastAsia"/>
        </w:rPr>
        <w:t>分局長</w:t>
      </w:r>
      <w:r w:rsidRPr="00BF6982">
        <w:rPr>
          <w:rFonts w:hint="eastAsia"/>
        </w:rPr>
        <w:t>為之，時間分別為</w:t>
      </w:r>
      <w:r w:rsidR="00100260" w:rsidRPr="00AA042C">
        <w:rPr>
          <w:rFonts w:hint="eastAsia"/>
        </w:rPr>
        <w:t>晚間9</w:t>
      </w:r>
      <w:r w:rsidRPr="00BF6982">
        <w:rPr>
          <w:rFonts w:hint="eastAsia"/>
        </w:rPr>
        <w:t>時42分、48分、</w:t>
      </w:r>
      <w:r w:rsidR="00A73EA8" w:rsidRPr="00AA042C">
        <w:rPr>
          <w:rFonts w:hint="eastAsia"/>
        </w:rPr>
        <w:t>晚間10</w:t>
      </w:r>
      <w:r w:rsidRPr="00BF6982">
        <w:rPr>
          <w:rFonts w:hint="eastAsia"/>
        </w:rPr>
        <w:t>時、</w:t>
      </w:r>
      <w:r w:rsidR="00A73EA8" w:rsidRPr="00AA042C">
        <w:rPr>
          <w:rFonts w:hint="eastAsia"/>
        </w:rPr>
        <w:t>晚間10</w:t>
      </w:r>
      <w:r w:rsidRPr="00BF6982">
        <w:rPr>
          <w:rFonts w:hint="eastAsia"/>
        </w:rPr>
        <w:t>時26分；第1、2次在忠孝西路、西寧南路口，第3次在中華路、漢口街，第4次在中華路、忠孝西路口東北角，對象為李</w:t>
      </w:r>
      <w:r w:rsidR="00954CD6" w:rsidRPr="00BF6982">
        <w:rPr>
          <w:rFonts w:hint="eastAsia"/>
        </w:rPr>
        <w:t>容</w:t>
      </w:r>
      <w:r w:rsidRPr="00BF6982">
        <w:rPr>
          <w:rFonts w:hint="eastAsia"/>
        </w:rPr>
        <w:t>渝、陳</w:t>
      </w:r>
      <w:r w:rsidR="000C10D2" w:rsidRPr="00BF6982">
        <w:rPr>
          <w:rFonts w:hint="eastAsia"/>
        </w:rPr>
        <w:t>柏</w:t>
      </w:r>
      <w:r w:rsidRPr="00BF6982">
        <w:rPr>
          <w:rFonts w:hint="eastAsia"/>
        </w:rPr>
        <w:t>謙、李</w:t>
      </w:r>
      <w:r w:rsidR="000C10D2" w:rsidRPr="00BF6982">
        <w:rPr>
          <w:rFonts w:hint="eastAsia"/>
        </w:rPr>
        <w:t>嘉</w:t>
      </w:r>
      <w:r w:rsidRPr="00BF6982">
        <w:rPr>
          <w:rFonts w:hint="eastAsia"/>
        </w:rPr>
        <w:t>宇3人</w:t>
      </w:r>
      <w:r w:rsidR="00AB4E23" w:rsidRPr="00BF6982">
        <w:rPr>
          <w:rFonts w:hint="eastAsia"/>
        </w:rPr>
        <w:t>（如圖1）。</w:t>
      </w:r>
    </w:p>
    <w:p w:rsidR="00AB4E23" w:rsidRPr="00BF6982" w:rsidRDefault="00AB4E23" w:rsidP="00AB4E23">
      <w:pPr>
        <w:ind w:left="1043"/>
        <w:jc w:val="both"/>
        <w:outlineLvl w:val="3"/>
        <w:rPr>
          <w:rFonts w:ascii="標楷體" w:hAnsi="Arial"/>
          <w:szCs w:val="36"/>
        </w:rPr>
      </w:pPr>
    </w:p>
    <w:p w:rsidR="00AB4E23" w:rsidRPr="00BF6982" w:rsidRDefault="00AB4E23" w:rsidP="00AB4E23">
      <w:pPr>
        <w:ind w:left="1043"/>
        <w:jc w:val="both"/>
        <w:outlineLvl w:val="3"/>
        <w:rPr>
          <w:rFonts w:ascii="標楷體" w:hAnsi="Arial"/>
          <w:szCs w:val="36"/>
        </w:rPr>
      </w:pPr>
    </w:p>
    <w:p w:rsidR="00AB4E23" w:rsidRPr="00BF6982" w:rsidRDefault="00AB4E23" w:rsidP="00AB4E23">
      <w:pPr>
        <w:ind w:left="1043"/>
        <w:jc w:val="both"/>
        <w:outlineLvl w:val="3"/>
        <w:rPr>
          <w:rFonts w:ascii="標楷體" w:hAnsi="Arial"/>
          <w:szCs w:val="36"/>
        </w:rPr>
      </w:pPr>
    </w:p>
    <w:p w:rsidR="00AB4E23" w:rsidRPr="00BF6982" w:rsidRDefault="00AB4E23" w:rsidP="00AB4E23">
      <w:pPr>
        <w:ind w:left="1043"/>
        <w:jc w:val="both"/>
        <w:outlineLvl w:val="3"/>
        <w:rPr>
          <w:rFonts w:ascii="標楷體" w:hAnsi="Arial"/>
          <w:szCs w:val="36"/>
        </w:rPr>
      </w:pPr>
    </w:p>
    <w:p w:rsidR="00AB4E23" w:rsidRPr="00BF6982" w:rsidRDefault="00AB4E23" w:rsidP="00AB4E23">
      <w:pPr>
        <w:ind w:left="1043"/>
        <w:jc w:val="center"/>
        <w:outlineLvl w:val="3"/>
        <w:rPr>
          <w:rFonts w:ascii="標楷體" w:hAnsi="Arial"/>
          <w:sz w:val="24"/>
          <w:szCs w:val="24"/>
        </w:rPr>
      </w:pPr>
      <w:r w:rsidRPr="00BF6982">
        <w:rPr>
          <w:rFonts w:ascii="標楷體" w:hAnsi="Arial" w:hint="eastAsia"/>
          <w:noProof/>
          <w:sz w:val="24"/>
          <w:szCs w:val="24"/>
        </w:rPr>
        <w:lastRenderedPageBreak/>
        <w:drawing>
          <wp:anchor distT="0" distB="0" distL="114300" distR="114300" simplePos="0" relativeHeight="251659264" behindDoc="0" locked="0" layoutInCell="1" allowOverlap="1" wp14:anchorId="49F97E6F" wp14:editId="037442FE">
            <wp:simplePos x="0" y="0"/>
            <wp:positionH relativeFrom="column">
              <wp:posOffset>307340</wp:posOffset>
            </wp:positionH>
            <wp:positionV relativeFrom="paragraph">
              <wp:posOffset>46355</wp:posOffset>
            </wp:positionV>
            <wp:extent cx="5461000" cy="318198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0" cy="3181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982">
        <w:rPr>
          <w:rFonts w:ascii="標楷體" w:hAnsi="Arial" w:hint="eastAsia"/>
          <w:sz w:val="24"/>
          <w:szCs w:val="24"/>
        </w:rPr>
        <w:t>圖1 12月23日晚間中正一分局4次舉牌地點示意圖</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按集會遊行屬群體行為，警察機關實務上之舉牌及廣播行為，其主要目的係告知民眾相關行為已違反法令，應即刻停止或自行解散，否則警方將採取強制解散等措施。詢據臺北市警局表示，警方處理聚眾活動係採取暴風圈理論，參與之民眾不特定並隨時有人加入或退出，但主要指揮者如未離去，即可認定具有連貫性</w:t>
      </w:r>
      <w:r w:rsidR="00F71EE7" w:rsidRPr="00BF6982">
        <w:rPr>
          <w:rFonts w:ascii="標楷體" w:hAnsi="Arial" w:hint="eastAsia"/>
          <w:szCs w:val="36"/>
        </w:rPr>
        <w:t>，</w:t>
      </w:r>
      <w:r w:rsidRPr="00BF6982">
        <w:rPr>
          <w:rFonts w:ascii="標楷體" w:hAnsi="Arial" w:hint="eastAsia"/>
          <w:szCs w:val="36"/>
        </w:rPr>
        <w:t>當晚4次舉牌警告之對象在圈圍</w:t>
      </w:r>
      <w:r w:rsidR="00D709F4" w:rsidRPr="00BF6982">
        <w:rPr>
          <w:rFonts w:ascii="標楷體" w:hAnsi="Arial" w:hint="eastAsia"/>
          <w:szCs w:val="36"/>
        </w:rPr>
        <w:t>範圍</w:t>
      </w:r>
      <w:r w:rsidRPr="00BF6982">
        <w:rPr>
          <w:rFonts w:ascii="標楷體" w:hAnsi="Arial" w:hint="eastAsia"/>
          <w:szCs w:val="36"/>
        </w:rPr>
        <w:t>內。當日因陳抗民眾隨機快速移轉，警方屢次嘗試以圈圍方式強制驅離未果。</w:t>
      </w:r>
      <w:r w:rsidR="00D709F4" w:rsidRPr="00BF6982">
        <w:rPr>
          <w:rFonts w:ascii="標楷體" w:hAnsi="Arial" w:hint="eastAsia"/>
          <w:szCs w:val="36"/>
        </w:rPr>
        <w:t>警政署</w:t>
      </w:r>
      <w:r w:rsidRPr="00BF6982">
        <w:rPr>
          <w:rFonts w:ascii="標楷體" w:hAnsi="Arial" w:hint="eastAsia"/>
          <w:szCs w:val="36"/>
        </w:rPr>
        <w:t>則稱</w:t>
      </w:r>
      <w:r w:rsidR="00F71EE7" w:rsidRPr="00BF6982">
        <w:rPr>
          <w:rFonts w:ascii="標楷體" w:hAnsi="Arial" w:hint="eastAsia"/>
          <w:szCs w:val="36"/>
        </w:rPr>
        <w:t>，</w:t>
      </w:r>
      <w:r w:rsidR="00BD47D8" w:rsidRPr="00BF6982">
        <w:rPr>
          <w:rFonts w:ascii="標楷體" w:hAnsi="Arial" w:hint="eastAsia"/>
          <w:szCs w:val="36"/>
        </w:rPr>
        <w:t>臺北市警局</w:t>
      </w:r>
      <w:r w:rsidRPr="00BF6982">
        <w:rPr>
          <w:rFonts w:ascii="標楷體" w:hAnsi="Arial" w:hint="eastAsia"/>
          <w:szCs w:val="36"/>
        </w:rPr>
        <w:t>迄晚間</w:t>
      </w:r>
      <w:r w:rsidR="00100260" w:rsidRPr="00AA042C">
        <w:rPr>
          <w:rFonts w:ascii="標楷體" w:hAnsi="Arial" w:hint="eastAsia"/>
          <w:szCs w:val="36"/>
        </w:rPr>
        <w:t>11</w:t>
      </w:r>
      <w:r w:rsidRPr="00BF6982">
        <w:rPr>
          <w:rFonts w:ascii="標楷體" w:hAnsi="Arial" w:hint="eastAsia"/>
          <w:szCs w:val="36"/>
        </w:rPr>
        <w:t>時始終採取柔性勸導方式，惟群眾肆意違法四處流竄，甚至企圖衝向火車站，嚴重危害交通秩序與公共安全，經完成警告、命令解散及制止程序，再加以圈圍防阻</w:t>
      </w:r>
      <w:r w:rsidR="00D709F4" w:rsidRPr="00BF6982">
        <w:rPr>
          <w:rFonts w:ascii="標楷體" w:hAnsi="Arial" w:hint="eastAsia"/>
          <w:szCs w:val="36"/>
        </w:rPr>
        <w:t>。並表示</w:t>
      </w:r>
      <w:r w:rsidRPr="00BF6982">
        <w:rPr>
          <w:rFonts w:ascii="標楷體" w:hAnsi="Arial" w:hint="eastAsia"/>
          <w:szCs w:val="36"/>
        </w:rPr>
        <w:t>偶</w:t>
      </w:r>
      <w:r w:rsidR="00F61B46" w:rsidRPr="00AA042C">
        <w:rPr>
          <w:rFonts w:ascii="標楷體" w:hAnsi="Arial" w:hint="eastAsia"/>
          <w:szCs w:val="36"/>
        </w:rPr>
        <w:t>發</w:t>
      </w:r>
      <w:r w:rsidRPr="00BF6982">
        <w:rPr>
          <w:rFonts w:ascii="標楷體" w:hAnsi="Arial" w:hint="eastAsia"/>
          <w:szCs w:val="36"/>
        </w:rPr>
        <w:t>性及緊急性集會遊行皆非處理個人，而是群體的概念。警察同時需要保障第三者的公共利益及集會遊行者權利。此時警力的多寡、聚眾活動暴力程度，都是執法過程當中需要</w:t>
      </w:r>
      <w:r w:rsidRPr="00BF6982">
        <w:rPr>
          <w:rFonts w:ascii="標楷體" w:hAnsi="Arial" w:hint="eastAsia"/>
          <w:szCs w:val="36"/>
        </w:rPr>
        <w:lastRenderedPageBreak/>
        <w:t>依比例原則判斷及處理。另詢據現場陳又新律師表示</w:t>
      </w:r>
      <w:r w:rsidR="00F71EE7" w:rsidRPr="00BF6982">
        <w:rPr>
          <w:rFonts w:ascii="標楷體" w:hAnsi="Arial" w:hint="eastAsia"/>
          <w:szCs w:val="36"/>
        </w:rPr>
        <w:t>，</w:t>
      </w:r>
      <w:r w:rsidRPr="00BF6982">
        <w:rPr>
          <w:rFonts w:ascii="標楷體" w:hAnsi="Arial" w:hint="eastAsia"/>
          <w:szCs w:val="36"/>
        </w:rPr>
        <w:t>約11點其與另外幾位律師，跟著警察隊伍的外圍移動，而警察當時是跟隨民眾隊伍。行至中山南北路時，民眾進入警察的口袋包圍，從巷弄突圍四散，其等繼續跟著警察移動，走到東三門的廣場外。丁穩勝律師則表示</w:t>
      </w:r>
      <w:r w:rsidR="00F71EE7" w:rsidRPr="00BF6982">
        <w:rPr>
          <w:rFonts w:ascii="標楷體" w:hAnsi="Arial" w:hint="eastAsia"/>
          <w:szCs w:val="36"/>
        </w:rPr>
        <w:t>，</w:t>
      </w:r>
      <w:r w:rsidRPr="00BF6982">
        <w:rPr>
          <w:rFonts w:ascii="標楷體" w:hAnsi="Arial" w:hint="eastAsia"/>
          <w:szCs w:val="36"/>
        </w:rPr>
        <w:t>當時民眾在中山北路往中山南路。警方在北平東路、忠孝西路、中山南路準備圈圍，一些民眾從巷子往東三門集結。當時警察讓律師離開北一門的包圍，其與陳又新律師在東三門外會合。綜據上述說法，足認為陳抗民眾隨機移轉而有占據道路之行為，而警方跟隨陳抗民眾，在不同地點多次舉牌，已傳達命令解散及將實施強制力之意思表示。惟當天晚間之陳抗活動與一般集會遊行不同，多係民眾自行到場聲援，不但抗爭地點分散、組成團體眾多，且指揮領導者不明，</w:t>
      </w:r>
      <w:r w:rsidR="00BD47D8" w:rsidRPr="00BF6982">
        <w:rPr>
          <w:rFonts w:ascii="標楷體" w:hAnsi="Arial" w:hint="eastAsia"/>
          <w:szCs w:val="36"/>
        </w:rPr>
        <w:t>臺北市警局</w:t>
      </w:r>
      <w:r w:rsidRPr="00BF6982">
        <w:rPr>
          <w:rFonts w:ascii="標楷體" w:hAnsi="Arial" w:hint="eastAsia"/>
          <w:szCs w:val="36"/>
        </w:rPr>
        <w:t>允應依本次執法經驗，檢討所謂「暴風圈理論」及群</w:t>
      </w:r>
      <w:r w:rsidR="00D709F4" w:rsidRPr="00BF6982">
        <w:rPr>
          <w:rFonts w:ascii="標楷體" w:hAnsi="Arial" w:hint="eastAsia"/>
          <w:szCs w:val="36"/>
        </w:rPr>
        <w:t>體</w:t>
      </w:r>
      <w:r w:rsidRPr="00BF6982">
        <w:rPr>
          <w:rFonts w:ascii="標楷體" w:hAnsi="Arial" w:hint="eastAsia"/>
          <w:szCs w:val="36"/>
        </w:rPr>
        <w:t>性概念，</w:t>
      </w:r>
      <w:r w:rsidR="00D709F4" w:rsidRPr="00BF6982">
        <w:rPr>
          <w:rFonts w:ascii="標楷體" w:hAnsi="Arial" w:hint="eastAsia"/>
          <w:szCs w:val="36"/>
        </w:rPr>
        <w:t>如何在多處適當地點充分告知執法對象警方將採取強制驅散，以</w:t>
      </w:r>
      <w:r w:rsidRPr="00BF6982">
        <w:rPr>
          <w:rFonts w:ascii="標楷體" w:hAnsi="Arial" w:hint="eastAsia"/>
          <w:szCs w:val="36"/>
        </w:rPr>
        <w:t>妥適因應新型態陳抗活動，</w:t>
      </w:r>
      <w:r w:rsidR="00D709F4" w:rsidRPr="00BF6982">
        <w:rPr>
          <w:rFonts w:ascii="標楷體" w:hAnsi="Arial" w:hint="eastAsia"/>
          <w:szCs w:val="36"/>
        </w:rPr>
        <w:t>力</w:t>
      </w:r>
      <w:r w:rsidRPr="00BF6982">
        <w:rPr>
          <w:rFonts w:ascii="標楷體" w:hAnsi="Arial" w:hint="eastAsia"/>
          <w:szCs w:val="36"/>
        </w:rPr>
        <w:t>求執法的周延性。</w:t>
      </w:r>
    </w:p>
    <w:p w:rsidR="006B7F6D" w:rsidRPr="00BF6982" w:rsidRDefault="006B7F6D" w:rsidP="006B7F6D">
      <w:pPr>
        <w:numPr>
          <w:ilvl w:val="2"/>
          <w:numId w:val="1"/>
        </w:numPr>
        <w:kinsoku w:val="0"/>
        <w:jc w:val="both"/>
        <w:outlineLvl w:val="2"/>
        <w:rPr>
          <w:rFonts w:ascii="標楷體" w:hAnsi="Arial"/>
          <w:b/>
          <w:bCs/>
          <w:kern w:val="0"/>
          <w:szCs w:val="36"/>
        </w:rPr>
      </w:pPr>
      <w:r w:rsidRPr="00BF6982">
        <w:rPr>
          <w:rFonts w:ascii="標楷體" w:hAnsi="Arial" w:hint="eastAsia"/>
          <w:b/>
          <w:bCs/>
          <w:kern w:val="0"/>
          <w:szCs w:val="36"/>
        </w:rPr>
        <w:t>中正一分局於晚間11時38分在</w:t>
      </w:r>
      <w:r w:rsidR="00BD47D8" w:rsidRPr="00BF6982">
        <w:rPr>
          <w:rFonts w:ascii="標楷體" w:hAnsi="Arial" w:hint="eastAsia"/>
          <w:b/>
          <w:bCs/>
          <w:kern w:val="0"/>
          <w:szCs w:val="36"/>
        </w:rPr>
        <w:t>臺北車站</w:t>
      </w:r>
      <w:r w:rsidRPr="00BF6982">
        <w:rPr>
          <w:rFonts w:ascii="標楷體" w:hAnsi="Arial" w:hint="eastAsia"/>
          <w:b/>
          <w:bCs/>
          <w:kern w:val="0"/>
          <w:szCs w:val="36"/>
        </w:rPr>
        <w:t>東三門下令圈圍群眾拘束至隔日凌晨，係考量</w:t>
      </w:r>
      <w:r w:rsidR="00D709F4" w:rsidRPr="00BF6982">
        <w:rPr>
          <w:rFonts w:ascii="標楷體" w:hAnsi="Arial" w:hint="eastAsia"/>
          <w:b/>
          <w:bCs/>
          <w:kern w:val="0"/>
          <w:szCs w:val="36"/>
        </w:rPr>
        <w:t>陳</w:t>
      </w:r>
      <w:r w:rsidRPr="00BF6982">
        <w:rPr>
          <w:rFonts w:ascii="標楷體" w:hAnsi="Arial" w:hint="eastAsia"/>
          <w:b/>
          <w:bCs/>
          <w:kern w:val="0"/>
          <w:szCs w:val="36"/>
        </w:rPr>
        <w:t>抗民眾不斷利用社群網站募資、號召群眾到場聲援，及警方採取約制行動時民眾隨機轉向，採游擊式流竄，仍有持續占據道路、推擠員警等情，所採取之管束措施，客觀上尚無重大明顯的裁量瑕疵。</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本院約詢現場之律師表示，約50餘名民眾在臺北車站脫離警方圈圍後，並無滋擾行為</w:t>
      </w:r>
      <w:r w:rsidR="00F71EE7" w:rsidRPr="00BF6982">
        <w:rPr>
          <w:rFonts w:ascii="標楷體" w:hAnsi="Arial" w:hint="eastAsia"/>
          <w:szCs w:val="36"/>
        </w:rPr>
        <w:t>。</w:t>
      </w:r>
      <w:r w:rsidRPr="00BF6982">
        <w:rPr>
          <w:rFonts w:ascii="標楷體" w:hAnsi="Arial" w:hint="eastAsia"/>
          <w:szCs w:val="36"/>
        </w:rPr>
        <w:t>惟詢據中正一</w:t>
      </w:r>
      <w:r w:rsidR="002E2375" w:rsidRPr="00AA042C">
        <w:rPr>
          <w:rFonts w:ascii="標楷體" w:hAnsi="Arial" w:hint="eastAsia"/>
          <w:szCs w:val="36"/>
        </w:rPr>
        <w:t>分局廖材楨分局長</w:t>
      </w:r>
      <w:r w:rsidRPr="00BF6982">
        <w:rPr>
          <w:rFonts w:ascii="標楷體" w:hAnsi="Arial" w:hint="eastAsia"/>
          <w:szCs w:val="36"/>
        </w:rPr>
        <w:t>表示</w:t>
      </w:r>
      <w:r w:rsidR="00F71EE7" w:rsidRPr="00BF6982">
        <w:rPr>
          <w:rFonts w:ascii="標楷體" w:hAnsi="Arial" w:hint="eastAsia"/>
          <w:szCs w:val="36"/>
        </w:rPr>
        <w:t>，</w:t>
      </w:r>
      <w:r w:rsidRPr="00BF6982">
        <w:rPr>
          <w:rFonts w:ascii="標楷體" w:hAnsi="Arial" w:hint="eastAsia"/>
          <w:szCs w:val="36"/>
        </w:rPr>
        <w:t>當日</w:t>
      </w:r>
      <w:r w:rsidR="00100260" w:rsidRPr="00AA042C">
        <w:rPr>
          <w:rFonts w:ascii="標楷體" w:hAnsi="Arial" w:hint="eastAsia"/>
          <w:szCs w:val="36"/>
        </w:rPr>
        <w:t>晚間11</w:t>
      </w:r>
      <w:r w:rsidRPr="00AA042C">
        <w:rPr>
          <w:rFonts w:ascii="標楷體" w:hAnsi="Arial" w:hint="eastAsia"/>
          <w:szCs w:val="36"/>
        </w:rPr>
        <w:t>時38</w:t>
      </w:r>
      <w:r w:rsidRPr="00BF6982">
        <w:rPr>
          <w:rFonts w:ascii="標楷體" w:hAnsi="Arial" w:hint="eastAsia"/>
          <w:szCs w:val="36"/>
        </w:rPr>
        <w:t>分在</w:t>
      </w:r>
      <w:r w:rsidR="00BD47D8" w:rsidRPr="00BF6982">
        <w:rPr>
          <w:rFonts w:ascii="標楷體" w:hAnsi="Arial" w:hint="eastAsia"/>
          <w:szCs w:val="36"/>
        </w:rPr>
        <w:t>臺北車站</w:t>
      </w:r>
      <w:r w:rsidRPr="00BF6982">
        <w:rPr>
          <w:rFonts w:ascii="標楷體" w:hAnsi="Arial" w:hint="eastAsia"/>
          <w:szCs w:val="36"/>
        </w:rPr>
        <w:t>實施約束管制，部分民眾搭乘捷</w:t>
      </w:r>
      <w:r w:rsidRPr="00BF6982">
        <w:rPr>
          <w:rFonts w:ascii="標楷體" w:hAnsi="Arial" w:hint="eastAsia"/>
          <w:szCs w:val="36"/>
        </w:rPr>
        <w:lastRenderedPageBreak/>
        <w:t>運至南京西路、市民大道及承德路持續佔據道路，一部分群眾回到</w:t>
      </w:r>
      <w:r w:rsidR="00BD47D8" w:rsidRPr="00BF6982">
        <w:rPr>
          <w:rFonts w:ascii="標楷體" w:hAnsi="Arial" w:hint="eastAsia"/>
          <w:szCs w:val="36"/>
        </w:rPr>
        <w:t>臺北車站</w:t>
      </w:r>
      <w:r w:rsidRPr="00BF6982">
        <w:rPr>
          <w:rFonts w:ascii="標楷體" w:hAnsi="Arial" w:hint="eastAsia"/>
          <w:szCs w:val="36"/>
        </w:rPr>
        <w:t>東三門，一部分群眾又到行政院後</w:t>
      </w:r>
      <w:r w:rsidR="00D709F4" w:rsidRPr="00BF6982">
        <w:rPr>
          <w:rFonts w:ascii="標楷體" w:hAnsi="Arial" w:hint="eastAsia"/>
          <w:szCs w:val="36"/>
        </w:rPr>
        <w:t>方</w:t>
      </w:r>
      <w:r w:rsidRPr="00BF6982">
        <w:rPr>
          <w:rFonts w:ascii="標楷體" w:hAnsi="Arial" w:hint="eastAsia"/>
          <w:szCs w:val="36"/>
        </w:rPr>
        <w:t>北平東路集結，衝撞行政院側門，因民眾沒有離開或解散的跡象，因此警察沒有不執法的空間等語。所述與</w:t>
      </w:r>
      <w:r w:rsidR="00BD47D8" w:rsidRPr="00BF6982">
        <w:rPr>
          <w:rFonts w:ascii="標楷體" w:hAnsi="Arial" w:hint="eastAsia"/>
          <w:szCs w:val="36"/>
        </w:rPr>
        <w:t>臺北市警局</w:t>
      </w:r>
      <w:r w:rsidRPr="00BF6982">
        <w:rPr>
          <w:rFonts w:ascii="標楷體" w:hAnsi="Arial" w:hint="eastAsia"/>
          <w:szCs w:val="36"/>
        </w:rPr>
        <w:t>勤務時序表所載：警方於</w:t>
      </w:r>
      <w:r w:rsidR="00100260" w:rsidRPr="00AA042C">
        <w:rPr>
          <w:rFonts w:ascii="標楷體" w:hAnsi="Arial" w:hint="eastAsia"/>
          <w:szCs w:val="36"/>
        </w:rPr>
        <w:t>晚間11</w:t>
      </w:r>
      <w:r w:rsidRPr="00BF6982">
        <w:rPr>
          <w:rFonts w:ascii="標楷體" w:hAnsi="Arial" w:hint="eastAsia"/>
          <w:szCs w:val="36"/>
        </w:rPr>
        <w:t>時38分在臺北車站實施圈圍時，部分群眾分散進入臺北車站搭乘捷運至中山站，出站後接續占據道路、返回臺北車站、突襲警察防線，企圖衝撞行政院第4、5號門等情（參見時序表項次第31至35項），互核相符。又考量警政署在工作計畫及期前協調會，指示</w:t>
      </w:r>
      <w:r w:rsidR="00BD47D8" w:rsidRPr="00BF6982">
        <w:rPr>
          <w:rFonts w:ascii="標楷體" w:hAnsi="Arial" w:hint="eastAsia"/>
          <w:szCs w:val="36"/>
        </w:rPr>
        <w:t>臺北市警局</w:t>
      </w:r>
      <w:r w:rsidRPr="00BF6982">
        <w:rPr>
          <w:rFonts w:ascii="標楷體" w:hAnsi="Arial" w:hint="eastAsia"/>
          <w:szCs w:val="36"/>
        </w:rPr>
        <w:t>對於「占據道路」、「臥軌」及「侵入行政院、立法院院區及中央聯合辦公大樓」民眾，應採取圈圍、帶離等處置腹案。而中正一分局衡酌現場狀況，為執行強制驅離，在</w:t>
      </w:r>
      <w:r w:rsidR="00BD47D8" w:rsidRPr="00BF6982">
        <w:rPr>
          <w:rFonts w:ascii="標楷體" w:hAnsi="Arial" w:hint="eastAsia"/>
          <w:szCs w:val="36"/>
        </w:rPr>
        <w:t>臺北車站</w:t>
      </w:r>
      <w:r w:rsidRPr="00BF6982">
        <w:rPr>
          <w:rFonts w:ascii="標楷體" w:hAnsi="Arial" w:hint="eastAsia"/>
          <w:szCs w:val="36"/>
        </w:rPr>
        <w:t>東三門外廣場圈圍部分陳抗民眾，管束其行動自由，其目的在有效防止危安情勢繼續升高，客觀上尚無重大明顯之瑕疵。</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又警方如何針對流竄已發生危害的狀況進行處理，係指揮判斷及執法技巧的問題。有質疑當日晚間11時6分前，警方未針對占據道路之現行犯罪明確執法，卻於陳抗情勢和緩後，圈圍民眾乙節，詢據</w:t>
      </w:r>
      <w:r w:rsidR="002E2375">
        <w:rPr>
          <w:rFonts w:ascii="標楷體" w:hAnsi="Arial" w:hint="eastAsia"/>
          <w:szCs w:val="36"/>
        </w:rPr>
        <w:t>中正一</w:t>
      </w:r>
      <w:r w:rsidR="002E2375" w:rsidRPr="00AA042C">
        <w:rPr>
          <w:rFonts w:ascii="標楷體" w:hAnsi="Arial" w:hint="eastAsia"/>
          <w:szCs w:val="36"/>
        </w:rPr>
        <w:t>分局廖材楨分局長</w:t>
      </w:r>
      <w:r w:rsidRPr="00BF6982">
        <w:rPr>
          <w:rFonts w:ascii="標楷體" w:hAnsi="Arial" w:hint="eastAsia"/>
          <w:szCs w:val="36"/>
        </w:rPr>
        <w:t>表示：</w:t>
      </w:r>
      <w:r w:rsidR="00F71EE7" w:rsidRPr="00BF6982">
        <w:rPr>
          <w:rFonts w:ascii="標楷體" w:hAnsi="Arial" w:hint="eastAsia"/>
          <w:szCs w:val="36"/>
        </w:rPr>
        <w:t>「</w:t>
      </w:r>
      <w:r w:rsidRPr="00BF6982">
        <w:rPr>
          <w:rFonts w:ascii="標楷體" w:hAnsi="Arial" w:hint="eastAsia"/>
          <w:szCs w:val="36"/>
        </w:rPr>
        <w:t>是否要逮捕要視現場狀況，應依現場群眾人數、違法脫序之程度、警力人數及對公共安全秩序影響等綜合權衡，因此當時持續加強蒐證</w:t>
      </w:r>
      <w:r w:rsidR="001A7148" w:rsidRPr="00BF6982">
        <w:rPr>
          <w:rFonts w:ascii="標楷體" w:hAnsi="Arial" w:hint="eastAsia"/>
          <w:szCs w:val="36"/>
        </w:rPr>
        <w:t>」</w:t>
      </w:r>
      <w:r w:rsidRPr="00BF6982">
        <w:rPr>
          <w:rFonts w:ascii="標楷體" w:hAnsi="Arial" w:hint="eastAsia"/>
          <w:szCs w:val="36"/>
        </w:rPr>
        <w:t>。換言之，</w:t>
      </w:r>
      <w:r w:rsidR="00BD47D8" w:rsidRPr="00BF6982">
        <w:rPr>
          <w:rFonts w:ascii="標楷體" w:hAnsi="Arial" w:hint="eastAsia"/>
          <w:szCs w:val="36"/>
        </w:rPr>
        <w:t>臺北市警局</w:t>
      </w:r>
      <w:r w:rsidRPr="00BF6982">
        <w:rPr>
          <w:rFonts w:ascii="標楷體" w:hAnsi="Arial" w:hint="eastAsia"/>
          <w:szCs w:val="36"/>
        </w:rPr>
        <w:t>未於第一時間以現行犯逮捕占據道路之民眾，係考量現場狀況所為之裁量，若無明顯之瑕疵，不能指其不當。更不能依此推論警方於晚間11時6分後實施圈圍的強制措施有重大明顯的瑕疵。</w:t>
      </w:r>
    </w:p>
    <w:p w:rsidR="006B7F6D" w:rsidRPr="00BF6982" w:rsidRDefault="006B7F6D" w:rsidP="006B7F6D">
      <w:pPr>
        <w:numPr>
          <w:ilvl w:val="2"/>
          <w:numId w:val="1"/>
        </w:numPr>
        <w:kinsoku w:val="0"/>
        <w:jc w:val="both"/>
        <w:outlineLvl w:val="2"/>
        <w:rPr>
          <w:rFonts w:ascii="標楷體" w:hAnsi="Arial"/>
          <w:b/>
          <w:bCs/>
          <w:kern w:val="0"/>
          <w:szCs w:val="36"/>
        </w:rPr>
      </w:pPr>
      <w:r w:rsidRPr="00BF6982">
        <w:rPr>
          <w:rFonts w:ascii="標楷體" w:hAnsi="Arial" w:hint="eastAsia"/>
          <w:b/>
          <w:bCs/>
          <w:kern w:val="0"/>
          <w:szCs w:val="36"/>
        </w:rPr>
        <w:lastRenderedPageBreak/>
        <w:t>隔日凌晨</w:t>
      </w:r>
      <w:r w:rsidRPr="00BF6982">
        <w:rPr>
          <w:rFonts w:ascii="標楷體" w:hAnsi="Arial"/>
          <w:b/>
          <w:bCs/>
          <w:kern w:val="0"/>
          <w:szCs w:val="36"/>
        </w:rPr>
        <w:t>0</w:t>
      </w:r>
      <w:r w:rsidRPr="00BF6982">
        <w:rPr>
          <w:rFonts w:ascii="標楷體" w:hAnsi="Arial" w:hint="eastAsia"/>
          <w:b/>
          <w:bCs/>
          <w:kern w:val="0"/>
          <w:szCs w:val="36"/>
        </w:rPr>
        <w:t>時</w:t>
      </w:r>
      <w:r w:rsidRPr="00BF6982">
        <w:rPr>
          <w:rFonts w:ascii="標楷體" w:hAnsi="Arial"/>
          <w:b/>
          <w:bCs/>
          <w:kern w:val="0"/>
          <w:szCs w:val="36"/>
        </w:rPr>
        <w:t>58</w:t>
      </w:r>
      <w:r w:rsidRPr="00BF6982">
        <w:rPr>
          <w:rFonts w:ascii="標楷體" w:hAnsi="Arial" w:hint="eastAsia"/>
          <w:b/>
          <w:bCs/>
          <w:kern w:val="0"/>
          <w:szCs w:val="36"/>
        </w:rPr>
        <w:t>分至1時11分，中正一分局強制將被圈圍之民眾分4部警備車載離至關渡</w:t>
      </w:r>
      <w:r w:rsidR="00CF1C72" w:rsidRPr="00BF6982">
        <w:rPr>
          <w:rFonts w:ascii="標楷體" w:hAnsi="Arial" w:hint="eastAsia"/>
          <w:b/>
          <w:bCs/>
          <w:kern w:val="0"/>
          <w:szCs w:val="36"/>
        </w:rPr>
        <w:t>公園</w:t>
      </w:r>
      <w:r w:rsidRPr="00BF6982">
        <w:rPr>
          <w:rFonts w:ascii="標楷體" w:hAnsi="Arial" w:hint="eastAsia"/>
          <w:b/>
          <w:bCs/>
          <w:kern w:val="0"/>
          <w:szCs w:val="36"/>
        </w:rPr>
        <w:t>、動物園、大湖公園、南港展覽館等地丢包。按警方本負有疏通及引導</w:t>
      </w:r>
      <w:r w:rsidR="00D709F4" w:rsidRPr="00BF6982">
        <w:rPr>
          <w:rFonts w:ascii="標楷體" w:hAnsi="Arial" w:hint="eastAsia"/>
          <w:b/>
          <w:bCs/>
          <w:kern w:val="0"/>
          <w:szCs w:val="36"/>
        </w:rPr>
        <w:t>陳抗</w:t>
      </w:r>
      <w:r w:rsidRPr="00BF6982">
        <w:rPr>
          <w:rFonts w:ascii="標楷體" w:hAnsi="Arial" w:hint="eastAsia"/>
          <w:b/>
          <w:bCs/>
          <w:kern w:val="0"/>
          <w:szCs w:val="36"/>
        </w:rPr>
        <w:t>民眾離去之責，縱然顧慮民眾解散後可能再次集結，亦可與現場代表溝通協商，採取分批帶離或其他侵害較小的解散方式，但警方不但完全拒絕回應民眾，亦未考量現場整體抗爭態勢已呈收歛，客觀上無急迫危險之虞，逕將群眾於深夜載離至已無大眾交通工具行使的偏遠市郊丟包，引發各界有關警方濫權之質疑，核有失當。</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臺北市警局雖表示帶離屬必要不得已之舉措，惟約詢現場律師表示</w:t>
      </w:r>
      <w:r w:rsidR="001A7148" w:rsidRPr="00BF6982">
        <w:rPr>
          <w:rFonts w:ascii="標楷體" w:hAnsi="Arial" w:hint="eastAsia"/>
          <w:szCs w:val="36"/>
        </w:rPr>
        <w:t>：「</w:t>
      </w:r>
      <w:r w:rsidRPr="00BF6982">
        <w:rPr>
          <w:rFonts w:ascii="標楷體" w:hAnsi="Arial" w:hint="eastAsia"/>
          <w:szCs w:val="36"/>
        </w:rPr>
        <w:t>警方希望民眾解散，但又顧慮民眾在其他地方結集，可以採取一次放行2、3人的方式。323</w:t>
      </w:r>
      <w:r w:rsidR="00F61B46">
        <w:rPr>
          <w:rFonts w:ascii="標楷體" w:hAnsi="Arial" w:hint="eastAsia"/>
          <w:szCs w:val="36"/>
        </w:rPr>
        <w:t>學運（註：太陽花攻佔行政院）期間，警方</w:t>
      </w:r>
      <w:r w:rsidR="00F61B46" w:rsidRPr="00AA042C">
        <w:rPr>
          <w:rFonts w:ascii="標楷體" w:hAnsi="Arial" w:hint="eastAsia"/>
          <w:szCs w:val="36"/>
        </w:rPr>
        <w:t>曾</w:t>
      </w:r>
      <w:r w:rsidRPr="00AA042C">
        <w:rPr>
          <w:rFonts w:ascii="標楷體" w:hAnsi="Arial" w:hint="eastAsia"/>
          <w:szCs w:val="36"/>
        </w:rPr>
        <w:t>透</w:t>
      </w:r>
      <w:r w:rsidRPr="00BF6982">
        <w:rPr>
          <w:rFonts w:ascii="標楷體" w:hAnsi="Arial" w:hint="eastAsia"/>
          <w:szCs w:val="36"/>
        </w:rPr>
        <w:t>過律師與現場民眾溝通採取該作法，符合比例原則</w:t>
      </w:r>
      <w:r w:rsidR="00D709F4" w:rsidRPr="00BF6982">
        <w:rPr>
          <w:rFonts w:ascii="標楷體" w:hAnsi="Arial" w:hint="eastAsia"/>
          <w:szCs w:val="36"/>
        </w:rPr>
        <w:t>。</w:t>
      </w:r>
      <w:r w:rsidRPr="00BF6982">
        <w:rPr>
          <w:rFonts w:ascii="標楷體" w:hAnsi="Arial" w:hint="eastAsia"/>
          <w:szCs w:val="36"/>
        </w:rPr>
        <w:t>當時其等希望可以和指揮官溝通，在客觀上不可能再形成流竄的情勢下，溝通如何將現場民眾有秩序疏導離開的方式圓滿結束。但現場情況是警方完全不說話，全場靜默，沒有一位警官出面與民眾溝通，其等被包圍了一個多小時，在半個小時後幾位律師發現情況不對，要求與指揮官溝通，但現場員警搖頭表示現場非其指揮無權決定，當時有看到副局長方仰寧在外穿梭，中正一分局長也在現場，但其等被警察人牆</w:t>
      </w:r>
      <w:r w:rsidR="00BD47D8" w:rsidRPr="00BF6982">
        <w:rPr>
          <w:rFonts w:ascii="標楷體" w:hAnsi="Arial" w:hint="eastAsia"/>
          <w:szCs w:val="36"/>
        </w:rPr>
        <w:t>擋</w:t>
      </w:r>
      <w:r w:rsidRPr="00BF6982">
        <w:rPr>
          <w:rFonts w:ascii="標楷體" w:hAnsi="Arial" w:hint="eastAsia"/>
          <w:szCs w:val="36"/>
        </w:rPr>
        <w:t>住</w:t>
      </w:r>
      <w:r w:rsidR="001A7148" w:rsidRPr="00BF6982">
        <w:rPr>
          <w:rFonts w:ascii="標楷體" w:hAnsi="Arial" w:hint="eastAsia"/>
          <w:szCs w:val="36"/>
        </w:rPr>
        <w:t>」</w:t>
      </w:r>
      <w:r w:rsidRPr="00BF6982">
        <w:rPr>
          <w:rFonts w:ascii="標楷體" w:hAnsi="Arial" w:hint="eastAsia"/>
          <w:szCs w:val="36"/>
        </w:rPr>
        <w:t>。對此，詢據大安分局周煥興分局長表示</w:t>
      </w:r>
      <w:r w:rsidR="001A7148" w:rsidRPr="00BF6982">
        <w:rPr>
          <w:rFonts w:ascii="標楷體" w:hAnsi="Arial" w:hint="eastAsia"/>
          <w:szCs w:val="36"/>
        </w:rPr>
        <w:t>，</w:t>
      </w:r>
      <w:r w:rsidRPr="00BF6982">
        <w:rPr>
          <w:rFonts w:ascii="標楷體" w:hAnsi="Arial" w:hint="eastAsia"/>
          <w:szCs w:val="36"/>
        </w:rPr>
        <w:t>大安分局奉命防守東三門南側一線（靠忠孝西路），當時與被圈圍的民眾距離約</w:t>
      </w:r>
      <w:r w:rsidR="00F61B46" w:rsidRPr="00F61B46">
        <w:rPr>
          <w:rFonts w:ascii="標楷體" w:hAnsi="Arial" w:hint="eastAsia"/>
          <w:color w:val="C00000"/>
          <w:szCs w:val="36"/>
        </w:rPr>
        <w:t>1</w:t>
      </w:r>
      <w:r w:rsidRPr="00BF6982">
        <w:rPr>
          <w:rFonts w:ascii="標楷體" w:hAnsi="Arial" w:hint="eastAsia"/>
          <w:szCs w:val="36"/>
        </w:rPr>
        <w:t>公尺，民眾詢問何時可以離開，其回稱屬中正一分局指揮，將向中正一分局反映。因當時捷運南京西路站尚有民眾聚集並未解散，恐有合流跡象，</w:t>
      </w:r>
      <w:r w:rsidR="00D7547D" w:rsidRPr="00AA042C">
        <w:rPr>
          <w:rFonts w:ascii="標楷體" w:hAnsi="Arial" w:hint="eastAsia"/>
          <w:szCs w:val="36"/>
        </w:rPr>
        <w:t>中正一分局</w:t>
      </w:r>
      <w:r w:rsidRPr="00BF6982">
        <w:rPr>
          <w:rFonts w:ascii="標楷體" w:hAnsi="Arial" w:hint="eastAsia"/>
          <w:szCs w:val="36"/>
        </w:rPr>
        <w:t>廖</w:t>
      </w:r>
      <w:r w:rsidR="00D7547D" w:rsidRPr="00AA042C">
        <w:rPr>
          <w:rFonts w:ascii="標楷體" w:hAnsi="Arial" w:hint="eastAsia"/>
          <w:szCs w:val="36"/>
        </w:rPr>
        <w:t>材楨</w:t>
      </w:r>
      <w:r w:rsidRPr="00BF6982">
        <w:rPr>
          <w:rFonts w:ascii="標楷體" w:hAnsi="Arial" w:hint="eastAsia"/>
          <w:szCs w:val="36"/>
        </w:rPr>
        <w:t>分</w:t>
      </w:r>
      <w:r w:rsidRPr="00BF6982">
        <w:rPr>
          <w:rFonts w:ascii="標楷體" w:hAnsi="Arial" w:hint="eastAsia"/>
          <w:szCs w:val="36"/>
        </w:rPr>
        <w:lastRenderedPageBreak/>
        <w:t>局長未給予其回應。</w:t>
      </w:r>
      <w:r w:rsidRPr="00AA042C">
        <w:rPr>
          <w:rFonts w:ascii="標楷體" w:hAnsi="Arial" w:hint="eastAsia"/>
          <w:szCs w:val="36"/>
        </w:rPr>
        <w:t>廖材楨分局長</w:t>
      </w:r>
      <w:r w:rsidRPr="00BF6982">
        <w:rPr>
          <w:rFonts w:ascii="標楷體" w:hAnsi="Arial" w:hint="eastAsia"/>
          <w:szCs w:val="36"/>
        </w:rPr>
        <w:t>則表示</w:t>
      </w:r>
      <w:r w:rsidR="001A7148" w:rsidRPr="00BF6982">
        <w:rPr>
          <w:rFonts w:ascii="標楷體" w:hAnsi="Arial" w:hint="eastAsia"/>
          <w:szCs w:val="36"/>
        </w:rPr>
        <w:t>，</w:t>
      </w:r>
      <w:r w:rsidRPr="00BF6982">
        <w:rPr>
          <w:rFonts w:ascii="標楷體" w:hAnsi="Arial" w:hint="eastAsia"/>
          <w:szCs w:val="36"/>
        </w:rPr>
        <w:t>當日</w:t>
      </w:r>
      <w:r w:rsidR="00100260" w:rsidRPr="00AA042C">
        <w:rPr>
          <w:rFonts w:ascii="標楷體" w:hAnsi="Arial" w:hint="eastAsia"/>
          <w:szCs w:val="36"/>
        </w:rPr>
        <w:t>晚間11</w:t>
      </w:r>
      <w:r w:rsidRPr="00BF6982">
        <w:rPr>
          <w:rFonts w:ascii="標楷體" w:hAnsi="Arial" w:hint="eastAsia"/>
          <w:szCs w:val="36"/>
        </w:rPr>
        <w:t>時38分警力開始約制，人潮分批流竄，於0時11分、0時18分、0時23分持續占據南京西路、行政院等地。</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本院勘驗現場錄影，東三門群眾一再向警方表示欲離開現場，茲摘錄略以：</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106年12月24日0時6分許，持麥可風女子不斷詢問：「我們要怎麼離開？」惟警方無回應。</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0時32分許，警方人牆換班，約5位群眾表示要回家，發生推擠，雙方都高舉雙手未有激烈肢體碰撞，但警方仍無回應。</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0時36分許，群眾高喊:「長官出來，我要回家。」要求指揮官出面，警方亦無回應。</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0時50分許，介壽派出所</w:t>
      </w:r>
      <w:r w:rsidRPr="00AA042C">
        <w:rPr>
          <w:rFonts w:ascii="標楷體" w:hAnsi="Arial" w:hint="eastAsia"/>
          <w:szCs w:val="36"/>
        </w:rPr>
        <w:t>蔡漢政</w:t>
      </w:r>
      <w:r w:rsidR="00D7547D" w:rsidRPr="00AA042C">
        <w:rPr>
          <w:rFonts w:ascii="標楷體" w:hAnsi="Arial" w:hint="eastAsia"/>
          <w:szCs w:val="36"/>
        </w:rPr>
        <w:t>所長</w:t>
      </w:r>
      <w:r w:rsidRPr="00AA042C">
        <w:rPr>
          <w:rFonts w:ascii="標楷體" w:hAnsi="Arial" w:hint="eastAsia"/>
          <w:szCs w:val="36"/>
        </w:rPr>
        <w:t>表示：「不好意思，你們一直遲滯在這</w:t>
      </w:r>
      <w:r w:rsidRPr="00BF6982">
        <w:rPr>
          <w:rFonts w:ascii="標楷體" w:hAnsi="Arial" w:hint="eastAsia"/>
          <w:bCs/>
          <w:szCs w:val="36"/>
        </w:rPr>
        <w:t>邊，影響社會大眾……來群眾進來抬離這邊從現場開始……」。民眾回稱：「你要我們走，我們要走，你們憑什麼……」蔡漢政回稱：「憑警察行使職權啦，憑甚麼!」隨即開始實施強制力將現場民眾帶上警備車。</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按警方處理集會遊行事件，其目的在維護集會遊行之安全秩序及和平進行。集會遊行法第26條規定，命令解散應依比例原則為之，不得逾越所欲達成目的之必要限度。警察職權行使法第19條第2項規定，警察應於危險或危害結束時終止管束。依臺北市警局勤務時序紀錄記載，106年12月24日凌晨市區主要幹道交通已大致恢復順暢，未發生民眾有臥軌等過激行為，整體抗爭有收歛態勢。而被圈圍的民眾當時已顯勞頓，一再要求</w:t>
      </w:r>
      <w:r w:rsidRPr="00BF6982">
        <w:rPr>
          <w:rFonts w:ascii="標楷體" w:hAnsi="Arial" w:hint="eastAsia"/>
          <w:szCs w:val="36"/>
        </w:rPr>
        <w:lastRenderedPageBreak/>
        <w:t>搭乘</w:t>
      </w:r>
      <w:r w:rsidR="00D709F4" w:rsidRPr="00BF6982">
        <w:rPr>
          <w:rFonts w:ascii="標楷體" w:hAnsi="Arial" w:hint="eastAsia"/>
          <w:szCs w:val="36"/>
        </w:rPr>
        <w:t>大眾運輸工具</w:t>
      </w:r>
      <w:r w:rsidRPr="00BF6982">
        <w:rPr>
          <w:rFonts w:ascii="標楷體" w:hAnsi="Arial" w:hint="eastAsia"/>
          <w:szCs w:val="36"/>
        </w:rPr>
        <w:t>自行離去，且該等民眾當時聚集的地點又非管制區或道路，客觀上並無發生立即或重大危險之虞。但警方對於現場民眾一再請求溝通，均不予回應，亦未協商分批離去或考量其他可行的解散方式，待已無大眾交通工具行使後，逕將已被限制行動自由1至2小時之民眾，強制載往偏遠市郊之大湖</w:t>
      </w:r>
      <w:r w:rsidR="00862C18" w:rsidRPr="00BF6982">
        <w:rPr>
          <w:rFonts w:ascii="標楷體" w:hAnsi="Arial" w:hint="eastAsia"/>
          <w:szCs w:val="36"/>
        </w:rPr>
        <w:t>公園</w:t>
      </w:r>
      <w:r w:rsidRPr="00BF6982">
        <w:rPr>
          <w:rFonts w:ascii="標楷體" w:hAnsi="Arial" w:hint="eastAsia"/>
          <w:szCs w:val="36"/>
        </w:rPr>
        <w:t>、南港展覽館、關渡</w:t>
      </w:r>
      <w:r w:rsidR="00862C18" w:rsidRPr="00BF6982">
        <w:rPr>
          <w:rFonts w:ascii="標楷體" w:hAnsi="Arial" w:hint="eastAsia"/>
          <w:szCs w:val="36"/>
        </w:rPr>
        <w:t>公園</w:t>
      </w:r>
      <w:r w:rsidRPr="00BF6982">
        <w:rPr>
          <w:rFonts w:ascii="標楷體" w:hAnsi="Arial" w:hint="eastAsia"/>
          <w:szCs w:val="36"/>
        </w:rPr>
        <w:t>、動物園等地「丟包」。其強制力行使之對象、時機及必要性，確有疑義。</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本事件發生後，臺北市警局於107年1月18日訂頒「執行聚眾防處勤務群眾拒不解散之處置作業程序&lt;SOP&gt;」，作為集會遊行現場淨空及圈圍、帶離之標準作業程序。規定執行前應由轄區分局長或指派專人依集會遊行法第25條第1項完成舉牌警告、命令解散及制止，並應告知群眾即將執行驅離，或採取其他必要之處置、措施。民眾如經勸導陸續離去，應派員加強現場交通疏導及監控，並確認其等已離去。執行中應持續以喊話器勸導現場群眾離去，同時建構安全走廊，堪信已針對本案執行情形進行檢討。鑑於本事件引發各界對警察濫權的質疑，作業標準就發動強制驅離之時機、管束持續時間、釋放時機及地點……等，仍有賡續檢討的必要，並應落實員警之教育訓練。</w:t>
      </w:r>
    </w:p>
    <w:p w:rsidR="006B7F6D" w:rsidRPr="00BF6982" w:rsidRDefault="006B7F6D" w:rsidP="006B7F6D">
      <w:pPr>
        <w:numPr>
          <w:ilvl w:val="1"/>
          <w:numId w:val="1"/>
        </w:numPr>
        <w:kinsoku w:val="0"/>
        <w:jc w:val="both"/>
        <w:outlineLvl w:val="1"/>
        <w:rPr>
          <w:rFonts w:ascii="標楷體" w:hAnsi="Arial"/>
          <w:b/>
          <w:bCs/>
          <w:kern w:val="0"/>
          <w:szCs w:val="48"/>
        </w:rPr>
      </w:pPr>
      <w:r w:rsidRPr="00BF6982">
        <w:rPr>
          <w:rFonts w:ascii="標楷體" w:hAnsi="Arial" w:hint="eastAsia"/>
          <w:b/>
          <w:bCs/>
          <w:kern w:val="0"/>
          <w:szCs w:val="48"/>
        </w:rPr>
        <w:t>警方將現場抗</w:t>
      </w:r>
      <w:r w:rsidR="00725CF9">
        <w:rPr>
          <w:rFonts w:ascii="標楷體" w:hAnsi="Arial" w:hint="eastAsia"/>
          <w:b/>
          <w:bCs/>
          <w:kern w:val="0"/>
          <w:szCs w:val="48"/>
        </w:rPr>
        <w:t>議群眾以優勢警力圈圍，再以警備車強制帶（載）離陳抗現場，</w:t>
      </w:r>
      <w:r w:rsidR="00725CF9" w:rsidRPr="00AA042C">
        <w:rPr>
          <w:rFonts w:ascii="標楷體" w:hAnsi="Arial" w:hint="eastAsia"/>
          <w:b/>
          <w:bCs/>
          <w:kern w:val="0"/>
          <w:szCs w:val="48"/>
        </w:rPr>
        <w:t>分頭</w:t>
      </w:r>
      <w:r w:rsidRPr="00AA042C">
        <w:rPr>
          <w:rFonts w:ascii="標楷體" w:hAnsi="Arial" w:hint="eastAsia"/>
          <w:b/>
          <w:bCs/>
          <w:kern w:val="0"/>
          <w:szCs w:val="48"/>
        </w:rPr>
        <w:t>丟包</w:t>
      </w:r>
      <w:r w:rsidRPr="00BF6982">
        <w:rPr>
          <w:rFonts w:ascii="標楷體" w:hAnsi="Arial" w:hint="eastAsia"/>
          <w:b/>
          <w:bCs/>
          <w:kern w:val="0"/>
          <w:szCs w:val="48"/>
        </w:rPr>
        <w:t>，為近年來警方處理重大集會遊行活動的新模式。此類措施雖較高壓噴水、警棍強制驅離之侵害性為小，惟其非僅消極要求人民解散或禁止進入特定區域，而係違反當事人意願，相當時間拘束陳抗者</w:t>
      </w:r>
      <w:r w:rsidR="00D709F4" w:rsidRPr="00BF6982">
        <w:rPr>
          <w:rFonts w:ascii="標楷體" w:hAnsi="Arial" w:hint="eastAsia"/>
          <w:b/>
          <w:bCs/>
          <w:kern w:val="0"/>
          <w:szCs w:val="48"/>
        </w:rPr>
        <w:t>的</w:t>
      </w:r>
      <w:r w:rsidRPr="00BF6982">
        <w:rPr>
          <w:rFonts w:ascii="標楷體" w:hAnsi="Arial" w:hint="eastAsia"/>
          <w:b/>
          <w:bCs/>
          <w:kern w:val="0"/>
          <w:szCs w:val="48"/>
        </w:rPr>
        <w:t>行動自由</w:t>
      </w:r>
      <w:r w:rsidR="00D709F4" w:rsidRPr="00BF6982">
        <w:rPr>
          <w:rFonts w:ascii="標楷體" w:hAnsi="Arial" w:hint="eastAsia"/>
          <w:b/>
          <w:bCs/>
          <w:kern w:val="0"/>
          <w:szCs w:val="48"/>
        </w:rPr>
        <w:t>及</w:t>
      </w:r>
      <w:r w:rsidRPr="00BF6982">
        <w:rPr>
          <w:rFonts w:ascii="標楷體" w:hAnsi="Arial" w:hint="eastAsia"/>
          <w:b/>
          <w:bCs/>
          <w:kern w:val="0"/>
          <w:szCs w:val="48"/>
        </w:rPr>
        <w:t>將之強制帶至另</w:t>
      </w:r>
      <w:r w:rsidRPr="00BF6982">
        <w:rPr>
          <w:rFonts w:ascii="標楷體" w:hAnsi="Arial" w:hint="eastAsia"/>
          <w:b/>
          <w:bCs/>
          <w:kern w:val="0"/>
          <w:szCs w:val="48"/>
        </w:rPr>
        <w:lastRenderedPageBreak/>
        <w:t>一空間，對於人身自由的干預程度較大，已屬憲法第8條「逮捕拘禁」之範疇。</w:t>
      </w:r>
      <w:r w:rsidR="00B74EE4" w:rsidRPr="00BF6982">
        <w:rPr>
          <w:rFonts w:ascii="標楷體" w:hAnsi="Arial" w:hint="eastAsia"/>
          <w:b/>
          <w:bCs/>
          <w:kern w:val="0"/>
          <w:szCs w:val="48"/>
        </w:rPr>
        <w:t>該警察措施不但</w:t>
      </w:r>
      <w:r w:rsidRPr="00BF6982">
        <w:rPr>
          <w:rFonts w:ascii="標楷體" w:hAnsi="Arial" w:hint="eastAsia"/>
          <w:b/>
          <w:bCs/>
          <w:kern w:val="0"/>
          <w:szCs w:val="48"/>
        </w:rPr>
        <w:t>執法依據有重大疑義</w:t>
      </w:r>
      <w:r w:rsidR="00B74EE4" w:rsidRPr="00BF6982">
        <w:rPr>
          <w:rFonts w:ascii="標楷體" w:hAnsi="Arial" w:hint="eastAsia"/>
          <w:b/>
          <w:bCs/>
          <w:kern w:val="0"/>
          <w:szCs w:val="48"/>
        </w:rPr>
        <w:t>，</w:t>
      </w:r>
      <w:r w:rsidRPr="00BF6982">
        <w:rPr>
          <w:rFonts w:ascii="標楷體" w:hAnsi="Arial" w:hint="eastAsia"/>
          <w:b/>
          <w:bCs/>
          <w:kern w:val="0"/>
          <w:szCs w:val="48"/>
        </w:rPr>
        <w:t>且適用之時機、要件、對象、帶離地點、救濟途徑等皆屬不明，各界迭有警方執行時流於恣意之質疑</w:t>
      </w:r>
      <w:r w:rsidR="00D709F4" w:rsidRPr="00BF6982">
        <w:rPr>
          <w:rFonts w:ascii="標楷體" w:hAnsi="Arial" w:hint="eastAsia"/>
          <w:b/>
          <w:bCs/>
          <w:kern w:val="0"/>
          <w:szCs w:val="48"/>
        </w:rPr>
        <w:t>。</w:t>
      </w:r>
      <w:r w:rsidRPr="00BF6982">
        <w:rPr>
          <w:rFonts w:ascii="標楷體" w:hAnsi="Arial" w:hint="eastAsia"/>
          <w:b/>
          <w:bCs/>
          <w:kern w:val="0"/>
          <w:szCs w:val="48"/>
        </w:rPr>
        <w:t>內政部作為集會遊行法之主管機關，必須釐清其適法性，並宜藉由修正集會遊行法之時機，彙集各界意見，明確規範使用強制力之裁量標準，作為第一線警方的執法依據。</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警方運用優勢警力</w:t>
      </w:r>
      <w:r w:rsidR="00D709F4" w:rsidRPr="00BF6982">
        <w:rPr>
          <w:rFonts w:ascii="標楷體" w:hAnsi="Arial" w:hint="eastAsia"/>
          <w:bCs/>
          <w:kern w:val="0"/>
          <w:szCs w:val="36"/>
        </w:rPr>
        <w:t>，</w:t>
      </w:r>
      <w:r w:rsidRPr="00BF6982">
        <w:rPr>
          <w:rFonts w:ascii="標楷體" w:hAnsi="Arial" w:hint="eastAsia"/>
          <w:bCs/>
          <w:kern w:val="0"/>
          <w:szCs w:val="36"/>
        </w:rPr>
        <w:t>將集會遊行現場</w:t>
      </w:r>
      <w:r w:rsidR="0084136D">
        <w:rPr>
          <w:rFonts w:ascii="標楷體" w:hAnsi="Arial" w:hint="eastAsia"/>
          <w:bCs/>
          <w:kern w:val="0"/>
          <w:szCs w:val="36"/>
        </w:rPr>
        <w:t>抗議群眾圈圍民眾限制其行動自由，再以警備車強制帶離至郊區</w:t>
      </w:r>
      <w:r w:rsidR="0084136D" w:rsidRPr="00AA042C">
        <w:rPr>
          <w:rFonts w:ascii="標楷體" w:hAnsi="Arial" w:hint="eastAsia"/>
          <w:bCs/>
          <w:kern w:val="0"/>
          <w:szCs w:val="36"/>
        </w:rPr>
        <w:t>分頭</w:t>
      </w:r>
      <w:r w:rsidRPr="00AA042C">
        <w:rPr>
          <w:rFonts w:ascii="標楷體" w:hAnsi="Arial" w:hint="eastAsia"/>
          <w:bCs/>
          <w:kern w:val="0"/>
          <w:szCs w:val="36"/>
        </w:rPr>
        <w:t>「丟包」</w:t>
      </w:r>
      <w:r w:rsidRPr="00BF6982">
        <w:rPr>
          <w:rFonts w:ascii="標楷體" w:hAnsi="Arial" w:hint="eastAsia"/>
          <w:bCs/>
          <w:kern w:val="0"/>
          <w:szCs w:val="36"/>
        </w:rPr>
        <w:t>，可將抗爭現場有效地去中心化，適度降低衝突，能短時間弭平抗爭，係近年來警方處理集會遊行常見的方式。依</w:t>
      </w:r>
      <w:r w:rsidR="00BD47D8" w:rsidRPr="00BF6982">
        <w:rPr>
          <w:rFonts w:ascii="標楷體" w:hAnsi="Arial" w:hint="eastAsia"/>
          <w:bCs/>
          <w:kern w:val="0"/>
          <w:szCs w:val="36"/>
        </w:rPr>
        <w:t>臺北市警局</w:t>
      </w:r>
      <w:r w:rsidR="001A7148" w:rsidRPr="00BF6982">
        <w:rPr>
          <w:rFonts w:ascii="標楷體" w:hAnsi="Arial" w:hint="eastAsia"/>
          <w:bCs/>
          <w:kern w:val="0"/>
          <w:szCs w:val="36"/>
        </w:rPr>
        <w:t>於107年1月18日</w:t>
      </w:r>
      <w:r w:rsidRPr="00BF6982">
        <w:rPr>
          <w:rFonts w:ascii="標楷體" w:hAnsi="Arial" w:hint="eastAsia"/>
          <w:bCs/>
          <w:kern w:val="0"/>
          <w:szCs w:val="36"/>
        </w:rPr>
        <w:t>訂定之「執行聚眾防處勤務群眾拒不解散之處置作業程序」規定：「圈圍群眾時，應實施現場必要之管制作為」、「如採取帶離手段，由大型警備車載送至指定地點後，於確保被帶離之人</w:t>
      </w:r>
      <w:r w:rsidR="00D709F4" w:rsidRPr="00BF6982">
        <w:rPr>
          <w:rFonts w:ascii="標楷體" w:hAnsi="Arial" w:hint="eastAsia"/>
          <w:bCs/>
          <w:kern w:val="0"/>
          <w:szCs w:val="36"/>
        </w:rPr>
        <w:t>身</w:t>
      </w:r>
      <w:r w:rsidRPr="00BF6982">
        <w:rPr>
          <w:rFonts w:ascii="標楷體" w:hAnsi="Arial" w:hint="eastAsia"/>
          <w:bCs/>
          <w:kern w:val="0"/>
          <w:szCs w:val="36"/>
        </w:rPr>
        <w:t>安全無虞下，始離去」、「如採取帶離手段，大型警備車內應派遣適當警力戒護及蒐證；載送至指定地點後（非必要，毋需抄登資料），於確保被帶離之人安全無虞下，始離去。」又該局表示該措施已多次實施，如106年12月4日中正一分局處理勞工團體在立法院周邊抗議事件，晚間</w:t>
      </w:r>
      <w:r w:rsidR="00100260" w:rsidRPr="00AA042C">
        <w:rPr>
          <w:rFonts w:ascii="標楷體" w:hAnsi="Arial" w:hint="eastAsia"/>
          <w:bCs/>
          <w:kern w:val="0"/>
          <w:szCs w:val="36"/>
        </w:rPr>
        <w:t>10</w:t>
      </w:r>
      <w:r w:rsidRPr="00BF6982">
        <w:rPr>
          <w:rFonts w:ascii="標楷體" w:hAnsi="Arial" w:hint="eastAsia"/>
          <w:bCs/>
          <w:kern w:val="0"/>
          <w:szCs w:val="36"/>
        </w:rPr>
        <w:t>時10分活動結束後，因部分群眾突</w:t>
      </w:r>
      <w:r w:rsidR="00D709F4" w:rsidRPr="00BF6982">
        <w:rPr>
          <w:rFonts w:ascii="標楷體" w:hAnsi="Arial" w:hint="eastAsia"/>
          <w:bCs/>
          <w:kern w:val="0"/>
          <w:szCs w:val="36"/>
        </w:rPr>
        <w:t>採</w:t>
      </w:r>
      <w:r w:rsidRPr="00BF6982">
        <w:rPr>
          <w:rFonts w:ascii="標楷體" w:hAnsi="Arial" w:hint="eastAsia"/>
          <w:bCs/>
          <w:kern w:val="0"/>
          <w:szCs w:val="36"/>
        </w:rPr>
        <w:t>占據道路</w:t>
      </w:r>
      <w:r w:rsidR="00D709F4" w:rsidRPr="00BF6982">
        <w:rPr>
          <w:rFonts w:ascii="標楷體" w:hAnsi="Arial" w:hint="eastAsia"/>
          <w:bCs/>
          <w:kern w:val="0"/>
          <w:szCs w:val="36"/>
        </w:rPr>
        <w:t>方式</w:t>
      </w:r>
      <w:r w:rsidRPr="00BF6982">
        <w:rPr>
          <w:rFonts w:ascii="標楷體" w:hAnsi="Arial" w:hint="eastAsia"/>
          <w:bCs/>
          <w:kern w:val="0"/>
          <w:szCs w:val="36"/>
        </w:rPr>
        <w:t>表達訴求，該分局執行勸(抬)離作為。共載運2輛警備車共14人，第1車載離13</w:t>
      </w:r>
      <w:r w:rsidR="00414473" w:rsidRPr="00BF6982">
        <w:rPr>
          <w:rFonts w:ascii="標楷體" w:hAnsi="Arial" w:hint="eastAsia"/>
          <w:bCs/>
          <w:kern w:val="0"/>
          <w:szCs w:val="36"/>
        </w:rPr>
        <w:t>人</w:t>
      </w:r>
      <w:r w:rsidRPr="00BF6982">
        <w:rPr>
          <w:rFonts w:ascii="標楷體" w:hAnsi="Arial" w:hint="eastAsia"/>
          <w:bCs/>
          <w:kern w:val="0"/>
          <w:szCs w:val="36"/>
        </w:rPr>
        <w:t>至南港展覽館，第2車單獨載送涉嫌妨害公務及傷害罪（毆打警察）之張姓嫌犯，至北投關渡派出所偵詢。又104年3月31日中正一分局處理民眾抗議政府加入亞投行事件，將占據於道路之群眾架（抬）離至警備車運送至保安</w:t>
      </w:r>
      <w:r w:rsidRPr="00BF6982">
        <w:rPr>
          <w:rFonts w:ascii="標楷體" w:hAnsi="Arial" w:hint="eastAsia"/>
          <w:bCs/>
          <w:kern w:val="0"/>
          <w:szCs w:val="36"/>
        </w:rPr>
        <w:lastRenderedPageBreak/>
        <w:t>警察大隊，共載運2輛大客車33人等情。足見警方在集會遊行現場，為執行</w:t>
      </w:r>
      <w:r w:rsidR="00D709F4" w:rsidRPr="00BF6982">
        <w:rPr>
          <w:rFonts w:ascii="標楷體" w:hAnsi="Arial" w:hint="eastAsia"/>
          <w:bCs/>
          <w:kern w:val="0"/>
          <w:szCs w:val="36"/>
        </w:rPr>
        <w:t>強制驅離</w:t>
      </w:r>
      <w:r w:rsidRPr="00BF6982">
        <w:rPr>
          <w:rFonts w:ascii="標楷體" w:hAnsi="Arial" w:hint="eastAsia"/>
          <w:bCs/>
          <w:kern w:val="0"/>
          <w:szCs w:val="36"/>
        </w:rPr>
        <w:t>，以優勢警力圈圍抗議群眾，</w:t>
      </w:r>
      <w:r w:rsidR="00D709F4" w:rsidRPr="00BF6982">
        <w:rPr>
          <w:rFonts w:ascii="標楷體" w:hAnsi="Arial" w:hint="eastAsia"/>
          <w:bCs/>
          <w:kern w:val="0"/>
          <w:szCs w:val="36"/>
        </w:rPr>
        <w:t>再之以</w:t>
      </w:r>
      <w:r w:rsidRPr="00BF6982">
        <w:rPr>
          <w:rFonts w:ascii="標楷體" w:hAnsi="Arial" w:hint="eastAsia"/>
          <w:bCs/>
          <w:kern w:val="0"/>
          <w:szCs w:val="36"/>
        </w:rPr>
        <w:t>警備車載離陳抗現場，已成為警察處理集會遊行活動的新模式。</w:t>
      </w:r>
    </w:p>
    <w:p w:rsidR="006B7F6D" w:rsidRPr="00BF6982" w:rsidRDefault="006B7F6D" w:rsidP="001A7148">
      <w:pPr>
        <w:pStyle w:val="3"/>
      </w:pPr>
      <w:r w:rsidRPr="00BF6982">
        <w:rPr>
          <w:rFonts w:hint="eastAsia"/>
        </w:rPr>
        <w:t>該警察強制措施的合法性，內政部</w:t>
      </w:r>
      <w:r w:rsidRPr="00AA042C">
        <w:rPr>
          <w:rFonts w:hint="eastAsia"/>
        </w:rPr>
        <w:t>葉俊榮</w:t>
      </w:r>
      <w:r w:rsidR="002473B0" w:rsidRPr="00AA042C">
        <w:rPr>
          <w:rFonts w:hint="eastAsia"/>
        </w:rPr>
        <w:t>部長</w:t>
      </w:r>
      <w:r w:rsidRPr="00BF6982">
        <w:rPr>
          <w:rFonts w:hint="eastAsia"/>
        </w:rPr>
        <w:t>於106 年12 月25 日於立法院答詢時表示：警察對滯留阻塞幹道妨礙交通民眾的強制驅離行為並非「逮捕」，係警察「按照法律程序排除、管束，且為維護交通秩序，避免進一步危害所做的必要措施」</w:t>
      </w:r>
      <w:r w:rsidR="001A7148" w:rsidRPr="00BF6982">
        <w:rPr>
          <w:rFonts w:hint="eastAsia"/>
        </w:rPr>
        <w:t>，強調警察非常辛苦，要維持現場秩序，還要溫和態度執勤，「警察就是菩薩心。」</w:t>
      </w:r>
      <w:r w:rsidRPr="00BF6982">
        <w:rPr>
          <w:vertAlign w:val="superscript"/>
        </w:rPr>
        <w:footnoteReference w:id="1"/>
      </w:r>
      <w:r w:rsidRPr="00BF6982">
        <w:rPr>
          <w:rFonts w:hint="eastAsia"/>
        </w:rPr>
        <w:t>。該說法引起各界抨擊，認為現場狀況無危害公共安全或公共秩序之虞，不符合警察職權行使法「管束」及行政執行法「即時強制」之要件</w:t>
      </w:r>
      <w:r w:rsidRPr="00BF6982">
        <w:rPr>
          <w:vertAlign w:val="superscript"/>
        </w:rPr>
        <w:footnoteReference w:id="2"/>
      </w:r>
      <w:r w:rsidRPr="00BF6982">
        <w:rPr>
          <w:rFonts w:hint="eastAsia"/>
        </w:rPr>
        <w:t>。至於何謂「按照法律程序排除和管束」，</w:t>
      </w:r>
      <w:r w:rsidR="00BD47D8" w:rsidRPr="00BF6982">
        <w:rPr>
          <w:rFonts w:hint="eastAsia"/>
        </w:rPr>
        <w:t>臺北市</w:t>
      </w:r>
      <w:r w:rsidRPr="00BF6982">
        <w:rPr>
          <w:rFonts w:hint="eastAsia"/>
        </w:rPr>
        <w:t>政府復函表示</w:t>
      </w:r>
      <w:r w:rsidRPr="00BF6982">
        <w:rPr>
          <w:vertAlign w:val="superscript"/>
        </w:rPr>
        <w:footnoteReference w:id="3"/>
      </w:r>
      <w:r w:rsidRPr="00BF6982">
        <w:rPr>
          <w:rFonts w:hint="eastAsia"/>
        </w:rPr>
        <w:t>：係依警察職權行使法第2 條第1項</w:t>
      </w:r>
      <w:r w:rsidRPr="00BF6982">
        <w:rPr>
          <w:vertAlign w:val="superscript"/>
        </w:rPr>
        <w:footnoteReference w:id="4"/>
      </w:r>
      <w:r w:rsidRPr="00BF6982">
        <w:rPr>
          <w:rFonts w:hint="eastAsia"/>
        </w:rPr>
        <w:t>、第28條第1項</w:t>
      </w:r>
      <w:r w:rsidRPr="00BF6982">
        <w:rPr>
          <w:vertAlign w:val="superscript"/>
        </w:rPr>
        <w:footnoteReference w:id="5"/>
      </w:r>
      <w:r w:rsidRPr="00BF6982">
        <w:rPr>
          <w:rFonts w:hint="eastAsia"/>
        </w:rPr>
        <w:t>、集會遊行法第24條第1項</w:t>
      </w:r>
      <w:r w:rsidRPr="00BF6982">
        <w:rPr>
          <w:vertAlign w:val="superscript"/>
        </w:rPr>
        <w:footnoteReference w:id="6"/>
      </w:r>
      <w:r w:rsidRPr="00BF6982">
        <w:rPr>
          <w:rFonts w:hint="eastAsia"/>
        </w:rPr>
        <w:t>、第25條第2項</w:t>
      </w:r>
      <w:r w:rsidRPr="00BF6982">
        <w:rPr>
          <w:vertAlign w:val="superscript"/>
        </w:rPr>
        <w:footnoteReference w:id="7"/>
      </w:r>
      <w:r w:rsidRPr="00BF6982">
        <w:rPr>
          <w:rFonts w:hint="eastAsia"/>
        </w:rPr>
        <w:t>等語；警政署則表示應依據集會遊行法第25條、行政執行法第28條第2項第5款</w:t>
      </w:r>
      <w:r w:rsidRPr="00BF6982">
        <w:rPr>
          <w:vertAlign w:val="superscript"/>
        </w:rPr>
        <w:footnoteReference w:id="8"/>
      </w:r>
      <w:r w:rsidRPr="00BF6982">
        <w:rPr>
          <w:rFonts w:hint="eastAsia"/>
        </w:rPr>
        <w:t>等語。該等說法主要援引警</w:t>
      </w:r>
      <w:r w:rsidRPr="00BF6982">
        <w:rPr>
          <w:rFonts w:hint="eastAsia"/>
        </w:rPr>
        <w:lastRenderedPageBreak/>
        <w:t>察職權行使法及行政執行法的概括授權條款，諒或</w:t>
      </w:r>
      <w:r w:rsidR="00E9182F" w:rsidRPr="00BF6982">
        <w:rPr>
          <w:rFonts w:hint="eastAsia"/>
        </w:rPr>
        <w:t>認為</w:t>
      </w:r>
      <w:r w:rsidRPr="00BF6982">
        <w:rPr>
          <w:rFonts w:hint="eastAsia"/>
        </w:rPr>
        <w:t>陳抗事件的處理如適用</w:t>
      </w:r>
      <w:r w:rsidR="00B9179A" w:rsidRPr="00BF6982">
        <w:rPr>
          <w:rFonts w:hint="eastAsia"/>
        </w:rPr>
        <w:t>上開法律</w:t>
      </w:r>
      <w:r w:rsidR="00E9182F" w:rsidRPr="00BF6982">
        <w:rPr>
          <w:rFonts w:hint="eastAsia"/>
        </w:rPr>
        <w:t>「即時強制」</w:t>
      </w:r>
      <w:r w:rsidR="00B9179A" w:rsidRPr="00BF6982">
        <w:rPr>
          <w:rFonts w:hint="eastAsia"/>
        </w:rPr>
        <w:t>下</w:t>
      </w:r>
      <w:r w:rsidRPr="00BF6982">
        <w:rPr>
          <w:rFonts w:hint="eastAsia"/>
        </w:rPr>
        <w:t>「管束」</w:t>
      </w:r>
      <w:r w:rsidR="00B9179A" w:rsidRPr="00BF6982">
        <w:rPr>
          <w:rFonts w:hint="eastAsia"/>
        </w:rPr>
        <w:t>的規定</w:t>
      </w:r>
      <w:r w:rsidRPr="00BF6982">
        <w:rPr>
          <w:rFonts w:hint="eastAsia"/>
        </w:rPr>
        <w:t>，必須履踐通知家屬</w:t>
      </w:r>
      <w:r w:rsidR="00E9182F" w:rsidRPr="00BF6982">
        <w:rPr>
          <w:rFonts w:hint="eastAsia"/>
        </w:rPr>
        <w:t>等程序</w:t>
      </w:r>
      <w:r w:rsidRPr="00BF6982">
        <w:rPr>
          <w:rFonts w:hint="eastAsia"/>
        </w:rPr>
        <w:t>（警察職權行使法第19條第2項、行政執行法施行細則第35條），容有不便之處。惟查，集會遊行法第24、25條僅為強制驅離的發動要件，而警察行使職權時應遵循「特別授權</w:t>
      </w:r>
      <w:r w:rsidR="00E9182F" w:rsidRPr="00BF6982">
        <w:rPr>
          <w:rFonts w:hint="eastAsia"/>
        </w:rPr>
        <w:t>優先</w:t>
      </w:r>
      <w:r w:rsidRPr="00BF6982">
        <w:rPr>
          <w:rFonts w:hint="eastAsia"/>
        </w:rPr>
        <w:t>與概括條款補充性」原則。亦即，適用時應先依據相關法律的特別授權規定（如警察職權行使法第19條及行政執行法第36、37條即時強制之規定），</w:t>
      </w:r>
      <w:r w:rsidR="008E1807" w:rsidRPr="00BF6982">
        <w:rPr>
          <w:rFonts w:hint="eastAsia"/>
        </w:rPr>
        <w:t>而</w:t>
      </w:r>
      <w:r w:rsidRPr="00BF6982">
        <w:rPr>
          <w:rFonts w:hint="eastAsia"/>
        </w:rPr>
        <w:t>概括授權條款（如警察職權行使法第</w:t>
      </w:r>
      <w:r w:rsidRPr="00F61B46">
        <w:rPr>
          <w:rFonts w:hint="eastAsia"/>
          <w:color w:val="C00000"/>
        </w:rPr>
        <w:t>2、</w:t>
      </w:r>
      <w:r w:rsidRPr="00BF6982">
        <w:rPr>
          <w:rFonts w:hint="eastAsia"/>
        </w:rPr>
        <w:t>28條）僅得以作為補充之用，是以上開說法顯有重大瑕疵。</w:t>
      </w:r>
    </w:p>
    <w:p w:rsidR="006B7F6D" w:rsidRPr="00BF6982" w:rsidRDefault="00E9182F"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另</w:t>
      </w:r>
      <w:r w:rsidR="006B7F6D" w:rsidRPr="00BF6982">
        <w:rPr>
          <w:rFonts w:ascii="標楷體" w:hAnsi="Arial" w:hint="eastAsia"/>
          <w:bCs/>
          <w:kern w:val="0"/>
          <w:szCs w:val="36"/>
        </w:rPr>
        <w:t>有關「圈圍、帶（載）離」涉及妨礙人身自由之質疑</w:t>
      </w:r>
      <w:r w:rsidRPr="00BF6982">
        <w:rPr>
          <w:rFonts w:ascii="標楷體" w:hAnsi="Arial" w:hint="eastAsia"/>
          <w:bCs/>
          <w:kern w:val="0"/>
          <w:szCs w:val="36"/>
        </w:rPr>
        <w:t>等節</w:t>
      </w:r>
      <w:r w:rsidR="006B7F6D" w:rsidRPr="00BF6982">
        <w:rPr>
          <w:rFonts w:ascii="標楷體" w:hAnsi="Arial" w:hint="eastAsia"/>
          <w:bCs/>
          <w:kern w:val="0"/>
          <w:szCs w:val="36"/>
        </w:rPr>
        <w:t>，內政部</w:t>
      </w:r>
      <w:r w:rsidR="002473B0" w:rsidRPr="002473B0">
        <w:rPr>
          <w:rFonts w:hint="eastAsia"/>
          <w:color w:val="7030A0"/>
        </w:rPr>
        <w:t>葉俊榮部長</w:t>
      </w:r>
      <w:r w:rsidR="006B7F6D" w:rsidRPr="00BF6982">
        <w:rPr>
          <w:rFonts w:ascii="標楷體" w:hAnsi="Arial" w:hint="eastAsia"/>
          <w:bCs/>
          <w:kern w:val="0"/>
          <w:szCs w:val="36"/>
        </w:rPr>
        <w:t>及行政院發言人徐國勇均表示不是「逮捕」。按憲法第8條規定：「人民身體之自由應予保障。……非經司法或警察機關依法定程序，不得逮捕拘禁。……」司法院釋字第392解釋理由書，闡示該條文之「逮捕拘禁」表示：「……，所謂『逮捕』，係指以強制力將人之身體自由予以拘束之意；而『拘禁』則指拘束人身之自由使其難於脫離一定空間之謂，均屬剝奪人身自由態樣之一種。……。當應就其實際剝奪人身（行動)自由之如何予以觀察，未可以辭害意。……」而李震山前大法官針對警方得否將示威者抬上警備車駛至郊區再令其離去，明確指出須聯結至警察職權行使法有關管束的要件，並辨明相關措施是否合乎憲法第8條有關人身自由保障的精神與程序</w:t>
      </w:r>
      <w:r w:rsidR="006B7F6D" w:rsidRPr="00BF6982">
        <w:rPr>
          <w:rFonts w:ascii="標楷體" w:hAnsi="Arial"/>
          <w:bCs/>
          <w:kern w:val="0"/>
          <w:szCs w:val="36"/>
          <w:vertAlign w:val="superscript"/>
        </w:rPr>
        <w:footnoteReference w:id="9"/>
      </w:r>
      <w:r w:rsidR="006B7F6D" w:rsidRPr="00BF6982">
        <w:rPr>
          <w:rFonts w:ascii="標楷體" w:hAnsi="Arial" w:hint="eastAsia"/>
          <w:bCs/>
          <w:kern w:val="0"/>
          <w:szCs w:val="36"/>
        </w:rPr>
        <w:t>。可</w:t>
      </w:r>
      <w:r w:rsidR="006B7F6D" w:rsidRPr="00BF6982">
        <w:rPr>
          <w:rFonts w:ascii="標楷體" w:hAnsi="Arial" w:hint="eastAsia"/>
          <w:bCs/>
          <w:kern w:val="0"/>
          <w:szCs w:val="36"/>
        </w:rPr>
        <w:lastRenderedPageBreak/>
        <w:t>知該警察強制措施雖非刑事訴訟程序之「逮捕」，但實質上屬憲法第8條「逮捕拘禁」的一種形式，涉及人身自由之</w:t>
      </w:r>
      <w:r w:rsidRPr="00BF6982">
        <w:rPr>
          <w:rFonts w:ascii="標楷體" w:hAnsi="Arial" w:hint="eastAsia"/>
          <w:bCs/>
          <w:kern w:val="0"/>
          <w:szCs w:val="36"/>
        </w:rPr>
        <w:t>剝奪</w:t>
      </w:r>
      <w:r w:rsidR="006B7F6D" w:rsidRPr="00BF6982">
        <w:rPr>
          <w:rFonts w:ascii="標楷體" w:hAnsi="Arial" w:hint="eastAsia"/>
          <w:bCs/>
          <w:kern w:val="0"/>
          <w:szCs w:val="36"/>
        </w:rPr>
        <w:t>，應無疑義。</w:t>
      </w:r>
    </w:p>
    <w:p w:rsidR="008E1807"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本案諮詢專家學者一致認為：「丟包」作為現實上警察作為的一種，其法律依據、行使範圍及原則皆不明，有待法制化</w:t>
      </w:r>
      <w:r w:rsidR="008E1807" w:rsidRPr="00BF6982">
        <w:rPr>
          <w:rFonts w:ascii="標楷體" w:hAnsi="Arial" w:hint="eastAsia"/>
          <w:bCs/>
          <w:kern w:val="0"/>
          <w:szCs w:val="36"/>
        </w:rPr>
        <w:t>。亦即，須以法律或</w:t>
      </w:r>
      <w:r w:rsidR="00EA1BA6" w:rsidRPr="00BF6982">
        <w:rPr>
          <w:rFonts w:ascii="標楷體" w:hAnsi="Arial" w:hint="eastAsia"/>
          <w:bCs/>
          <w:kern w:val="0"/>
          <w:szCs w:val="36"/>
        </w:rPr>
        <w:t>授權以</w:t>
      </w:r>
      <w:r w:rsidR="008E1807" w:rsidRPr="00BF6982">
        <w:rPr>
          <w:rFonts w:ascii="標楷體" w:hAnsi="Arial" w:hint="eastAsia"/>
          <w:bCs/>
          <w:kern w:val="0"/>
          <w:szCs w:val="36"/>
        </w:rPr>
        <w:t>法規命令充實警察在陳抗現場剝奪人身自由的「法定程序」</w:t>
      </w:r>
      <w:r w:rsidRPr="00BF6982">
        <w:rPr>
          <w:rFonts w:ascii="標楷體" w:hAnsi="Arial" w:hint="eastAsia"/>
          <w:bCs/>
          <w:kern w:val="0"/>
          <w:szCs w:val="36"/>
        </w:rPr>
        <w:t>。對此，內政部表示：集會遊行現場之違法脫序狀況具有多樣性，警察應採取之行政措施性質與內容不宜以行政規則予以法制化，如將其法制化將對下級機關產生規範效果，有掛一漏萬或產生僵化處置作為之不良影響，反而限縮現場指揮官裁量空間，不利公共秩序及保障人權之衡平等語。</w:t>
      </w:r>
    </w:p>
    <w:p w:rsidR="006B7F6D" w:rsidRPr="00BF6982" w:rsidRDefault="00E9182F"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經</w:t>
      </w:r>
      <w:r w:rsidR="006B7F6D" w:rsidRPr="00BF6982">
        <w:rPr>
          <w:rFonts w:ascii="標楷體" w:hAnsi="Arial" w:hint="eastAsia"/>
          <w:bCs/>
          <w:kern w:val="0"/>
          <w:szCs w:val="36"/>
        </w:rPr>
        <w:t>分析警察「圈圍、帶離」等措施，雖陳抗現場狀況有多樣性，但</w:t>
      </w:r>
      <w:r w:rsidR="008E1807" w:rsidRPr="00BF6982">
        <w:rPr>
          <w:rFonts w:ascii="標楷體" w:hAnsi="Arial" w:hint="eastAsia"/>
          <w:bCs/>
          <w:kern w:val="0"/>
          <w:szCs w:val="36"/>
        </w:rPr>
        <w:t>其</w:t>
      </w:r>
      <w:r w:rsidR="006B7F6D" w:rsidRPr="00BF6982">
        <w:rPr>
          <w:rFonts w:ascii="標楷體" w:hAnsi="Arial" w:hint="eastAsia"/>
          <w:bCs/>
          <w:kern w:val="0"/>
          <w:szCs w:val="36"/>
        </w:rPr>
        <w:t>目的在預防危害或防止危害擴大，所為手段主要係短暫性「管束」剝奪陳抗</w:t>
      </w:r>
      <w:r w:rsidRPr="00BF6982">
        <w:rPr>
          <w:rFonts w:ascii="標楷體" w:hAnsi="Arial" w:hint="eastAsia"/>
          <w:bCs/>
          <w:kern w:val="0"/>
          <w:szCs w:val="36"/>
        </w:rPr>
        <w:t>者</w:t>
      </w:r>
      <w:r w:rsidR="006B7F6D" w:rsidRPr="00BF6982">
        <w:rPr>
          <w:rFonts w:ascii="標楷體" w:hAnsi="Arial" w:hint="eastAsia"/>
          <w:bCs/>
          <w:kern w:val="0"/>
          <w:szCs w:val="36"/>
        </w:rPr>
        <w:t>的行動自由。因此</w:t>
      </w:r>
      <w:r w:rsidRPr="00BF6982">
        <w:rPr>
          <w:rFonts w:ascii="標楷體" w:hAnsi="Arial" w:hint="eastAsia"/>
          <w:bCs/>
          <w:kern w:val="0"/>
          <w:szCs w:val="36"/>
        </w:rPr>
        <w:t>其法律依據應為</w:t>
      </w:r>
      <w:r w:rsidR="006B7F6D" w:rsidRPr="00BF6982">
        <w:rPr>
          <w:rFonts w:ascii="標楷體" w:hAnsi="Arial" w:hint="eastAsia"/>
          <w:bCs/>
          <w:kern w:val="0"/>
          <w:szCs w:val="36"/>
        </w:rPr>
        <w:t>警察職權行使法及行政執行法「即時強制」</w:t>
      </w:r>
      <w:r w:rsidR="00EA1BA6" w:rsidRPr="00BF6982">
        <w:rPr>
          <w:rFonts w:ascii="標楷體" w:hAnsi="Arial" w:hint="eastAsia"/>
          <w:bCs/>
          <w:kern w:val="0"/>
          <w:szCs w:val="36"/>
        </w:rPr>
        <w:t>下</w:t>
      </w:r>
      <w:r w:rsidRPr="00BF6982">
        <w:rPr>
          <w:rFonts w:ascii="標楷體" w:hAnsi="Arial" w:hint="eastAsia"/>
          <w:bCs/>
          <w:kern w:val="0"/>
          <w:szCs w:val="36"/>
        </w:rPr>
        <w:t>的「管束」。</w:t>
      </w:r>
      <w:r w:rsidR="006B7F6D" w:rsidRPr="00BF6982">
        <w:rPr>
          <w:rFonts w:ascii="標楷體" w:hAnsi="Arial" w:hint="eastAsia"/>
          <w:bCs/>
          <w:kern w:val="0"/>
          <w:szCs w:val="36"/>
        </w:rPr>
        <w:t>茲</w:t>
      </w:r>
      <w:r w:rsidR="008E1807" w:rsidRPr="00BF6982">
        <w:rPr>
          <w:rFonts w:ascii="標楷體" w:hAnsi="Arial" w:hint="eastAsia"/>
          <w:bCs/>
          <w:kern w:val="0"/>
          <w:szCs w:val="36"/>
        </w:rPr>
        <w:t>從人權</w:t>
      </w:r>
      <w:r w:rsidR="006D6004" w:rsidRPr="00BF6982">
        <w:rPr>
          <w:rFonts w:ascii="標楷體" w:hAnsi="Arial" w:hint="eastAsia"/>
          <w:bCs/>
          <w:kern w:val="0"/>
          <w:szCs w:val="36"/>
        </w:rPr>
        <w:t>保障</w:t>
      </w:r>
      <w:r w:rsidR="008E1807" w:rsidRPr="00BF6982">
        <w:rPr>
          <w:rFonts w:ascii="標楷體" w:hAnsi="Arial" w:hint="eastAsia"/>
          <w:bCs/>
          <w:kern w:val="0"/>
          <w:szCs w:val="36"/>
        </w:rPr>
        <w:t>觀點，</w:t>
      </w:r>
      <w:r w:rsidR="006B7F6D" w:rsidRPr="00BF6982">
        <w:rPr>
          <w:rFonts w:ascii="標楷體" w:hAnsi="Arial" w:hint="eastAsia"/>
          <w:bCs/>
          <w:kern w:val="0"/>
          <w:szCs w:val="36"/>
        </w:rPr>
        <w:t>分析</w:t>
      </w:r>
      <w:r w:rsidR="008E1807" w:rsidRPr="00BF6982">
        <w:rPr>
          <w:rFonts w:ascii="標楷體" w:hAnsi="Arial" w:hint="eastAsia"/>
          <w:bCs/>
          <w:kern w:val="0"/>
          <w:szCs w:val="36"/>
        </w:rPr>
        <w:t>其程序面及實質面</w:t>
      </w:r>
      <w:r w:rsidR="006D6004" w:rsidRPr="00BF6982">
        <w:rPr>
          <w:rFonts w:ascii="標楷體" w:hAnsi="Arial" w:hint="eastAsia"/>
          <w:bCs/>
          <w:kern w:val="0"/>
          <w:szCs w:val="36"/>
        </w:rPr>
        <w:t>的</w:t>
      </w:r>
      <w:r w:rsidR="008E1807" w:rsidRPr="00BF6982">
        <w:rPr>
          <w:rFonts w:ascii="標楷體" w:hAnsi="Arial" w:hint="eastAsia"/>
          <w:bCs/>
          <w:kern w:val="0"/>
          <w:szCs w:val="36"/>
        </w:rPr>
        <w:t>要件</w:t>
      </w:r>
      <w:r w:rsidR="006B7F6D" w:rsidRPr="00BF6982">
        <w:rPr>
          <w:rFonts w:ascii="標楷體" w:hAnsi="Arial" w:hint="eastAsia"/>
          <w:bCs/>
          <w:kern w:val="0"/>
          <w:szCs w:val="36"/>
        </w:rPr>
        <w:t>如下：</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程序部分：</w:t>
      </w:r>
      <w:r w:rsidR="00E9182F" w:rsidRPr="00BF6982">
        <w:rPr>
          <w:rFonts w:ascii="標楷體" w:hAnsi="Arial" w:hint="eastAsia"/>
          <w:szCs w:val="36"/>
        </w:rPr>
        <w:t>有關</w:t>
      </w:r>
      <w:r w:rsidRPr="00BF6982">
        <w:rPr>
          <w:rFonts w:ascii="標楷體" w:hAnsi="Arial" w:hint="eastAsia"/>
          <w:szCs w:val="36"/>
        </w:rPr>
        <w:t>憲法第8條第</w:t>
      </w:r>
      <w:r w:rsidR="00BD47D8" w:rsidRPr="00BF6982">
        <w:rPr>
          <w:rFonts w:ascii="標楷體" w:hAnsi="Arial" w:hint="eastAsia"/>
          <w:szCs w:val="36"/>
        </w:rPr>
        <w:t>1</w:t>
      </w:r>
      <w:r w:rsidRPr="00BF6982">
        <w:rPr>
          <w:rFonts w:ascii="標楷體" w:hAnsi="Arial" w:hint="eastAsia"/>
          <w:szCs w:val="36"/>
        </w:rPr>
        <w:t>項所定之「法定程序」</w:t>
      </w:r>
      <w:r w:rsidR="00E9182F" w:rsidRPr="00BF6982">
        <w:rPr>
          <w:rFonts w:ascii="標楷體" w:hAnsi="Arial" w:hint="eastAsia"/>
          <w:szCs w:val="36"/>
        </w:rPr>
        <w:t>的涵義</w:t>
      </w:r>
      <w:r w:rsidRPr="00BF6982">
        <w:rPr>
          <w:rFonts w:ascii="標楷體" w:hAnsi="Arial" w:hint="eastAsia"/>
          <w:szCs w:val="36"/>
        </w:rPr>
        <w:t>，司法院釋字第588號解釋闡示：「人身自由乃人民行使其憲法上各項自由權利所不可或缺之前提，憲法第8條第1項規定所稱『法定程序』，係指凡限制人民身體自由之處置，不問其是否屬於刑事被告之身分，除須有法律之依據外，尚須分別踐行必要之司法程序或其他正當法律程序，始得為之。此項程序固屬憲法保留之範疇，縱係立法機關亦不得制定法律而遽予剝奪；惟刑事被告與非刑事被告之人身自由限制，畢竟有其本質上之差異，是其必須踐行之司法程序或</w:t>
      </w:r>
      <w:r w:rsidRPr="00BF6982">
        <w:rPr>
          <w:rFonts w:ascii="標楷體" w:hAnsi="Arial" w:hint="eastAsia"/>
          <w:szCs w:val="36"/>
        </w:rPr>
        <w:lastRenderedPageBreak/>
        <w:t>其他正當法律程序，自非均須同一不可。」因此，除依檢肅流氓條例與社會秩序維護法之拘留，及行政執行法之拘提、管收等特別規定由法官決定外，警方在陳抗現場拘束人身自由，因情況急迫，如何履踐憲法第8條之法定程序？在學理上有不同的論述，</w:t>
      </w:r>
      <w:r w:rsidR="00E9182F" w:rsidRPr="00BF6982">
        <w:rPr>
          <w:rFonts w:ascii="標楷體" w:hAnsi="Arial" w:hint="eastAsia"/>
          <w:szCs w:val="36"/>
        </w:rPr>
        <w:t>學者</w:t>
      </w:r>
      <w:r w:rsidR="00C546C1" w:rsidRPr="00BF6982">
        <w:rPr>
          <w:rFonts w:ascii="標楷體" w:hAnsi="Arial" w:hint="eastAsia"/>
          <w:szCs w:val="36"/>
        </w:rPr>
        <w:t>有</w:t>
      </w:r>
      <w:r w:rsidRPr="00BF6982">
        <w:rPr>
          <w:rFonts w:ascii="標楷體" w:hAnsi="Arial" w:hint="eastAsia"/>
          <w:szCs w:val="36"/>
        </w:rPr>
        <w:t>認為</w:t>
      </w:r>
      <w:r w:rsidR="00E9182F" w:rsidRPr="00BF6982">
        <w:rPr>
          <w:rFonts w:ascii="標楷體" w:hAnsi="Arial" w:hint="eastAsia"/>
          <w:szCs w:val="36"/>
        </w:rPr>
        <w:t>：基於</w:t>
      </w:r>
      <w:r w:rsidRPr="00BF6982">
        <w:rPr>
          <w:rFonts w:ascii="標楷體" w:hAnsi="Arial" w:hint="eastAsia"/>
          <w:szCs w:val="36"/>
        </w:rPr>
        <w:t>管束並</w:t>
      </w:r>
      <w:r w:rsidR="00E9182F" w:rsidRPr="00BF6982">
        <w:rPr>
          <w:rFonts w:ascii="標楷體" w:hAnsi="Arial" w:hint="eastAsia"/>
          <w:szCs w:val="36"/>
        </w:rPr>
        <w:t>非對於人身的處罰，其原因在於救助或</w:t>
      </w:r>
      <w:r w:rsidR="00C546C1" w:rsidRPr="00BF6982">
        <w:rPr>
          <w:rFonts w:ascii="標楷體" w:hAnsi="Arial" w:hint="eastAsia"/>
          <w:szCs w:val="36"/>
        </w:rPr>
        <w:t>正當防衛、緊急避難</w:t>
      </w:r>
      <w:r w:rsidR="00E9182F" w:rsidRPr="00BF6982">
        <w:rPr>
          <w:rFonts w:ascii="標楷體" w:hAnsi="Arial" w:hint="eastAsia"/>
          <w:szCs w:val="36"/>
        </w:rPr>
        <w:t>之必要，故</w:t>
      </w:r>
      <w:r w:rsidR="00C546C1" w:rsidRPr="00BF6982">
        <w:rPr>
          <w:rFonts w:ascii="標楷體" w:hAnsi="Arial" w:hint="eastAsia"/>
          <w:szCs w:val="36"/>
        </w:rPr>
        <w:t>不生違憲的問題</w:t>
      </w:r>
      <w:r w:rsidRPr="00BF6982">
        <w:rPr>
          <w:rFonts w:ascii="標楷體" w:hAnsi="Arial"/>
          <w:szCs w:val="36"/>
          <w:vertAlign w:val="superscript"/>
        </w:rPr>
        <w:footnoteReference w:id="10"/>
      </w:r>
      <w:r w:rsidR="00E9182F" w:rsidRPr="00BF6982">
        <w:rPr>
          <w:rFonts w:ascii="標楷體" w:hAnsi="Arial" w:hint="eastAsia"/>
          <w:szCs w:val="36"/>
        </w:rPr>
        <w:t>。此一見解從急迫性而言，有其論據</w:t>
      </w:r>
      <w:r w:rsidR="00C546C1" w:rsidRPr="00BF6982">
        <w:rPr>
          <w:rFonts w:ascii="標楷體" w:hAnsi="Arial" w:hint="eastAsia"/>
          <w:szCs w:val="36"/>
        </w:rPr>
        <w:t>。惟亦有</w:t>
      </w:r>
      <w:r w:rsidR="00E9182F" w:rsidRPr="00BF6982">
        <w:rPr>
          <w:rFonts w:ascii="標楷體" w:hAnsi="Arial" w:hint="eastAsia"/>
          <w:szCs w:val="36"/>
        </w:rPr>
        <w:t>學者</w:t>
      </w:r>
      <w:r w:rsidRPr="00BF6982">
        <w:rPr>
          <w:rFonts w:ascii="標楷體" w:hAnsi="Arial" w:hint="eastAsia"/>
          <w:szCs w:val="36"/>
        </w:rPr>
        <w:t>認為</w:t>
      </w:r>
      <w:r w:rsidR="006C6931" w:rsidRPr="00BF6982">
        <w:rPr>
          <w:rFonts w:ascii="標楷體" w:hAnsi="Arial" w:hint="eastAsia"/>
          <w:szCs w:val="36"/>
        </w:rPr>
        <w:t>憲法第8條第2項明定法官介入審查之機制，雖立法機關制定之法律亦不得違反，故</w:t>
      </w:r>
      <w:r w:rsidRPr="00BF6982">
        <w:rPr>
          <w:rFonts w:ascii="標楷體" w:hAnsi="Arial" w:hint="eastAsia"/>
          <w:szCs w:val="36"/>
        </w:rPr>
        <w:t>仍應就法官介入時機為彈性</w:t>
      </w:r>
      <w:r w:rsidR="008E1807" w:rsidRPr="00BF6982">
        <w:rPr>
          <w:rFonts w:ascii="標楷體" w:hAnsi="Arial" w:hint="eastAsia"/>
          <w:szCs w:val="36"/>
        </w:rPr>
        <w:t>的</w:t>
      </w:r>
      <w:r w:rsidRPr="00BF6982">
        <w:rPr>
          <w:rFonts w:ascii="標楷體" w:hAnsi="Arial" w:hint="eastAsia"/>
          <w:szCs w:val="36"/>
        </w:rPr>
        <w:t>規定</w:t>
      </w:r>
      <w:r w:rsidRPr="00BF6982">
        <w:rPr>
          <w:rFonts w:ascii="標楷體" w:hAnsi="Arial"/>
          <w:szCs w:val="36"/>
          <w:vertAlign w:val="superscript"/>
        </w:rPr>
        <w:footnoteReference w:id="11"/>
      </w:r>
      <w:r w:rsidRPr="00BF6982">
        <w:rPr>
          <w:rFonts w:ascii="標楷體" w:hAnsi="Arial" w:hint="eastAsia"/>
          <w:szCs w:val="36"/>
        </w:rPr>
        <w:t>。</w:t>
      </w:r>
      <w:r w:rsidR="001A7148" w:rsidRPr="00BF6982">
        <w:rPr>
          <w:rFonts w:ascii="標楷體" w:hAnsi="Arial" w:hint="eastAsia"/>
          <w:szCs w:val="36"/>
        </w:rPr>
        <w:t>因此，內政部實有必要依據司法院釋字第588號解釋意，</w:t>
      </w:r>
      <w:r w:rsidRPr="00BF6982">
        <w:rPr>
          <w:rFonts w:ascii="標楷體" w:hAnsi="Arial" w:hint="eastAsia"/>
          <w:szCs w:val="36"/>
        </w:rPr>
        <w:t>建構</w:t>
      </w:r>
      <w:r w:rsidR="001A7148" w:rsidRPr="00BF6982">
        <w:rPr>
          <w:rFonts w:ascii="標楷體" w:hAnsi="Arial" w:hint="eastAsia"/>
          <w:szCs w:val="36"/>
        </w:rPr>
        <w:t>拘束陳抗民眾人身自由的</w:t>
      </w:r>
      <w:r w:rsidR="00B74EE4" w:rsidRPr="00BF6982">
        <w:rPr>
          <w:rFonts w:ascii="標楷體" w:hAnsi="Arial" w:hint="eastAsia"/>
          <w:szCs w:val="36"/>
        </w:rPr>
        <w:t>正當法律</w:t>
      </w:r>
      <w:r w:rsidRPr="00BF6982">
        <w:rPr>
          <w:rFonts w:ascii="標楷體" w:hAnsi="Arial" w:hint="eastAsia"/>
          <w:szCs w:val="36"/>
        </w:rPr>
        <w:t>程序。</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實質要件部分，警察職權行使法第19條第1項第4款</w:t>
      </w:r>
      <w:r w:rsidRPr="00BF6982">
        <w:rPr>
          <w:rFonts w:ascii="標楷體" w:hAnsi="Arial"/>
          <w:szCs w:val="36"/>
          <w:vertAlign w:val="superscript"/>
        </w:rPr>
        <w:footnoteReference w:id="12"/>
      </w:r>
      <w:r w:rsidRPr="00BF6982">
        <w:rPr>
          <w:rFonts w:ascii="標楷體" w:hAnsi="Arial" w:hint="eastAsia"/>
          <w:szCs w:val="36"/>
        </w:rPr>
        <w:t>、行政執行法第36條第2項第4款、第37條第1項第4款</w:t>
      </w:r>
      <w:r w:rsidRPr="00BF6982">
        <w:rPr>
          <w:rFonts w:ascii="標楷體" w:hAnsi="Arial"/>
          <w:szCs w:val="36"/>
          <w:vertAlign w:val="superscript"/>
        </w:rPr>
        <w:footnoteReference w:id="13"/>
      </w:r>
      <w:r w:rsidRPr="00BF6982">
        <w:rPr>
          <w:rFonts w:ascii="標楷體" w:hAnsi="Arial" w:hint="eastAsia"/>
          <w:szCs w:val="36"/>
        </w:rPr>
        <w:t>不同於其他</w:t>
      </w:r>
      <w:r w:rsidR="00FF0C19" w:rsidRPr="00BF6982">
        <w:rPr>
          <w:rFonts w:ascii="標楷體" w:hAnsi="Arial" w:hint="eastAsia"/>
          <w:szCs w:val="36"/>
        </w:rPr>
        <w:t>各款</w:t>
      </w:r>
      <w:r w:rsidRPr="00BF6982">
        <w:rPr>
          <w:rFonts w:ascii="標楷體" w:hAnsi="Arial" w:hint="eastAsia"/>
          <w:szCs w:val="36"/>
        </w:rPr>
        <w:t>列舉之事由，</w:t>
      </w:r>
      <w:r w:rsidRPr="00BF6982">
        <w:rPr>
          <w:rFonts w:ascii="標楷體" w:hAnsi="Arial" w:hint="eastAsia"/>
          <w:szCs w:val="36"/>
        </w:rPr>
        <w:lastRenderedPageBreak/>
        <w:t>將保護當事人之「保護性管束」及制止將發生或</w:t>
      </w:r>
      <w:r w:rsidR="00FF0C19" w:rsidRPr="00BF6982">
        <w:rPr>
          <w:rFonts w:ascii="標楷體" w:hAnsi="Arial" w:hint="eastAsia"/>
          <w:szCs w:val="36"/>
        </w:rPr>
        <w:t>持</w:t>
      </w:r>
      <w:r w:rsidRPr="00BF6982">
        <w:rPr>
          <w:rFonts w:ascii="標楷體" w:hAnsi="Arial" w:hint="eastAsia"/>
          <w:szCs w:val="36"/>
        </w:rPr>
        <w:t>續中的</w:t>
      </w:r>
      <w:r w:rsidR="00FF0C19" w:rsidRPr="00BF6982">
        <w:rPr>
          <w:rFonts w:ascii="標楷體" w:hAnsi="Arial" w:hint="eastAsia"/>
          <w:szCs w:val="36"/>
        </w:rPr>
        <w:t>危害的</w:t>
      </w:r>
      <w:r w:rsidRPr="00BF6982">
        <w:rPr>
          <w:rFonts w:ascii="標楷體" w:hAnsi="Arial" w:hint="eastAsia"/>
          <w:szCs w:val="36"/>
        </w:rPr>
        <w:t>「制止性管束」，擴張至維護「公共安全」的管束，因其範圍過於空泛，其定義等同於警察法所定的警察任務，論者咸認為適用上應極為慎重</w:t>
      </w:r>
      <w:r w:rsidRPr="00BF6982">
        <w:rPr>
          <w:rFonts w:ascii="標楷體" w:hAnsi="Arial"/>
          <w:szCs w:val="36"/>
          <w:vertAlign w:val="superscript"/>
        </w:rPr>
        <w:footnoteReference w:id="14"/>
      </w:r>
      <w:r w:rsidRPr="00BF6982">
        <w:rPr>
          <w:rFonts w:ascii="標楷體" w:hAnsi="Arial" w:hint="eastAsia"/>
          <w:szCs w:val="36"/>
        </w:rPr>
        <w:t>。前大法官李震山指出：在集會遊行場合，警方考量民眾經驅散仍有可能造成滋擾而加以管束者，雖可採取「預防性管束」，但該強制措施合法性之關鍵，在如何依據客觀事實，對危害作適當預測。必須是以直接強制手段驅離仍無法奏效，或極可能不奏效時，緊接之最後手段，在特別例外情況下方能行使。李氏並列舉德國各邦警察法對管束要件及對於人身自由保護的詳細規定</w:t>
      </w:r>
      <w:r w:rsidRPr="00BF6982">
        <w:rPr>
          <w:rFonts w:ascii="標楷體" w:hAnsi="Arial"/>
          <w:szCs w:val="36"/>
          <w:vertAlign w:val="superscript"/>
        </w:rPr>
        <w:footnoteReference w:id="15"/>
      </w:r>
      <w:r w:rsidRPr="00BF6982">
        <w:rPr>
          <w:rFonts w:ascii="標楷體" w:hAnsi="Arial" w:hint="eastAsia"/>
          <w:szCs w:val="36"/>
        </w:rPr>
        <w:t>。另學者林佳和指出：該等「執行驅離之管束」屬「短時間預防性警察上的限制與剝奪自由」措施，雖可認為合憲並符合歐洲人權公約，但具體適用上經常產生爭議，依歐洲人權法院判決，認為其合法要件包括：</w:t>
      </w:r>
      <w:r w:rsidRPr="00BF6982">
        <w:rPr>
          <w:rFonts w:ascii="新細明體" w:eastAsia="新細明體" w:hAnsi="新細明體" w:cs="新細明體" w:hint="eastAsia"/>
          <w:szCs w:val="36"/>
          <w:lang w:eastAsia="ja-JP"/>
        </w:rPr>
        <w:t>①</w:t>
      </w:r>
      <w:r w:rsidRPr="00BF6982">
        <w:rPr>
          <w:rFonts w:ascii="標楷體" w:hAnsi="Arial" w:hint="eastAsia"/>
          <w:szCs w:val="36"/>
        </w:rPr>
        <w:t>警察之驅離命令必須清楚、明確；</w:t>
      </w:r>
      <w:r w:rsidRPr="00BF6982">
        <w:rPr>
          <w:rFonts w:ascii="新細明體" w:eastAsia="新細明體" w:hAnsi="新細明體" w:cs="新細明體" w:hint="eastAsia"/>
          <w:szCs w:val="36"/>
          <w:lang w:eastAsia="ja-JP"/>
        </w:rPr>
        <w:t>②</w:t>
      </w:r>
      <w:r w:rsidRPr="00BF6982">
        <w:rPr>
          <w:rFonts w:ascii="標楷體" w:hAnsi="Arial" w:hint="eastAsia"/>
          <w:szCs w:val="36"/>
        </w:rPr>
        <w:t>義務人明顯不履行離開現場的義務；</w:t>
      </w:r>
      <w:r w:rsidRPr="00BF6982">
        <w:rPr>
          <w:rFonts w:ascii="新細明體" w:eastAsia="新細明體" w:hAnsi="新細明體" w:cs="新細明體" w:hint="eastAsia"/>
          <w:szCs w:val="36"/>
          <w:lang w:eastAsia="ja-JP"/>
        </w:rPr>
        <w:t>③</w:t>
      </w:r>
      <w:r w:rsidRPr="00BF6982">
        <w:rPr>
          <w:rFonts w:ascii="標楷體" w:hAnsi="Arial" w:hint="eastAsia"/>
          <w:szCs w:val="36"/>
        </w:rPr>
        <w:t>管束必須清晰連結至驅離的目的；</w:t>
      </w:r>
      <w:r w:rsidRPr="00BF6982">
        <w:rPr>
          <w:rFonts w:ascii="新細明體" w:eastAsia="新細明體" w:hAnsi="新細明體" w:cs="新細明體" w:hint="eastAsia"/>
          <w:szCs w:val="36"/>
          <w:lang w:eastAsia="ja-JP"/>
        </w:rPr>
        <w:t>④</w:t>
      </w:r>
      <w:r w:rsidRPr="00BF6982">
        <w:rPr>
          <w:rFonts w:ascii="標楷體" w:hAnsi="Arial" w:hint="eastAsia"/>
          <w:szCs w:val="36"/>
        </w:rPr>
        <w:t>符合比例原則的要求。</w:t>
      </w:r>
      <w:r w:rsidRPr="00BF6982">
        <w:rPr>
          <w:rFonts w:ascii="新細明體" w:eastAsia="新細明體" w:hAnsi="新細明體" w:cs="新細明體" w:hint="eastAsia"/>
          <w:szCs w:val="36"/>
          <w:lang w:eastAsia="ja-JP"/>
        </w:rPr>
        <w:t>⑤</w:t>
      </w:r>
      <w:r w:rsidRPr="00BF6982">
        <w:rPr>
          <w:rFonts w:ascii="標楷體" w:hAnsi="Arial" w:hint="eastAsia"/>
          <w:szCs w:val="36"/>
        </w:rPr>
        <w:t>基於管束侵害人權的情節較大，基本上針對「預防犯罪行為的發生」為對象</w:t>
      </w:r>
      <w:r w:rsidRPr="00BF6982">
        <w:rPr>
          <w:rFonts w:ascii="標楷體" w:hAnsi="Arial"/>
          <w:szCs w:val="36"/>
          <w:vertAlign w:val="superscript"/>
        </w:rPr>
        <w:footnoteReference w:id="16"/>
      </w:r>
      <w:r w:rsidRPr="00BF6982">
        <w:rPr>
          <w:rFonts w:ascii="標楷體" w:hAnsi="Arial" w:hint="eastAsia"/>
          <w:szCs w:val="36"/>
        </w:rPr>
        <w:t>，均值得參酌。</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司法院釋字第445號解釋首段指出「……以法律限制集會、遊行之權利，必須符合明確性原則與憲法</w:t>
      </w:r>
      <w:r w:rsidRPr="00BF6982">
        <w:rPr>
          <w:rFonts w:ascii="標楷體" w:hAnsi="Arial" w:hint="eastAsia"/>
          <w:bCs/>
          <w:kern w:val="0"/>
          <w:szCs w:val="36"/>
        </w:rPr>
        <w:lastRenderedPageBreak/>
        <w:t>第23條之規定。」釋字第718號解釋並重申該意旨，足見法律明確性係處理集會遊行事件的基本原則。本件內政部及</w:t>
      </w:r>
      <w:r w:rsidR="00BD47D8" w:rsidRPr="00BF6982">
        <w:rPr>
          <w:rFonts w:ascii="標楷體" w:hAnsi="Arial" w:hint="eastAsia"/>
          <w:bCs/>
          <w:kern w:val="0"/>
          <w:szCs w:val="36"/>
        </w:rPr>
        <w:t>臺北市</w:t>
      </w:r>
      <w:r w:rsidRPr="00BF6982">
        <w:rPr>
          <w:rFonts w:ascii="標楷體" w:hAnsi="Arial" w:hint="eastAsia"/>
          <w:bCs/>
          <w:kern w:val="0"/>
          <w:szCs w:val="36"/>
        </w:rPr>
        <w:t>政府對於陳抗現場剝奪人身自由的「圈圍、帶離」等強制措施，摒棄警察職權行使法及行政執行法之「管束」規定，逕認為得援引</w:t>
      </w:r>
      <w:r w:rsidR="00FF0C19" w:rsidRPr="00BF6982">
        <w:rPr>
          <w:rFonts w:ascii="標楷體" w:hAnsi="Arial" w:hint="eastAsia"/>
          <w:bCs/>
          <w:kern w:val="0"/>
          <w:szCs w:val="36"/>
        </w:rPr>
        <w:t>欠缺程序規定之</w:t>
      </w:r>
      <w:r w:rsidRPr="00BF6982">
        <w:rPr>
          <w:rFonts w:ascii="標楷體" w:hAnsi="Arial" w:hint="eastAsia"/>
          <w:bCs/>
          <w:kern w:val="0"/>
          <w:szCs w:val="36"/>
        </w:rPr>
        <w:t>概括條款為依據，實有違法治原則。</w:t>
      </w:r>
      <w:r w:rsidR="00FF0C19" w:rsidRPr="00BF6982">
        <w:rPr>
          <w:rFonts w:ascii="標楷體" w:hAnsi="Arial" w:hint="eastAsia"/>
          <w:bCs/>
          <w:kern w:val="0"/>
          <w:szCs w:val="36"/>
        </w:rPr>
        <w:t>此將</w:t>
      </w:r>
      <w:r w:rsidR="00414473" w:rsidRPr="00BF6982">
        <w:rPr>
          <w:rFonts w:ascii="標楷體" w:hAnsi="Arial" w:hint="eastAsia"/>
          <w:bCs/>
          <w:kern w:val="0"/>
          <w:szCs w:val="36"/>
        </w:rPr>
        <w:t>導致現場指揮官裁量權限過大，給予外界公權力不當箝</w:t>
      </w:r>
      <w:r w:rsidRPr="00BF6982">
        <w:rPr>
          <w:rFonts w:ascii="標楷體" w:hAnsi="Arial" w:hint="eastAsia"/>
          <w:bCs/>
          <w:kern w:val="0"/>
          <w:szCs w:val="36"/>
        </w:rPr>
        <w:t>制人民集會自由的觀感。前大法官李震山即指出，為避免執法機關裁量權不易拿捏，應透過舉辦公聽會積極制定集會遊行法的施行細則，擬定相應執行的標準程序，透明的解決一向富有爭議的裁量措施，或可使警察機關從「代罪羔羊」陰影中走出，在合理空間下行使裁量權</w:t>
      </w:r>
      <w:r w:rsidRPr="00BF6982">
        <w:rPr>
          <w:rFonts w:ascii="標楷體" w:hAnsi="Arial"/>
          <w:bCs/>
          <w:kern w:val="0"/>
          <w:szCs w:val="36"/>
          <w:vertAlign w:val="superscript"/>
        </w:rPr>
        <w:footnoteReference w:id="17"/>
      </w:r>
      <w:r w:rsidRPr="00BF6982">
        <w:rPr>
          <w:rFonts w:ascii="標楷體" w:hAnsi="Arial" w:hint="eastAsia"/>
          <w:bCs/>
          <w:kern w:val="0"/>
          <w:szCs w:val="36"/>
        </w:rPr>
        <w:t>。</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綜上論結，目前警察對陳抗民眾所為之「圈圍、丟包」等強制措施，其程序、要件及救濟手段皆不明。雖可適用警察職權行使法第19條第1項第4款及行政執行法第37條第1項第4款</w:t>
      </w:r>
      <w:r w:rsidR="000131FC" w:rsidRPr="00BF6982">
        <w:rPr>
          <w:rFonts w:ascii="標楷體" w:hAnsi="Arial" w:hint="eastAsia"/>
          <w:bCs/>
          <w:kern w:val="0"/>
          <w:szCs w:val="36"/>
        </w:rPr>
        <w:t>「</w:t>
      </w:r>
      <w:r w:rsidRPr="00BF6982">
        <w:rPr>
          <w:rFonts w:ascii="標楷體" w:hAnsi="Arial" w:hint="eastAsia"/>
          <w:bCs/>
          <w:kern w:val="0"/>
          <w:szCs w:val="36"/>
        </w:rPr>
        <w:t>管束</w:t>
      </w:r>
      <w:r w:rsidR="000131FC" w:rsidRPr="00BF6982">
        <w:rPr>
          <w:rFonts w:ascii="標楷體" w:hAnsi="Arial" w:hint="eastAsia"/>
          <w:bCs/>
          <w:kern w:val="0"/>
          <w:szCs w:val="36"/>
        </w:rPr>
        <w:t>」之規定</w:t>
      </w:r>
      <w:r w:rsidRPr="00BF6982">
        <w:rPr>
          <w:rFonts w:ascii="標楷體" w:hAnsi="Arial" w:hint="eastAsia"/>
          <w:bCs/>
          <w:kern w:val="0"/>
          <w:szCs w:val="36"/>
        </w:rPr>
        <w:t>，</w:t>
      </w:r>
      <w:r w:rsidR="00FF0C19" w:rsidRPr="00BF6982">
        <w:rPr>
          <w:rFonts w:ascii="標楷體" w:hAnsi="Arial" w:hint="eastAsia"/>
          <w:bCs/>
          <w:kern w:val="0"/>
          <w:szCs w:val="36"/>
        </w:rPr>
        <w:t>但該等條款</w:t>
      </w:r>
      <w:r w:rsidR="000131FC" w:rsidRPr="00BF6982">
        <w:rPr>
          <w:rFonts w:ascii="標楷體" w:hAnsi="Arial" w:hint="eastAsia"/>
          <w:bCs/>
          <w:kern w:val="0"/>
          <w:szCs w:val="36"/>
        </w:rPr>
        <w:t>的</w:t>
      </w:r>
      <w:r w:rsidR="00FF0C19" w:rsidRPr="00BF6982">
        <w:rPr>
          <w:rFonts w:ascii="標楷體" w:hAnsi="Arial" w:hint="eastAsia"/>
          <w:bCs/>
          <w:kern w:val="0"/>
          <w:szCs w:val="36"/>
        </w:rPr>
        <w:t>「公共安全」屬不確定法律概念，</w:t>
      </w:r>
      <w:r w:rsidRPr="00BF6982">
        <w:rPr>
          <w:rFonts w:ascii="標楷體" w:hAnsi="Arial" w:hint="eastAsia"/>
          <w:bCs/>
          <w:kern w:val="0"/>
          <w:szCs w:val="36"/>
        </w:rPr>
        <w:t>適用上本應特別慎重</w:t>
      </w:r>
      <w:r w:rsidR="008E67E5" w:rsidRPr="00BF6982">
        <w:rPr>
          <w:rFonts w:ascii="標楷體" w:hAnsi="Arial" w:hint="eastAsia"/>
          <w:bCs/>
          <w:kern w:val="0"/>
          <w:szCs w:val="36"/>
        </w:rPr>
        <w:t>，有賴警察人員的自我節制</w:t>
      </w:r>
      <w:r w:rsidR="00F37B7B" w:rsidRPr="00BF6982">
        <w:rPr>
          <w:rFonts w:ascii="標楷體" w:hAnsi="Arial" w:hint="eastAsia"/>
          <w:bCs/>
          <w:kern w:val="0"/>
          <w:szCs w:val="36"/>
        </w:rPr>
        <w:t>。</w:t>
      </w:r>
      <w:r w:rsidRPr="00BF6982">
        <w:rPr>
          <w:rFonts w:ascii="標楷體" w:hAnsi="Arial" w:hint="eastAsia"/>
          <w:bCs/>
          <w:kern w:val="0"/>
          <w:szCs w:val="36"/>
        </w:rPr>
        <w:t>且鑑於集會遊行屬「執行憲法的法律」，攸關憲法人民集會自由的保障，基於法律明確性原則，相關子法</w:t>
      </w:r>
      <w:r w:rsidR="00F37B7B" w:rsidRPr="00BF6982">
        <w:rPr>
          <w:rFonts w:ascii="標楷體" w:hAnsi="Arial" w:hint="eastAsia"/>
          <w:bCs/>
          <w:kern w:val="0"/>
          <w:szCs w:val="36"/>
        </w:rPr>
        <w:t>宜</w:t>
      </w:r>
      <w:r w:rsidRPr="00BF6982">
        <w:rPr>
          <w:rFonts w:ascii="標楷體" w:hAnsi="Arial" w:hint="eastAsia"/>
          <w:bCs/>
          <w:kern w:val="0"/>
          <w:szCs w:val="36"/>
        </w:rPr>
        <w:t>就警察實施強制驅離的細節性規定</w:t>
      </w:r>
      <w:r w:rsidR="00F37B7B" w:rsidRPr="00BF6982">
        <w:rPr>
          <w:rFonts w:ascii="標楷體" w:hAnsi="Arial" w:hint="eastAsia"/>
          <w:bCs/>
          <w:kern w:val="0"/>
          <w:szCs w:val="36"/>
        </w:rPr>
        <w:t>建立正當法律程序</w:t>
      </w:r>
      <w:r w:rsidRPr="00BF6982">
        <w:rPr>
          <w:rFonts w:ascii="標楷體" w:hAnsi="Arial" w:hint="eastAsia"/>
          <w:bCs/>
          <w:kern w:val="0"/>
          <w:szCs w:val="36"/>
        </w:rPr>
        <w:t>，此</w:t>
      </w:r>
      <w:r w:rsidR="00FF0C19" w:rsidRPr="00BF6982">
        <w:rPr>
          <w:rFonts w:ascii="標楷體" w:hAnsi="Arial" w:hint="eastAsia"/>
          <w:bCs/>
          <w:kern w:val="0"/>
          <w:szCs w:val="36"/>
        </w:rPr>
        <w:t>係</w:t>
      </w:r>
      <w:r w:rsidRPr="00BF6982">
        <w:rPr>
          <w:rFonts w:ascii="標楷體" w:hAnsi="Arial" w:hint="eastAsia"/>
          <w:bCs/>
          <w:kern w:val="0"/>
          <w:szCs w:val="36"/>
        </w:rPr>
        <w:t>法制面未來宜努力的方向。然現行法制雖非完美，猶勝無法，內政部及</w:t>
      </w:r>
      <w:r w:rsidR="00BD47D8" w:rsidRPr="00BF6982">
        <w:rPr>
          <w:rFonts w:ascii="標楷體" w:hAnsi="Arial" w:hint="eastAsia"/>
          <w:bCs/>
          <w:kern w:val="0"/>
          <w:szCs w:val="36"/>
        </w:rPr>
        <w:t>臺北市</w:t>
      </w:r>
      <w:r w:rsidRPr="00BF6982">
        <w:rPr>
          <w:rFonts w:ascii="標楷體" w:hAnsi="Arial" w:hint="eastAsia"/>
          <w:bCs/>
          <w:kern w:val="0"/>
          <w:szCs w:val="36"/>
        </w:rPr>
        <w:t>政府不願</w:t>
      </w:r>
      <w:r w:rsidR="000131FC" w:rsidRPr="00BF6982">
        <w:rPr>
          <w:rFonts w:ascii="標楷體" w:hAnsi="Arial" w:hint="eastAsia"/>
          <w:bCs/>
          <w:kern w:val="0"/>
          <w:szCs w:val="36"/>
        </w:rPr>
        <w:t>踐行</w:t>
      </w:r>
      <w:r w:rsidRPr="00BF6982">
        <w:rPr>
          <w:rFonts w:ascii="標楷體" w:hAnsi="Arial" w:hint="eastAsia"/>
          <w:bCs/>
          <w:kern w:val="0"/>
          <w:szCs w:val="36"/>
        </w:rPr>
        <w:t>「管束」</w:t>
      </w:r>
      <w:r w:rsidR="000131FC" w:rsidRPr="00BF6982">
        <w:rPr>
          <w:rFonts w:ascii="標楷體" w:hAnsi="Arial" w:hint="eastAsia"/>
          <w:bCs/>
          <w:kern w:val="0"/>
          <w:szCs w:val="36"/>
        </w:rPr>
        <w:t>的</w:t>
      </w:r>
      <w:r w:rsidR="00FF0C19" w:rsidRPr="00BF6982">
        <w:rPr>
          <w:rFonts w:ascii="標楷體" w:hAnsi="Arial" w:hint="eastAsia"/>
          <w:bCs/>
          <w:kern w:val="0"/>
          <w:szCs w:val="36"/>
        </w:rPr>
        <w:t>法定程序</w:t>
      </w:r>
      <w:r w:rsidRPr="00BF6982">
        <w:rPr>
          <w:rFonts w:ascii="標楷體" w:hAnsi="Arial" w:hint="eastAsia"/>
          <w:bCs/>
          <w:kern w:val="0"/>
          <w:szCs w:val="36"/>
        </w:rPr>
        <w:t>，卻繞道援引警察職權行使法第28條等</w:t>
      </w:r>
      <w:r w:rsidR="00FF0C19" w:rsidRPr="00BF6982">
        <w:rPr>
          <w:rFonts w:ascii="標楷體" w:hAnsi="Arial" w:hint="eastAsia"/>
          <w:bCs/>
          <w:kern w:val="0"/>
          <w:szCs w:val="36"/>
        </w:rPr>
        <w:t>欠缺程序規定</w:t>
      </w:r>
      <w:r w:rsidR="000131FC" w:rsidRPr="00BF6982">
        <w:rPr>
          <w:rFonts w:ascii="標楷體" w:hAnsi="Arial" w:hint="eastAsia"/>
          <w:bCs/>
          <w:kern w:val="0"/>
          <w:szCs w:val="36"/>
        </w:rPr>
        <w:t>的</w:t>
      </w:r>
      <w:r w:rsidRPr="00BF6982">
        <w:rPr>
          <w:rFonts w:ascii="標楷體" w:hAnsi="Arial" w:hint="eastAsia"/>
          <w:bCs/>
          <w:kern w:val="0"/>
          <w:szCs w:val="36"/>
        </w:rPr>
        <w:t>概括</w:t>
      </w:r>
      <w:r w:rsidR="000131FC" w:rsidRPr="00BF6982">
        <w:rPr>
          <w:rFonts w:ascii="標楷體" w:hAnsi="Arial" w:hint="eastAsia"/>
          <w:bCs/>
          <w:kern w:val="0"/>
          <w:szCs w:val="36"/>
        </w:rPr>
        <w:t>授權</w:t>
      </w:r>
      <w:r w:rsidRPr="00BF6982">
        <w:rPr>
          <w:rFonts w:ascii="標楷體" w:hAnsi="Arial" w:hint="eastAsia"/>
          <w:bCs/>
          <w:kern w:val="0"/>
          <w:szCs w:val="36"/>
        </w:rPr>
        <w:t>條文，核有欠當。</w:t>
      </w:r>
      <w:r w:rsidR="00101539" w:rsidRPr="00BF6982">
        <w:rPr>
          <w:rFonts w:ascii="標楷體" w:hAnsi="Arial" w:hint="eastAsia"/>
          <w:bCs/>
          <w:kern w:val="0"/>
          <w:szCs w:val="36"/>
        </w:rPr>
        <w:t>行政院</w:t>
      </w:r>
      <w:r w:rsidRPr="00BF6982">
        <w:rPr>
          <w:rFonts w:ascii="標楷體" w:hAnsi="Arial" w:hint="eastAsia"/>
          <w:bCs/>
          <w:kern w:val="0"/>
          <w:szCs w:val="36"/>
        </w:rPr>
        <w:t>於105年2月1日</w:t>
      </w:r>
      <w:r w:rsidR="00101539" w:rsidRPr="00BF6982">
        <w:rPr>
          <w:rFonts w:ascii="標楷體" w:hAnsi="Arial" w:hint="eastAsia"/>
          <w:bCs/>
          <w:kern w:val="0"/>
          <w:szCs w:val="36"/>
        </w:rPr>
        <w:t>函請立法院審議</w:t>
      </w:r>
      <w:r w:rsidRPr="00BF6982">
        <w:rPr>
          <w:rFonts w:ascii="標楷體" w:hAnsi="Arial" w:hint="eastAsia"/>
          <w:bCs/>
          <w:kern w:val="0"/>
          <w:szCs w:val="36"/>
        </w:rPr>
        <w:t>之集會遊行法修正草案，雖規定除有立即危</w:t>
      </w:r>
      <w:r w:rsidRPr="00BF6982">
        <w:rPr>
          <w:rFonts w:ascii="標楷體" w:hAnsi="Arial" w:hint="eastAsia"/>
          <w:bCs/>
          <w:kern w:val="0"/>
          <w:szCs w:val="36"/>
        </w:rPr>
        <w:lastRenderedPageBreak/>
        <w:t>害生命、身體、自由或對財物造成重大損壞之明顯事實外，應經警告2次無效後，始得命令解散。惟如何執行強制解散？草案內未有進一步規定，亦未授權施行細則</w:t>
      </w:r>
      <w:r w:rsidR="000131FC" w:rsidRPr="00BF6982">
        <w:rPr>
          <w:rFonts w:ascii="標楷體" w:hAnsi="Arial" w:hint="eastAsia"/>
          <w:bCs/>
          <w:kern w:val="0"/>
          <w:szCs w:val="36"/>
        </w:rPr>
        <w:t>訂定之</w:t>
      </w:r>
      <w:r w:rsidRPr="00BF6982">
        <w:rPr>
          <w:rFonts w:ascii="標楷體" w:hAnsi="Arial" w:hint="eastAsia"/>
          <w:bCs/>
          <w:kern w:val="0"/>
          <w:szCs w:val="36"/>
        </w:rPr>
        <w:t>。為符合憲法保障人身自由及集會自由的精神，減少執法爭議，內政部實有參酌學者建議，檢討充實相關法制的必要。</w:t>
      </w:r>
    </w:p>
    <w:p w:rsidR="006B7F6D" w:rsidRPr="00BF6982" w:rsidRDefault="006B7F6D" w:rsidP="006B7F6D">
      <w:pPr>
        <w:numPr>
          <w:ilvl w:val="1"/>
          <w:numId w:val="1"/>
        </w:numPr>
        <w:kinsoku w:val="0"/>
        <w:jc w:val="both"/>
        <w:outlineLvl w:val="1"/>
        <w:rPr>
          <w:rFonts w:ascii="標楷體" w:hAnsi="Arial"/>
          <w:b/>
          <w:bCs/>
          <w:kern w:val="0"/>
          <w:szCs w:val="48"/>
        </w:rPr>
      </w:pPr>
      <w:r w:rsidRPr="00BF6982">
        <w:rPr>
          <w:rFonts w:ascii="標楷體" w:hAnsi="Arial" w:hint="eastAsia"/>
          <w:b/>
          <w:bCs/>
          <w:kern w:val="0"/>
          <w:szCs w:val="48"/>
        </w:rPr>
        <w:t>律師參與合法集會遊行表達意見，或在集會遊行現場提供法律諮詢及協助民眾保障其合法權益，若未涉及不法行為，符合律師法所定之保障人權、促進民主法治的職務目的，並有助於建立溝通協調管道，主管機關應予以尊重，不容將合法行使職務之律師視為違法陳抗者，恣意施用強制力。本案</w:t>
      </w:r>
      <w:r w:rsidR="00BD47D8" w:rsidRPr="00AA042C">
        <w:rPr>
          <w:rFonts w:ascii="標楷體" w:hAnsi="Arial" w:hint="eastAsia"/>
          <w:b/>
          <w:bCs/>
          <w:kern w:val="0"/>
          <w:szCs w:val="48"/>
        </w:rPr>
        <w:t>臺北市</w:t>
      </w:r>
      <w:r w:rsidR="00F61B46" w:rsidRPr="00AA042C">
        <w:rPr>
          <w:rFonts w:ascii="標楷體" w:hAnsi="Arial" w:hint="eastAsia"/>
          <w:b/>
          <w:bCs/>
          <w:kern w:val="0"/>
          <w:szCs w:val="48"/>
        </w:rPr>
        <w:t>警</w:t>
      </w:r>
      <w:r w:rsidRPr="00AA042C">
        <w:rPr>
          <w:rFonts w:ascii="標楷體" w:hAnsi="Arial" w:hint="eastAsia"/>
          <w:b/>
          <w:bCs/>
          <w:kern w:val="0"/>
          <w:szCs w:val="48"/>
        </w:rPr>
        <w:t>局</w:t>
      </w:r>
      <w:r w:rsidRPr="00BF6982">
        <w:rPr>
          <w:rFonts w:ascii="標楷體" w:hAnsi="Arial" w:hint="eastAsia"/>
          <w:b/>
          <w:bCs/>
          <w:kern w:val="0"/>
          <w:szCs w:val="48"/>
        </w:rPr>
        <w:t>以律師參與違法陳抗活動為由，強行將之圈圍、載離，未適度尊重律師在</w:t>
      </w:r>
      <w:r w:rsidR="00FF0C19" w:rsidRPr="00BF6982">
        <w:rPr>
          <w:rFonts w:ascii="標楷體" w:hAnsi="Arial" w:hint="eastAsia"/>
          <w:b/>
          <w:bCs/>
          <w:kern w:val="0"/>
          <w:szCs w:val="48"/>
        </w:rPr>
        <w:t>社會</w:t>
      </w:r>
      <w:r w:rsidRPr="00BF6982">
        <w:rPr>
          <w:rFonts w:ascii="標楷體" w:hAnsi="Arial" w:hint="eastAsia"/>
          <w:b/>
          <w:bCs/>
          <w:kern w:val="0"/>
          <w:szCs w:val="48"/>
        </w:rPr>
        <w:t>運動中的角色及地位，核有未當。</w:t>
      </w:r>
    </w:p>
    <w:p w:rsidR="006B7F6D" w:rsidRPr="00BF6982" w:rsidRDefault="00BD47D8"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臺北市警局</w:t>
      </w:r>
      <w:r w:rsidR="006B7F6D" w:rsidRPr="00BF6982">
        <w:rPr>
          <w:rFonts w:ascii="標楷體" w:hAnsi="Arial" w:hint="eastAsia"/>
          <w:bCs/>
          <w:kern w:val="0"/>
          <w:szCs w:val="36"/>
        </w:rPr>
        <w:t>於12月23日深夜圈圍之民眾中，有6位在場協助民眾之律師，其等雖</w:t>
      </w:r>
      <w:r w:rsidR="00FF0C19" w:rsidRPr="00BF6982">
        <w:rPr>
          <w:rFonts w:ascii="標楷體" w:hAnsi="Arial" w:hint="eastAsia"/>
          <w:bCs/>
          <w:kern w:val="0"/>
          <w:szCs w:val="36"/>
        </w:rPr>
        <w:t>有多人</w:t>
      </w:r>
      <w:r w:rsidR="006B7F6D" w:rsidRPr="00BF6982">
        <w:rPr>
          <w:rFonts w:ascii="標楷體" w:hAnsi="Arial" w:hint="eastAsia"/>
          <w:bCs/>
          <w:kern w:val="0"/>
          <w:szCs w:val="36"/>
        </w:rPr>
        <w:t>表明律師身分，但警方仍持續管束，並於12月24日強制將其中3位律師載離至市郊丟包，媒體及人權團體質疑警方作法涉有濫權。對此，公權力機關為以下表示：</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行政院發言人徐國勇表示</w:t>
      </w:r>
      <w:r w:rsidR="00FF0C19" w:rsidRPr="00BF6982">
        <w:rPr>
          <w:rFonts w:ascii="標楷體" w:hAnsi="Arial" w:hint="eastAsia"/>
          <w:szCs w:val="36"/>
        </w:rPr>
        <w:t>：</w:t>
      </w:r>
      <w:r w:rsidRPr="00BF6982">
        <w:rPr>
          <w:rFonts w:ascii="標楷體" w:hAnsi="Arial" w:hint="eastAsia"/>
          <w:szCs w:val="36"/>
        </w:rPr>
        <w:t>律師不是被「逮捕」，如因現行犯逮捕，應送至警察機關，且參加遊行的人有勞工朋友、醫生、護理師、也有律師，並不會因為有什麼身</w:t>
      </w:r>
      <w:r w:rsidR="00F61B46" w:rsidRPr="00AA042C">
        <w:rPr>
          <w:rFonts w:ascii="標楷體" w:hAnsi="Arial" w:hint="eastAsia"/>
          <w:szCs w:val="36"/>
        </w:rPr>
        <w:t>分</w:t>
      </w:r>
      <w:r w:rsidRPr="00BF6982">
        <w:rPr>
          <w:rFonts w:ascii="標楷體" w:hAnsi="Arial" w:hint="eastAsia"/>
          <w:szCs w:val="36"/>
        </w:rPr>
        <w:t>，而有不一樣待遇等語。</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臺北市警局表示：</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現場多位律師實際參與違法集會遊行，與其他群眾行為無異，難認其係在場執行律師職務。</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警方採取之必要措施非刑事案件之逮捕，對於在現場未表明身分者或不願離去者如陳</w:t>
      </w:r>
      <w:r w:rsidR="00FC4360" w:rsidRPr="00BF6982">
        <w:rPr>
          <w:rFonts w:ascii="標楷體" w:hAnsi="Arial" w:hint="eastAsia"/>
          <w:bCs/>
          <w:szCs w:val="36"/>
        </w:rPr>
        <w:t>又</w:t>
      </w:r>
      <w:r w:rsidRPr="00BF6982">
        <w:rPr>
          <w:rFonts w:ascii="標楷體" w:hAnsi="Arial" w:hint="eastAsia"/>
          <w:bCs/>
          <w:szCs w:val="36"/>
        </w:rPr>
        <w:t>新、丁</w:t>
      </w:r>
      <w:r w:rsidR="00FC4360" w:rsidRPr="00BF6982">
        <w:rPr>
          <w:rFonts w:hint="eastAsia"/>
        </w:rPr>
        <w:t>穩</w:t>
      </w:r>
      <w:r w:rsidRPr="00BF6982">
        <w:rPr>
          <w:rFonts w:ascii="標楷體" w:hAnsi="Arial" w:hint="eastAsia"/>
          <w:bCs/>
          <w:szCs w:val="36"/>
        </w:rPr>
        <w:t>勝及李</w:t>
      </w:r>
      <w:r w:rsidR="00FC4360" w:rsidRPr="00BF6982">
        <w:rPr>
          <w:rFonts w:ascii="標楷體" w:hAnsi="Arial" w:hint="eastAsia"/>
          <w:szCs w:val="36"/>
        </w:rPr>
        <w:t>菁</w:t>
      </w:r>
      <w:r w:rsidRPr="00BF6982">
        <w:rPr>
          <w:rFonts w:ascii="標楷體" w:hAnsi="Arial" w:hint="eastAsia"/>
          <w:bCs/>
          <w:szCs w:val="36"/>
        </w:rPr>
        <w:t>琪，即於24日0時45分帶離上</w:t>
      </w:r>
      <w:r w:rsidRPr="00BF6982">
        <w:rPr>
          <w:rFonts w:ascii="標楷體" w:hAnsi="Arial" w:hint="eastAsia"/>
          <w:bCs/>
          <w:szCs w:val="36"/>
        </w:rPr>
        <w:lastRenderedPageBreak/>
        <w:t>車，表明律師身分欲自行離開者如黨</w:t>
      </w:r>
      <w:r w:rsidR="00FC4360" w:rsidRPr="00BF6982">
        <w:rPr>
          <w:rFonts w:ascii="標楷體" w:hAnsi="Arial" w:hint="eastAsia"/>
          <w:bCs/>
          <w:szCs w:val="36"/>
        </w:rPr>
        <w:t>苴</w:t>
      </w:r>
      <w:r w:rsidRPr="00BF6982">
        <w:rPr>
          <w:rFonts w:ascii="標楷體" w:hAnsi="Arial" w:hint="eastAsia"/>
          <w:bCs/>
          <w:szCs w:val="36"/>
        </w:rPr>
        <w:t>睿，即於1時7分任其離去；此外，自願上警備車者如李○瑋及劉</w:t>
      </w:r>
      <w:r w:rsidR="00FC4360" w:rsidRPr="00BF6982">
        <w:rPr>
          <w:rFonts w:hint="eastAsia"/>
        </w:rPr>
        <w:t>冠</w:t>
      </w:r>
      <w:r w:rsidRPr="00BF6982">
        <w:rPr>
          <w:rFonts w:ascii="標楷體" w:hAnsi="Arial" w:hint="eastAsia"/>
          <w:bCs/>
          <w:szCs w:val="36"/>
        </w:rPr>
        <w:t>廷，皆尊重其意願，並讓渠等先後於24日0時55分及1時7分自行步行上車等語。</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本院詢據</w:t>
      </w:r>
      <w:r w:rsidR="002E2375" w:rsidRPr="00AA042C">
        <w:rPr>
          <w:rFonts w:ascii="標楷體" w:hAnsi="Arial" w:hint="eastAsia"/>
          <w:szCs w:val="36"/>
        </w:rPr>
        <w:t>中正一分局</w:t>
      </w:r>
      <w:r w:rsidRPr="00AA042C">
        <w:rPr>
          <w:rFonts w:ascii="標楷體" w:hAnsi="Arial" w:hint="eastAsia"/>
          <w:szCs w:val="36"/>
        </w:rPr>
        <w:t>廖材楨分局長稱：黨律師自稱宣導法扶，但是現場仍有其他</w:t>
      </w:r>
      <w:r w:rsidRPr="00BF6982">
        <w:rPr>
          <w:rFonts w:ascii="標楷體" w:hAnsi="Arial" w:hint="eastAsia"/>
          <w:bCs/>
          <w:szCs w:val="36"/>
        </w:rPr>
        <w:t>律師吆喝，有律師有在西門町拿麥克風廣播要群眾加入遊行情形等語。現場執行之介壽路派出所蔡漢政所長表示：分局長於當日0時20餘分會議時指示，由</w:t>
      </w:r>
      <w:r w:rsidR="00FF0C19" w:rsidRPr="00BF6982">
        <w:rPr>
          <w:rFonts w:ascii="標楷體" w:hAnsi="Arial" w:hint="eastAsia"/>
          <w:bCs/>
          <w:szCs w:val="36"/>
        </w:rPr>
        <w:t>其</w:t>
      </w:r>
      <w:r w:rsidRPr="00BF6982">
        <w:rPr>
          <w:rFonts w:ascii="標楷體" w:hAnsi="Arial" w:hint="eastAsia"/>
          <w:bCs/>
          <w:szCs w:val="36"/>
        </w:rPr>
        <w:t>執行進入帶離民眾。</w:t>
      </w:r>
      <w:r w:rsidR="00FF0C19" w:rsidRPr="00BF6982">
        <w:rPr>
          <w:rFonts w:ascii="標楷體" w:hAnsi="Arial" w:hint="eastAsia"/>
          <w:bCs/>
          <w:szCs w:val="36"/>
        </w:rPr>
        <w:t>其僅</w:t>
      </w:r>
      <w:r w:rsidRPr="00BF6982">
        <w:rPr>
          <w:rFonts w:ascii="標楷體" w:hAnsi="Arial" w:hint="eastAsia"/>
          <w:bCs/>
          <w:szCs w:val="36"/>
        </w:rPr>
        <w:t>認識李</w:t>
      </w:r>
      <w:r w:rsidR="00FC4360" w:rsidRPr="00BF6982">
        <w:rPr>
          <w:rFonts w:ascii="標楷體" w:hAnsi="Arial" w:hint="eastAsia"/>
          <w:bCs/>
          <w:szCs w:val="36"/>
        </w:rPr>
        <w:t>容</w:t>
      </w:r>
      <w:r w:rsidRPr="00BF6982">
        <w:rPr>
          <w:rFonts w:ascii="標楷體" w:hAnsi="Arial" w:hint="eastAsia"/>
          <w:bCs/>
          <w:szCs w:val="36"/>
        </w:rPr>
        <w:t>渝、洪</w:t>
      </w:r>
      <w:r w:rsidR="00FC4360" w:rsidRPr="00BF6982">
        <w:rPr>
          <w:rFonts w:ascii="標楷體" w:hAnsi="Arial" w:hint="eastAsia"/>
          <w:bCs/>
          <w:szCs w:val="36"/>
        </w:rPr>
        <w:t>崇</w:t>
      </w:r>
      <w:r w:rsidRPr="00BF6982">
        <w:rPr>
          <w:rFonts w:ascii="標楷體" w:hAnsi="Arial" w:hint="eastAsia"/>
          <w:bCs/>
          <w:szCs w:val="36"/>
        </w:rPr>
        <w:t>晏等經常參與集會遊行之人，其他如丁穩勝律師、陳又新律師等皆不認識。黨律師是否要上車，</w:t>
      </w:r>
      <w:r w:rsidR="00FF0C19" w:rsidRPr="00BF6982">
        <w:rPr>
          <w:rFonts w:ascii="標楷體" w:hAnsi="Arial" w:hint="eastAsia"/>
          <w:bCs/>
          <w:szCs w:val="36"/>
        </w:rPr>
        <w:t>其等皆</w:t>
      </w:r>
      <w:r w:rsidRPr="00BF6982">
        <w:rPr>
          <w:rFonts w:ascii="標楷體" w:hAnsi="Arial" w:hint="eastAsia"/>
          <w:bCs/>
          <w:szCs w:val="36"/>
        </w:rPr>
        <w:t>依本人意願。現場民眾認為</w:t>
      </w:r>
      <w:r w:rsidR="00FF0C19" w:rsidRPr="00BF6982">
        <w:rPr>
          <w:rFonts w:ascii="標楷體" w:hAnsi="Arial" w:hint="eastAsia"/>
          <w:bCs/>
          <w:szCs w:val="36"/>
        </w:rPr>
        <w:t>律師</w:t>
      </w:r>
      <w:r w:rsidRPr="00BF6982">
        <w:rPr>
          <w:rFonts w:ascii="標楷體" w:hAnsi="Arial" w:hint="eastAsia"/>
          <w:bCs/>
          <w:szCs w:val="36"/>
        </w:rPr>
        <w:t>有向警方對口，但第一線員警幾乎都是支援警力，員警沒有辦法做決策。此外，</w:t>
      </w:r>
      <w:r w:rsidR="00FF0C19" w:rsidRPr="00BF6982">
        <w:rPr>
          <w:rFonts w:ascii="標楷體" w:hAnsi="Arial" w:hint="eastAsia"/>
          <w:bCs/>
          <w:szCs w:val="36"/>
        </w:rPr>
        <w:t>其等</w:t>
      </w:r>
      <w:r w:rsidRPr="00BF6982">
        <w:rPr>
          <w:rFonts w:ascii="標楷體" w:hAnsi="Arial" w:hint="eastAsia"/>
          <w:bCs/>
          <w:szCs w:val="36"/>
        </w:rPr>
        <w:t>在現場也會分辨公民記者與電子媒體記者。但依現場情形，沒有辦法馬上判斷陳抗者是否為律師。</w:t>
      </w:r>
      <w:r w:rsidR="00FF0C19" w:rsidRPr="00BF6982">
        <w:rPr>
          <w:rFonts w:ascii="標楷體" w:hAnsi="Arial" w:hint="eastAsia"/>
          <w:bCs/>
          <w:szCs w:val="36"/>
        </w:rPr>
        <w:t>其</w:t>
      </w:r>
      <w:r w:rsidRPr="00BF6982">
        <w:rPr>
          <w:rFonts w:ascii="標楷體" w:hAnsi="Arial" w:hint="eastAsia"/>
          <w:bCs/>
          <w:szCs w:val="36"/>
        </w:rPr>
        <w:t>帶離的人都是經常參與集會遊行之人，較有使用強制力，其餘人大部分都是自行上車。</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臺北市警局法規室發布新聞稿略以：</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律師行使職權及提供法律協助，應簽訂委任契約或透過通訊洽詢法律諮詢，不需要在陳抗現場。</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警方採取管制措施時，不因律師「身分」而有別於一般民眾。</w:t>
      </w:r>
    </w:p>
    <w:p w:rsidR="006B7F6D" w:rsidRPr="00BF6982" w:rsidRDefault="006B7F6D" w:rsidP="006B7F6D">
      <w:pPr>
        <w:numPr>
          <w:ilvl w:val="4"/>
          <w:numId w:val="1"/>
        </w:numPr>
        <w:kinsoku w:val="0"/>
        <w:jc w:val="both"/>
        <w:outlineLvl w:val="4"/>
        <w:rPr>
          <w:rFonts w:ascii="標楷體" w:hAnsi="Arial"/>
          <w:bCs/>
          <w:szCs w:val="36"/>
        </w:rPr>
      </w:pPr>
      <w:r w:rsidRPr="00BF6982">
        <w:rPr>
          <w:rFonts w:ascii="標楷體" w:hAnsi="Arial" w:hint="eastAsia"/>
          <w:bCs/>
          <w:szCs w:val="36"/>
        </w:rPr>
        <w:t>當日勞團集會遊行結束後，群眾違法占領街頭，其中見自稱律師者，拿著大聲公在街頭穿梭吆喝，呼朋引伴參與其中，佔據道路或躺或坐</w:t>
      </w:r>
      <w:r w:rsidRPr="00BF6982">
        <w:rPr>
          <w:rFonts w:ascii="標楷體" w:hAnsi="Arial" w:hint="eastAsia"/>
          <w:bCs/>
          <w:szCs w:val="36"/>
        </w:rPr>
        <w:lastRenderedPageBreak/>
        <w:t>，甚至見陳抗者違法於道路上阻擋車輛行進，亦未本於律師公益使命上前勸阻。時而穿著律師袍，時著便服，參與陳抗群眾一起高舉抗議標語，如此與實質參與陳抗者之行徑，並無二致，豈有以如此方式，執行律師職務之理。</w:t>
      </w:r>
    </w:p>
    <w:p w:rsidR="006B7F6D" w:rsidRPr="00BF6982" w:rsidRDefault="006B7F6D" w:rsidP="006B7F6D">
      <w:pPr>
        <w:numPr>
          <w:ilvl w:val="2"/>
          <w:numId w:val="1"/>
        </w:numPr>
        <w:kinsoku w:val="0"/>
        <w:ind w:left="1360" w:hanging="680"/>
        <w:jc w:val="both"/>
        <w:outlineLvl w:val="2"/>
        <w:rPr>
          <w:rFonts w:ascii="標楷體" w:hAnsi="Arial"/>
          <w:bCs/>
          <w:kern w:val="0"/>
          <w:szCs w:val="36"/>
        </w:rPr>
      </w:pPr>
      <w:r w:rsidRPr="00BF6982">
        <w:rPr>
          <w:rFonts w:ascii="標楷體" w:hAnsi="Arial" w:hint="eastAsia"/>
          <w:bCs/>
          <w:kern w:val="0"/>
          <w:szCs w:val="36"/>
        </w:rPr>
        <w:t>本案約請在場之丁穩勝律師、陳又新律師、劉冠廷律師到院說明略以：</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律師團體雖有參與反勞基法合法集會遊行，但該角色在下午宣布解散時已結束。黨律師雖然全程在現場，多次上宣傳車，但都是告知群眾法律扶助基金會的陪同偵訊專線，她沒有演講，也沒有針對勞基法發表個人評論。</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現場律師未發動、未參與，亦未鼓勵晚間的公民不服從活動，但既然是公民不服從活動，參與該活動的民眾本來就可以委任律師在場。在場的律師未阻礙警方執行公務，只要求警方把法律依據說清楚。</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所指現場律師將維權者與參與陳抗者混淆乙節，第一，律師與陳抗者二個角色本來沒有就衝突，從社會運動的角度而言，反勞基法修惡此一議題對律師而言，在理念上有支持的可能。第二，其等號召律師團時，就清楚認知律師在該活動的任務就是協助遊行順利進行及陪偵。第三，律師身穿律師袍拿標語，支持合法的集會，屬於公民的權</w:t>
      </w:r>
      <w:r w:rsidR="00F61B46" w:rsidRPr="00CD53A3">
        <w:rPr>
          <w:rFonts w:ascii="標楷體" w:hAnsi="Arial" w:hint="eastAsia"/>
          <w:szCs w:val="36"/>
        </w:rPr>
        <w:t>利</w:t>
      </w:r>
      <w:r w:rsidRPr="00BF6982">
        <w:rPr>
          <w:rFonts w:ascii="標楷體" w:hAnsi="Arial" w:hint="eastAsia"/>
          <w:szCs w:val="36"/>
        </w:rPr>
        <w:t>。第四、如陳抗活動涉及違法脫序，警方開始驅離或強力排除時，律師並不享有任何優待的特權。</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委任屬諾成契約，委任狀僅證明契約的存在。當時現場民眾已向警方表明：我們讓律師與指揮官溝通，至少在此一時點，委任契約就存在。律師</w:t>
      </w:r>
      <w:r w:rsidRPr="00BF6982">
        <w:rPr>
          <w:rFonts w:ascii="標楷體" w:hAnsi="Arial" w:hint="eastAsia"/>
          <w:szCs w:val="36"/>
        </w:rPr>
        <w:lastRenderedPageBreak/>
        <w:t>在場的作為，第一是協助民眾依據警職法提出異議，第二是在旁蒐證，保護當事人的合法權</w:t>
      </w:r>
      <w:r w:rsidR="00F61B46" w:rsidRPr="00CD53A3">
        <w:rPr>
          <w:rFonts w:ascii="標楷體" w:hAnsi="Arial" w:hint="eastAsia"/>
          <w:szCs w:val="36"/>
        </w:rPr>
        <w:t>利</w:t>
      </w:r>
      <w:r w:rsidRPr="00BF6982">
        <w:rPr>
          <w:rFonts w:ascii="標楷體" w:hAnsi="Arial" w:hint="eastAsia"/>
          <w:szCs w:val="36"/>
        </w:rPr>
        <w:t>，此皆可事後檢驗其適法性。甚至在323抗爭活動時，警方還商請律師進入現場勸民眾離開，當時有些民眾因律師勸導而分批離開。12月23日的現場較323輕微太多，沒有強烈對抗的狀況，但警方完全不願與律師建立溝通管道，也不願討論和平落幕的方法。</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諮詢台北律師公會薛欽峰理事長表示略以：</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律師如本身涉及違法，沒有特權。但為保護民主的價值，行業的特性必須有必要特權，如律師是基於第三者的立場去預防或協助已發生危害的民眾，必須進入法律程序時，對於在場的律師就應該保有職務上地位及特殊保障。如同記者在現場拍攝，如將之視為陳抗者進行逮捕或強制處分，並非妥當。</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律師法並未限制律師在陳抗現場出現並執行律師職務，律師執行職務的範圍並非限於訴訟，包括非訟及協助國家維護法律秩序，目的在保障人權促進民主法治，集會遊行的場合很能凸顯該任務。所謂陳抗現場無法分辨律師及參與者等理由，是政府欲混淆律師的職權與角色，實有不當。</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律師有促進民主法治的責任，在集會遊行場合出現本來就有必要。基本上，所有的行政行為處置過程中，律師在場本有促進執法更為謹慎，如解散命令是否正當合法，有其正當性。</w:t>
      </w:r>
    </w:p>
    <w:p w:rsidR="006B7F6D" w:rsidRPr="00BF6982" w:rsidRDefault="006B7F6D" w:rsidP="006B7F6D">
      <w:pPr>
        <w:pStyle w:val="3"/>
      </w:pPr>
      <w:r w:rsidRPr="00BF6982">
        <w:rPr>
          <w:rFonts w:hint="eastAsia"/>
        </w:rPr>
        <w:t>勘驗現場錄影，陳又新、丁穩勝及李菁琪3位律師已表明身分，多次試圖與警方溝通，亦表明欲離去，但警方並無回應，茲摘錄略以：</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106年12月24日0時3分許，黨</w:t>
      </w:r>
      <w:r w:rsidR="000C10D2" w:rsidRPr="00BF6982">
        <w:rPr>
          <w:rFonts w:ascii="標楷體" w:hAnsi="Arial" w:hint="eastAsia"/>
          <w:szCs w:val="36"/>
        </w:rPr>
        <w:t>苴睿</w:t>
      </w:r>
      <w:r w:rsidRPr="00BF6982">
        <w:rPr>
          <w:rFonts w:ascii="標楷體" w:hAnsi="Arial" w:hint="eastAsia"/>
          <w:szCs w:val="36"/>
        </w:rPr>
        <w:t>律師表明</w:t>
      </w:r>
      <w:r w:rsidRPr="00BF6982">
        <w:rPr>
          <w:rFonts w:ascii="標楷體" w:hAnsi="Arial" w:hint="eastAsia"/>
          <w:szCs w:val="36"/>
        </w:rPr>
        <w:lastRenderedPageBreak/>
        <w:t>身分並質疑警方限制民眾行動自由並要求警方提供法律依據，但警方無回應。</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0時13分許，警方包圍圈外有一名律師高聲呼喊警察違法拘禁，並說明民眾有聲請提審之權利。</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0時16分許，畫面中陳又新著律師袍。</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0時24分許，李菁琪律師手持律師證說明警方無任何理由將其限制人身自由。</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0時48分許，丁穩勝律師手持律師證欲離開，遭警方阻擋。陳又新在旁（著律師袍），李菁琪律師不斷詢問阻擋員警，為何</w:t>
      </w:r>
      <w:r w:rsidR="00F61B46" w:rsidRPr="00AA042C">
        <w:rPr>
          <w:rFonts w:ascii="標楷體" w:hAnsi="Arial" w:hint="eastAsia"/>
          <w:szCs w:val="36"/>
        </w:rPr>
        <w:t>6</w:t>
      </w:r>
      <w:r w:rsidRPr="00BF6982">
        <w:rPr>
          <w:rFonts w:ascii="標楷體" w:hAnsi="Arial" w:hint="eastAsia"/>
          <w:szCs w:val="36"/>
        </w:rPr>
        <w:t>名律師不能離去。</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0時48分許，丁穩勝律師向阻擋員警說明要與現場指揮官溝通。</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0時49分許，丁穩勝高舉律師證表示:「我要走過去」，被員警阻擋。丁穩勝請現場民眾保持冷靜，陳又新說:「請現場群眾離律師遠一點。」</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0時49分許，李菁琪表示:「我是李菁琪律師，我要離開。」陳又新請現場群眾先往後退，持麥克風之男子亦請現場民眾給律師空間。</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49分許，丁穩勝向在場民眾說明:「我們要和現場指揮官溝通，我們要離開這個地方，這是我們的行動自由，我現在要走過去，只有律師走過去，是的，我們沒有要挑起任何衝突，如果警方再限制我們的自由，今天在場指揮官，你就等著收告訴狀。你們憑甚麼限制在場六位律師的自由，我要走過去。」</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0時50分許，警方阻擋丁穩勝前進，丁穩勝對手持麥克風之員警反覆大聲質問:「我可不可以走?」手持麥克風之警官表示他去溝通。</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0時50分許，介壽派出所</w:t>
      </w:r>
      <w:r w:rsidRPr="00AA042C">
        <w:rPr>
          <w:rFonts w:ascii="標楷體" w:hAnsi="Arial" w:hint="eastAsia"/>
          <w:szCs w:val="36"/>
        </w:rPr>
        <w:t>蔡漢政</w:t>
      </w:r>
      <w:r w:rsidR="00D7547D" w:rsidRPr="00AA042C">
        <w:rPr>
          <w:rFonts w:ascii="標楷體" w:hAnsi="Arial" w:hint="eastAsia"/>
          <w:szCs w:val="36"/>
        </w:rPr>
        <w:t>所長</w:t>
      </w:r>
      <w:r w:rsidRPr="00BF6982">
        <w:rPr>
          <w:rFonts w:ascii="標楷體" w:hAnsi="Arial" w:hint="eastAsia"/>
          <w:szCs w:val="36"/>
        </w:rPr>
        <w:t>表示：「不好意思，你們一直遲滯在這邊，影響社會大眾…</w:t>
      </w:r>
      <w:r w:rsidRPr="00BF6982">
        <w:rPr>
          <w:rFonts w:ascii="標楷體" w:hAnsi="Arial" w:hint="eastAsia"/>
          <w:szCs w:val="36"/>
        </w:rPr>
        <w:lastRenderedPageBreak/>
        <w:t>來群眾進來抬離這邊從現場開始…」。</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0時51分許，丁穩勝問蔡漢政憑甚麼強制抬離，蔡漢政說:「憑警察行使職權啦，憑甚麼!」隨即開始抓捕律師及民眾（畫面混亂）。</w:t>
      </w:r>
    </w:p>
    <w:p w:rsidR="006B7F6D" w:rsidRPr="00BF6982" w:rsidRDefault="006B7F6D" w:rsidP="006B7F6D">
      <w:pPr>
        <w:numPr>
          <w:ilvl w:val="2"/>
          <w:numId w:val="1"/>
        </w:numPr>
        <w:kinsoku w:val="0"/>
        <w:ind w:left="1360" w:hanging="680"/>
        <w:jc w:val="both"/>
        <w:outlineLvl w:val="2"/>
        <w:rPr>
          <w:rFonts w:ascii="標楷體" w:hAnsi="Arial"/>
          <w:bCs/>
          <w:kern w:val="0"/>
          <w:szCs w:val="36"/>
        </w:rPr>
      </w:pPr>
      <w:r w:rsidRPr="00BF6982">
        <w:rPr>
          <w:rFonts w:ascii="標楷體" w:hAnsi="Arial" w:hint="eastAsia"/>
          <w:bCs/>
          <w:kern w:val="0"/>
          <w:szCs w:val="36"/>
        </w:rPr>
        <w:t>本院審酌如下：</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按律師法第1條揭示：「律師以保障人權、實現社會正義及促進民主法治為使命。律師應基於前項使命，本於自律自治之精神，誠實執行職務，維護社會秩序及改善法律制度。」我國民主化過程中，律師關心社會正義，投身社會運動及政治改革，促使民主法治的健全發展，功不可沒，前例甚多。而集會遊行乃人民自我意見的表達及對公共政策的參與，本身具有高度的價值意義，律師參與集會遊行，協助民眾提供專業法律意見，不但可達成律師任務，彰顯其職務價值，更可協助政府保障和平集會遊行，維護人民集會自由的基本權利。因此，</w:t>
      </w:r>
      <w:r w:rsidR="00BD47D8" w:rsidRPr="00BF6982">
        <w:rPr>
          <w:rFonts w:ascii="標楷體" w:hAnsi="Arial" w:hint="eastAsia"/>
          <w:szCs w:val="36"/>
        </w:rPr>
        <w:t>臺北市警局</w:t>
      </w:r>
      <w:r w:rsidRPr="00BF6982">
        <w:rPr>
          <w:rFonts w:ascii="標楷體" w:hAnsi="Arial" w:hint="eastAsia"/>
          <w:szCs w:val="36"/>
        </w:rPr>
        <w:t>主張律師不應出現在集會遊行現場，或認為應事先簽訂委任契約，未適度尊重律師職務及人民集會自由權利，顯不足採。</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律師無論係基於當事人委託或為提供法律諮詢前往集會遊行現場，即屬執行職務，警方應予尊重；但律師如參與陳抗活動，則不應濫用其身分，要求警方為特殊待遇。本件</w:t>
      </w:r>
      <w:r w:rsidR="00BD47D8" w:rsidRPr="00BF6982">
        <w:rPr>
          <w:rFonts w:ascii="標楷體" w:hAnsi="Arial" w:hint="eastAsia"/>
          <w:szCs w:val="36"/>
        </w:rPr>
        <w:t>臺北市警局</w:t>
      </w:r>
      <w:r w:rsidRPr="00BF6982">
        <w:rPr>
          <w:rFonts w:ascii="標楷體" w:hAnsi="Arial" w:hint="eastAsia"/>
          <w:szCs w:val="36"/>
        </w:rPr>
        <w:t>雖稱現場有律師實質參與違法遊行活動，惟未提供任何事證或錄影畫面。本院約詢現場3</w:t>
      </w:r>
      <w:r w:rsidR="00725CF9">
        <w:rPr>
          <w:rFonts w:ascii="標楷體" w:hAnsi="Arial" w:hint="eastAsia"/>
          <w:szCs w:val="36"/>
        </w:rPr>
        <w:t>位律師，均表示</w:t>
      </w:r>
      <w:r w:rsidR="00725CF9" w:rsidRPr="00AA042C">
        <w:rPr>
          <w:rFonts w:ascii="標楷體" w:hAnsi="Arial" w:hint="eastAsia"/>
          <w:szCs w:val="36"/>
        </w:rPr>
        <w:t>其</w:t>
      </w:r>
      <w:r w:rsidRPr="00BF6982">
        <w:rPr>
          <w:rFonts w:ascii="標楷體" w:hAnsi="Arial" w:hint="eastAsia"/>
          <w:szCs w:val="36"/>
        </w:rPr>
        <w:t>等雖參與勞團申請的合法集會遊行，但於當日下午即已離開，之後在晚間約11時許前往</w:t>
      </w:r>
      <w:r w:rsidR="00BD47D8" w:rsidRPr="00BF6982">
        <w:rPr>
          <w:rFonts w:ascii="標楷體" w:hAnsi="Arial" w:hint="eastAsia"/>
          <w:szCs w:val="36"/>
        </w:rPr>
        <w:t>臺北車站</w:t>
      </w:r>
      <w:r w:rsidRPr="00BF6982">
        <w:rPr>
          <w:rFonts w:ascii="標楷體" w:hAnsi="Arial" w:hint="eastAsia"/>
          <w:szCs w:val="36"/>
        </w:rPr>
        <w:t>，係在現場執行律師職務而非參與陳抗活動。至於該局稱現場無法區分律師與陳抗者角色，經</w:t>
      </w:r>
      <w:r w:rsidRPr="00BF6982">
        <w:rPr>
          <w:rFonts w:ascii="標楷體" w:hAnsi="Arial" w:hint="eastAsia"/>
          <w:szCs w:val="36"/>
        </w:rPr>
        <w:lastRenderedPageBreak/>
        <w:t>勘驗現場錄影，丁</w:t>
      </w:r>
      <w:r w:rsidR="00FC4360" w:rsidRPr="00BF6982">
        <w:rPr>
          <w:rFonts w:hint="eastAsia"/>
        </w:rPr>
        <w:t>穩</w:t>
      </w:r>
      <w:r w:rsidRPr="00BF6982">
        <w:rPr>
          <w:rFonts w:ascii="標楷體" w:hAnsi="Arial" w:hint="eastAsia"/>
          <w:szCs w:val="36"/>
        </w:rPr>
        <w:t>勝、李</w:t>
      </w:r>
      <w:r w:rsidR="00FC4360" w:rsidRPr="00BF6982">
        <w:rPr>
          <w:rFonts w:ascii="標楷體" w:hAnsi="Arial" w:hint="eastAsia"/>
          <w:szCs w:val="36"/>
        </w:rPr>
        <w:t>菁</w:t>
      </w:r>
      <w:r w:rsidRPr="00BF6982">
        <w:rPr>
          <w:rFonts w:ascii="標楷體" w:hAnsi="Arial" w:hint="eastAsia"/>
          <w:szCs w:val="36"/>
        </w:rPr>
        <w:t>琪律師出示律師證件，陳</w:t>
      </w:r>
      <w:r w:rsidR="00FC4360" w:rsidRPr="00BF6982">
        <w:rPr>
          <w:rFonts w:ascii="標楷體" w:hAnsi="Arial" w:hint="eastAsia"/>
          <w:bCs/>
          <w:szCs w:val="36"/>
        </w:rPr>
        <w:t>又</w:t>
      </w:r>
      <w:r w:rsidRPr="00BF6982">
        <w:rPr>
          <w:rFonts w:ascii="標楷體" w:hAnsi="Arial" w:hint="eastAsia"/>
          <w:szCs w:val="36"/>
        </w:rPr>
        <w:t>新身著法袍，均已明確表明身分，並多次試圖與警方溝通，客觀上並非無法區分其等律師身分。且現場群眾曾主動要求退後，欲與律師進行區隔，顯然警方非無機會進行分辨判斷，但警方均無回應。又</w:t>
      </w:r>
      <w:r w:rsidR="00BD47D8" w:rsidRPr="00BF6982">
        <w:rPr>
          <w:rFonts w:ascii="標楷體" w:hAnsi="Arial" w:hint="eastAsia"/>
          <w:szCs w:val="36"/>
        </w:rPr>
        <w:t>臺北市警局</w:t>
      </w:r>
      <w:r w:rsidR="00EE2869" w:rsidRPr="00BF6982">
        <w:rPr>
          <w:rFonts w:ascii="標楷體" w:hAnsi="Arial" w:hint="eastAsia"/>
          <w:szCs w:val="36"/>
        </w:rPr>
        <w:t>辯</w:t>
      </w:r>
      <w:r w:rsidRPr="00BF6982">
        <w:rPr>
          <w:rFonts w:ascii="標楷體" w:hAnsi="Arial" w:hint="eastAsia"/>
          <w:szCs w:val="36"/>
        </w:rPr>
        <w:t>稱陳</w:t>
      </w:r>
      <w:r w:rsidR="00FC4360" w:rsidRPr="00BF6982">
        <w:rPr>
          <w:rFonts w:ascii="標楷體" w:hAnsi="Arial" w:hint="eastAsia"/>
          <w:bCs/>
          <w:szCs w:val="36"/>
        </w:rPr>
        <w:t>又</w:t>
      </w:r>
      <w:r w:rsidRPr="00BF6982">
        <w:rPr>
          <w:rFonts w:ascii="標楷體" w:hAnsi="Arial" w:hint="eastAsia"/>
          <w:szCs w:val="36"/>
        </w:rPr>
        <w:t>新、丁</w:t>
      </w:r>
      <w:r w:rsidR="00FC4360" w:rsidRPr="00BF6982">
        <w:rPr>
          <w:rFonts w:hint="eastAsia"/>
        </w:rPr>
        <w:t>穩</w:t>
      </w:r>
      <w:r w:rsidRPr="00BF6982">
        <w:rPr>
          <w:rFonts w:ascii="標楷體" w:hAnsi="Arial" w:hint="eastAsia"/>
          <w:szCs w:val="36"/>
        </w:rPr>
        <w:t>勝及李</w:t>
      </w:r>
      <w:r w:rsidR="00FC4360" w:rsidRPr="00BF6982">
        <w:rPr>
          <w:rFonts w:ascii="標楷體" w:hAnsi="Arial" w:hint="eastAsia"/>
          <w:szCs w:val="36"/>
        </w:rPr>
        <w:t>菁</w:t>
      </w:r>
      <w:r w:rsidRPr="00BF6982">
        <w:rPr>
          <w:rFonts w:ascii="標楷體" w:hAnsi="Arial" w:hint="eastAsia"/>
          <w:szCs w:val="36"/>
        </w:rPr>
        <w:t>琪3位律師因未表明身分者或不願離去，始帶離上車者</w:t>
      </w:r>
      <w:r w:rsidR="002B05CC" w:rsidRPr="00BF6982">
        <w:rPr>
          <w:rFonts w:ascii="標楷體" w:hAnsi="Arial" w:hint="eastAsia"/>
          <w:szCs w:val="36"/>
        </w:rPr>
        <w:t>等。</w:t>
      </w:r>
      <w:r w:rsidRPr="00BF6982">
        <w:rPr>
          <w:rFonts w:ascii="標楷體" w:hAnsi="Arial" w:hint="eastAsia"/>
          <w:szCs w:val="36"/>
        </w:rPr>
        <w:t>亦與現場錄影畫面不符，是以警方說法，尚難以採信。</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國際人權規範要求各國政府處理群眾集會時，應以談判、調解或溝通方式確保和平集會，同時應延聘中立團體或人員進行公正監測</w:t>
      </w:r>
      <w:r w:rsidRPr="00BF6982">
        <w:rPr>
          <w:rFonts w:ascii="標楷體" w:hAnsi="Arial"/>
          <w:szCs w:val="36"/>
          <w:vertAlign w:val="superscript"/>
        </w:rPr>
        <w:footnoteReference w:id="18"/>
      </w:r>
      <w:r w:rsidRPr="00BF6982">
        <w:rPr>
          <w:rFonts w:ascii="標楷體" w:hAnsi="Arial" w:hint="eastAsia"/>
          <w:szCs w:val="36"/>
        </w:rPr>
        <w:t>。丁</w:t>
      </w:r>
      <w:r w:rsidR="00FC4360" w:rsidRPr="00BF6982">
        <w:rPr>
          <w:rFonts w:hint="eastAsia"/>
        </w:rPr>
        <w:t>穩</w:t>
      </w:r>
      <w:r w:rsidRPr="00BF6982">
        <w:rPr>
          <w:rFonts w:ascii="標楷體" w:hAnsi="Arial" w:hint="eastAsia"/>
          <w:szCs w:val="36"/>
        </w:rPr>
        <w:t>勝律師稱：「323抗爭警方曾商請律師進入現場勸民眾離開，當時有些民眾因律師勸導而分批離開」等語，即指出318學運後，以學生為主的社會運動，</w:t>
      </w:r>
      <w:r w:rsidR="000D196D" w:rsidRPr="00BF6982">
        <w:rPr>
          <w:rFonts w:ascii="標楷體" w:hAnsi="Arial" w:hint="eastAsia"/>
          <w:szCs w:val="36"/>
        </w:rPr>
        <w:t>逐</w:t>
      </w:r>
      <w:r w:rsidRPr="00BF6982">
        <w:rPr>
          <w:rFonts w:ascii="標楷體" w:hAnsi="Arial" w:hint="eastAsia"/>
          <w:szCs w:val="36"/>
        </w:rPr>
        <w:t>漸發展由現場維權律師擔任民眾與警方溝通橋梁的慣例，而律師通常穿著律師袍並出示律師證，象徵其執行職務而非參與陳抗</w:t>
      </w:r>
      <w:r w:rsidRPr="00BF6982">
        <w:rPr>
          <w:rFonts w:ascii="標楷體" w:hAnsi="Arial"/>
          <w:szCs w:val="36"/>
          <w:vertAlign w:val="superscript"/>
        </w:rPr>
        <w:footnoteReference w:id="19"/>
      </w:r>
      <w:r w:rsidR="005F418F" w:rsidRPr="00BF6982">
        <w:rPr>
          <w:rFonts w:ascii="標楷體" w:hAnsi="Arial" w:hint="eastAsia"/>
          <w:szCs w:val="36"/>
        </w:rPr>
        <w:t>。</w:t>
      </w:r>
      <w:r w:rsidR="00BD47D8" w:rsidRPr="00BF6982">
        <w:rPr>
          <w:rFonts w:ascii="標楷體" w:hAnsi="Arial" w:hint="eastAsia"/>
          <w:szCs w:val="36"/>
        </w:rPr>
        <w:t>臺北市警局</w:t>
      </w:r>
      <w:r w:rsidRPr="00BF6982">
        <w:rPr>
          <w:rFonts w:ascii="標楷體" w:hAnsi="Arial" w:hint="eastAsia"/>
          <w:szCs w:val="36"/>
        </w:rPr>
        <w:t>處理大型陳抗事件有豐富的經驗，自知之甚詳。基於維權律師公益中立及協助陳抗民眾的色彩，該局本有義務尋求溝通的契機，而當時律師欲代表民眾與警方協調和平解散，惟警方均不予回應，反而強行將之圈圍、載離，顯未適度尊重律師在公民運動中的角色及地位，核有未當。</w:t>
      </w:r>
      <w:r w:rsidR="00BD47D8" w:rsidRPr="00BF6982">
        <w:rPr>
          <w:rFonts w:ascii="標楷體" w:hAnsi="Arial" w:hint="eastAsia"/>
          <w:szCs w:val="36"/>
        </w:rPr>
        <w:t>臺北市警局</w:t>
      </w:r>
      <w:r w:rsidRPr="00BF6982">
        <w:rPr>
          <w:rFonts w:ascii="標楷體" w:hAnsi="Arial" w:hint="eastAsia"/>
          <w:szCs w:val="36"/>
        </w:rPr>
        <w:t>於本事件發生後，於107年1月18日增訂「執行聚眾防處勤務群眾拒不解散之處置作業程序</w:t>
      </w:r>
      <w:r w:rsidRPr="00BF6982">
        <w:rPr>
          <w:rFonts w:ascii="標楷體" w:hAnsi="Arial" w:hint="eastAsia"/>
          <w:szCs w:val="36"/>
        </w:rPr>
        <w:lastRenderedPageBreak/>
        <w:t>&lt;SOP&gt;」，明定「民意代表、律師或記者等人在場時，宜區隔並妥為說明」，足信已針對本事件深入檢討，</w:t>
      </w:r>
      <w:r w:rsidR="00BD47D8" w:rsidRPr="00BF6982">
        <w:rPr>
          <w:rFonts w:ascii="標楷體" w:hAnsi="Arial" w:hint="eastAsia"/>
          <w:szCs w:val="36"/>
        </w:rPr>
        <w:t>臺北市警局</w:t>
      </w:r>
      <w:r w:rsidRPr="00BF6982">
        <w:rPr>
          <w:rFonts w:ascii="標楷體" w:hAnsi="Arial" w:hint="eastAsia"/>
          <w:szCs w:val="36"/>
        </w:rPr>
        <w:t>允應以本案為鑑，落實第一線員警執行之教育訓練。</w:t>
      </w:r>
    </w:p>
    <w:p w:rsidR="006B7F6D" w:rsidRPr="00BF6982" w:rsidRDefault="006B7F6D" w:rsidP="006B7F6D">
      <w:pPr>
        <w:numPr>
          <w:ilvl w:val="1"/>
          <w:numId w:val="1"/>
        </w:numPr>
        <w:kinsoku w:val="0"/>
        <w:jc w:val="both"/>
        <w:outlineLvl w:val="1"/>
        <w:rPr>
          <w:rFonts w:ascii="標楷體" w:hAnsi="Arial"/>
          <w:b/>
          <w:bCs/>
          <w:kern w:val="0"/>
          <w:szCs w:val="48"/>
        </w:rPr>
      </w:pPr>
      <w:r w:rsidRPr="00BF6982">
        <w:rPr>
          <w:rFonts w:ascii="標楷體" w:hAnsi="Arial" w:hint="eastAsia"/>
          <w:b/>
          <w:bCs/>
          <w:kern w:val="0"/>
          <w:szCs w:val="48"/>
        </w:rPr>
        <w:t>近年來新型態的遊鬥式集會遊行活動增加，警方及主辦單位欠缺制約能力，且民眾集結及移轉凌駕警方情蒐及反應速度。警方為避免官署及交通要道被攻占，廣設拒馬阻材，調度大批警力進行長時間執勤，固屬不得不然</w:t>
      </w:r>
      <w:r w:rsidR="00EB4EB4" w:rsidRPr="00BF6982">
        <w:rPr>
          <w:rFonts w:ascii="標楷體" w:hAnsi="Arial" w:hint="eastAsia"/>
          <w:b/>
          <w:bCs/>
          <w:kern w:val="0"/>
          <w:szCs w:val="48"/>
        </w:rPr>
        <w:t>的</w:t>
      </w:r>
      <w:r w:rsidRPr="00BF6982">
        <w:rPr>
          <w:rFonts w:ascii="標楷體" w:hAnsi="Arial" w:hint="eastAsia"/>
          <w:b/>
          <w:bCs/>
          <w:kern w:val="0"/>
          <w:szCs w:val="48"/>
        </w:rPr>
        <w:t>措施，然基層員警之勤務負荷過大。基於集會自由屬於憲法保障的基本權利，允應參酌國際人權規範之精神及司法院釋字第718號解釋意旨，以「溝通對話」取代「管制」，作為處理集會遊行的原則，並檢討現行封鎖管制範圍及警力運用之妥適性。</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近年來公民意識覺醒，大眾傳播、通訊軟體及社群媒體發達，民眾對於社會關心議題即時傳遞訊息，自發性到場聲援，除具有偶發性集會遊行的特徵，並發展出遊鬥式的陳抗模式。經查，警方處理1223陳抗活動前，雖早已累積處理大型陳抗活動的豐富經驗，本件事前並已預判群眾將占據重要路口，癱瘓主要幹道交通，及掌握數個團體及學生組織將串聯聲援等情資，因此動員優勢警力嚴密部署，及預擬處置腹案。其情資掌握、危安預判、警力部署、阻材架設、聯繫協調等因應作為堪稱嚴密，此有該局「1223專案」安全維護工作簡報、工作計畫、勤務協調會議紀錄可稽。惟此一新型態的集會遊行活動，因民眾集結及移轉凌駕警方情蒐及反應速度。當日</w:t>
      </w:r>
      <w:r w:rsidR="0087382C" w:rsidRPr="00CD53A3">
        <w:rPr>
          <w:rFonts w:ascii="標楷體" w:hAnsi="Arial" w:hint="eastAsia"/>
          <w:szCs w:val="36"/>
        </w:rPr>
        <w:t>下午</w:t>
      </w:r>
      <w:r w:rsidR="00100260" w:rsidRPr="00CD53A3">
        <w:rPr>
          <w:rFonts w:ascii="標楷體" w:hAnsi="Arial" w:hint="eastAsia"/>
          <w:szCs w:val="36"/>
        </w:rPr>
        <w:t>6</w:t>
      </w:r>
      <w:r w:rsidRPr="00BF6982">
        <w:rPr>
          <w:rFonts w:ascii="標楷體" w:hAnsi="Arial" w:hint="eastAsia"/>
          <w:bCs/>
          <w:kern w:val="0"/>
          <w:szCs w:val="36"/>
        </w:rPr>
        <w:t>時活動結束後，約300名到場串聯聲援之團體及經由大眾傳媒及社群媒體號召到場的抗議民眾，採取遍地開花，聲東擊西、分進合擊、化整為零方式，隨機移轉佔據道路，流竄西門町，佔</w:t>
      </w:r>
      <w:r w:rsidRPr="00BF6982">
        <w:rPr>
          <w:rFonts w:ascii="標楷體" w:hAnsi="Arial" w:hint="eastAsia"/>
          <w:bCs/>
          <w:kern w:val="0"/>
          <w:szCs w:val="36"/>
        </w:rPr>
        <w:lastRenderedPageBreak/>
        <w:t>據中華路快、慢車道，癱瘓主要幹道交通，大批警力攜帶裝備在後方追趕，進行包圍，甚至封路，但仍無法有效防止事態擴大。事後</w:t>
      </w:r>
      <w:r w:rsidR="00BD47D8" w:rsidRPr="00BF6982">
        <w:rPr>
          <w:rFonts w:ascii="標楷體" w:hAnsi="Arial" w:hint="eastAsia"/>
          <w:bCs/>
          <w:kern w:val="0"/>
          <w:szCs w:val="36"/>
        </w:rPr>
        <w:t>臺北市警局</w:t>
      </w:r>
      <w:r w:rsidRPr="00BF6982">
        <w:rPr>
          <w:rFonts w:ascii="標楷體" w:hAnsi="Arial" w:hint="eastAsia"/>
          <w:bCs/>
          <w:kern w:val="0"/>
          <w:szCs w:val="36"/>
        </w:rPr>
        <w:t>檢討表示，未來將在重點路口預置警力，以靜制動，及採取口袋防堵圈圍等戰術云云。詢據</w:t>
      </w:r>
      <w:r w:rsidR="00BD47D8" w:rsidRPr="00BF6982">
        <w:rPr>
          <w:rFonts w:ascii="標楷體" w:hAnsi="Arial" w:hint="eastAsia"/>
          <w:bCs/>
          <w:kern w:val="0"/>
          <w:szCs w:val="36"/>
        </w:rPr>
        <w:t>臺北市警局</w:t>
      </w:r>
      <w:r w:rsidRPr="00BF6982">
        <w:rPr>
          <w:rFonts w:ascii="標楷體" w:hAnsi="Arial" w:hint="eastAsia"/>
          <w:bCs/>
          <w:kern w:val="0"/>
          <w:szCs w:val="36"/>
        </w:rPr>
        <w:t>方仰寧副局長則表示：多次勤務下來，我們發現警力有限，必須使用阻材。希望能夠減少警力，並且減少民眾與警方的肢體碰撞，以減少摩擦及傷害。因群眾會流竄，若立法院有狀況，行政院、立法院、監察院及永和官邸，都必須要加強警力部署等語。此皆凸顯警方採取大範圍防堵策略，在重點的政府機關周邊廣設拒馬阻材，及調度大批警力進行長時間防守的困境。</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本案諮詢專家學者指出，第一線員警如長期執勤過勞，易遷怒陳抗民眾，而引發警民衝突等情。針對新型態的社會運動趨勢，媒體報導本次勤務原規劃使用編制警力1千8百</w:t>
      </w:r>
      <w:r w:rsidR="000D196D" w:rsidRPr="00BF6982">
        <w:rPr>
          <w:rFonts w:ascii="標楷體" w:hAnsi="Arial" w:hint="eastAsia"/>
          <w:bCs/>
          <w:kern w:val="0"/>
          <w:szCs w:val="36"/>
        </w:rPr>
        <w:t>名</w:t>
      </w:r>
      <w:r w:rsidRPr="00BF6982">
        <w:rPr>
          <w:rFonts w:ascii="標楷體" w:hAnsi="Arial" w:hint="eastAsia"/>
          <w:bCs/>
          <w:kern w:val="0"/>
          <w:szCs w:val="36"/>
        </w:rPr>
        <w:t>，因事態擴大，除北市14個分局、北市刑大、特勤中隊、交大警力、保一總隊、保大警力外，又緊急調派嘉義、新竹、苗栗及彰化保四等單位警力北上支援</w:t>
      </w:r>
      <w:r w:rsidR="000D196D" w:rsidRPr="00BF6982">
        <w:rPr>
          <w:rFonts w:ascii="標楷體" w:hAnsi="Arial" w:hint="eastAsia"/>
          <w:bCs/>
          <w:kern w:val="0"/>
          <w:szCs w:val="36"/>
        </w:rPr>
        <w:t>，共使用逾4千8百名警力</w:t>
      </w:r>
      <w:r w:rsidRPr="00BF6982">
        <w:rPr>
          <w:rFonts w:ascii="標楷體" w:hAnsi="Arial" w:hint="eastAsia"/>
          <w:bCs/>
          <w:kern w:val="0"/>
          <w:szCs w:val="36"/>
        </w:rPr>
        <w:t>。許多支援單位從早上10時開始執勤，直到隔日凌晨3時才撤崗，員警苦不堪言。同時有基層員警投書署長室，質疑警力調度有欠合理</w:t>
      </w:r>
      <w:r w:rsidRPr="00BF6982">
        <w:rPr>
          <w:rFonts w:ascii="標楷體" w:hAnsi="Arial"/>
          <w:bCs/>
          <w:kern w:val="0"/>
          <w:szCs w:val="36"/>
          <w:vertAlign w:val="superscript"/>
        </w:rPr>
        <w:footnoteReference w:id="20"/>
      </w:r>
      <w:r w:rsidRPr="00BF6982">
        <w:rPr>
          <w:rFonts w:ascii="標楷體" w:hAnsi="Arial" w:hint="eastAsia"/>
          <w:bCs/>
          <w:kern w:val="0"/>
          <w:szCs w:val="36"/>
        </w:rPr>
        <w:t>。雖</w:t>
      </w:r>
      <w:r w:rsidR="00BD47D8" w:rsidRPr="00BF6982">
        <w:rPr>
          <w:rFonts w:ascii="標楷體" w:hAnsi="Arial" w:hint="eastAsia"/>
          <w:bCs/>
          <w:kern w:val="0"/>
          <w:szCs w:val="36"/>
        </w:rPr>
        <w:t>臺北市警局</w:t>
      </w:r>
      <w:r w:rsidRPr="00BF6982">
        <w:rPr>
          <w:rFonts w:ascii="標楷體" w:hAnsi="Arial" w:hint="eastAsia"/>
          <w:bCs/>
          <w:kern w:val="0"/>
          <w:szCs w:val="36"/>
        </w:rPr>
        <w:t>表示，已要求</w:t>
      </w:r>
      <w:r w:rsidR="000D196D" w:rsidRPr="00BF6982">
        <w:rPr>
          <w:rFonts w:ascii="標楷體" w:hAnsi="Arial" w:hint="eastAsia"/>
          <w:bCs/>
          <w:kern w:val="0"/>
          <w:szCs w:val="36"/>
        </w:rPr>
        <w:t>各</w:t>
      </w:r>
      <w:r w:rsidRPr="00BF6982">
        <w:rPr>
          <w:rFonts w:ascii="標楷體" w:hAnsi="Arial" w:hint="eastAsia"/>
          <w:bCs/>
          <w:kern w:val="0"/>
          <w:szCs w:val="36"/>
        </w:rPr>
        <w:t>任務分</w:t>
      </w:r>
      <w:r w:rsidR="00F37B7B" w:rsidRPr="00BF6982">
        <w:rPr>
          <w:rFonts w:ascii="標楷體" w:hAnsi="Arial" w:hint="eastAsia"/>
          <w:bCs/>
          <w:kern w:val="0"/>
          <w:szCs w:val="36"/>
        </w:rPr>
        <w:t>局</w:t>
      </w:r>
      <w:r w:rsidRPr="00BF6982">
        <w:rPr>
          <w:rFonts w:ascii="標楷體" w:hAnsi="Arial" w:hint="eastAsia"/>
          <w:bCs/>
          <w:kern w:val="0"/>
          <w:szCs w:val="36"/>
        </w:rPr>
        <w:t>輪替服勤，否認有員警連續服勤逾20小時等情事。惟據警政署保安組吳敬田組長指出：目前陳抗活動以分進合擊方式</w:t>
      </w:r>
      <w:r w:rsidRPr="00BF6982">
        <w:rPr>
          <w:rFonts w:ascii="標楷體" w:hAnsi="Arial" w:hint="eastAsia"/>
          <w:bCs/>
          <w:kern w:val="0"/>
          <w:szCs w:val="36"/>
        </w:rPr>
        <w:lastRenderedPageBreak/>
        <w:t>，至行政院、立法院或總統府等官署集結。圈圍、帶離的警力皆比以往加倍。加以陳抗活動不分日夜，保安警力返回原駐地仍須執行原勤務，因此確有過勞情形等語。依警政署訂頒之警力使用規定：各警察局針對大型或危害情資之陳抗活動，應規劃分區部署，由所屬各分局支援分區協防，警力不足部分，由警政署支援機動保安警力（保安第一、第四、第五總隊）。</w:t>
      </w:r>
      <w:r w:rsidR="00BD47D8" w:rsidRPr="00BF6982">
        <w:rPr>
          <w:rFonts w:ascii="標楷體" w:hAnsi="Arial" w:hint="eastAsia"/>
          <w:bCs/>
          <w:kern w:val="0"/>
          <w:szCs w:val="36"/>
        </w:rPr>
        <w:t>臺北市警局</w:t>
      </w:r>
      <w:r w:rsidRPr="00BF6982">
        <w:rPr>
          <w:rFonts w:ascii="標楷體" w:hAnsi="Arial" w:hint="eastAsia"/>
          <w:bCs/>
          <w:kern w:val="0"/>
          <w:szCs w:val="36"/>
        </w:rPr>
        <w:t>統計，104年使用警力7</w:t>
      </w:r>
      <w:r w:rsidR="000D196D" w:rsidRPr="00BF6982">
        <w:rPr>
          <w:rFonts w:ascii="標楷體" w:hAnsi="Arial" w:hint="eastAsia"/>
          <w:bCs/>
          <w:kern w:val="0"/>
          <w:szCs w:val="36"/>
        </w:rPr>
        <w:t>萬</w:t>
      </w:r>
      <w:r w:rsidRPr="00BF6982">
        <w:rPr>
          <w:rFonts w:ascii="標楷體" w:hAnsi="Arial" w:hint="eastAsia"/>
          <w:bCs/>
          <w:kern w:val="0"/>
          <w:szCs w:val="36"/>
        </w:rPr>
        <w:t>6</w:t>
      </w:r>
      <w:r w:rsidR="000D196D" w:rsidRPr="00BF6982">
        <w:rPr>
          <w:rFonts w:ascii="標楷體" w:hAnsi="Arial" w:hint="eastAsia"/>
          <w:bCs/>
          <w:kern w:val="0"/>
          <w:szCs w:val="36"/>
        </w:rPr>
        <w:t>千</w:t>
      </w:r>
      <w:r w:rsidRPr="00BF6982">
        <w:rPr>
          <w:rFonts w:ascii="標楷體" w:hAnsi="Arial" w:hint="eastAsia"/>
          <w:bCs/>
          <w:kern w:val="0"/>
          <w:szCs w:val="36"/>
        </w:rPr>
        <w:t>476人次、105年使用警力8</w:t>
      </w:r>
      <w:r w:rsidR="000D196D" w:rsidRPr="00BF6982">
        <w:rPr>
          <w:rFonts w:ascii="標楷體" w:hAnsi="Arial" w:hint="eastAsia"/>
          <w:bCs/>
          <w:kern w:val="0"/>
          <w:szCs w:val="36"/>
        </w:rPr>
        <w:t>萬</w:t>
      </w:r>
      <w:r w:rsidRPr="00BF6982">
        <w:rPr>
          <w:rFonts w:ascii="標楷體" w:hAnsi="Arial" w:hint="eastAsia"/>
          <w:bCs/>
          <w:kern w:val="0"/>
          <w:szCs w:val="36"/>
        </w:rPr>
        <w:t>1</w:t>
      </w:r>
      <w:r w:rsidR="000D196D" w:rsidRPr="00BF6982">
        <w:rPr>
          <w:rFonts w:ascii="標楷體" w:hAnsi="Arial" w:hint="eastAsia"/>
          <w:bCs/>
          <w:kern w:val="0"/>
          <w:szCs w:val="36"/>
        </w:rPr>
        <w:t>千</w:t>
      </w:r>
      <w:r w:rsidRPr="00BF6982">
        <w:rPr>
          <w:rFonts w:ascii="標楷體" w:hAnsi="Arial" w:hint="eastAsia"/>
          <w:bCs/>
          <w:kern w:val="0"/>
          <w:szCs w:val="36"/>
        </w:rPr>
        <w:t>302人次、106年使用警力10</w:t>
      </w:r>
      <w:r w:rsidR="000D196D" w:rsidRPr="00BF6982">
        <w:rPr>
          <w:rFonts w:ascii="標楷體" w:hAnsi="Arial" w:hint="eastAsia"/>
          <w:bCs/>
          <w:kern w:val="0"/>
          <w:szCs w:val="36"/>
        </w:rPr>
        <w:t>萬</w:t>
      </w:r>
      <w:r w:rsidRPr="00BF6982">
        <w:rPr>
          <w:rFonts w:ascii="標楷體" w:hAnsi="Arial" w:hint="eastAsia"/>
          <w:bCs/>
          <w:kern w:val="0"/>
          <w:szCs w:val="36"/>
        </w:rPr>
        <w:t>8</w:t>
      </w:r>
      <w:r w:rsidR="000D196D" w:rsidRPr="00BF6982">
        <w:rPr>
          <w:rFonts w:ascii="標楷體" w:hAnsi="Arial" w:hint="eastAsia"/>
          <w:bCs/>
          <w:kern w:val="0"/>
          <w:szCs w:val="36"/>
        </w:rPr>
        <w:t>千</w:t>
      </w:r>
      <w:r w:rsidRPr="00BF6982">
        <w:rPr>
          <w:rFonts w:ascii="標楷體" w:hAnsi="Arial" w:hint="eastAsia"/>
          <w:bCs/>
          <w:kern w:val="0"/>
          <w:szCs w:val="36"/>
        </w:rPr>
        <w:t>639人次，呈大幅成長的趨勢。</w:t>
      </w:r>
      <w:r w:rsidR="00BD47D8" w:rsidRPr="00BF6982">
        <w:rPr>
          <w:rFonts w:ascii="標楷體" w:hAnsi="Arial" w:hint="eastAsia"/>
          <w:bCs/>
          <w:kern w:val="0"/>
          <w:szCs w:val="36"/>
        </w:rPr>
        <w:t>臺北市警局</w:t>
      </w:r>
      <w:r w:rsidRPr="00BF6982">
        <w:rPr>
          <w:rFonts w:ascii="標楷體" w:hAnsi="Arial" w:hint="eastAsia"/>
          <w:bCs/>
          <w:kern w:val="0"/>
          <w:szCs w:val="36"/>
        </w:rPr>
        <w:t>並表示</w:t>
      </w:r>
      <w:r w:rsidR="002B05CC" w:rsidRPr="00BF6982">
        <w:rPr>
          <w:rFonts w:ascii="標楷體" w:hAnsi="Arial" w:hint="eastAsia"/>
          <w:bCs/>
          <w:kern w:val="0"/>
          <w:szCs w:val="36"/>
        </w:rPr>
        <w:t>，</w:t>
      </w:r>
      <w:r w:rsidRPr="00BF6982">
        <w:rPr>
          <w:rFonts w:ascii="標楷體" w:hAnsi="Arial" w:hint="eastAsia"/>
          <w:bCs/>
          <w:kern w:val="0"/>
          <w:szCs w:val="36"/>
        </w:rPr>
        <w:t>處理聚眾活動警力均來自平時維護社會治安之基層警力，使用警力越多，排擠各任務分局治安維護能量愈嚴重，亦降低疏導交通、為民服務之品質等語。可見為因應集會遊行，警力調度及勤務編排方面實已捉襟見肘。又員警執行陳抗勤務，長時間加班執勤幾成為常態，惟超勤加班費受限於每月不得逾100小時及總額不得逾1萬7千元等規定，致員警無法獲得對等的薪酬給與。此一情形，行政院前院長林全雖於106年裁示同意發放獎勵金，但因維安工作使用之警力過多，員警每次勤務所得領取的金額極為有限，凡此，警政署及</w:t>
      </w:r>
      <w:r w:rsidR="00BD47D8" w:rsidRPr="00BF6982">
        <w:rPr>
          <w:rFonts w:ascii="標楷體" w:hAnsi="Arial" w:hint="eastAsia"/>
          <w:bCs/>
          <w:kern w:val="0"/>
          <w:szCs w:val="36"/>
        </w:rPr>
        <w:t>臺北市警局</w:t>
      </w:r>
      <w:r w:rsidRPr="00BF6982">
        <w:rPr>
          <w:rFonts w:ascii="標楷體" w:hAnsi="Arial" w:hint="eastAsia"/>
          <w:bCs/>
          <w:kern w:val="0"/>
          <w:szCs w:val="36"/>
        </w:rPr>
        <w:t>允應撙節警力使用，並注意改善員警待遇。</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參酌司法院釋字第718號解釋闡示：「室外集會、遊行需要利用場所、道路等諸多社會資源，本質上即易對社會原有運作秩序產生影響，且不排除會引起相異立場者之反制舉措而激發衝突，主管機關為兼顧集會自由保障與社會秩序維持，應預為綢繆，故須由集會、遊行舉行者本於信賴、合作與溝通之立場適時提供主管機關必要資訊，俾供瞭解事件性</w:t>
      </w:r>
      <w:r w:rsidRPr="00BF6982">
        <w:rPr>
          <w:rFonts w:ascii="標楷體" w:hAnsi="Arial" w:hint="eastAsia"/>
          <w:bCs/>
          <w:kern w:val="0"/>
          <w:szCs w:val="36"/>
        </w:rPr>
        <w:lastRenderedPageBreak/>
        <w:t>質，盱衡社會整體狀況，就集會、遊行利用公共場所或路面之時間、地點與進行方式為妥善之規劃，並就執法相關人力物力妥為配置，以協助集會、遊行得順利舉行，並使社會秩序受到影響降到最低程度。……」又國際人權規範要求各國政府，應採取溝通協調及尋求中立人士建立夥伴關係</w:t>
      </w:r>
      <w:r w:rsidRPr="00BF6982">
        <w:rPr>
          <w:rFonts w:ascii="標楷體" w:hAnsi="Arial"/>
          <w:bCs/>
          <w:kern w:val="0"/>
          <w:szCs w:val="36"/>
          <w:vertAlign w:val="superscript"/>
        </w:rPr>
        <w:footnoteReference w:id="21"/>
      </w:r>
      <w:r w:rsidRPr="00BF6982">
        <w:rPr>
          <w:rFonts w:ascii="標楷體" w:hAnsi="Arial" w:hint="eastAsia"/>
          <w:bCs/>
          <w:kern w:val="0"/>
          <w:szCs w:val="36"/>
        </w:rPr>
        <w:t>。</w:t>
      </w:r>
      <w:r w:rsidRPr="00BF6982">
        <w:rPr>
          <w:rFonts w:ascii="標楷體" w:hAnsi="Abadi MT Condensed Light" w:hint="eastAsia"/>
          <w:bCs/>
          <w:kern w:val="0"/>
          <w:szCs w:val="36"/>
        </w:rPr>
        <w:t>誠如李震山前大法官所言：「人民透過運用集會自由權，參與政治意見及意見形成之過程，為民主共同社會一不可或缺之功能因素，此層自由權之根本意義，於立法者制頒基本權利限制條文，法院或官署於運用解釋集會權時，都應慎重考量。」並指出：在調和社會秩序與集會自由權的過程中，執法者需思考何以會發生此種群眾訴求活動？此種活動付出的社會代價是否值得？人民利益犧牲的界限如何？此時，要減低社會成本，應由執法者主動做起，如施政不當或不合理應即改善或善意回應；封鎖管制範圍，應有節度；警力派遣不宜反應過度，造成浪費；隨時有對談的意願……等</w:t>
      </w:r>
      <w:r w:rsidRPr="00BF6982">
        <w:rPr>
          <w:rFonts w:ascii="標楷體" w:hAnsi="Abadi MT Condensed Light"/>
          <w:bCs/>
          <w:kern w:val="0"/>
          <w:szCs w:val="36"/>
          <w:vertAlign w:val="superscript"/>
        </w:rPr>
        <w:footnoteReference w:id="22"/>
      </w:r>
      <w:r w:rsidRPr="00BF6982">
        <w:rPr>
          <w:rFonts w:ascii="標楷體" w:hAnsi="Abadi MT Condensed Light" w:hint="eastAsia"/>
          <w:bCs/>
          <w:kern w:val="0"/>
          <w:szCs w:val="36"/>
        </w:rPr>
        <w:t>。旨哉斯言，固然警政機關對施政決策難有所置喙，但作為處理群眾運動的主管機關，須體認集會遊行需以「溝通對話」為處理原則，故應謹守節制封鎖管制範圍、精簡警力之運用，及建立民眾溝通對話的諸項原則。</w:t>
      </w:r>
      <w:r w:rsidRPr="00BF6982">
        <w:rPr>
          <w:rFonts w:ascii="標楷體" w:hAnsi="Arial" w:hint="eastAsia"/>
          <w:bCs/>
          <w:kern w:val="0"/>
          <w:szCs w:val="36"/>
        </w:rPr>
        <w:t>警政署亦指出：偶發性集會、遊行由不特定群眾偶然共同參與，主管機關無法預先瞭解掌握，為維護受陳抗機關之安全，宜請各機關提升自我防衛能量，主動與陳抗團體溝通，聆聽意見等語。皆指出處理陳抗活動的本質，仍在於政府能否傾聽人民的聲音及虛心接受各方意見，否則終將形成員警過勞及警民</w:t>
      </w:r>
      <w:r w:rsidRPr="00BF6982">
        <w:rPr>
          <w:rFonts w:ascii="標楷體" w:hAnsi="Arial" w:hint="eastAsia"/>
          <w:bCs/>
          <w:kern w:val="0"/>
          <w:szCs w:val="36"/>
        </w:rPr>
        <w:lastRenderedPageBreak/>
        <w:t>對立。</w:t>
      </w:r>
    </w:p>
    <w:p w:rsidR="006B7F6D" w:rsidRPr="00BF6982" w:rsidRDefault="006B7F6D" w:rsidP="006B7F6D">
      <w:pPr>
        <w:numPr>
          <w:ilvl w:val="2"/>
          <w:numId w:val="1"/>
        </w:numPr>
        <w:kinsoku w:val="0"/>
        <w:jc w:val="both"/>
        <w:outlineLvl w:val="2"/>
        <w:rPr>
          <w:rFonts w:ascii="標楷體" w:hAnsi="Arial"/>
          <w:bCs/>
          <w:kern w:val="0"/>
          <w:szCs w:val="36"/>
        </w:rPr>
      </w:pPr>
      <w:r w:rsidRPr="00BF6982">
        <w:rPr>
          <w:rFonts w:ascii="標楷體" w:hAnsi="Arial" w:hint="eastAsia"/>
          <w:bCs/>
          <w:kern w:val="0"/>
          <w:szCs w:val="36"/>
        </w:rPr>
        <w:t>綜上，目前警方依據情資及期前狀況研判，廣設拒馬阻材，調度大批警力進行長時間的執勤，此從維護社會秩序的角度而言，固屬不得不然之措施，然已造成基層員警過大的勤務負荷，對整體治安維護亦造成不良影響。集會遊行係人民積極參與公共政策的基本權利，具有高度的價值內涵，國家負有保障人民集會自由的義務。偶發性集會、遊行可能到場聲援的團體、組織雖非單一，但仍可事先蒐整掌握其梗概，非無從瞭解主要參與者的訴求及立場。同時，政府機關掌握公權力，允應參酌司法院釋字718號解釋及國際人權規範之精神，以「溝通對話」作為處理集會遊行的原則，思考從「管制」的思維，轉變為「協助」的立場，與陳抗民眾建立信賴、合作及溝通的管道，及課予相對人和平理性表達訴求的責任。同時</w:t>
      </w:r>
      <w:r w:rsidR="008E67E5" w:rsidRPr="00BF6982">
        <w:rPr>
          <w:rFonts w:ascii="標楷體" w:hAnsi="Arial" w:hint="eastAsia"/>
          <w:bCs/>
          <w:kern w:val="0"/>
          <w:szCs w:val="36"/>
        </w:rPr>
        <w:t>，</w:t>
      </w:r>
      <w:r w:rsidRPr="00BF6982">
        <w:rPr>
          <w:rFonts w:ascii="標楷體" w:hAnsi="Arial" w:hint="eastAsia"/>
          <w:bCs/>
          <w:kern w:val="0"/>
          <w:szCs w:val="36"/>
        </w:rPr>
        <w:t>堅守崗位的基層員警為維護社會秩序，戮力以赴，備極辛勞。吾人允應給予最大的肯定、包容及尊重。警政署及</w:t>
      </w:r>
      <w:r w:rsidR="00BD47D8" w:rsidRPr="00BF6982">
        <w:rPr>
          <w:rFonts w:ascii="標楷體" w:hAnsi="Arial" w:hint="eastAsia"/>
          <w:bCs/>
          <w:kern w:val="0"/>
          <w:szCs w:val="36"/>
        </w:rPr>
        <w:t>臺北市警局</w:t>
      </w:r>
      <w:r w:rsidRPr="00BF6982">
        <w:rPr>
          <w:rFonts w:ascii="標楷體" w:hAnsi="Arial" w:hint="eastAsia"/>
          <w:bCs/>
          <w:kern w:val="0"/>
          <w:szCs w:val="36"/>
        </w:rPr>
        <w:t>亦應注意勤務編排的合理性，避免員警過勞，並盡力給予合理的補償及給與。</w:t>
      </w:r>
    </w:p>
    <w:p w:rsidR="006B7F6D" w:rsidRPr="00BF6982" w:rsidRDefault="006B7F6D" w:rsidP="006B7F6D">
      <w:pPr>
        <w:numPr>
          <w:ilvl w:val="1"/>
          <w:numId w:val="1"/>
        </w:numPr>
        <w:kinsoku w:val="0"/>
        <w:jc w:val="both"/>
        <w:outlineLvl w:val="1"/>
        <w:rPr>
          <w:rFonts w:ascii="標楷體" w:hAnsi="Arial"/>
          <w:bCs/>
          <w:kern w:val="0"/>
          <w:szCs w:val="48"/>
        </w:rPr>
      </w:pPr>
      <w:r w:rsidRPr="00BF6982">
        <w:rPr>
          <w:rFonts w:ascii="標楷體" w:hAnsi="Arial" w:hint="eastAsia"/>
          <w:b/>
          <w:bCs/>
          <w:kern w:val="0"/>
          <w:szCs w:val="48"/>
        </w:rPr>
        <w:t>集會遊行法旨在規範公權力介入憲法人民集會自由的必要性及界限，該法雖賦予警察機關在集會遊行現場</w:t>
      </w:r>
      <w:r w:rsidR="00EB4EB4" w:rsidRPr="00BF6982">
        <w:rPr>
          <w:rFonts w:ascii="標楷體" w:hAnsi="Arial" w:hint="eastAsia"/>
          <w:b/>
          <w:bCs/>
          <w:kern w:val="0"/>
          <w:szCs w:val="48"/>
        </w:rPr>
        <w:t>為相關處分及措施</w:t>
      </w:r>
      <w:r w:rsidRPr="00BF6982">
        <w:rPr>
          <w:rFonts w:ascii="標楷體" w:hAnsi="Arial" w:hint="eastAsia"/>
          <w:b/>
          <w:bCs/>
          <w:kern w:val="0"/>
          <w:szCs w:val="48"/>
        </w:rPr>
        <w:t>的裁量權限，但應受同法第26條比例原則的拘束。警政署認為舉牌「制止」前，必須先行「命令解散」；臺北市警局認為民眾在</w:t>
      </w:r>
      <w:r w:rsidR="0017793F" w:rsidRPr="00BF6982">
        <w:rPr>
          <w:rFonts w:ascii="標楷體" w:hAnsi="Arial" w:hint="eastAsia"/>
          <w:b/>
          <w:bCs/>
          <w:kern w:val="0"/>
          <w:szCs w:val="48"/>
        </w:rPr>
        <w:t>陳抗</w:t>
      </w:r>
      <w:r w:rsidRPr="00BF6982">
        <w:rPr>
          <w:rFonts w:ascii="標楷體" w:hAnsi="Arial" w:hint="eastAsia"/>
          <w:b/>
          <w:bCs/>
          <w:kern w:val="0"/>
          <w:szCs w:val="48"/>
        </w:rPr>
        <w:t>現場不能</w:t>
      </w:r>
      <w:r w:rsidR="0017793F" w:rsidRPr="00BF6982">
        <w:rPr>
          <w:rFonts w:ascii="標楷體" w:hAnsi="Arial" w:hint="eastAsia"/>
          <w:b/>
          <w:bCs/>
          <w:kern w:val="0"/>
          <w:szCs w:val="48"/>
        </w:rPr>
        <w:t>對警察強制措施</w:t>
      </w:r>
      <w:r w:rsidRPr="00BF6982">
        <w:rPr>
          <w:rFonts w:ascii="標楷體" w:hAnsi="Arial" w:hint="eastAsia"/>
          <w:b/>
          <w:bCs/>
          <w:kern w:val="0"/>
          <w:szCs w:val="48"/>
        </w:rPr>
        <w:t>表示異議，均有欠</w:t>
      </w:r>
      <w:r w:rsidR="00EB4EB4" w:rsidRPr="00BF6982">
        <w:rPr>
          <w:rFonts w:ascii="標楷體" w:hAnsi="Arial" w:hint="eastAsia"/>
          <w:b/>
          <w:bCs/>
          <w:kern w:val="0"/>
          <w:szCs w:val="48"/>
        </w:rPr>
        <w:t>妥</w:t>
      </w:r>
      <w:r w:rsidRPr="00BF6982">
        <w:rPr>
          <w:rFonts w:ascii="標楷體" w:hAnsi="Arial" w:hint="eastAsia"/>
          <w:b/>
          <w:bCs/>
          <w:kern w:val="0"/>
          <w:szCs w:val="48"/>
        </w:rPr>
        <w:t>適，應儘速檢討改善。</w:t>
      </w:r>
    </w:p>
    <w:p w:rsidR="006B7F6D" w:rsidRPr="00BF6982" w:rsidRDefault="006B7F6D" w:rsidP="006B7F6D">
      <w:pPr>
        <w:numPr>
          <w:ilvl w:val="2"/>
          <w:numId w:val="1"/>
        </w:numPr>
        <w:kinsoku w:val="0"/>
        <w:ind w:left="1361" w:hanging="681"/>
        <w:jc w:val="both"/>
        <w:outlineLvl w:val="2"/>
        <w:rPr>
          <w:rFonts w:ascii="標楷體" w:hAnsi="Arial"/>
          <w:b/>
          <w:bCs/>
          <w:kern w:val="0"/>
          <w:szCs w:val="36"/>
        </w:rPr>
      </w:pPr>
      <w:r w:rsidRPr="00BF6982">
        <w:rPr>
          <w:rFonts w:ascii="標楷體" w:hAnsi="Arial" w:hint="eastAsia"/>
          <w:b/>
          <w:bCs/>
          <w:kern w:val="0"/>
          <w:szCs w:val="36"/>
        </w:rPr>
        <w:t>國際人權規範認為只要集會、遊行保持和平狀態，執法人員即不應強制解散，亦不得因少數暴力而解散全體。</w:t>
      </w:r>
      <w:r w:rsidR="001D6609" w:rsidRPr="00BF6982">
        <w:rPr>
          <w:rFonts w:ascii="標楷體" w:hAnsi="Arial" w:hint="eastAsia"/>
          <w:b/>
          <w:bCs/>
          <w:kern w:val="0"/>
          <w:szCs w:val="36"/>
        </w:rPr>
        <w:t>但</w:t>
      </w:r>
      <w:r w:rsidRPr="00BF6982">
        <w:rPr>
          <w:rFonts w:ascii="標楷體" w:hAnsi="Arial" w:hint="eastAsia"/>
          <w:b/>
          <w:bCs/>
          <w:kern w:val="0"/>
          <w:szCs w:val="36"/>
        </w:rPr>
        <w:t>現行警方認為「制止」前須先「命令解</w:t>
      </w:r>
      <w:r w:rsidRPr="00BF6982">
        <w:rPr>
          <w:rFonts w:ascii="標楷體" w:hAnsi="Arial" w:hint="eastAsia"/>
          <w:b/>
          <w:bCs/>
          <w:kern w:val="0"/>
          <w:szCs w:val="36"/>
        </w:rPr>
        <w:lastRenderedPageBreak/>
        <w:t>散」，常見和平進行之集會、遊行，因少數民眾</w:t>
      </w:r>
      <w:r w:rsidR="00EB4EB4" w:rsidRPr="00BF6982">
        <w:rPr>
          <w:rFonts w:ascii="標楷體" w:hAnsi="Arial" w:hint="eastAsia"/>
          <w:b/>
          <w:bCs/>
          <w:kern w:val="0"/>
          <w:szCs w:val="36"/>
        </w:rPr>
        <w:t>的</w:t>
      </w:r>
      <w:r w:rsidRPr="00BF6982">
        <w:rPr>
          <w:rFonts w:ascii="標楷體" w:hAnsi="Arial" w:hint="eastAsia"/>
          <w:b/>
          <w:bCs/>
          <w:kern w:val="0"/>
          <w:szCs w:val="36"/>
        </w:rPr>
        <w:t>脫序行為而遭到命令解散，為尊重人民集會自由及表達意見的權利，相關程序實有檢討的必要：</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本院諮詢專家學者指出：警方在集會遊行現場的法律適用未依司法實務見解檢討，國外警方</w:t>
      </w:r>
      <w:r w:rsidR="00EB4EB4" w:rsidRPr="00BF6982">
        <w:rPr>
          <w:rFonts w:ascii="標楷體" w:hAnsi="Arial" w:hint="eastAsia"/>
          <w:szCs w:val="36"/>
        </w:rPr>
        <w:t>遇陳抗現場發生違法脫序或暴力時，</w:t>
      </w:r>
      <w:r w:rsidRPr="00BF6982">
        <w:rPr>
          <w:rFonts w:ascii="標楷體" w:hAnsi="Arial" w:hint="eastAsia"/>
          <w:szCs w:val="36"/>
        </w:rPr>
        <w:t>為保障合法集會遊行</w:t>
      </w:r>
      <w:r w:rsidR="00EB4EB4" w:rsidRPr="00BF6982">
        <w:rPr>
          <w:rFonts w:ascii="標楷體" w:hAnsi="Arial" w:hint="eastAsia"/>
          <w:szCs w:val="36"/>
        </w:rPr>
        <w:t>，會以強制力制止少數示威者的脫序行為。</w:t>
      </w:r>
      <w:r w:rsidRPr="00BF6982">
        <w:rPr>
          <w:rFonts w:ascii="標楷體" w:hAnsi="Arial" w:hint="eastAsia"/>
          <w:szCs w:val="36"/>
        </w:rPr>
        <w:t>但我國警方經常因少數現場突發的脫序事件，而宣布</w:t>
      </w:r>
      <w:r w:rsidR="00EB4EB4" w:rsidRPr="00BF6982">
        <w:rPr>
          <w:rFonts w:ascii="標楷體" w:hAnsi="Arial" w:hint="eastAsia"/>
          <w:szCs w:val="36"/>
        </w:rPr>
        <w:t>整個</w:t>
      </w:r>
      <w:r w:rsidRPr="00BF6982">
        <w:rPr>
          <w:rFonts w:ascii="標楷體" w:hAnsi="Arial" w:hint="eastAsia"/>
          <w:szCs w:val="36"/>
        </w:rPr>
        <w:t>遊行活動違法，要求立即解散，有違集會遊行法第1條集會遊行法係為保障人民集會、遊行自由之立法意旨等情。</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經勘驗現場錄影及核對</w:t>
      </w:r>
      <w:r w:rsidR="00BD47D8" w:rsidRPr="00BF6982">
        <w:rPr>
          <w:rFonts w:ascii="標楷體" w:hAnsi="Arial" w:hint="eastAsia"/>
          <w:szCs w:val="36"/>
        </w:rPr>
        <w:t>臺北市警局</w:t>
      </w:r>
      <w:r w:rsidRPr="00BF6982">
        <w:rPr>
          <w:rFonts w:ascii="標楷體" w:hAnsi="Arial" w:hint="eastAsia"/>
          <w:szCs w:val="36"/>
        </w:rPr>
        <w:t>時序表，中正一分局對於勞工團體合法申准之集會遊行，於</w:t>
      </w:r>
      <w:r w:rsidR="00A73EA8" w:rsidRPr="00A73EA8">
        <w:rPr>
          <w:rFonts w:hint="eastAsia"/>
          <w:color w:val="984806" w:themeColor="accent6" w:themeShade="80"/>
        </w:rPr>
        <w:t>下</w:t>
      </w:r>
      <w:r w:rsidR="00A73EA8" w:rsidRPr="00CD53A3">
        <w:rPr>
          <w:rFonts w:ascii="標楷體" w:hAnsi="Arial" w:hint="eastAsia"/>
          <w:szCs w:val="36"/>
        </w:rPr>
        <w:t>午2</w:t>
      </w:r>
      <w:r w:rsidRPr="00BF6982">
        <w:rPr>
          <w:rFonts w:ascii="標楷體" w:hAnsi="Arial" w:hint="eastAsia"/>
          <w:szCs w:val="36"/>
        </w:rPr>
        <w:t>時56分因群眾未依申准路線行進，警方對申請人韓</w:t>
      </w:r>
      <w:r w:rsidR="00FC4360" w:rsidRPr="00BF6982">
        <w:rPr>
          <w:rFonts w:ascii="標楷體" w:hAnsi="Arial" w:hint="eastAsia"/>
          <w:szCs w:val="36"/>
        </w:rPr>
        <w:t>仕</w:t>
      </w:r>
      <w:r w:rsidRPr="00BF6982">
        <w:rPr>
          <w:rFonts w:ascii="標楷體" w:hAnsi="Arial" w:hint="eastAsia"/>
          <w:szCs w:val="36"/>
        </w:rPr>
        <w:t>賢第1次舉牌警告；</w:t>
      </w:r>
      <w:r w:rsidR="00100260" w:rsidRPr="00CD53A3">
        <w:rPr>
          <w:rFonts w:ascii="標楷體" w:hAnsi="Arial" w:hint="eastAsia"/>
          <w:szCs w:val="36"/>
        </w:rPr>
        <w:t>下午3</w:t>
      </w:r>
      <w:r w:rsidRPr="00BF6982">
        <w:rPr>
          <w:rFonts w:ascii="標楷體" w:hAnsi="Arial" w:hint="eastAsia"/>
          <w:szCs w:val="36"/>
        </w:rPr>
        <w:t>時30分因群眾占據道路，第2</w:t>
      </w:r>
      <w:r w:rsidR="00414473" w:rsidRPr="00BF6982">
        <w:rPr>
          <w:rFonts w:ascii="標楷體" w:hAnsi="Arial" w:hint="eastAsia"/>
          <w:szCs w:val="36"/>
        </w:rPr>
        <w:t>次</w:t>
      </w:r>
      <w:r w:rsidRPr="00BF6982">
        <w:rPr>
          <w:rFonts w:ascii="標楷體" w:hAnsi="Arial" w:hint="eastAsia"/>
          <w:szCs w:val="36"/>
        </w:rPr>
        <w:t>舉牌命令解散。命令解散前僅有1次舉牌警告，相隔時間僅34分鐘，對照當時現場遊行人數眾多，尚稱和平理性，並無任何暴力或重大違法情況，主管機關遽命令解散，非無檢討的空間。</w:t>
      </w:r>
      <w:r w:rsidR="003B5838" w:rsidRPr="00BF6982">
        <w:rPr>
          <w:rFonts w:ascii="標楷體" w:hAnsi="Arial" w:hint="eastAsia"/>
          <w:szCs w:val="36"/>
        </w:rPr>
        <w:t>相關裁量權限之行使，</w:t>
      </w:r>
      <w:r w:rsidRPr="00BF6982">
        <w:rPr>
          <w:rFonts w:ascii="標楷體" w:hAnsi="Arial" w:hint="eastAsia"/>
          <w:szCs w:val="36"/>
        </w:rPr>
        <w:t>經</w:t>
      </w:r>
      <w:r w:rsidR="00BD47D8" w:rsidRPr="00BF6982">
        <w:rPr>
          <w:rFonts w:ascii="標楷體" w:hAnsi="Arial" w:hint="eastAsia"/>
          <w:szCs w:val="36"/>
        </w:rPr>
        <w:t>臺北市警局</w:t>
      </w:r>
      <w:r w:rsidRPr="00BF6982">
        <w:rPr>
          <w:rFonts w:ascii="標楷體" w:hAnsi="Arial" w:hint="eastAsia"/>
          <w:szCs w:val="36"/>
        </w:rPr>
        <w:t>檢討後，認為無顯然違法或不當之處，本院</w:t>
      </w:r>
      <w:r w:rsidR="003B5838" w:rsidRPr="00BF6982">
        <w:rPr>
          <w:rFonts w:ascii="標楷體" w:hAnsi="Arial" w:hint="eastAsia"/>
          <w:szCs w:val="36"/>
        </w:rPr>
        <w:t>予以</w:t>
      </w:r>
      <w:r w:rsidRPr="00BF6982">
        <w:rPr>
          <w:rFonts w:ascii="標楷體" w:hAnsi="Arial" w:hint="eastAsia"/>
          <w:szCs w:val="36"/>
        </w:rPr>
        <w:t>尊重。惟</w:t>
      </w:r>
      <w:r w:rsidR="003B5838" w:rsidRPr="00BF6982">
        <w:rPr>
          <w:rFonts w:ascii="標楷體" w:hAnsi="Arial" w:hint="eastAsia"/>
          <w:szCs w:val="36"/>
        </w:rPr>
        <w:t>陳抗</w:t>
      </w:r>
      <w:r w:rsidRPr="00BF6982">
        <w:rPr>
          <w:rFonts w:ascii="標楷體" w:hAnsi="Arial" w:hint="eastAsia"/>
          <w:szCs w:val="36"/>
        </w:rPr>
        <w:t>現場如</w:t>
      </w:r>
      <w:r w:rsidR="00EB4EB4" w:rsidRPr="00BF6982">
        <w:rPr>
          <w:rFonts w:ascii="標楷體" w:hAnsi="Arial" w:hint="eastAsia"/>
          <w:szCs w:val="36"/>
        </w:rPr>
        <w:t>因少數</w:t>
      </w:r>
      <w:r w:rsidRPr="00BF6982">
        <w:rPr>
          <w:rFonts w:ascii="標楷體" w:hAnsi="Arial" w:hint="eastAsia"/>
          <w:szCs w:val="36"/>
        </w:rPr>
        <w:t>違法脫序行為</w:t>
      </w:r>
      <w:r w:rsidR="00EB4EB4" w:rsidRPr="00BF6982">
        <w:rPr>
          <w:rFonts w:ascii="標楷體" w:hAnsi="Arial" w:hint="eastAsia"/>
          <w:szCs w:val="36"/>
        </w:rPr>
        <w:t>而</w:t>
      </w:r>
      <w:r w:rsidRPr="00BF6982">
        <w:rPr>
          <w:rFonts w:ascii="標楷體" w:hAnsi="Arial" w:hint="eastAsia"/>
          <w:szCs w:val="36"/>
        </w:rPr>
        <w:t>有制止的必要，是否需先行命令群眾解散？對此，警政署表示：集會遊行法第25條第1項雖規定「警告、制止或命令解散」，但依同法第28條不依命令解散之行政罰及第29條不依命令解散制止不從之刑事責任，法條結構上命令解散在制止之前，故警方舉牌順序係採取</w:t>
      </w:r>
      <w:r w:rsidR="00EB4EB4" w:rsidRPr="00BF6982">
        <w:rPr>
          <w:rFonts w:ascii="標楷體" w:hAnsi="Arial" w:hint="eastAsia"/>
          <w:szCs w:val="36"/>
        </w:rPr>
        <w:t>「</w:t>
      </w:r>
      <w:r w:rsidRPr="00BF6982">
        <w:rPr>
          <w:rFonts w:ascii="標楷體" w:hAnsi="Arial" w:hint="eastAsia"/>
          <w:szCs w:val="36"/>
        </w:rPr>
        <w:t>警告、命令解散、制止</w:t>
      </w:r>
      <w:r w:rsidR="00EB4EB4" w:rsidRPr="00BF6982">
        <w:rPr>
          <w:rFonts w:ascii="標楷體" w:hAnsi="Arial" w:hint="eastAsia"/>
          <w:szCs w:val="36"/>
        </w:rPr>
        <w:t>」</w:t>
      </w:r>
      <w:r w:rsidRPr="00BF6982">
        <w:rPr>
          <w:rFonts w:ascii="標楷體" w:hAnsi="Arial" w:hint="eastAsia"/>
          <w:szCs w:val="36"/>
        </w:rPr>
        <w:t>之</w:t>
      </w:r>
      <w:r w:rsidR="007777E9" w:rsidRPr="00BF6982">
        <w:rPr>
          <w:rFonts w:ascii="標楷體" w:hAnsi="Arial" w:hint="eastAsia"/>
          <w:szCs w:val="36"/>
        </w:rPr>
        <w:t>順序</w:t>
      </w:r>
      <w:r w:rsidRPr="00BF6982">
        <w:rPr>
          <w:rFonts w:ascii="標楷體" w:hAnsi="Arial" w:hint="eastAsia"/>
          <w:szCs w:val="36"/>
        </w:rPr>
        <w:t>為之等語。換言之，警政署認為如現場涉有違法脫序而需制止，須先行命令解</w:t>
      </w:r>
      <w:r w:rsidRPr="00BF6982">
        <w:rPr>
          <w:rFonts w:ascii="標楷體" w:hAnsi="Arial" w:hint="eastAsia"/>
          <w:szCs w:val="36"/>
        </w:rPr>
        <w:lastRenderedPageBreak/>
        <w:t>散，始能依法制止。</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按「命令解散」係主管機關終局</w:t>
      </w:r>
      <w:r w:rsidR="007777E9" w:rsidRPr="00BF6982">
        <w:rPr>
          <w:rFonts w:ascii="標楷體" w:hAnsi="Arial" w:hint="eastAsia"/>
          <w:szCs w:val="36"/>
        </w:rPr>
        <w:t>地</w:t>
      </w:r>
      <w:r w:rsidRPr="00BF6982">
        <w:rPr>
          <w:rFonts w:ascii="標楷體" w:hAnsi="Arial" w:hint="eastAsia"/>
          <w:szCs w:val="36"/>
        </w:rPr>
        <w:t>限制人民集會</w:t>
      </w:r>
      <w:r w:rsidR="007777E9" w:rsidRPr="00BF6982">
        <w:rPr>
          <w:rFonts w:ascii="標楷體" w:hAnsi="Arial" w:hint="eastAsia"/>
          <w:szCs w:val="36"/>
        </w:rPr>
        <w:t>、遊行</w:t>
      </w:r>
      <w:r w:rsidR="00EB4EB4" w:rsidRPr="00BF6982">
        <w:rPr>
          <w:rFonts w:ascii="標楷體" w:hAnsi="Arial" w:hint="eastAsia"/>
          <w:szCs w:val="36"/>
        </w:rPr>
        <w:t>，如民眾不依命</w:t>
      </w:r>
      <w:r w:rsidR="007777E9" w:rsidRPr="00BF6982">
        <w:rPr>
          <w:rFonts w:ascii="標楷體" w:hAnsi="Arial" w:hint="eastAsia"/>
          <w:szCs w:val="36"/>
        </w:rPr>
        <w:t>令</w:t>
      </w:r>
      <w:r w:rsidR="00EB4EB4" w:rsidRPr="00BF6982">
        <w:rPr>
          <w:rFonts w:ascii="標楷體" w:hAnsi="Arial" w:hint="eastAsia"/>
          <w:szCs w:val="36"/>
        </w:rPr>
        <w:t>解散，將面臨後續強制力及行政、刑事責任，故其</w:t>
      </w:r>
      <w:r w:rsidRPr="00BF6982">
        <w:rPr>
          <w:rFonts w:ascii="標楷體" w:hAnsi="Arial" w:hint="eastAsia"/>
          <w:szCs w:val="36"/>
        </w:rPr>
        <w:t>強度高於「制止」。「世界人權宣言」第20條</w:t>
      </w:r>
      <w:r w:rsidR="00445754" w:rsidRPr="00BF6982">
        <w:rPr>
          <w:rStyle w:val="af2"/>
          <w:rFonts w:ascii="標楷體" w:hAnsi="Arial"/>
          <w:szCs w:val="36"/>
        </w:rPr>
        <w:footnoteReference w:id="23"/>
      </w:r>
      <w:r w:rsidRPr="00BF6982">
        <w:rPr>
          <w:rFonts w:ascii="標楷體" w:hAnsi="Arial" w:hint="eastAsia"/>
          <w:szCs w:val="36"/>
        </w:rPr>
        <w:t>及「公民與政治權利國際公約」第21條</w:t>
      </w:r>
      <w:r w:rsidR="00445754" w:rsidRPr="00BF6982">
        <w:rPr>
          <w:rStyle w:val="af2"/>
          <w:rFonts w:ascii="標楷體" w:hAnsi="Arial"/>
          <w:szCs w:val="36"/>
        </w:rPr>
        <w:footnoteReference w:id="24"/>
      </w:r>
      <w:r w:rsidRPr="00BF6982">
        <w:rPr>
          <w:rFonts w:ascii="標楷體" w:hAnsi="Arial" w:hint="eastAsia"/>
          <w:szCs w:val="36"/>
        </w:rPr>
        <w:t>均強調和平集會自由乃人民之基本權利，應予妥適保障之。為落實上開理念，「歐洲安全與合作組織」所屬之「民主機構與人權辦公室」出版之「和平集遊人權準則手冊」</w:t>
      </w:r>
      <w:r w:rsidR="00EB4EB4" w:rsidRPr="00BF6982">
        <w:rPr>
          <w:rFonts w:ascii="標楷體" w:hAnsi="Arial" w:hint="eastAsia"/>
          <w:szCs w:val="36"/>
        </w:rPr>
        <w:t>特別指出：</w:t>
      </w:r>
      <w:r w:rsidRPr="00BF6982">
        <w:rPr>
          <w:rFonts w:ascii="標楷體" w:hAnsi="Arial" w:hint="eastAsia"/>
          <w:szCs w:val="36"/>
        </w:rPr>
        <w:t>有關群眾集會處理注意事項規定：強制解散整場集會應屬最後手段，且需受全面國際標準的拘束，只要集會保持和平狀態，執法人員即不應強制解散之。不應以少數暴力而解散全體，應僅驅離該違法之特定個人；又少數個人侵入禁止進入之機關，應採適當方法排除，而非終止或強制解散集會，或宣告該集會違法。並強調：應以談判、調解或溝通方式確保和平集會</w:t>
      </w:r>
      <w:r w:rsidRPr="00BF6982">
        <w:rPr>
          <w:rFonts w:ascii="標楷體" w:hAnsi="Arial"/>
          <w:szCs w:val="36"/>
          <w:vertAlign w:val="superscript"/>
        </w:rPr>
        <w:footnoteReference w:id="25"/>
      </w:r>
      <w:r w:rsidRPr="00BF6982">
        <w:rPr>
          <w:rFonts w:ascii="標楷體" w:hAnsi="Arial" w:hint="eastAsia"/>
          <w:szCs w:val="36"/>
        </w:rPr>
        <w:t>。簡言之，集會遊行法第25條第1項規定「警告、制止或命令解散」</w:t>
      </w:r>
      <w:r w:rsidR="007777E9" w:rsidRPr="00BF6982">
        <w:rPr>
          <w:rFonts w:ascii="標楷體" w:hAnsi="Arial" w:hint="eastAsia"/>
          <w:szCs w:val="36"/>
        </w:rPr>
        <w:t>的順序</w:t>
      </w:r>
      <w:r w:rsidRPr="00BF6982">
        <w:rPr>
          <w:rFonts w:ascii="標楷體" w:hAnsi="Arial" w:hint="eastAsia"/>
          <w:szCs w:val="36"/>
        </w:rPr>
        <w:t>，已寓有對於限制集會自由的程度區別，提示執法者應依現場狀況審酌採取不同的限制手段，且該法第26條明定命令解散應依比例原則，不得逾越必要限度。因此警方命令解散合法的集會遊行之前，應先妥善衡量保障人民表現自由之權利及其所影響社會法益之價值，決定限制的幅度及適當方法，並應選擇干預最小的手段為之，但警政署將命令解散作為制止前提，實</w:t>
      </w:r>
      <w:r w:rsidRPr="00BF6982">
        <w:rPr>
          <w:rFonts w:ascii="標楷體" w:hAnsi="Arial" w:hint="eastAsia"/>
          <w:szCs w:val="36"/>
        </w:rPr>
        <w:lastRenderedPageBreak/>
        <w:t>務執行時並已造成不當限制人民集會自由的偏差現象，實有再行檢討之必要。</w:t>
      </w:r>
    </w:p>
    <w:p w:rsidR="006B7F6D" w:rsidRPr="00BF6982" w:rsidRDefault="006B7F6D" w:rsidP="006B7F6D">
      <w:pPr>
        <w:numPr>
          <w:ilvl w:val="2"/>
          <w:numId w:val="1"/>
        </w:numPr>
        <w:kinsoku w:val="0"/>
        <w:jc w:val="both"/>
        <w:outlineLvl w:val="2"/>
        <w:rPr>
          <w:rFonts w:ascii="標楷體" w:hAnsi="Arial"/>
          <w:b/>
          <w:bCs/>
          <w:kern w:val="0"/>
          <w:szCs w:val="36"/>
        </w:rPr>
      </w:pPr>
      <w:r w:rsidRPr="00BF6982">
        <w:rPr>
          <w:rFonts w:ascii="標楷體" w:hAnsi="Arial" w:hint="eastAsia"/>
          <w:b/>
          <w:bCs/>
          <w:kern w:val="0"/>
          <w:szCs w:val="36"/>
        </w:rPr>
        <w:t>警察在集會遊行現場所為之命令解散與制止具有行政處分性質，且為後續行政罰與刑事罰的構成要件；現場警察強制力之實施更涉及人身自由及集會自由之限制，然相關措施一經執行即已完畢，此時民眾對於相關處分或警察措施之爭執及溝通，具有協助指揮官再次思考及合法行使職權的積極意義，目前警方對於民眾在現場提出之質疑及異議，一律拒絕處理，違反警察職權行使法第29條等規定，有欠妥適。</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本案警方在</w:t>
      </w:r>
      <w:r w:rsidR="00BD47D8" w:rsidRPr="00BF6982">
        <w:rPr>
          <w:rFonts w:ascii="標楷體" w:hAnsi="Arial" w:hint="eastAsia"/>
          <w:szCs w:val="36"/>
        </w:rPr>
        <w:t>臺北車站</w:t>
      </w:r>
      <w:r w:rsidRPr="00BF6982">
        <w:rPr>
          <w:rFonts w:ascii="標楷體" w:hAnsi="Arial" w:hint="eastAsia"/>
          <w:szCs w:val="36"/>
        </w:rPr>
        <w:t>東三門前廣場圈圍</w:t>
      </w:r>
      <w:r w:rsidR="002A2392" w:rsidRPr="00BF6982">
        <w:rPr>
          <w:rFonts w:ascii="標楷體" w:hAnsi="Arial" w:hint="eastAsia"/>
          <w:szCs w:val="36"/>
        </w:rPr>
        <w:t>管束</w:t>
      </w:r>
      <w:r w:rsidRPr="00BF6982">
        <w:rPr>
          <w:rFonts w:ascii="標楷體" w:hAnsi="Arial" w:hint="eastAsia"/>
          <w:szCs w:val="36"/>
        </w:rPr>
        <w:t>陳抗民眾時，有民眾高喊：「有人依照警察職權行使法向你們聲明異議，你們是不是該做成書面回覆給人家</w:t>
      </w:r>
      <w:r w:rsidR="00EB4EB4" w:rsidRPr="00BF6982">
        <w:rPr>
          <w:rFonts w:ascii="標楷體" w:hAnsi="Arial" w:hint="eastAsia"/>
          <w:szCs w:val="36"/>
        </w:rPr>
        <w:t>？</w:t>
      </w:r>
      <w:r w:rsidRPr="00BF6982">
        <w:rPr>
          <w:rFonts w:ascii="標楷體" w:hAnsi="Arial" w:hint="eastAsia"/>
          <w:szCs w:val="36"/>
        </w:rPr>
        <w:t>」惟警方未有任何回應。經函詢臺北市警局表示：該局自106年1月1日迄今，在集會遊行現場未曾對表明異議民眾交付任何紀錄文書。警政署則表示：執行集會遊行安全維護勤務所為之相關管制作為，</w:t>
      </w:r>
      <w:r w:rsidR="00EB4EB4" w:rsidRPr="00BF6982">
        <w:rPr>
          <w:rFonts w:ascii="標楷體" w:hAnsi="Arial" w:hint="eastAsia"/>
          <w:szCs w:val="36"/>
        </w:rPr>
        <w:t>其</w:t>
      </w:r>
      <w:r w:rsidRPr="00BF6982">
        <w:rPr>
          <w:rFonts w:ascii="標楷體" w:hAnsi="Arial" w:hint="eastAsia"/>
          <w:szCs w:val="36"/>
        </w:rPr>
        <w:t>救濟應依同法第41條有關「特別損失補償」之規定，故無警察職權行使法提出「異議」的問題。另表示集會遊行現場如發生違法脫序，個案處理依據警察職權行使法執行警察職權，始有該法第29條「異議」之適用。</w:t>
      </w:r>
      <w:r w:rsidR="002A2392" w:rsidRPr="00BF6982">
        <w:rPr>
          <w:rFonts w:ascii="標楷體" w:hAnsi="Arial" w:hint="eastAsia"/>
          <w:szCs w:val="36"/>
        </w:rPr>
        <w:t>又</w:t>
      </w:r>
      <w:r w:rsidR="00EB4EB4" w:rsidRPr="00BF6982">
        <w:rPr>
          <w:rFonts w:ascii="標楷體" w:hAnsi="Arial" w:hint="eastAsia"/>
          <w:szCs w:val="36"/>
        </w:rPr>
        <w:t>該</w:t>
      </w:r>
      <w:r w:rsidRPr="00BF6982">
        <w:rPr>
          <w:rFonts w:ascii="標楷體" w:hAnsi="Arial" w:hint="eastAsia"/>
          <w:szCs w:val="36"/>
        </w:rPr>
        <w:t>署於</w:t>
      </w:r>
      <w:r w:rsidR="00EB4EB4" w:rsidRPr="00BF6982">
        <w:rPr>
          <w:rFonts w:ascii="標楷體" w:hAnsi="Arial" w:hint="eastAsia"/>
          <w:szCs w:val="36"/>
        </w:rPr>
        <w:t>本院</w:t>
      </w:r>
      <w:r w:rsidRPr="00BF6982">
        <w:rPr>
          <w:rFonts w:ascii="標楷體" w:hAnsi="Arial" w:hint="eastAsia"/>
          <w:szCs w:val="36"/>
        </w:rPr>
        <w:t>詢問時表示：因集會遊行現場具群體性，無法針對群體依該法第29條規定給予書面等語。</w:t>
      </w:r>
    </w:p>
    <w:p w:rsidR="006B7F6D" w:rsidRPr="00BF6982" w:rsidRDefault="006B7F6D" w:rsidP="006B7F6D">
      <w:pPr>
        <w:numPr>
          <w:ilvl w:val="3"/>
          <w:numId w:val="1"/>
        </w:numPr>
        <w:ind w:left="1700" w:hanging="680"/>
        <w:jc w:val="both"/>
        <w:outlineLvl w:val="3"/>
        <w:rPr>
          <w:rFonts w:ascii="標楷體" w:hAnsi="Arial"/>
          <w:szCs w:val="36"/>
        </w:rPr>
      </w:pPr>
      <w:r w:rsidRPr="00BF6982">
        <w:rPr>
          <w:rFonts w:ascii="標楷體" w:hAnsi="Arial" w:hint="eastAsia"/>
          <w:szCs w:val="36"/>
        </w:rPr>
        <w:t>按憲法第16條保障人民的訴訟權，並基於「有權利，即有救濟」的法理，集會遊行為人民基本權利，自應保障參與者行政救濟管道。集會遊行法第1條第2項規定「本法未規定者，適用其他法</w:t>
      </w:r>
      <w:r w:rsidRPr="00BF6982">
        <w:rPr>
          <w:rFonts w:ascii="標楷體" w:hAnsi="Arial" w:hint="eastAsia"/>
          <w:szCs w:val="36"/>
        </w:rPr>
        <w:lastRenderedPageBreak/>
        <w:t>律之規定」，警察職權行使法第29條規定：「義務人或利害關係人對警察依本法行使職權之方法、應遵守之程序或其他侵害利益之情事，得於警察行使職權時，當場陳述理由，表示異議。（第1項）前項異議，警察認為有理由者，應立即停止或更正執行行為；認為無理由者，得繼續執行，經義務人或利害關係人請求時，應將異議之理由製作紀錄交付之。（第2項）義務人或利害關係人因警察行使職權有違法或不當情事，致損害其權益者，得依法提起訴願及行政訴訟（第3項）。」並無相對人如人數眾多時得排除適用的規定</w:t>
      </w:r>
      <w:r w:rsidR="002A2392" w:rsidRPr="00BF6982">
        <w:rPr>
          <w:rFonts w:ascii="標楷體" w:hAnsi="Arial" w:hint="eastAsia"/>
          <w:szCs w:val="36"/>
        </w:rPr>
        <w:t>。</w:t>
      </w:r>
      <w:r w:rsidRPr="00BF6982">
        <w:rPr>
          <w:rFonts w:ascii="標楷體" w:hAnsi="Arial" w:hint="eastAsia"/>
          <w:szCs w:val="36"/>
        </w:rPr>
        <w:t>且</w:t>
      </w:r>
      <w:r w:rsidR="00EB4EB4" w:rsidRPr="00BF6982">
        <w:rPr>
          <w:rFonts w:ascii="標楷體" w:hAnsi="Arial" w:hint="eastAsia"/>
          <w:szCs w:val="36"/>
        </w:rPr>
        <w:t>主管機關</w:t>
      </w:r>
      <w:r w:rsidRPr="00BF6982">
        <w:rPr>
          <w:rFonts w:ascii="標楷體" w:hAnsi="Arial" w:hint="eastAsia"/>
          <w:szCs w:val="36"/>
        </w:rPr>
        <w:t>給予載明理由之紀錄，</w:t>
      </w:r>
      <w:r w:rsidR="00EB4EB4" w:rsidRPr="00BF6982">
        <w:rPr>
          <w:rFonts w:ascii="標楷體" w:hAnsi="Arial" w:hint="eastAsia"/>
          <w:szCs w:val="36"/>
        </w:rPr>
        <w:t>其意義除了</w:t>
      </w:r>
      <w:r w:rsidRPr="00BF6982">
        <w:rPr>
          <w:rFonts w:ascii="標楷體" w:hAnsi="Arial" w:hint="eastAsia"/>
          <w:szCs w:val="36"/>
        </w:rPr>
        <w:t>異議人日後得依該書面之行政處分，依法提起行政爭訟</w:t>
      </w:r>
      <w:r w:rsidR="00EB4EB4" w:rsidRPr="00BF6982">
        <w:rPr>
          <w:rFonts w:ascii="標楷體" w:hAnsi="Arial" w:hint="eastAsia"/>
          <w:szCs w:val="36"/>
        </w:rPr>
        <w:t>，</w:t>
      </w:r>
      <w:r w:rsidRPr="00BF6982">
        <w:rPr>
          <w:rFonts w:ascii="標楷體" w:hAnsi="Arial" w:hint="eastAsia"/>
          <w:szCs w:val="36"/>
        </w:rPr>
        <w:t>該強制措施</w:t>
      </w:r>
      <w:r w:rsidR="002A2392" w:rsidRPr="00BF6982">
        <w:rPr>
          <w:rFonts w:ascii="標楷體" w:hAnsi="Arial" w:hint="eastAsia"/>
          <w:szCs w:val="36"/>
        </w:rPr>
        <w:t>如</w:t>
      </w:r>
      <w:r w:rsidRPr="00BF6982">
        <w:rPr>
          <w:rFonts w:ascii="標楷體" w:hAnsi="Arial" w:hint="eastAsia"/>
          <w:szCs w:val="36"/>
        </w:rPr>
        <w:t>經法院確認違法，</w:t>
      </w:r>
      <w:r w:rsidR="00EB4EB4" w:rsidRPr="00BF6982">
        <w:rPr>
          <w:rFonts w:ascii="標楷體" w:hAnsi="Arial" w:hint="eastAsia"/>
          <w:szCs w:val="36"/>
        </w:rPr>
        <w:t>並</w:t>
      </w:r>
      <w:r w:rsidRPr="00BF6982">
        <w:rPr>
          <w:rFonts w:ascii="標楷體" w:hAnsi="Arial" w:hint="eastAsia"/>
          <w:szCs w:val="36"/>
        </w:rPr>
        <w:t>可供警</w:t>
      </w:r>
      <w:r w:rsidR="00EB4EB4" w:rsidRPr="00BF6982">
        <w:rPr>
          <w:rFonts w:ascii="標楷體" w:hAnsi="Arial" w:hint="eastAsia"/>
          <w:szCs w:val="36"/>
        </w:rPr>
        <w:t>方合法行使職權的</w:t>
      </w:r>
      <w:r w:rsidRPr="00BF6982">
        <w:rPr>
          <w:rFonts w:ascii="標楷體" w:hAnsi="Arial" w:hint="eastAsia"/>
          <w:szCs w:val="36"/>
        </w:rPr>
        <w:t>參考；同時可恢復異議人之名譽，如受損害並可進而提起賠償訴訟。學者</w:t>
      </w:r>
      <w:r w:rsidR="002A2392" w:rsidRPr="00BF6982">
        <w:rPr>
          <w:rFonts w:ascii="標楷體" w:hAnsi="Arial" w:hint="eastAsia"/>
          <w:szCs w:val="36"/>
        </w:rPr>
        <w:t>亦</w:t>
      </w:r>
      <w:r w:rsidR="00EB4EB4" w:rsidRPr="00BF6982">
        <w:rPr>
          <w:rFonts w:ascii="標楷體" w:hAnsi="Arial" w:hint="eastAsia"/>
          <w:szCs w:val="36"/>
        </w:rPr>
        <w:t>同此見解</w:t>
      </w:r>
      <w:r w:rsidRPr="00BF6982">
        <w:rPr>
          <w:rFonts w:ascii="標楷體" w:hAnsi="Arial"/>
          <w:szCs w:val="36"/>
          <w:vertAlign w:val="superscript"/>
        </w:rPr>
        <w:footnoteReference w:id="26"/>
      </w:r>
      <w:r w:rsidRPr="00BF6982">
        <w:rPr>
          <w:rFonts w:ascii="標楷體" w:hAnsi="Arial" w:hint="eastAsia"/>
          <w:szCs w:val="36"/>
        </w:rPr>
        <w:t>。警政署所稱</w:t>
      </w:r>
      <w:r w:rsidR="002A2392" w:rsidRPr="00BF6982">
        <w:rPr>
          <w:rFonts w:ascii="標楷體" w:hAnsi="Arial" w:hint="eastAsia"/>
          <w:szCs w:val="36"/>
        </w:rPr>
        <w:t>陳抗民眾</w:t>
      </w:r>
      <w:r w:rsidRPr="00BF6982">
        <w:rPr>
          <w:rFonts w:ascii="標楷體" w:hAnsi="Arial" w:hint="eastAsia"/>
          <w:szCs w:val="36"/>
        </w:rPr>
        <w:t>僅得依行政執行法提出「損失補償」</w:t>
      </w:r>
      <w:r w:rsidR="002A2392" w:rsidRPr="00BF6982">
        <w:rPr>
          <w:rFonts w:ascii="標楷體" w:hAnsi="Arial" w:hint="eastAsia"/>
          <w:szCs w:val="36"/>
        </w:rPr>
        <w:t>，</w:t>
      </w:r>
      <w:r w:rsidRPr="00BF6982">
        <w:rPr>
          <w:rFonts w:ascii="標楷體" w:hAnsi="Arial" w:hint="eastAsia"/>
          <w:szCs w:val="36"/>
        </w:rPr>
        <w:t>而不得依警察職權行使法提出「異議」</w:t>
      </w:r>
      <w:r w:rsidR="002A2392" w:rsidRPr="00BF6982">
        <w:rPr>
          <w:rFonts w:ascii="標楷體" w:hAnsi="Arial" w:hint="eastAsia"/>
          <w:szCs w:val="36"/>
        </w:rPr>
        <w:t>，</w:t>
      </w:r>
      <w:r w:rsidRPr="00BF6982">
        <w:rPr>
          <w:rFonts w:ascii="標楷體" w:hAnsi="Arial" w:hint="eastAsia"/>
          <w:szCs w:val="36"/>
        </w:rPr>
        <w:t>尚難採認。至於集會遊行現場人數眾多，屬實務上之技術問題，應由執法者自行克服，例如</w:t>
      </w:r>
      <w:r w:rsidR="00B74EE4" w:rsidRPr="00BF6982">
        <w:rPr>
          <w:rFonts w:ascii="標楷體" w:hAnsi="Arial" w:hint="eastAsia"/>
          <w:szCs w:val="36"/>
        </w:rPr>
        <w:t>交付</w:t>
      </w:r>
      <w:r w:rsidRPr="00BF6982">
        <w:rPr>
          <w:rFonts w:ascii="標楷體" w:hAnsi="Arial" w:hint="eastAsia"/>
          <w:szCs w:val="36"/>
        </w:rPr>
        <w:t>書面紀錄予代表人，而非將之作為</w:t>
      </w:r>
      <w:r w:rsidR="002A2392" w:rsidRPr="00BF6982">
        <w:rPr>
          <w:rFonts w:ascii="標楷體" w:hAnsi="Arial" w:hint="eastAsia"/>
          <w:szCs w:val="36"/>
        </w:rPr>
        <w:t>不理會</w:t>
      </w:r>
      <w:r w:rsidRPr="00BF6982">
        <w:rPr>
          <w:rFonts w:ascii="標楷體" w:hAnsi="Arial" w:hint="eastAsia"/>
          <w:szCs w:val="36"/>
        </w:rPr>
        <w:t>相對人異議的理由。目前警方對於民眾在現場提出之異議，一律拒絕處理，</w:t>
      </w:r>
      <w:r w:rsidR="00B74EE4" w:rsidRPr="00BF6982">
        <w:rPr>
          <w:rFonts w:ascii="標楷體" w:hAnsi="Arial" w:hint="eastAsia"/>
          <w:szCs w:val="36"/>
        </w:rPr>
        <w:t>實</w:t>
      </w:r>
      <w:r w:rsidRPr="00BF6982">
        <w:rPr>
          <w:rFonts w:ascii="標楷體" w:hAnsi="Arial" w:hint="eastAsia"/>
          <w:szCs w:val="36"/>
        </w:rPr>
        <w:t>有欠妥適。</w:t>
      </w:r>
    </w:p>
    <w:p w:rsidR="006B7F6D" w:rsidRPr="00BF6982" w:rsidRDefault="006B7F6D" w:rsidP="006B7F6D">
      <w:pPr>
        <w:numPr>
          <w:ilvl w:val="2"/>
          <w:numId w:val="1"/>
        </w:numPr>
        <w:kinsoku w:val="0"/>
        <w:ind w:left="1360" w:hanging="680"/>
        <w:jc w:val="both"/>
        <w:outlineLvl w:val="2"/>
        <w:rPr>
          <w:rFonts w:ascii="標楷體" w:hAnsi="Arial"/>
          <w:bCs/>
          <w:kern w:val="0"/>
          <w:szCs w:val="36"/>
        </w:rPr>
      </w:pPr>
      <w:r w:rsidRPr="00BF6982">
        <w:rPr>
          <w:rFonts w:ascii="標楷體" w:hAnsi="Arial" w:hint="eastAsia"/>
          <w:bCs/>
          <w:kern w:val="0"/>
          <w:szCs w:val="36"/>
        </w:rPr>
        <w:t>綜上，集會遊行法屬「執行憲法的法律」，其目的在於規範公權力介入人民集會自由的必要性及界限。社運團體及部分學者質疑集會遊行法屬於惡法</w:t>
      </w:r>
      <w:r w:rsidR="002A2392" w:rsidRPr="00BF6982">
        <w:rPr>
          <w:rFonts w:ascii="標楷體" w:hAnsi="Arial" w:hint="eastAsia"/>
          <w:bCs/>
          <w:kern w:val="0"/>
          <w:szCs w:val="36"/>
        </w:rPr>
        <w:t>。</w:t>
      </w:r>
      <w:r w:rsidR="008E1A83" w:rsidRPr="00BF6982">
        <w:rPr>
          <w:rFonts w:ascii="標楷體" w:hAnsi="Arial" w:hint="eastAsia"/>
          <w:bCs/>
          <w:kern w:val="0"/>
          <w:szCs w:val="36"/>
        </w:rPr>
        <w:t>除該法採許可制的爭議外</w:t>
      </w:r>
      <w:r w:rsidR="008E1A83" w:rsidRPr="00BF6982">
        <w:rPr>
          <w:rStyle w:val="af2"/>
          <w:rFonts w:ascii="標楷體" w:hAnsi="Arial"/>
          <w:bCs/>
          <w:kern w:val="0"/>
          <w:szCs w:val="36"/>
        </w:rPr>
        <w:footnoteReference w:id="27"/>
      </w:r>
      <w:r w:rsidRPr="00BF6982">
        <w:rPr>
          <w:rFonts w:ascii="標楷體" w:hAnsi="Arial" w:hint="eastAsia"/>
          <w:bCs/>
          <w:kern w:val="0"/>
          <w:szCs w:val="36"/>
        </w:rPr>
        <w:t>；</w:t>
      </w:r>
      <w:r w:rsidR="008E1A83" w:rsidRPr="00BF6982">
        <w:rPr>
          <w:rFonts w:ascii="標楷體" w:hAnsi="Arial" w:hint="eastAsia"/>
          <w:bCs/>
          <w:kern w:val="0"/>
          <w:szCs w:val="36"/>
        </w:rPr>
        <w:t>主要在於</w:t>
      </w:r>
      <w:r w:rsidRPr="00BF6982">
        <w:rPr>
          <w:rFonts w:ascii="標楷體" w:hAnsi="Arial" w:hint="eastAsia"/>
          <w:bCs/>
          <w:kern w:val="0"/>
          <w:szCs w:val="36"/>
        </w:rPr>
        <w:t>集會遊行從</w:t>
      </w:r>
      <w:r w:rsidRPr="00BF6982">
        <w:rPr>
          <w:rFonts w:ascii="標楷體" w:hAnsi="Arial" w:hint="eastAsia"/>
          <w:bCs/>
          <w:kern w:val="0"/>
          <w:szCs w:val="36"/>
        </w:rPr>
        <w:lastRenderedPageBreak/>
        <w:t>許可</w:t>
      </w:r>
      <w:r w:rsidR="008E1A83" w:rsidRPr="00BF6982">
        <w:rPr>
          <w:rFonts w:ascii="標楷體" w:hAnsi="Arial" w:hint="eastAsia"/>
          <w:bCs/>
          <w:kern w:val="0"/>
          <w:szCs w:val="36"/>
        </w:rPr>
        <w:t>與否</w:t>
      </w:r>
      <w:r w:rsidRPr="00BF6982">
        <w:rPr>
          <w:rFonts w:ascii="標楷體" w:hAnsi="Arial" w:hint="eastAsia"/>
          <w:bCs/>
          <w:kern w:val="0"/>
          <w:szCs w:val="36"/>
        </w:rPr>
        <w:t>、現場勤務</w:t>
      </w:r>
      <w:r w:rsidR="00FF7C9D" w:rsidRPr="00BF6982">
        <w:rPr>
          <w:rFonts w:ascii="標楷體" w:hAnsi="Arial" w:hint="eastAsia"/>
          <w:bCs/>
          <w:kern w:val="0"/>
          <w:szCs w:val="36"/>
        </w:rPr>
        <w:t>規劃、阻材架設</w:t>
      </w:r>
      <w:r w:rsidR="008E1A83" w:rsidRPr="00BF6982">
        <w:rPr>
          <w:rFonts w:ascii="標楷體" w:hAnsi="Arial" w:hint="eastAsia"/>
          <w:bCs/>
          <w:kern w:val="0"/>
          <w:szCs w:val="36"/>
        </w:rPr>
        <w:t>、禁制區的劃設</w:t>
      </w:r>
      <w:r w:rsidRPr="00BF6982">
        <w:rPr>
          <w:rFonts w:ascii="標楷體" w:hAnsi="Arial" w:hint="eastAsia"/>
          <w:bCs/>
          <w:kern w:val="0"/>
          <w:szCs w:val="36"/>
        </w:rPr>
        <w:t>，到對於違反法令者</w:t>
      </w:r>
      <w:r w:rsidR="00FF7C9D" w:rsidRPr="00BF6982">
        <w:rPr>
          <w:rFonts w:ascii="標楷體" w:hAnsi="Arial" w:hint="eastAsia"/>
          <w:bCs/>
          <w:kern w:val="0"/>
          <w:szCs w:val="36"/>
        </w:rPr>
        <w:t>的</w:t>
      </w:r>
      <w:r w:rsidRPr="00BF6982">
        <w:rPr>
          <w:rFonts w:ascii="標楷體" w:hAnsi="Arial" w:hint="eastAsia"/>
          <w:bCs/>
          <w:kern w:val="0"/>
          <w:szCs w:val="36"/>
        </w:rPr>
        <w:t>移送</w:t>
      </w:r>
      <w:r w:rsidR="008E1A83" w:rsidRPr="00BF6982">
        <w:rPr>
          <w:rStyle w:val="af2"/>
          <w:rFonts w:ascii="標楷體" w:hAnsi="Arial"/>
          <w:bCs/>
          <w:kern w:val="0"/>
          <w:szCs w:val="36"/>
        </w:rPr>
        <w:footnoteReference w:id="28"/>
      </w:r>
      <w:r w:rsidRPr="00BF6982">
        <w:rPr>
          <w:rFonts w:ascii="標楷體" w:hAnsi="Arial" w:hint="eastAsia"/>
          <w:bCs/>
          <w:kern w:val="0"/>
          <w:szCs w:val="36"/>
        </w:rPr>
        <w:t>，皆由警察機關單方決定，</w:t>
      </w:r>
      <w:r w:rsidR="008E1A83" w:rsidRPr="00BF6982">
        <w:rPr>
          <w:rFonts w:ascii="標楷體" w:hAnsi="Arial" w:hint="eastAsia"/>
          <w:bCs/>
          <w:kern w:val="0"/>
          <w:szCs w:val="36"/>
        </w:rPr>
        <w:t>且</w:t>
      </w:r>
      <w:r w:rsidRPr="00BF6982">
        <w:rPr>
          <w:rFonts w:ascii="標楷體" w:hAnsi="Arial" w:hint="eastAsia"/>
          <w:bCs/>
          <w:kern w:val="0"/>
          <w:szCs w:val="36"/>
        </w:rPr>
        <w:t>警察機關在現場所為之制止</w:t>
      </w:r>
      <w:r w:rsidR="008E1A83" w:rsidRPr="00BF6982">
        <w:rPr>
          <w:rFonts w:ascii="標楷體" w:hAnsi="Arial" w:hint="eastAsia"/>
          <w:bCs/>
          <w:kern w:val="0"/>
          <w:szCs w:val="36"/>
        </w:rPr>
        <w:t>、</w:t>
      </w:r>
      <w:r w:rsidRPr="00BF6982">
        <w:rPr>
          <w:rFonts w:ascii="標楷體" w:hAnsi="Arial" w:hint="eastAsia"/>
          <w:bCs/>
          <w:kern w:val="0"/>
          <w:szCs w:val="36"/>
        </w:rPr>
        <w:t>命令解散等下令處分及強制力的決定，享有過</w:t>
      </w:r>
      <w:r w:rsidR="008E1A83" w:rsidRPr="00BF6982">
        <w:rPr>
          <w:rFonts w:ascii="標楷體" w:hAnsi="Arial" w:hint="eastAsia"/>
          <w:bCs/>
          <w:kern w:val="0"/>
          <w:szCs w:val="36"/>
        </w:rPr>
        <w:t>大</w:t>
      </w:r>
      <w:r w:rsidRPr="00BF6982">
        <w:rPr>
          <w:rFonts w:ascii="標楷體" w:hAnsi="Arial" w:hint="eastAsia"/>
          <w:bCs/>
          <w:kern w:val="0"/>
          <w:szCs w:val="36"/>
        </w:rPr>
        <w:t>的裁量權限。</w:t>
      </w:r>
      <w:r w:rsidR="008E1A83" w:rsidRPr="00BF6982">
        <w:rPr>
          <w:rFonts w:ascii="標楷體" w:hAnsi="Arial" w:hint="eastAsia"/>
          <w:bCs/>
          <w:kern w:val="0"/>
          <w:szCs w:val="36"/>
        </w:rPr>
        <w:t>但</w:t>
      </w:r>
      <w:r w:rsidRPr="00BF6982">
        <w:rPr>
          <w:rFonts w:ascii="標楷體" w:hAnsi="Arial" w:hint="eastAsia"/>
          <w:bCs/>
          <w:kern w:val="0"/>
          <w:szCs w:val="36"/>
        </w:rPr>
        <w:t>無論相關處分或強制措施，一經執行即已完畢</w:t>
      </w:r>
      <w:r w:rsidR="008E1A83" w:rsidRPr="00BF6982">
        <w:rPr>
          <w:rFonts w:ascii="標楷體" w:hAnsi="Arial" w:hint="eastAsia"/>
          <w:bCs/>
          <w:kern w:val="0"/>
          <w:szCs w:val="36"/>
        </w:rPr>
        <w:t>，</w:t>
      </w:r>
      <w:r w:rsidRPr="00BF6982">
        <w:rPr>
          <w:rFonts w:ascii="標楷體" w:hAnsi="Arial" w:hint="eastAsia"/>
          <w:bCs/>
          <w:kern w:val="0"/>
          <w:szCs w:val="36"/>
        </w:rPr>
        <w:t>因此上開質疑並非無據。警察機關為命令解散等處分及決定採取強制措施前，應先妥善衡量保障人民表現自由之權利及其所影響社會法益之價值，決定限制的幅度及適當方法，並應選擇干預最小的手段為之，且不能免除事後監督。本案警政署認為舉牌「制止」前，必須先行「命令解散」；臺北市警局認為民眾在現場不能表示異議，均有欠</w:t>
      </w:r>
      <w:r w:rsidR="000F16C3" w:rsidRPr="00BF6982">
        <w:rPr>
          <w:rFonts w:ascii="標楷體" w:hAnsi="Arial" w:hint="eastAsia"/>
          <w:bCs/>
          <w:kern w:val="0"/>
          <w:szCs w:val="36"/>
        </w:rPr>
        <w:t>妥</w:t>
      </w:r>
      <w:r w:rsidRPr="00BF6982">
        <w:rPr>
          <w:rFonts w:ascii="標楷體" w:hAnsi="Arial" w:hint="eastAsia"/>
          <w:bCs/>
          <w:kern w:val="0"/>
          <w:szCs w:val="36"/>
        </w:rPr>
        <w:t>適，應儘速檢討改進。</w:t>
      </w:r>
    </w:p>
    <w:p w:rsidR="006B7F6D" w:rsidRPr="00BF6982" w:rsidRDefault="006B7F6D" w:rsidP="006B7F6D">
      <w:pPr>
        <w:numPr>
          <w:ilvl w:val="0"/>
          <w:numId w:val="1"/>
        </w:numPr>
        <w:kinsoku w:val="0"/>
        <w:jc w:val="both"/>
        <w:outlineLvl w:val="0"/>
        <w:rPr>
          <w:rFonts w:ascii="標楷體" w:hAnsi="Arial"/>
          <w:bCs/>
          <w:kern w:val="0"/>
          <w:szCs w:val="52"/>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1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BF6982">
        <w:rPr>
          <w:rFonts w:ascii="標楷體" w:hAnsi="Arial"/>
          <w:bCs/>
          <w:kern w:val="0"/>
          <w:szCs w:val="52"/>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r w:rsidRPr="00BF6982">
        <w:rPr>
          <w:rFonts w:ascii="標楷體" w:hAnsi="Arial" w:hint="eastAsia"/>
          <w:bCs/>
          <w:kern w:val="0"/>
          <w:szCs w:val="52"/>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6B7F6D" w:rsidRPr="00BF6982" w:rsidRDefault="006B7F6D" w:rsidP="006B7F6D">
      <w:pPr>
        <w:numPr>
          <w:ilvl w:val="1"/>
          <w:numId w:val="1"/>
        </w:numPr>
        <w:kinsoku w:val="0"/>
        <w:ind w:left="1020" w:hanging="680"/>
        <w:jc w:val="both"/>
        <w:outlineLvl w:val="1"/>
        <w:rPr>
          <w:rFonts w:ascii="標楷體" w:hAnsi="Arial"/>
          <w:bCs/>
          <w:kern w:val="0"/>
          <w:szCs w:val="48"/>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74"/>
      <w:bookmarkEnd w:id="75"/>
      <w:bookmarkEnd w:id="76"/>
      <w:r w:rsidRPr="00BF6982">
        <w:rPr>
          <w:rFonts w:ascii="標楷體" w:hAnsi="Arial" w:hint="eastAsia"/>
          <w:bCs/>
          <w:kern w:val="0"/>
          <w:szCs w:val="48"/>
        </w:rPr>
        <w:t>調查意見</w:t>
      </w:r>
      <w:bookmarkStart w:id="96" w:name="_Toc70241819"/>
      <w:bookmarkStart w:id="97" w:name="_Toc70242208"/>
      <w:bookmarkStart w:id="98" w:name="_Toc69556899"/>
      <w:bookmarkStart w:id="99" w:name="_Toc69556948"/>
      <w:bookmarkStart w:id="100" w:name="_Toc69609822"/>
      <w:bookmarkEnd w:id="77"/>
      <w:bookmarkEnd w:id="78"/>
      <w:bookmarkEnd w:id="79"/>
      <w:bookmarkEnd w:id="80"/>
      <w:bookmarkEnd w:id="81"/>
      <w:bookmarkEnd w:id="82"/>
      <w:bookmarkEnd w:id="83"/>
      <w:bookmarkEnd w:id="84"/>
      <w:r w:rsidRPr="00BF6982">
        <w:rPr>
          <w:rFonts w:ascii="標楷體" w:hAnsi="Arial" w:hint="eastAsia"/>
          <w:bCs/>
          <w:kern w:val="0"/>
          <w:szCs w:val="48"/>
        </w:rPr>
        <w:t>函請內政部及</w:t>
      </w:r>
      <w:r w:rsidR="00BD47D8" w:rsidRPr="00BF6982">
        <w:rPr>
          <w:rFonts w:ascii="標楷體" w:hAnsi="Arial" w:hint="eastAsia"/>
          <w:bCs/>
          <w:kern w:val="0"/>
          <w:szCs w:val="48"/>
        </w:rPr>
        <w:t>臺北市</w:t>
      </w:r>
      <w:r w:rsidRPr="00BF6982">
        <w:rPr>
          <w:rFonts w:ascii="標楷體" w:hAnsi="Arial" w:hint="eastAsia"/>
          <w:bCs/>
          <w:kern w:val="0"/>
          <w:szCs w:val="48"/>
        </w:rPr>
        <w:t>政府檢討改進見復。</w:t>
      </w:r>
      <w:bookmarkEnd w:id="96"/>
      <w:bookmarkEnd w:id="97"/>
    </w:p>
    <w:p w:rsidR="00817662" w:rsidRPr="009412F1" w:rsidRDefault="00817662" w:rsidP="00817662">
      <w:pPr>
        <w:numPr>
          <w:ilvl w:val="1"/>
          <w:numId w:val="1"/>
        </w:numPr>
        <w:tabs>
          <w:tab w:val="num" w:pos="720"/>
        </w:tabs>
        <w:kinsoku w:val="0"/>
        <w:ind w:left="1020" w:hanging="680"/>
        <w:jc w:val="both"/>
        <w:outlineLvl w:val="1"/>
        <w:rPr>
          <w:rFonts w:ascii="標楷體" w:hAnsi="Arial"/>
          <w:bCs/>
          <w:kern w:val="0"/>
          <w:szCs w:val="48"/>
        </w:rPr>
      </w:pPr>
      <w:bookmarkStart w:id="101" w:name="_Toc69556900"/>
      <w:bookmarkStart w:id="102" w:name="_Toc69556949"/>
      <w:bookmarkStart w:id="103" w:name="_Toc69609823"/>
      <w:bookmarkStart w:id="104" w:name="_Toc70241821"/>
      <w:bookmarkStart w:id="105" w:name="_Toc70242210"/>
      <w:bookmarkStart w:id="106" w:name="_Toc2400397"/>
      <w:bookmarkStart w:id="107" w:name="_Toc4316191"/>
      <w:bookmarkStart w:id="108" w:name="_Toc4473332"/>
      <w:bookmarkEnd w:id="85"/>
      <w:bookmarkEnd w:id="86"/>
      <w:bookmarkEnd w:id="87"/>
      <w:bookmarkEnd w:id="88"/>
      <w:bookmarkEnd w:id="89"/>
      <w:bookmarkEnd w:id="90"/>
      <w:bookmarkEnd w:id="91"/>
      <w:bookmarkEnd w:id="92"/>
      <w:bookmarkEnd w:id="93"/>
      <w:bookmarkEnd w:id="94"/>
      <w:bookmarkEnd w:id="95"/>
      <w:bookmarkEnd w:id="98"/>
      <w:bookmarkEnd w:id="99"/>
      <w:bookmarkEnd w:id="100"/>
      <w:r w:rsidRPr="009412F1">
        <w:rPr>
          <w:rFonts w:ascii="標楷體" w:hAnsi="Arial" w:hint="eastAsia"/>
          <w:bCs/>
          <w:kern w:val="0"/>
          <w:szCs w:val="48"/>
        </w:rPr>
        <w:t>調查意見函復陳訴人。</w:t>
      </w:r>
    </w:p>
    <w:p w:rsidR="006B7F6D" w:rsidRPr="00BF6982" w:rsidRDefault="006B7F6D" w:rsidP="006B7F6D">
      <w:pPr>
        <w:numPr>
          <w:ilvl w:val="1"/>
          <w:numId w:val="1"/>
        </w:numPr>
        <w:kinsoku w:val="0"/>
        <w:ind w:left="1020" w:hanging="680"/>
        <w:jc w:val="both"/>
        <w:outlineLvl w:val="1"/>
        <w:rPr>
          <w:rFonts w:ascii="標楷體" w:hAnsi="Arial"/>
          <w:bCs/>
          <w:kern w:val="0"/>
          <w:szCs w:val="48"/>
        </w:rPr>
      </w:pPr>
      <w:r w:rsidRPr="00BF6982">
        <w:rPr>
          <w:rFonts w:ascii="標楷體" w:hAnsi="Arial" w:hint="eastAsia"/>
          <w:bCs/>
          <w:kern w:val="0"/>
          <w:szCs w:val="48"/>
        </w:rPr>
        <w:t>調查報告送請本院人權保障委員會參考。</w:t>
      </w:r>
      <w:bookmarkEnd w:id="101"/>
      <w:bookmarkEnd w:id="102"/>
      <w:bookmarkEnd w:id="103"/>
      <w:bookmarkEnd w:id="104"/>
      <w:bookmarkEnd w:id="105"/>
    </w:p>
    <w:p w:rsidR="006B7F6D" w:rsidRDefault="006B7F6D" w:rsidP="006B7F6D">
      <w:pPr>
        <w:numPr>
          <w:ilvl w:val="1"/>
          <w:numId w:val="1"/>
        </w:numPr>
        <w:kinsoku w:val="0"/>
        <w:ind w:left="1020" w:hanging="680"/>
        <w:jc w:val="both"/>
        <w:outlineLvl w:val="1"/>
        <w:rPr>
          <w:rFonts w:ascii="標楷體" w:hAnsi="Arial"/>
          <w:bCs/>
          <w:kern w:val="0"/>
          <w:szCs w:val="48"/>
        </w:rPr>
      </w:pPr>
      <w:bookmarkStart w:id="109" w:name="_Toc69556901"/>
      <w:bookmarkStart w:id="110" w:name="_Toc69556950"/>
      <w:bookmarkStart w:id="111" w:name="_Toc69609824"/>
      <w:bookmarkStart w:id="112" w:name="_Toc70241822"/>
      <w:bookmarkStart w:id="113" w:name="_Toc70242211"/>
      <w:r w:rsidRPr="00BF6982">
        <w:rPr>
          <w:rFonts w:ascii="標楷體" w:hAnsi="Arial" w:hint="eastAsia"/>
          <w:bCs/>
          <w:kern w:val="0"/>
          <w:szCs w:val="48"/>
        </w:rPr>
        <w:t>檢附派查函及相關附件，送請內政及少數民族委員會處理。</w:t>
      </w:r>
      <w:bookmarkEnd w:id="106"/>
      <w:bookmarkEnd w:id="107"/>
      <w:bookmarkEnd w:id="108"/>
      <w:bookmarkEnd w:id="109"/>
      <w:bookmarkEnd w:id="110"/>
      <w:bookmarkEnd w:id="111"/>
      <w:bookmarkEnd w:id="112"/>
      <w:bookmarkEnd w:id="113"/>
    </w:p>
    <w:p w:rsidR="00AE41ED" w:rsidRPr="00FD3A7C" w:rsidRDefault="00AE41ED" w:rsidP="00AE41ED">
      <w:pPr>
        <w:kinsoku w:val="0"/>
        <w:ind w:firstLineChars="1100" w:firstLine="4446"/>
        <w:jc w:val="both"/>
        <w:rPr>
          <w:rFonts w:ascii="標楷體"/>
          <w:bCs/>
          <w:spacing w:val="12"/>
          <w:kern w:val="0"/>
          <w:sz w:val="36"/>
        </w:rPr>
      </w:pPr>
      <w:bookmarkStart w:id="114" w:name="_GoBack"/>
      <w:bookmarkEnd w:id="114"/>
      <w:r>
        <w:rPr>
          <w:rFonts w:ascii="標楷體" w:hint="eastAsia"/>
          <w:bCs/>
          <w:spacing w:val="12"/>
          <w:kern w:val="0"/>
          <w:sz w:val="36"/>
        </w:rPr>
        <w:t>調</w:t>
      </w:r>
      <w:r>
        <w:rPr>
          <w:rFonts w:ascii="標楷體"/>
          <w:bCs/>
          <w:spacing w:val="12"/>
          <w:kern w:val="0"/>
          <w:sz w:val="36"/>
        </w:rPr>
        <w:t>查委員</w:t>
      </w:r>
      <w:r>
        <w:rPr>
          <w:rFonts w:ascii="標楷體" w:hint="eastAsia"/>
          <w:bCs/>
          <w:spacing w:val="12"/>
          <w:kern w:val="0"/>
          <w:sz w:val="36"/>
        </w:rPr>
        <w:t>:</w:t>
      </w:r>
      <w:r w:rsidRPr="00FD3A7C">
        <w:rPr>
          <w:rFonts w:ascii="標楷體"/>
          <w:bCs/>
          <w:spacing w:val="12"/>
          <w:kern w:val="0"/>
          <w:sz w:val="36"/>
        </w:rPr>
        <w:t>王美玉</w:t>
      </w:r>
    </w:p>
    <w:p w:rsidR="00AE41ED" w:rsidRPr="00BF6982" w:rsidRDefault="00AE41ED" w:rsidP="00AE41ED">
      <w:pPr>
        <w:kinsoku w:val="0"/>
        <w:ind w:firstLineChars="1550" w:firstLine="6264"/>
        <w:jc w:val="both"/>
        <w:rPr>
          <w:rFonts w:ascii="標楷體" w:hint="eastAsia"/>
          <w:bCs/>
          <w:spacing w:val="12"/>
          <w:kern w:val="0"/>
          <w:sz w:val="36"/>
        </w:rPr>
      </w:pPr>
      <w:r w:rsidRPr="00FD3A7C">
        <w:rPr>
          <w:rFonts w:ascii="標楷體"/>
          <w:bCs/>
          <w:spacing w:val="12"/>
          <w:kern w:val="0"/>
          <w:sz w:val="36"/>
        </w:rPr>
        <w:t>高涌誠</w:t>
      </w:r>
    </w:p>
    <w:p w:rsidR="00AE41ED" w:rsidRPr="00BF6982" w:rsidRDefault="00AE41ED" w:rsidP="00AE41ED">
      <w:pPr>
        <w:kinsoku w:val="0"/>
        <w:ind w:left="1020"/>
        <w:jc w:val="both"/>
        <w:outlineLvl w:val="1"/>
        <w:rPr>
          <w:rFonts w:ascii="標楷體" w:hAnsi="Arial" w:hint="eastAsia"/>
          <w:bCs/>
          <w:kern w:val="0"/>
          <w:szCs w:val="48"/>
        </w:rPr>
      </w:pPr>
    </w:p>
    <w:sectPr w:rsidR="00AE41ED" w:rsidRPr="00BF6982" w:rsidSect="006C124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2CD" w:rsidRDefault="00C902CD">
      <w:r>
        <w:separator/>
      </w:r>
    </w:p>
  </w:endnote>
  <w:endnote w:type="continuationSeparator" w:id="0">
    <w:p w:rsidR="00C902CD" w:rsidRDefault="00C90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badi MT Condensed Light">
    <w:altName w:val="MV Bol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42C" w:rsidRDefault="00AA042C">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AE41ED">
      <w:rPr>
        <w:rStyle w:val="a7"/>
        <w:noProof/>
        <w:sz w:val="24"/>
      </w:rPr>
      <w:t>36</w:t>
    </w:r>
    <w:r>
      <w:rPr>
        <w:rStyle w:val="a7"/>
        <w:sz w:val="24"/>
      </w:rPr>
      <w:fldChar w:fldCharType="end"/>
    </w:r>
  </w:p>
  <w:p w:rsidR="00AA042C" w:rsidRDefault="00AA042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2CD" w:rsidRDefault="00C902CD">
      <w:r>
        <w:separator/>
      </w:r>
    </w:p>
  </w:footnote>
  <w:footnote w:type="continuationSeparator" w:id="0">
    <w:p w:rsidR="00C902CD" w:rsidRDefault="00C902CD">
      <w:r>
        <w:continuationSeparator/>
      </w:r>
    </w:p>
  </w:footnote>
  <w:footnote w:id="1">
    <w:p w:rsidR="00AA042C" w:rsidRPr="000E52B4" w:rsidRDefault="00AA042C" w:rsidP="006B7F6D">
      <w:pPr>
        <w:pStyle w:val="af0"/>
      </w:pPr>
      <w:r>
        <w:rPr>
          <w:rStyle w:val="af2"/>
        </w:rPr>
        <w:footnoteRef/>
      </w:r>
      <w:r>
        <w:rPr>
          <w:rFonts w:hint="eastAsia"/>
        </w:rPr>
        <w:t>《遊行脫序，葉俊榮：警方菩薩心盼民眾肯定》。中央通訊社</w:t>
      </w:r>
      <w:r>
        <w:rPr>
          <w:rFonts w:hint="eastAsia"/>
        </w:rPr>
        <w:t>106</w:t>
      </w:r>
      <w:r>
        <w:rPr>
          <w:rFonts w:hint="eastAsia"/>
        </w:rPr>
        <w:t>年</w:t>
      </w:r>
      <w:r>
        <w:rPr>
          <w:rFonts w:hint="eastAsia"/>
        </w:rPr>
        <w:t>12</w:t>
      </w:r>
      <w:r>
        <w:rPr>
          <w:rFonts w:hint="eastAsia"/>
        </w:rPr>
        <w:t>月</w:t>
      </w:r>
      <w:r>
        <w:rPr>
          <w:rFonts w:hint="eastAsia"/>
        </w:rPr>
        <w:t>25</w:t>
      </w:r>
      <w:r>
        <w:rPr>
          <w:rFonts w:hint="eastAsia"/>
        </w:rPr>
        <w:t>日新聞。</w:t>
      </w:r>
    </w:p>
  </w:footnote>
  <w:footnote w:id="2">
    <w:p w:rsidR="00AA042C" w:rsidRPr="00A8266B" w:rsidRDefault="00AA042C" w:rsidP="001D6609">
      <w:pPr>
        <w:pStyle w:val="af0"/>
        <w:jc w:val="both"/>
      </w:pPr>
      <w:r>
        <w:rPr>
          <w:rStyle w:val="af2"/>
        </w:rPr>
        <w:footnoteRef/>
      </w:r>
      <w:r>
        <w:rPr>
          <w:rFonts w:hint="eastAsia"/>
        </w:rPr>
        <w:t>請參見廖義銘，《鋪往暴政路上的佛心</w:t>
      </w:r>
      <w:r>
        <w:rPr>
          <w:rFonts w:hint="eastAsia"/>
        </w:rPr>
        <w:t>-</w:t>
      </w:r>
      <w:r>
        <w:rPr>
          <w:rFonts w:hint="eastAsia"/>
        </w:rPr>
        <w:t>淺論民眾參與街頭運動遭警方管束事件之政治問題》；盧映潔，《法律知識才是警察的靠山</w:t>
      </w:r>
      <w:r>
        <w:rPr>
          <w:rFonts w:hint="eastAsia"/>
        </w:rPr>
        <w:t>-</w:t>
      </w:r>
      <w:r>
        <w:rPr>
          <w:rFonts w:hint="eastAsia"/>
        </w:rPr>
        <w:t>評</w:t>
      </w:r>
      <w:r>
        <w:rPr>
          <w:rFonts w:hint="eastAsia"/>
        </w:rPr>
        <w:t>1223</w:t>
      </w:r>
      <w:r>
        <w:rPr>
          <w:rFonts w:hint="eastAsia"/>
        </w:rPr>
        <w:t>陳抗律師丟包事件》；林志潔、陳圓元，《逮捕、丟包與陳抗》；劉靜怡，《當律師出現在夜深但不平靜的街頭》，台灣法學雜誌，第</w:t>
      </w:r>
      <w:r>
        <w:rPr>
          <w:rFonts w:hint="eastAsia"/>
        </w:rPr>
        <w:t>335</w:t>
      </w:r>
      <w:r>
        <w:rPr>
          <w:rFonts w:hint="eastAsia"/>
        </w:rPr>
        <w:t>期，</w:t>
      </w:r>
      <w:r>
        <w:rPr>
          <w:rFonts w:hint="eastAsia"/>
        </w:rPr>
        <w:t>2018</w:t>
      </w:r>
      <w:r>
        <w:rPr>
          <w:rFonts w:hint="eastAsia"/>
        </w:rPr>
        <w:t>年</w:t>
      </w:r>
      <w:r>
        <w:rPr>
          <w:rFonts w:hint="eastAsia"/>
        </w:rPr>
        <w:t>1</w:t>
      </w:r>
      <w:r>
        <w:rPr>
          <w:rFonts w:hint="eastAsia"/>
        </w:rPr>
        <w:t>月</w:t>
      </w:r>
      <w:r>
        <w:rPr>
          <w:rFonts w:hint="eastAsia"/>
        </w:rPr>
        <w:t>14</w:t>
      </w:r>
      <w:r>
        <w:rPr>
          <w:rFonts w:hint="eastAsia"/>
        </w:rPr>
        <w:t>日。</w:t>
      </w:r>
    </w:p>
  </w:footnote>
  <w:footnote w:id="3">
    <w:p w:rsidR="00AA042C" w:rsidRPr="006835CD" w:rsidRDefault="00AA042C" w:rsidP="006B7F6D">
      <w:pPr>
        <w:pStyle w:val="af0"/>
      </w:pPr>
      <w:r>
        <w:rPr>
          <w:rStyle w:val="af2"/>
        </w:rPr>
        <w:footnoteRef/>
      </w:r>
      <w:r>
        <w:rPr>
          <w:rFonts w:hint="eastAsia"/>
        </w:rPr>
        <w:t>臺北市政府</w:t>
      </w:r>
      <w:r>
        <w:rPr>
          <w:rFonts w:hint="eastAsia"/>
        </w:rPr>
        <w:t>107</w:t>
      </w:r>
      <w:r>
        <w:rPr>
          <w:rFonts w:hint="eastAsia"/>
        </w:rPr>
        <w:t>年</w:t>
      </w:r>
      <w:r>
        <w:rPr>
          <w:rFonts w:hint="eastAsia"/>
        </w:rPr>
        <w:t>2</w:t>
      </w:r>
      <w:r>
        <w:rPr>
          <w:rFonts w:hint="eastAsia"/>
        </w:rPr>
        <w:t>月</w:t>
      </w:r>
      <w:r>
        <w:rPr>
          <w:rFonts w:hint="eastAsia"/>
        </w:rPr>
        <w:t>12</w:t>
      </w:r>
      <w:r>
        <w:rPr>
          <w:rFonts w:hint="eastAsia"/>
        </w:rPr>
        <w:t>日府警保字第</w:t>
      </w:r>
      <w:r>
        <w:rPr>
          <w:rFonts w:hint="eastAsia"/>
        </w:rPr>
        <w:t>10730008000</w:t>
      </w:r>
      <w:r>
        <w:rPr>
          <w:rFonts w:hint="eastAsia"/>
        </w:rPr>
        <w:t>號函。</w:t>
      </w:r>
    </w:p>
  </w:footnote>
  <w:footnote w:id="4">
    <w:p w:rsidR="00AA042C" w:rsidRDefault="00AA042C" w:rsidP="001D6609">
      <w:pPr>
        <w:pStyle w:val="af0"/>
        <w:jc w:val="both"/>
      </w:pPr>
      <w:r>
        <w:rPr>
          <w:rStyle w:val="af2"/>
        </w:rPr>
        <w:footnoteRef/>
      </w:r>
      <w:r w:rsidRPr="003A765B">
        <w:rPr>
          <w:rFonts w:hint="eastAsia"/>
        </w:rPr>
        <w:t>警察職權行使法第</w:t>
      </w:r>
      <w:r w:rsidRPr="003A765B">
        <w:rPr>
          <w:rFonts w:hint="eastAsia"/>
        </w:rPr>
        <w:t xml:space="preserve">2 </w:t>
      </w:r>
      <w:r w:rsidRPr="003A765B">
        <w:rPr>
          <w:rFonts w:hint="eastAsia"/>
        </w:rPr>
        <w:t>條第</w:t>
      </w:r>
      <w:r w:rsidRPr="00BD47D8">
        <w:rPr>
          <w:rFonts w:hint="eastAsia"/>
          <w:color w:val="7030A0"/>
        </w:rPr>
        <w:t>1</w:t>
      </w:r>
      <w:r w:rsidRPr="003A765B">
        <w:rPr>
          <w:rFonts w:hint="eastAsia"/>
        </w:rPr>
        <w:t>項規定：「本法所稱警察職權，指警察為達成其法定任務，於執行職務時，依法採取查證身分、鑑識身分、蒐集資料、通知、管束、驅離、直接強制、物之扣留、保管、變賣、拍賣、銷毀、使用、處置、限制使用、進入住宅、建築物、公共場所、公眾得出入場所或其他必要之公權力之具體措施。」</w:t>
      </w:r>
    </w:p>
  </w:footnote>
  <w:footnote w:id="5">
    <w:p w:rsidR="00AA042C" w:rsidRDefault="00AA042C" w:rsidP="006B7F6D">
      <w:pPr>
        <w:pStyle w:val="af0"/>
      </w:pPr>
      <w:r>
        <w:rPr>
          <w:rStyle w:val="af2"/>
        </w:rPr>
        <w:footnoteRef/>
      </w:r>
      <w:r w:rsidRPr="003A765B">
        <w:rPr>
          <w:rFonts w:hint="eastAsia"/>
        </w:rPr>
        <w:t>警察職權行使法第</w:t>
      </w:r>
      <w:r w:rsidRPr="003A765B">
        <w:rPr>
          <w:rFonts w:hint="eastAsia"/>
        </w:rPr>
        <w:t>28</w:t>
      </w:r>
      <w:r w:rsidRPr="003A765B">
        <w:rPr>
          <w:rFonts w:hint="eastAsia"/>
        </w:rPr>
        <w:t>條第</w:t>
      </w:r>
      <w:r w:rsidRPr="003A765B">
        <w:rPr>
          <w:rFonts w:hint="eastAsia"/>
        </w:rPr>
        <w:t xml:space="preserve">1 </w:t>
      </w:r>
      <w:r w:rsidRPr="003A765B">
        <w:rPr>
          <w:rFonts w:hint="eastAsia"/>
        </w:rPr>
        <w:t>項規定：「警察為制止或排除現行危害公共安全、公共秩序或個人生命、身體、自由、名譽或財產之行為或事實狀況，得行使本法規定之職權或採取其他必要之措施。」</w:t>
      </w:r>
    </w:p>
  </w:footnote>
  <w:footnote w:id="6">
    <w:p w:rsidR="00AA042C" w:rsidRDefault="00AA042C" w:rsidP="006B7F6D">
      <w:pPr>
        <w:pStyle w:val="af0"/>
      </w:pPr>
      <w:r>
        <w:rPr>
          <w:rStyle w:val="af2"/>
        </w:rPr>
        <w:footnoteRef/>
      </w:r>
      <w:r w:rsidRPr="003A765B">
        <w:rPr>
          <w:rFonts w:hint="eastAsia"/>
        </w:rPr>
        <w:t>集會遊行法第</w:t>
      </w:r>
      <w:r w:rsidRPr="003A765B">
        <w:rPr>
          <w:rFonts w:hint="eastAsia"/>
        </w:rPr>
        <w:t>24</w:t>
      </w:r>
      <w:r w:rsidRPr="003A765B">
        <w:rPr>
          <w:rFonts w:hint="eastAsia"/>
        </w:rPr>
        <w:t>條第</w:t>
      </w:r>
      <w:r w:rsidRPr="003A765B">
        <w:rPr>
          <w:rFonts w:hint="eastAsia"/>
        </w:rPr>
        <w:t>1</w:t>
      </w:r>
      <w:r w:rsidRPr="003A765B">
        <w:rPr>
          <w:rFonts w:hint="eastAsia"/>
        </w:rPr>
        <w:t>項規定：「集會、遊行時，警察人員得到場維持秩序。」</w:t>
      </w:r>
    </w:p>
  </w:footnote>
  <w:footnote w:id="7">
    <w:p w:rsidR="00AA042C" w:rsidRDefault="00AA042C" w:rsidP="006B7F6D">
      <w:pPr>
        <w:pStyle w:val="af0"/>
      </w:pPr>
      <w:r>
        <w:rPr>
          <w:rStyle w:val="af2"/>
        </w:rPr>
        <w:footnoteRef/>
      </w:r>
      <w:r w:rsidRPr="003A765B">
        <w:rPr>
          <w:rFonts w:hint="eastAsia"/>
        </w:rPr>
        <w:t>集會遊行法第</w:t>
      </w:r>
      <w:r w:rsidRPr="003A765B">
        <w:rPr>
          <w:rFonts w:hint="eastAsia"/>
        </w:rPr>
        <w:t>25</w:t>
      </w:r>
      <w:r w:rsidRPr="003A765B">
        <w:rPr>
          <w:rFonts w:hint="eastAsia"/>
        </w:rPr>
        <w:t>條第</w:t>
      </w:r>
      <w:r w:rsidRPr="003A765B">
        <w:rPr>
          <w:rFonts w:hint="eastAsia"/>
        </w:rPr>
        <w:t>2</w:t>
      </w:r>
      <w:r w:rsidRPr="003A765B">
        <w:rPr>
          <w:rFonts w:hint="eastAsia"/>
        </w:rPr>
        <w:t>項：「前項制止、命令解散，該管主管機關得強制為之。」</w:t>
      </w:r>
    </w:p>
  </w:footnote>
  <w:footnote w:id="8">
    <w:p w:rsidR="00AA042C" w:rsidRPr="00F3252B" w:rsidRDefault="00AA042C" w:rsidP="00B74EE4">
      <w:pPr>
        <w:pStyle w:val="af0"/>
      </w:pPr>
      <w:r>
        <w:rPr>
          <w:rStyle w:val="af2"/>
        </w:rPr>
        <w:footnoteRef/>
      </w:r>
      <w:r w:rsidRPr="00B74EE4">
        <w:rPr>
          <w:rFonts w:hint="eastAsia"/>
        </w:rPr>
        <w:t>行政執行法第</w:t>
      </w:r>
      <w:r w:rsidRPr="00B74EE4">
        <w:rPr>
          <w:rFonts w:hint="eastAsia"/>
        </w:rPr>
        <w:t>28</w:t>
      </w:r>
      <w:r w:rsidRPr="00B74EE4">
        <w:rPr>
          <w:rFonts w:hint="eastAsia"/>
        </w:rPr>
        <w:t>條</w:t>
      </w:r>
      <w:r>
        <w:rPr>
          <w:rFonts w:hint="eastAsia"/>
        </w:rPr>
        <w:t>第</w:t>
      </w:r>
      <w:r>
        <w:rPr>
          <w:rFonts w:hint="eastAsia"/>
        </w:rPr>
        <w:t>2</w:t>
      </w:r>
      <w:r>
        <w:rPr>
          <w:rFonts w:hint="eastAsia"/>
        </w:rPr>
        <w:t>項：「前條所稱之直接強制方法如下：一、扣留、收取交付、解除占有、處置、使用或限制使用動產、不動產。二、進入、封閉、拆除住宅、建築物或其他處所。三、收繳、註銷證照。四、斷絕營業所必須之自來水、電力或其他能源。五、其他以實力直接實現與履行義務同一內容狀態之方法。」</w:t>
      </w:r>
    </w:p>
  </w:footnote>
  <w:footnote w:id="9">
    <w:p w:rsidR="00AA042C" w:rsidRPr="00A73F73" w:rsidRDefault="00AA042C" w:rsidP="006B7F6D">
      <w:pPr>
        <w:pStyle w:val="af0"/>
      </w:pPr>
      <w:r>
        <w:rPr>
          <w:rStyle w:val="af2"/>
        </w:rPr>
        <w:footnoteRef/>
      </w:r>
      <w:r>
        <w:rPr>
          <w:rFonts w:hint="eastAsia"/>
        </w:rPr>
        <w:t>李震山，警察行政法論，初版，</w:t>
      </w:r>
      <w:r>
        <w:rPr>
          <w:rFonts w:hint="eastAsia"/>
        </w:rPr>
        <w:t>96</w:t>
      </w:r>
      <w:r>
        <w:rPr>
          <w:rFonts w:hint="eastAsia"/>
        </w:rPr>
        <w:t>年</w:t>
      </w:r>
      <w:r>
        <w:rPr>
          <w:rFonts w:hint="eastAsia"/>
        </w:rPr>
        <w:t>9</w:t>
      </w:r>
      <w:r>
        <w:rPr>
          <w:rFonts w:hint="eastAsia"/>
        </w:rPr>
        <w:t>月，第</w:t>
      </w:r>
      <w:r>
        <w:rPr>
          <w:rFonts w:hint="eastAsia"/>
        </w:rPr>
        <w:t>293</w:t>
      </w:r>
      <w:r>
        <w:rPr>
          <w:rFonts w:hint="eastAsia"/>
        </w:rPr>
        <w:t>頁。</w:t>
      </w:r>
    </w:p>
  </w:footnote>
  <w:footnote w:id="10">
    <w:p w:rsidR="00AA042C" w:rsidRPr="001D6547" w:rsidRDefault="00AA042C" w:rsidP="006B7F6D">
      <w:pPr>
        <w:pStyle w:val="af0"/>
      </w:pPr>
      <w:r>
        <w:rPr>
          <w:rStyle w:val="af2"/>
        </w:rPr>
        <w:footnoteRef/>
      </w:r>
      <w:r>
        <w:t xml:space="preserve"> </w:t>
      </w:r>
      <w:r>
        <w:rPr>
          <w:rFonts w:hint="eastAsia"/>
        </w:rPr>
        <w:t>林紀東，中華民國憲法逐條釋義（一），</w:t>
      </w:r>
      <w:r>
        <w:rPr>
          <w:rFonts w:hint="eastAsia"/>
        </w:rPr>
        <w:t>71</w:t>
      </w:r>
      <w:r>
        <w:rPr>
          <w:rFonts w:hint="eastAsia"/>
        </w:rPr>
        <w:t>年修訂版，第</w:t>
      </w:r>
      <w:r>
        <w:rPr>
          <w:rFonts w:hint="eastAsia"/>
        </w:rPr>
        <w:t>125</w:t>
      </w:r>
      <w:r>
        <w:rPr>
          <w:rFonts w:hint="eastAsia"/>
        </w:rPr>
        <w:t>頁；吳庚、陳淳文，憲法理論與政府體制，</w:t>
      </w:r>
      <w:r>
        <w:rPr>
          <w:rFonts w:hint="eastAsia"/>
        </w:rPr>
        <w:t>4</w:t>
      </w:r>
      <w:r>
        <w:rPr>
          <w:rFonts w:hint="eastAsia"/>
        </w:rPr>
        <w:t>版，</w:t>
      </w:r>
      <w:r>
        <w:rPr>
          <w:rFonts w:hint="eastAsia"/>
        </w:rPr>
        <w:t>105</w:t>
      </w:r>
      <w:r>
        <w:rPr>
          <w:rFonts w:hint="eastAsia"/>
        </w:rPr>
        <w:t>年</w:t>
      </w:r>
      <w:r>
        <w:rPr>
          <w:rFonts w:hint="eastAsia"/>
        </w:rPr>
        <w:t>9</w:t>
      </w:r>
      <w:r>
        <w:rPr>
          <w:rFonts w:hint="eastAsia"/>
        </w:rPr>
        <w:t>月，第</w:t>
      </w:r>
      <w:r>
        <w:rPr>
          <w:rFonts w:hint="eastAsia"/>
        </w:rPr>
        <w:t>183</w:t>
      </w:r>
      <w:r>
        <w:rPr>
          <w:rFonts w:hint="eastAsia"/>
        </w:rPr>
        <w:t>頁。</w:t>
      </w:r>
    </w:p>
  </w:footnote>
  <w:footnote w:id="11">
    <w:p w:rsidR="00AA042C" w:rsidRPr="001D6547" w:rsidRDefault="00AA042C" w:rsidP="006B7F6D">
      <w:pPr>
        <w:pStyle w:val="af0"/>
      </w:pPr>
      <w:r>
        <w:rPr>
          <w:rStyle w:val="af2"/>
        </w:rPr>
        <w:footnoteRef/>
      </w:r>
      <w:r>
        <w:rPr>
          <w:rFonts w:hint="eastAsia"/>
        </w:rPr>
        <w:t>李震山認為，在遵守「法官保留」的憲法意旨下，或可不依「提審」方式由法官介入，但原則上仍應有法官的許可，但考量急迫情況，宜就法官介入之時機為彈性之規定。警察職權行使法及行政執行法之「管束」皆未就「法定程序」有關法官介入為任何規定，與憲法第</w:t>
      </w:r>
      <w:r>
        <w:rPr>
          <w:rFonts w:hint="eastAsia"/>
        </w:rPr>
        <w:t>8</w:t>
      </w:r>
      <w:r>
        <w:rPr>
          <w:rFonts w:hint="eastAsia"/>
        </w:rPr>
        <w:t>條之精神有違。另警察職權行使法第</w:t>
      </w:r>
      <w:r>
        <w:rPr>
          <w:rFonts w:hint="eastAsia"/>
        </w:rPr>
        <w:t>7</w:t>
      </w:r>
      <w:r>
        <w:rPr>
          <w:rFonts w:hint="eastAsia"/>
        </w:rPr>
        <w:t>條第</w:t>
      </w:r>
      <w:r>
        <w:rPr>
          <w:rFonts w:hint="eastAsia"/>
        </w:rPr>
        <w:t>2</w:t>
      </w:r>
      <w:r>
        <w:rPr>
          <w:rFonts w:hint="eastAsia"/>
        </w:rPr>
        <w:t>項警察為查證身分將人民帶住勤務處所查證，僅踐履告知、通知義務及向上級機構報告，亦認為有違憲法第</w:t>
      </w:r>
      <w:r>
        <w:rPr>
          <w:rFonts w:hint="eastAsia"/>
        </w:rPr>
        <w:t>8</w:t>
      </w:r>
      <w:r>
        <w:rPr>
          <w:rFonts w:hint="eastAsia"/>
        </w:rPr>
        <w:t>條之虞，建議可參酌德國警察「標準草案」第</w:t>
      </w:r>
      <w:r>
        <w:rPr>
          <w:rFonts w:hint="eastAsia"/>
        </w:rPr>
        <w:t>14</w:t>
      </w:r>
      <w:r>
        <w:rPr>
          <w:rFonts w:hint="eastAsia"/>
        </w:rPr>
        <w:t>條第</w:t>
      </w:r>
      <w:r>
        <w:rPr>
          <w:rFonts w:hint="eastAsia"/>
        </w:rPr>
        <w:t>2</w:t>
      </w:r>
      <w:r>
        <w:rPr>
          <w:rFonts w:hint="eastAsia"/>
        </w:rPr>
        <w:t>項規定：「如警察處置原因消滅後，法官之裁定才會達到者，則無須請求法官之裁定」。請參見李震山，警察行政法論，</w:t>
      </w:r>
      <w:r w:rsidRPr="00B74EE4">
        <w:rPr>
          <w:rFonts w:hint="eastAsia"/>
        </w:rPr>
        <w:t>初版，</w:t>
      </w:r>
      <w:r w:rsidRPr="00B74EE4">
        <w:rPr>
          <w:rFonts w:hint="eastAsia"/>
        </w:rPr>
        <w:t>96</w:t>
      </w:r>
      <w:r w:rsidRPr="00B74EE4">
        <w:rPr>
          <w:rFonts w:hint="eastAsia"/>
        </w:rPr>
        <w:t>年</w:t>
      </w:r>
      <w:r w:rsidRPr="00B74EE4">
        <w:rPr>
          <w:rFonts w:hint="eastAsia"/>
        </w:rPr>
        <w:t>9</w:t>
      </w:r>
      <w:r w:rsidRPr="00B74EE4">
        <w:rPr>
          <w:rFonts w:hint="eastAsia"/>
        </w:rPr>
        <w:t>月，</w:t>
      </w:r>
      <w:r>
        <w:rPr>
          <w:rFonts w:hint="eastAsia"/>
        </w:rPr>
        <w:t>第</w:t>
      </w:r>
      <w:r>
        <w:rPr>
          <w:rFonts w:hint="eastAsia"/>
        </w:rPr>
        <w:t>264</w:t>
      </w:r>
      <w:r>
        <w:rPr>
          <w:rFonts w:hint="eastAsia"/>
        </w:rPr>
        <w:t>頁以下。</w:t>
      </w:r>
    </w:p>
  </w:footnote>
  <w:footnote w:id="12">
    <w:p w:rsidR="00AA042C" w:rsidRPr="00562312" w:rsidRDefault="00AA042C" w:rsidP="006B7F6D">
      <w:pPr>
        <w:pStyle w:val="af0"/>
      </w:pPr>
      <w:r>
        <w:rPr>
          <w:rStyle w:val="af2"/>
        </w:rPr>
        <w:footnoteRef/>
      </w:r>
      <w:r>
        <w:rPr>
          <w:rFonts w:hint="eastAsia"/>
        </w:rPr>
        <w:t>警察職權行使法第</w:t>
      </w:r>
      <w:r>
        <w:rPr>
          <w:rFonts w:hint="eastAsia"/>
        </w:rPr>
        <w:t>19</w:t>
      </w:r>
      <w:r>
        <w:rPr>
          <w:rFonts w:hint="eastAsia"/>
        </w:rPr>
        <w:t>條規定：「（第</w:t>
      </w:r>
      <w:r>
        <w:rPr>
          <w:rFonts w:hint="eastAsia"/>
        </w:rPr>
        <w:t>1</w:t>
      </w:r>
      <w:r>
        <w:rPr>
          <w:rFonts w:hint="eastAsia"/>
        </w:rPr>
        <w:t>項）警察對於有下列情形之一者，得為管束：一、瘋狂或酒醉，非管束不能救護其生命、身體之危險，或預防他人生命、身體之危險。二、意圖自殺，非管束不能救護其生命。三、暴行或鬥毆，非管束不能預防其傷害。四、其他認為必須救護或有危害公共安全之虞，非管束不能救護或不能預防危害。（第</w:t>
      </w:r>
      <w:r>
        <w:rPr>
          <w:rFonts w:hint="eastAsia"/>
        </w:rPr>
        <w:t>2</w:t>
      </w:r>
      <w:r>
        <w:rPr>
          <w:rFonts w:hint="eastAsia"/>
        </w:rPr>
        <w:t>項）警察為前項管束，應於危險或危害結束時終止管束，管束時間最長不得逾</w:t>
      </w:r>
      <w:r>
        <w:rPr>
          <w:rFonts w:hint="eastAsia"/>
        </w:rPr>
        <w:t>24</w:t>
      </w:r>
      <w:r>
        <w:rPr>
          <w:rFonts w:hint="eastAsia"/>
        </w:rPr>
        <w:t>小時；並應即時以適當方法通知或交由其家屬或其他關係人，或適當之機關（構）或人員保護。（第</w:t>
      </w:r>
      <w:r>
        <w:rPr>
          <w:rFonts w:hint="eastAsia"/>
        </w:rPr>
        <w:t>3</w:t>
      </w:r>
      <w:r>
        <w:rPr>
          <w:rFonts w:hint="eastAsia"/>
        </w:rPr>
        <w:t>項）警察依第一項規定為管束時，得檢查受管束人之身體及所攜帶之物。」</w:t>
      </w:r>
    </w:p>
  </w:footnote>
  <w:footnote w:id="13">
    <w:p w:rsidR="00AA042C" w:rsidRPr="00AB638F" w:rsidRDefault="00AA042C" w:rsidP="006B7F6D">
      <w:pPr>
        <w:pStyle w:val="af0"/>
      </w:pPr>
      <w:r>
        <w:rPr>
          <w:rStyle w:val="af2"/>
        </w:rPr>
        <w:footnoteRef/>
      </w:r>
      <w:r>
        <w:rPr>
          <w:rFonts w:hint="eastAsia"/>
        </w:rPr>
        <w:t>行政執行法第</w:t>
      </w:r>
      <w:r>
        <w:rPr>
          <w:rFonts w:hint="eastAsia"/>
        </w:rPr>
        <w:t>36</w:t>
      </w:r>
      <w:r>
        <w:rPr>
          <w:rFonts w:hint="eastAsia"/>
        </w:rPr>
        <w:t>條規定：「（第</w:t>
      </w:r>
      <w:r>
        <w:rPr>
          <w:rFonts w:hint="eastAsia"/>
        </w:rPr>
        <w:t>1</w:t>
      </w:r>
      <w:r>
        <w:rPr>
          <w:rFonts w:hint="eastAsia"/>
        </w:rPr>
        <w:t>項）行政機關為阻止犯罪、危害之發生或避免急迫危險，而有即時處置之必要時，得為即時強制。（第</w:t>
      </w:r>
      <w:r>
        <w:rPr>
          <w:rFonts w:hint="eastAsia"/>
        </w:rPr>
        <w:t>2</w:t>
      </w:r>
      <w:r>
        <w:rPr>
          <w:rFonts w:hint="eastAsia"/>
        </w:rPr>
        <w:t>項）即時強制方法如下：一、對於人之管束。二、對於物之扣留、使用、處置或限制其使用。三、對於住宅、建築物或其他處所之進入。四、其他依法定職權所為之必要處置。」第</w:t>
      </w:r>
      <w:r>
        <w:rPr>
          <w:rFonts w:hint="eastAsia"/>
        </w:rPr>
        <w:t>37</w:t>
      </w:r>
      <w:r>
        <w:rPr>
          <w:rFonts w:hint="eastAsia"/>
        </w:rPr>
        <w:t>條規定：「（第</w:t>
      </w:r>
      <w:r>
        <w:rPr>
          <w:rFonts w:hint="eastAsia"/>
        </w:rPr>
        <w:t>1</w:t>
      </w:r>
      <w:r>
        <w:rPr>
          <w:rFonts w:hint="eastAsia"/>
        </w:rPr>
        <w:t>項）對於人之管束，以合於下列情形之一者為限：一、瘋狂或酗酒泥醉，非管束不能救護其生命、身體之危險，及預防他人生命、身體之危險者。二、意圖自殺，非管束不能救護其生命者。三、暴行或鬥毆，非管束不能預防其傷害者。四、其他認為必須救護或有害公共安全之虞，非管束不能救護或不能預防危害者。（第</w:t>
      </w:r>
      <w:r>
        <w:rPr>
          <w:rFonts w:hint="eastAsia"/>
        </w:rPr>
        <w:t>2</w:t>
      </w:r>
      <w:r>
        <w:rPr>
          <w:rFonts w:hint="eastAsia"/>
        </w:rPr>
        <w:t>項）前項管束，不得逾</w:t>
      </w:r>
      <w:r>
        <w:rPr>
          <w:rFonts w:hint="eastAsia"/>
        </w:rPr>
        <w:t>24</w:t>
      </w:r>
      <w:r>
        <w:rPr>
          <w:rFonts w:hint="eastAsia"/>
        </w:rPr>
        <w:t>小時。」</w:t>
      </w:r>
    </w:p>
  </w:footnote>
  <w:footnote w:id="14">
    <w:p w:rsidR="00AA042C" w:rsidRPr="004E78ED" w:rsidRDefault="00AA042C" w:rsidP="006B7F6D">
      <w:pPr>
        <w:pStyle w:val="af0"/>
      </w:pPr>
      <w:r>
        <w:rPr>
          <w:rStyle w:val="af2"/>
        </w:rPr>
        <w:footnoteRef/>
      </w:r>
      <w:r>
        <w:rPr>
          <w:rFonts w:hint="eastAsia"/>
        </w:rPr>
        <w:t>吳庚，行政法之理論與實用，增訂</w:t>
      </w:r>
      <w:r>
        <w:rPr>
          <w:rFonts w:hint="eastAsia"/>
        </w:rPr>
        <w:t>10</w:t>
      </w:r>
      <w:r>
        <w:rPr>
          <w:rFonts w:hint="eastAsia"/>
        </w:rPr>
        <w:t>版，第</w:t>
      </w:r>
      <w:r>
        <w:rPr>
          <w:rFonts w:hint="eastAsia"/>
        </w:rPr>
        <w:t>556</w:t>
      </w:r>
      <w:r>
        <w:rPr>
          <w:rFonts w:hint="eastAsia"/>
        </w:rPr>
        <w:t>頁，</w:t>
      </w:r>
      <w:r>
        <w:rPr>
          <w:rFonts w:hint="eastAsia"/>
        </w:rPr>
        <w:t>97</w:t>
      </w:r>
      <w:r>
        <w:rPr>
          <w:rFonts w:hint="eastAsia"/>
        </w:rPr>
        <w:t>年</w:t>
      </w:r>
      <w:r>
        <w:rPr>
          <w:rFonts w:hint="eastAsia"/>
        </w:rPr>
        <w:t>9</w:t>
      </w:r>
      <w:r>
        <w:rPr>
          <w:rFonts w:hint="eastAsia"/>
        </w:rPr>
        <w:t>月；蔡震榮，行政執行法，收錄於翁岳生編，行政法（下），第</w:t>
      </w:r>
      <w:r>
        <w:rPr>
          <w:rFonts w:hint="eastAsia"/>
        </w:rPr>
        <w:t>259</w:t>
      </w:r>
      <w:r>
        <w:rPr>
          <w:rFonts w:hint="eastAsia"/>
        </w:rPr>
        <w:t>頁，第</w:t>
      </w:r>
      <w:r>
        <w:rPr>
          <w:rFonts w:hint="eastAsia"/>
        </w:rPr>
        <w:t>3</w:t>
      </w:r>
      <w:r>
        <w:rPr>
          <w:rFonts w:hint="eastAsia"/>
        </w:rPr>
        <w:t>版，</w:t>
      </w:r>
      <w:r>
        <w:rPr>
          <w:rFonts w:hint="eastAsia"/>
        </w:rPr>
        <w:t>95</w:t>
      </w:r>
      <w:r>
        <w:rPr>
          <w:rFonts w:hint="eastAsia"/>
        </w:rPr>
        <w:t>年</w:t>
      </w:r>
      <w:r>
        <w:rPr>
          <w:rFonts w:hint="eastAsia"/>
        </w:rPr>
        <w:t>10</w:t>
      </w:r>
      <w:r>
        <w:rPr>
          <w:rFonts w:hint="eastAsia"/>
        </w:rPr>
        <w:t>月；林紀東，行政法，第</w:t>
      </w:r>
      <w:r>
        <w:rPr>
          <w:rFonts w:hint="eastAsia"/>
        </w:rPr>
        <w:t>395</w:t>
      </w:r>
      <w:r>
        <w:rPr>
          <w:rFonts w:hint="eastAsia"/>
        </w:rPr>
        <w:t>頁，</w:t>
      </w:r>
      <w:r>
        <w:rPr>
          <w:rFonts w:hint="eastAsia"/>
        </w:rPr>
        <w:t>66</w:t>
      </w:r>
      <w:r>
        <w:rPr>
          <w:rFonts w:hint="eastAsia"/>
        </w:rPr>
        <w:t>年</w:t>
      </w:r>
      <w:r>
        <w:rPr>
          <w:rFonts w:hint="eastAsia"/>
        </w:rPr>
        <w:t>1</w:t>
      </w:r>
      <w:r>
        <w:rPr>
          <w:rFonts w:hint="eastAsia"/>
        </w:rPr>
        <w:t>月。</w:t>
      </w:r>
    </w:p>
  </w:footnote>
  <w:footnote w:id="15">
    <w:p w:rsidR="00AA042C" w:rsidRPr="00A80C7A" w:rsidRDefault="00AA042C" w:rsidP="006B7F6D">
      <w:pPr>
        <w:pStyle w:val="af0"/>
      </w:pPr>
      <w:r>
        <w:rPr>
          <w:rStyle w:val="af2"/>
        </w:rPr>
        <w:footnoteRef/>
      </w:r>
      <w:r>
        <w:rPr>
          <w:rFonts w:hint="eastAsia"/>
        </w:rPr>
        <w:t>李震山，警察任務法論，第</w:t>
      </w:r>
      <w:r>
        <w:rPr>
          <w:rFonts w:hint="eastAsia"/>
        </w:rPr>
        <w:t>411</w:t>
      </w:r>
      <w:r>
        <w:rPr>
          <w:rFonts w:hint="eastAsia"/>
        </w:rPr>
        <w:t>頁</w:t>
      </w:r>
      <w:r w:rsidRPr="00480357">
        <w:rPr>
          <w:rFonts w:hint="eastAsia"/>
          <w:color w:val="7030A0"/>
        </w:rPr>
        <w:t>。</w:t>
      </w:r>
    </w:p>
  </w:footnote>
  <w:footnote w:id="16">
    <w:p w:rsidR="00AA042C" w:rsidRDefault="00AA042C" w:rsidP="006B7F6D">
      <w:pPr>
        <w:pStyle w:val="af0"/>
      </w:pPr>
      <w:r>
        <w:rPr>
          <w:rStyle w:val="af2"/>
        </w:rPr>
        <w:footnoteRef/>
      </w:r>
      <w:r>
        <w:rPr>
          <w:rFonts w:hint="eastAsia"/>
        </w:rPr>
        <w:t>林佳和，《集會遊行上的警察權發動》，月旦法學教室第</w:t>
      </w:r>
      <w:r>
        <w:rPr>
          <w:rFonts w:hint="eastAsia"/>
        </w:rPr>
        <w:t>166</w:t>
      </w:r>
      <w:r>
        <w:rPr>
          <w:rFonts w:hint="eastAsia"/>
        </w:rPr>
        <w:t>期，</w:t>
      </w:r>
      <w:r>
        <w:rPr>
          <w:rFonts w:hint="eastAsia"/>
        </w:rPr>
        <w:t>2016</w:t>
      </w:r>
      <w:r>
        <w:rPr>
          <w:rFonts w:hint="eastAsia"/>
        </w:rPr>
        <w:t>年</w:t>
      </w:r>
      <w:r>
        <w:rPr>
          <w:rFonts w:hint="eastAsia"/>
        </w:rPr>
        <w:t>8</w:t>
      </w:r>
      <w:r>
        <w:rPr>
          <w:rFonts w:hint="eastAsia"/>
        </w:rPr>
        <w:t>月，第</w:t>
      </w:r>
      <w:r>
        <w:rPr>
          <w:rFonts w:hint="eastAsia"/>
        </w:rPr>
        <w:t>9</w:t>
      </w:r>
      <w:r>
        <w:rPr>
          <w:rFonts w:hint="eastAsia"/>
        </w:rPr>
        <w:t>至</w:t>
      </w:r>
      <w:r>
        <w:rPr>
          <w:rFonts w:hint="eastAsia"/>
        </w:rPr>
        <w:t>11</w:t>
      </w:r>
      <w:r>
        <w:rPr>
          <w:rFonts w:hint="eastAsia"/>
        </w:rPr>
        <w:t>頁。</w:t>
      </w:r>
    </w:p>
  </w:footnote>
  <w:footnote w:id="17">
    <w:p w:rsidR="00AA042C" w:rsidRPr="005E1DF2" w:rsidRDefault="00AA042C" w:rsidP="006B7F6D">
      <w:pPr>
        <w:pStyle w:val="af0"/>
      </w:pPr>
      <w:r>
        <w:rPr>
          <w:rStyle w:val="af2"/>
        </w:rPr>
        <w:footnoteRef/>
      </w:r>
      <w:r>
        <w:rPr>
          <w:rFonts w:hint="eastAsia"/>
        </w:rPr>
        <w:t>李震山，《</w:t>
      </w:r>
      <w:r w:rsidRPr="005E1DF2">
        <w:rPr>
          <w:rFonts w:hint="eastAsia"/>
        </w:rPr>
        <w:t>警察法第五講　警察作用與基本權利保障（三）</w:t>
      </w:r>
      <w:r>
        <w:rPr>
          <w:rFonts w:hint="eastAsia"/>
        </w:rPr>
        <w:t>》，月旦法學教室，第</w:t>
      </w:r>
      <w:r>
        <w:rPr>
          <w:rFonts w:hint="eastAsia"/>
        </w:rPr>
        <w:t>49</w:t>
      </w:r>
      <w:r>
        <w:rPr>
          <w:rFonts w:hint="eastAsia"/>
        </w:rPr>
        <w:t>期，</w:t>
      </w:r>
      <w:r w:rsidRPr="00BD47D8">
        <w:rPr>
          <w:rFonts w:hint="eastAsia"/>
          <w:color w:val="7030A0"/>
        </w:rPr>
        <w:t>第</w:t>
      </w:r>
      <w:r>
        <w:rPr>
          <w:rFonts w:hint="eastAsia"/>
        </w:rPr>
        <w:t>68-77</w:t>
      </w:r>
      <w:r>
        <w:rPr>
          <w:rFonts w:hint="eastAsia"/>
        </w:rPr>
        <w:t>頁，</w:t>
      </w:r>
      <w:r>
        <w:rPr>
          <w:rFonts w:hint="eastAsia"/>
        </w:rPr>
        <w:t>2006</w:t>
      </w:r>
      <w:r>
        <w:rPr>
          <w:rFonts w:hint="eastAsia"/>
        </w:rPr>
        <w:t>年</w:t>
      </w:r>
      <w:r>
        <w:rPr>
          <w:rFonts w:hint="eastAsia"/>
        </w:rPr>
        <w:t>11</w:t>
      </w:r>
      <w:r>
        <w:rPr>
          <w:rFonts w:hint="eastAsia"/>
        </w:rPr>
        <w:t>月。</w:t>
      </w:r>
    </w:p>
  </w:footnote>
  <w:footnote w:id="18">
    <w:p w:rsidR="00AA042C" w:rsidRPr="00F24A97" w:rsidRDefault="00AA042C" w:rsidP="006B7F6D">
      <w:pPr>
        <w:pStyle w:val="af0"/>
      </w:pPr>
      <w:r>
        <w:rPr>
          <w:rStyle w:val="af2"/>
        </w:rPr>
        <w:footnoteRef/>
      </w:r>
      <w:r>
        <w:rPr>
          <w:rFonts w:hint="eastAsia"/>
        </w:rPr>
        <w:t>請參見歐洲安全與合作組</w:t>
      </w:r>
      <w:r w:rsidRPr="001D6609">
        <w:rPr>
          <w:rFonts w:hint="eastAsia"/>
        </w:rPr>
        <w:t>織（</w:t>
      </w:r>
      <w:r w:rsidRPr="001D6609">
        <w:t>Organization for Security and Co-operation in Europe</w:t>
      </w:r>
      <w:r w:rsidRPr="001D6609">
        <w:rPr>
          <w:rFonts w:hint="eastAsia"/>
        </w:rPr>
        <w:t>，</w:t>
      </w:r>
      <w:r w:rsidRPr="001D6609">
        <w:rPr>
          <w:rFonts w:hint="eastAsia"/>
        </w:rPr>
        <w:t>OSCE</w:t>
      </w:r>
      <w:r w:rsidRPr="001D6609">
        <w:rPr>
          <w:rFonts w:hint="eastAsia"/>
        </w:rPr>
        <w:t>）「和平集遊人權準則手冊」（</w:t>
      </w:r>
      <w:r w:rsidRPr="001D6609">
        <w:rPr>
          <w:rFonts w:hint="eastAsia"/>
        </w:rPr>
        <w:t>G</w:t>
      </w:r>
      <w:r w:rsidRPr="001D6609">
        <w:t xml:space="preserve">uidelines on </w:t>
      </w:r>
      <w:r w:rsidRPr="001D6609">
        <w:rPr>
          <w:rFonts w:hint="eastAsia"/>
        </w:rPr>
        <w:t>F</w:t>
      </w:r>
      <w:r w:rsidRPr="001D6609">
        <w:t xml:space="preserve">reedom of </w:t>
      </w:r>
      <w:r w:rsidRPr="001D6609">
        <w:rPr>
          <w:rFonts w:hint="eastAsia"/>
        </w:rPr>
        <w:t>P</w:t>
      </w:r>
      <w:r w:rsidRPr="001D6609">
        <w:t xml:space="preserve">eaceful </w:t>
      </w:r>
      <w:r w:rsidRPr="001D6609">
        <w:rPr>
          <w:rFonts w:hint="eastAsia"/>
        </w:rPr>
        <w:t>A</w:t>
      </w:r>
      <w:r w:rsidRPr="001D6609">
        <w:t>ssembly</w:t>
      </w:r>
      <w:r w:rsidRPr="001D6609">
        <w:rPr>
          <w:rFonts w:hint="eastAsia"/>
        </w:rPr>
        <w:t>，</w:t>
      </w:r>
      <w:r w:rsidRPr="001D6609">
        <w:rPr>
          <w:rFonts w:hint="eastAsia"/>
        </w:rPr>
        <w:t>2006</w:t>
      </w:r>
      <w:r w:rsidRPr="001D6609">
        <w:rPr>
          <w:rFonts w:hint="eastAsia"/>
        </w:rPr>
        <w:t>），該手冊中文版請參考台灣人權促進會網站：</w:t>
      </w:r>
      <w:r w:rsidRPr="001D6609">
        <w:t>https://www.tahr.org.tw/publication/1125</w:t>
      </w:r>
      <w:r w:rsidRPr="001D6609">
        <w:rPr>
          <w:rFonts w:hint="eastAsia"/>
        </w:rPr>
        <w:t>。</w:t>
      </w:r>
    </w:p>
  </w:footnote>
  <w:footnote w:id="19">
    <w:p w:rsidR="00AA042C" w:rsidRPr="007D3BD2" w:rsidRDefault="00AA042C" w:rsidP="006B7F6D">
      <w:pPr>
        <w:pStyle w:val="af0"/>
      </w:pPr>
      <w:r>
        <w:rPr>
          <w:rStyle w:val="af2"/>
        </w:rPr>
        <w:footnoteRef/>
      </w:r>
      <w:r>
        <w:t xml:space="preserve"> </w:t>
      </w:r>
      <w:r>
        <w:rPr>
          <w:rFonts w:hint="eastAsia"/>
        </w:rPr>
        <w:t>林志潔、陳圓元，《逮捕、丟包與陳抗》，台灣法學雜誌，第</w:t>
      </w:r>
      <w:r>
        <w:rPr>
          <w:rFonts w:hint="eastAsia"/>
        </w:rPr>
        <w:t>335</w:t>
      </w:r>
      <w:r>
        <w:rPr>
          <w:rFonts w:hint="eastAsia"/>
        </w:rPr>
        <w:t>期，</w:t>
      </w:r>
      <w:r>
        <w:rPr>
          <w:rFonts w:hint="eastAsia"/>
        </w:rPr>
        <w:t>107</w:t>
      </w:r>
      <w:r>
        <w:rPr>
          <w:rFonts w:hint="eastAsia"/>
        </w:rPr>
        <w:t>年</w:t>
      </w:r>
      <w:r>
        <w:rPr>
          <w:rFonts w:hint="eastAsia"/>
        </w:rPr>
        <w:t>1</w:t>
      </w:r>
      <w:r>
        <w:rPr>
          <w:rFonts w:hint="eastAsia"/>
        </w:rPr>
        <w:t>月，第</w:t>
      </w:r>
      <w:r>
        <w:rPr>
          <w:rFonts w:hint="eastAsia"/>
        </w:rPr>
        <w:t>20-23</w:t>
      </w:r>
      <w:r>
        <w:rPr>
          <w:rFonts w:hint="eastAsia"/>
        </w:rPr>
        <w:t>頁</w:t>
      </w:r>
    </w:p>
  </w:footnote>
  <w:footnote w:id="20">
    <w:p w:rsidR="00AA042C" w:rsidRPr="006A3B40" w:rsidRDefault="00AA042C" w:rsidP="006B7F6D">
      <w:pPr>
        <w:pStyle w:val="af0"/>
      </w:pPr>
      <w:r>
        <w:rPr>
          <w:rStyle w:val="af2"/>
        </w:rPr>
        <w:footnoteRef/>
      </w:r>
      <w:r w:rsidRPr="006A3B40">
        <w:rPr>
          <w:rFonts w:hint="eastAsia"/>
        </w:rPr>
        <w:t>媒體報導，警員在《</w:t>
      </w:r>
      <w:r w:rsidRPr="006A3B40">
        <w:rPr>
          <w:rFonts w:hint="eastAsia"/>
        </w:rPr>
        <w:t>NPA</w:t>
      </w:r>
      <w:r w:rsidRPr="006A3B40">
        <w:rPr>
          <w:rFonts w:hint="eastAsia"/>
        </w:rPr>
        <w:t>署長室》留言：「我們是一批來自外縣市的保安機動支援警力，許多同仁當日熬著深夜勤，一早集合出發到臺北支援陳抗，從中午抵達一直服勤到現在已凌晨</w:t>
      </w:r>
      <w:r w:rsidRPr="006A3B40">
        <w:rPr>
          <w:rFonts w:hint="eastAsia"/>
        </w:rPr>
        <w:t>2</w:t>
      </w:r>
      <w:r w:rsidRPr="006A3B40">
        <w:rPr>
          <w:rFonts w:hint="eastAsia"/>
        </w:rPr>
        <w:t>點多了，沒有任何替換的警力，敢問警政署跟臺北市政府警察局到底有什麼作為？」「請問署長，</w:t>
      </w:r>
      <w:r w:rsidRPr="006A3B40">
        <w:rPr>
          <w:rFonts w:hint="eastAsia"/>
        </w:rPr>
        <w:t>23</w:t>
      </w:r>
      <w:r w:rsidRPr="006A3B40">
        <w:rPr>
          <w:rFonts w:hint="eastAsia"/>
        </w:rPr>
        <w:t>日勞工遊行，以</w:t>
      </w:r>
      <w:r w:rsidRPr="006A3B40">
        <w:rPr>
          <w:rFonts w:hint="eastAsia"/>
        </w:rPr>
        <w:t>2000</w:t>
      </w:r>
      <w:r w:rsidRPr="006A3B40">
        <w:rPr>
          <w:rFonts w:hint="eastAsia"/>
        </w:rPr>
        <w:t>名警察陪</w:t>
      </w:r>
      <w:r w:rsidRPr="006A3B40">
        <w:rPr>
          <w:rFonts w:hint="eastAsia"/>
        </w:rPr>
        <w:t>300</w:t>
      </w:r>
      <w:r w:rsidRPr="006A3B40">
        <w:rPr>
          <w:rFonts w:hint="eastAsia"/>
        </w:rPr>
        <w:t>屁小孩在街頭玩追逐遊戲，讓你的子弟兵在寒冷的街道站了</w:t>
      </w:r>
      <w:r w:rsidRPr="006A3B40">
        <w:rPr>
          <w:rFonts w:hint="eastAsia"/>
        </w:rPr>
        <w:t>20</w:t>
      </w:r>
      <w:r w:rsidRPr="006A3B40">
        <w:rPr>
          <w:rFonts w:hint="eastAsia"/>
        </w:rPr>
        <w:t>小時以上，以後這樣的應對方式勤務部署難道會成常態。」</w:t>
      </w:r>
    </w:p>
  </w:footnote>
  <w:footnote w:id="21">
    <w:p w:rsidR="00AA042C" w:rsidRPr="001D6609" w:rsidRDefault="00AA042C" w:rsidP="006B7F6D">
      <w:pPr>
        <w:pStyle w:val="af0"/>
      </w:pPr>
      <w:r w:rsidRPr="001D6609">
        <w:rPr>
          <w:rStyle w:val="af2"/>
        </w:rPr>
        <w:footnoteRef/>
      </w:r>
      <w:r w:rsidRPr="001D6609">
        <w:rPr>
          <w:rFonts w:hint="eastAsia"/>
        </w:rPr>
        <w:t>同註</w:t>
      </w:r>
      <w:r w:rsidRPr="001D6609">
        <w:rPr>
          <w:rFonts w:hint="eastAsia"/>
        </w:rPr>
        <w:t>28</w:t>
      </w:r>
      <w:r w:rsidRPr="001D6609">
        <w:rPr>
          <w:rFonts w:hint="eastAsia"/>
        </w:rPr>
        <w:t>。</w:t>
      </w:r>
    </w:p>
  </w:footnote>
  <w:footnote w:id="22">
    <w:p w:rsidR="00AA042C" w:rsidRPr="00DA637B" w:rsidRDefault="00AA042C" w:rsidP="006B7F6D">
      <w:pPr>
        <w:pStyle w:val="af0"/>
      </w:pPr>
      <w:r>
        <w:rPr>
          <w:rStyle w:val="af2"/>
        </w:rPr>
        <w:footnoteRef/>
      </w:r>
      <w:r>
        <w:rPr>
          <w:rFonts w:hint="eastAsia"/>
        </w:rPr>
        <w:t>李震山，警察任務法論，第</w:t>
      </w:r>
      <w:r>
        <w:rPr>
          <w:rFonts w:hint="eastAsia"/>
        </w:rPr>
        <w:t>215-216</w:t>
      </w:r>
      <w:r>
        <w:rPr>
          <w:rFonts w:hint="eastAsia"/>
        </w:rPr>
        <w:t>頁。</w:t>
      </w:r>
    </w:p>
  </w:footnote>
  <w:footnote w:id="23">
    <w:p w:rsidR="00AA042C" w:rsidRPr="001D6609" w:rsidRDefault="00AA042C">
      <w:pPr>
        <w:pStyle w:val="af0"/>
      </w:pPr>
      <w:r w:rsidRPr="001D6609">
        <w:rPr>
          <w:rStyle w:val="af2"/>
        </w:rPr>
        <w:footnoteRef/>
      </w:r>
      <w:r w:rsidRPr="001D6609">
        <w:rPr>
          <w:rFonts w:ascii="標楷體" w:hAnsi="Arial" w:hint="eastAsia"/>
          <w:szCs w:val="36"/>
        </w:rPr>
        <w:t xml:space="preserve"> 世界人權宣言第20條：「（第1項）人人有權享有和平集會和結社的自由。」</w:t>
      </w:r>
    </w:p>
  </w:footnote>
  <w:footnote w:id="24">
    <w:p w:rsidR="00AA042C" w:rsidRPr="00445754" w:rsidRDefault="00AA042C" w:rsidP="00445754">
      <w:pPr>
        <w:pStyle w:val="af0"/>
        <w:rPr>
          <w:color w:val="7030A0"/>
        </w:rPr>
      </w:pPr>
      <w:r w:rsidRPr="001D6609">
        <w:rPr>
          <w:rStyle w:val="af2"/>
        </w:rPr>
        <w:footnoteRef/>
      </w:r>
      <w:r w:rsidRPr="001D6609">
        <w:rPr>
          <w:rFonts w:ascii="標楷體" w:hAnsi="Arial" w:hint="eastAsia"/>
          <w:szCs w:val="36"/>
        </w:rPr>
        <w:t xml:space="preserve"> 公民與政治權利國際公約第21條：「和平集會之權利，應予確認。除依法律之規定，且為民主社會維護國家安全或公共安寧、公共秩序、維持公共衛生或風化、或保障他人權利自由所必要者外，不得限制此種權利之行使。」</w:t>
      </w:r>
    </w:p>
  </w:footnote>
  <w:footnote w:id="25">
    <w:p w:rsidR="00AA042C" w:rsidRPr="00E66335" w:rsidRDefault="00AA042C" w:rsidP="006B7F6D">
      <w:pPr>
        <w:pStyle w:val="af0"/>
      </w:pPr>
      <w:r>
        <w:rPr>
          <w:rStyle w:val="af2"/>
        </w:rPr>
        <w:footnoteRef/>
      </w:r>
      <w:r>
        <w:rPr>
          <w:rFonts w:hint="eastAsia"/>
        </w:rPr>
        <w:t>蔡庭榕，《群眾活動處理機制與集會自由保障》，中央警察大學學報第</w:t>
      </w:r>
      <w:r>
        <w:rPr>
          <w:rFonts w:hint="eastAsia"/>
        </w:rPr>
        <w:t>52</w:t>
      </w:r>
      <w:r>
        <w:rPr>
          <w:rFonts w:hint="eastAsia"/>
        </w:rPr>
        <w:t>期，第</w:t>
      </w:r>
      <w:r>
        <w:rPr>
          <w:rFonts w:hint="eastAsia"/>
        </w:rPr>
        <w:t>20-22</w:t>
      </w:r>
      <w:r>
        <w:rPr>
          <w:rFonts w:hint="eastAsia"/>
        </w:rPr>
        <w:t>頁</w:t>
      </w:r>
    </w:p>
  </w:footnote>
  <w:footnote w:id="26">
    <w:p w:rsidR="00AA042C" w:rsidRDefault="00AA042C" w:rsidP="006B7F6D">
      <w:pPr>
        <w:pStyle w:val="af0"/>
      </w:pPr>
      <w:r>
        <w:rPr>
          <w:rStyle w:val="af2"/>
        </w:rPr>
        <w:footnoteRef/>
      </w:r>
      <w:r w:rsidRPr="00247D26">
        <w:rPr>
          <w:rFonts w:hint="eastAsia"/>
        </w:rPr>
        <w:t>蔡震榮，</w:t>
      </w:r>
      <w:r>
        <w:rPr>
          <w:rFonts w:hint="eastAsia"/>
        </w:rPr>
        <w:t>《</w:t>
      </w:r>
      <w:r w:rsidRPr="00247D26">
        <w:rPr>
          <w:rFonts w:hint="eastAsia"/>
        </w:rPr>
        <w:t>警察處理集會遊行案件與人民權利義務的保障</w:t>
      </w:r>
      <w:r>
        <w:rPr>
          <w:rFonts w:hint="eastAsia"/>
        </w:rPr>
        <w:t>》</w:t>
      </w:r>
      <w:r w:rsidRPr="00247D26">
        <w:rPr>
          <w:rFonts w:hint="eastAsia"/>
        </w:rPr>
        <w:t>，收錄於：變遷中的警察法與公法學，</w:t>
      </w:r>
      <w:r w:rsidRPr="00247D26">
        <w:rPr>
          <w:rFonts w:hint="eastAsia"/>
        </w:rPr>
        <w:t>2008</w:t>
      </w:r>
      <w:r w:rsidRPr="00247D26">
        <w:rPr>
          <w:rFonts w:hint="eastAsia"/>
        </w:rPr>
        <w:t>年</w:t>
      </w:r>
      <w:r w:rsidRPr="00247D26">
        <w:rPr>
          <w:rFonts w:hint="eastAsia"/>
        </w:rPr>
        <w:t>8</w:t>
      </w:r>
      <w:r w:rsidRPr="00247D26">
        <w:rPr>
          <w:rFonts w:hint="eastAsia"/>
        </w:rPr>
        <w:t>月，第</w:t>
      </w:r>
      <w:r>
        <w:rPr>
          <w:rFonts w:hint="eastAsia"/>
        </w:rPr>
        <w:t>11</w:t>
      </w:r>
      <w:r w:rsidRPr="00247D26">
        <w:rPr>
          <w:rFonts w:hint="eastAsia"/>
        </w:rPr>
        <w:t>頁。</w:t>
      </w:r>
    </w:p>
  </w:footnote>
  <w:footnote w:id="27">
    <w:p w:rsidR="00AA042C" w:rsidRPr="008E1A83" w:rsidRDefault="00AA042C">
      <w:pPr>
        <w:pStyle w:val="af0"/>
      </w:pPr>
      <w:r>
        <w:rPr>
          <w:rStyle w:val="af2"/>
        </w:rPr>
        <w:footnoteRef/>
      </w:r>
      <w:r>
        <w:rPr>
          <w:rFonts w:ascii="標楷體" w:hAnsi="Arial" w:hint="eastAsia"/>
          <w:bCs/>
          <w:kern w:val="0"/>
          <w:szCs w:val="36"/>
        </w:rPr>
        <w:t>行政院</w:t>
      </w:r>
      <w:r w:rsidRPr="006B7F6D">
        <w:rPr>
          <w:rFonts w:ascii="標楷體" w:hAnsi="Arial" w:hint="eastAsia"/>
          <w:bCs/>
          <w:kern w:val="0"/>
          <w:szCs w:val="36"/>
        </w:rPr>
        <w:t>105年2月1日</w:t>
      </w:r>
      <w:r>
        <w:rPr>
          <w:rFonts w:ascii="標楷體" w:hAnsi="Arial" w:hint="eastAsia"/>
          <w:bCs/>
          <w:kern w:val="0"/>
          <w:szCs w:val="36"/>
        </w:rPr>
        <w:t>函請立法院審議</w:t>
      </w:r>
      <w:r w:rsidRPr="006B7F6D">
        <w:rPr>
          <w:rFonts w:ascii="標楷體" w:hAnsi="Arial" w:hint="eastAsia"/>
          <w:bCs/>
          <w:kern w:val="0"/>
          <w:szCs w:val="36"/>
        </w:rPr>
        <w:t>之集遊法修正草案，業將許可制改為報備制，增列報備之相關規定，及增訂偶發性、緊急性集會遊行</w:t>
      </w:r>
      <w:r>
        <w:rPr>
          <w:rFonts w:ascii="標楷體" w:hAnsi="Arial" w:hint="eastAsia"/>
          <w:bCs/>
          <w:kern w:val="0"/>
          <w:szCs w:val="36"/>
        </w:rPr>
        <w:t>相關規定</w:t>
      </w:r>
      <w:r w:rsidRPr="006B7F6D">
        <w:rPr>
          <w:rFonts w:ascii="標楷體" w:hAnsi="Arial" w:hint="eastAsia"/>
          <w:bCs/>
          <w:kern w:val="0"/>
          <w:szCs w:val="36"/>
        </w:rPr>
        <w:t>。</w:t>
      </w:r>
    </w:p>
  </w:footnote>
  <w:footnote w:id="28">
    <w:p w:rsidR="00AA042C" w:rsidRPr="008E1A83" w:rsidRDefault="00AA042C">
      <w:pPr>
        <w:pStyle w:val="af0"/>
      </w:pPr>
      <w:r>
        <w:rPr>
          <w:rStyle w:val="af2"/>
        </w:rPr>
        <w:footnoteRef/>
      </w:r>
      <w:r w:rsidRPr="006B7F6D">
        <w:rPr>
          <w:rFonts w:ascii="標楷體" w:hAnsi="Arial" w:hint="eastAsia"/>
          <w:bCs/>
          <w:kern w:val="0"/>
          <w:szCs w:val="36"/>
        </w:rPr>
        <w:t>依集會遊行法第28條規定，現場指揮官制止及命令解散後，群眾不遵令解散，主管機關對集會遊行負責人或其代理人或主持人得處以罰鍰；同法第29條規定，命令解散後，群眾不解散，經警方再次制止後依然不解散，「首謀者」負有拘役或2年以下有期徒刑之刑事責任</w:t>
      </w:r>
      <w:r>
        <w:rPr>
          <w:rFonts w:ascii="標楷體" w:hAnsi="Arial" w:hint="eastAsia"/>
          <w:bCs/>
          <w:kern w:val="0"/>
          <w:szCs w:val="36"/>
        </w:rPr>
        <w:t>。</w:t>
      </w:r>
      <w:r w:rsidRPr="006B7F6D">
        <w:rPr>
          <w:rFonts w:ascii="標楷體" w:hAnsi="Arial" w:hint="eastAsia"/>
          <w:bCs/>
          <w:kern w:val="0"/>
          <w:szCs w:val="36"/>
        </w:rPr>
        <w:t>亦即警方命令解散與制止</w:t>
      </w:r>
      <w:r>
        <w:rPr>
          <w:rFonts w:ascii="標楷體" w:hAnsi="Arial" w:hint="eastAsia"/>
          <w:bCs/>
          <w:kern w:val="0"/>
          <w:szCs w:val="36"/>
        </w:rPr>
        <w:t>之</w:t>
      </w:r>
      <w:r w:rsidRPr="006B7F6D">
        <w:rPr>
          <w:rFonts w:ascii="標楷體" w:hAnsi="Arial" w:hint="eastAsia"/>
          <w:bCs/>
          <w:kern w:val="0"/>
          <w:szCs w:val="36"/>
        </w:rPr>
        <w:t>法律性質屬行政處分，且成為行政罰與刑事罰的構成要件</w:t>
      </w:r>
      <w:r>
        <w:rPr>
          <w:rFonts w:ascii="標楷體" w:hAnsi="Arial" w:hint="eastAsia"/>
          <w:bCs/>
          <w:kern w:val="0"/>
          <w:szCs w:val="36"/>
        </w:rPr>
        <w:t>。</w:t>
      </w:r>
      <w:r>
        <w:rPr>
          <w:rFonts w:hint="eastAsia"/>
        </w:rPr>
        <w:t>內政部修法草案已將</w:t>
      </w:r>
      <w:r>
        <w:rPr>
          <w:rFonts w:hint="eastAsia"/>
        </w:rPr>
        <w:t>29</w:t>
      </w:r>
      <w:r>
        <w:rPr>
          <w:rFonts w:hint="eastAsia"/>
        </w:rPr>
        <w:t>條刪除，回歸刑法第</w:t>
      </w:r>
      <w:r>
        <w:rPr>
          <w:rFonts w:hint="eastAsia"/>
        </w:rPr>
        <w:t>149</w:t>
      </w:r>
      <w:r>
        <w:rPr>
          <w:rFonts w:hint="eastAsia"/>
        </w:rPr>
        <w:t>條意圖為強暴脅迫之非和平集會遊行不遵令解散罪。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66096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40E0751"/>
    <w:multiLevelType w:val="hybridMultilevel"/>
    <w:tmpl w:val="AEFA5D64"/>
    <w:lvl w:ilvl="0" w:tplc="B4A4A93E">
      <w:start w:val="1"/>
      <w:numFmt w:val="ideographLegalTraditional"/>
      <w:lvlText w:val="%1、"/>
      <w:lvlJc w:val="left"/>
      <w:pPr>
        <w:ind w:left="720" w:hanging="720"/>
      </w:pPr>
      <w:rPr>
        <w:rFonts w:hint="default"/>
      </w:rPr>
    </w:lvl>
    <w:lvl w:ilvl="1" w:tplc="1B6A395E">
      <w:start w:val="1"/>
      <w:numFmt w:val="taiwaneseCountingThousand"/>
      <w:lvlText w:val="%2、"/>
      <w:lvlJc w:val="left"/>
      <w:pPr>
        <w:ind w:left="3174" w:hanging="480"/>
      </w:pPr>
      <w:rPr>
        <w:b w:val="0"/>
      </w:rPr>
    </w:lvl>
    <w:lvl w:ilvl="2" w:tplc="7166D628">
      <w:start w:val="1"/>
      <w:numFmt w:val="taiwaneseCountingThousand"/>
      <w:lvlText w:val="（%3）"/>
      <w:lvlJc w:val="left"/>
      <w:pPr>
        <w:ind w:left="1440" w:hanging="480"/>
      </w:pPr>
      <w:rPr>
        <w:rFonts w:hint="default"/>
        <w:lang w:val="en-US"/>
      </w:rPr>
    </w:lvl>
    <w:lvl w:ilvl="3" w:tplc="053404BA">
      <w:start w:val="1"/>
      <w:numFmt w:val="decimalFullWidth"/>
      <w:lvlText w:val="%4、"/>
      <w:lvlJc w:val="left"/>
      <w:pPr>
        <w:ind w:left="1920" w:hanging="480"/>
      </w:pPr>
      <w:rPr>
        <w:rFonts w:hint="default"/>
      </w:rPr>
    </w:lvl>
    <w:lvl w:ilvl="4" w:tplc="B1EE843A">
      <w:start w:val="1"/>
      <w:numFmt w:val="decimalFullWidth"/>
      <w:lvlText w:val="（%5）"/>
      <w:lvlJc w:val="left"/>
      <w:pPr>
        <w:ind w:left="2040" w:hanging="48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1"/>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26"/>
    <w:rsid w:val="00007B6D"/>
    <w:rsid w:val="000131FC"/>
    <w:rsid w:val="000226E5"/>
    <w:rsid w:val="0004104E"/>
    <w:rsid w:val="000B673D"/>
    <w:rsid w:val="000C10D2"/>
    <w:rsid w:val="000D196D"/>
    <w:rsid w:val="000E3A1A"/>
    <w:rsid w:val="000F16C3"/>
    <w:rsid w:val="000F4ECD"/>
    <w:rsid w:val="00100260"/>
    <w:rsid w:val="00101539"/>
    <w:rsid w:val="00114F59"/>
    <w:rsid w:val="00115214"/>
    <w:rsid w:val="00121E90"/>
    <w:rsid w:val="001225C3"/>
    <w:rsid w:val="00137F06"/>
    <w:rsid w:val="00157336"/>
    <w:rsid w:val="001645BB"/>
    <w:rsid w:val="0017793F"/>
    <w:rsid w:val="00185041"/>
    <w:rsid w:val="00197154"/>
    <w:rsid w:val="001A7148"/>
    <w:rsid w:val="001D3D17"/>
    <w:rsid w:val="001D6609"/>
    <w:rsid w:val="001D6D6A"/>
    <w:rsid w:val="001E3A30"/>
    <w:rsid w:val="00207202"/>
    <w:rsid w:val="00221E46"/>
    <w:rsid w:val="00235C59"/>
    <w:rsid w:val="00245BD4"/>
    <w:rsid w:val="002473B0"/>
    <w:rsid w:val="00251D53"/>
    <w:rsid w:val="00255BE9"/>
    <w:rsid w:val="0025646C"/>
    <w:rsid w:val="00275C46"/>
    <w:rsid w:val="00290B84"/>
    <w:rsid w:val="002912A4"/>
    <w:rsid w:val="002A2392"/>
    <w:rsid w:val="002A3407"/>
    <w:rsid w:val="002A5859"/>
    <w:rsid w:val="002B05CC"/>
    <w:rsid w:val="002B0755"/>
    <w:rsid w:val="002B0C1C"/>
    <w:rsid w:val="002D3025"/>
    <w:rsid w:val="002D39CD"/>
    <w:rsid w:val="002E14EE"/>
    <w:rsid w:val="002E2375"/>
    <w:rsid w:val="002E72F4"/>
    <w:rsid w:val="003027FD"/>
    <w:rsid w:val="003111F9"/>
    <w:rsid w:val="00333809"/>
    <w:rsid w:val="0033586A"/>
    <w:rsid w:val="00346562"/>
    <w:rsid w:val="003753F3"/>
    <w:rsid w:val="003B3ECC"/>
    <w:rsid w:val="003B4189"/>
    <w:rsid w:val="003B5838"/>
    <w:rsid w:val="003B7952"/>
    <w:rsid w:val="003E0300"/>
    <w:rsid w:val="003F0E4D"/>
    <w:rsid w:val="00414473"/>
    <w:rsid w:val="00435C01"/>
    <w:rsid w:val="00445754"/>
    <w:rsid w:val="00474394"/>
    <w:rsid w:val="00480357"/>
    <w:rsid w:val="00490A1A"/>
    <w:rsid w:val="00492704"/>
    <w:rsid w:val="004A1144"/>
    <w:rsid w:val="004B76A3"/>
    <w:rsid w:val="004C033D"/>
    <w:rsid w:val="004D552A"/>
    <w:rsid w:val="004E4DC7"/>
    <w:rsid w:val="004F0D12"/>
    <w:rsid w:val="004F1D44"/>
    <w:rsid w:val="004F4589"/>
    <w:rsid w:val="004F5E9C"/>
    <w:rsid w:val="00502BE6"/>
    <w:rsid w:val="00502F7E"/>
    <w:rsid w:val="00512CAF"/>
    <w:rsid w:val="005143DB"/>
    <w:rsid w:val="00524D68"/>
    <w:rsid w:val="0053689D"/>
    <w:rsid w:val="005412B3"/>
    <w:rsid w:val="00551AC6"/>
    <w:rsid w:val="00555918"/>
    <w:rsid w:val="0057272B"/>
    <w:rsid w:val="00587D92"/>
    <w:rsid w:val="00591EE9"/>
    <w:rsid w:val="005A1363"/>
    <w:rsid w:val="005A53E9"/>
    <w:rsid w:val="005D1D79"/>
    <w:rsid w:val="005F0454"/>
    <w:rsid w:val="005F418F"/>
    <w:rsid w:val="00635D1A"/>
    <w:rsid w:val="00636945"/>
    <w:rsid w:val="00662C11"/>
    <w:rsid w:val="00667462"/>
    <w:rsid w:val="00675E4E"/>
    <w:rsid w:val="00686454"/>
    <w:rsid w:val="006B7F6D"/>
    <w:rsid w:val="006C1247"/>
    <w:rsid w:val="006C6931"/>
    <w:rsid w:val="006D013C"/>
    <w:rsid w:val="006D2307"/>
    <w:rsid w:val="006D6004"/>
    <w:rsid w:val="0070361A"/>
    <w:rsid w:val="00725CF9"/>
    <w:rsid w:val="00742C04"/>
    <w:rsid w:val="007560C6"/>
    <w:rsid w:val="007777E9"/>
    <w:rsid w:val="0078002E"/>
    <w:rsid w:val="00781121"/>
    <w:rsid w:val="007865C6"/>
    <w:rsid w:val="007872C7"/>
    <w:rsid w:val="00793B66"/>
    <w:rsid w:val="007A2BBD"/>
    <w:rsid w:val="007B68B4"/>
    <w:rsid w:val="007C28D0"/>
    <w:rsid w:val="007C3B6F"/>
    <w:rsid w:val="007D57FA"/>
    <w:rsid w:val="00817662"/>
    <w:rsid w:val="00840B0B"/>
    <w:rsid w:val="0084136D"/>
    <w:rsid w:val="00853E19"/>
    <w:rsid w:val="00856F06"/>
    <w:rsid w:val="00862C18"/>
    <w:rsid w:val="0087382C"/>
    <w:rsid w:val="00877110"/>
    <w:rsid w:val="008C23E0"/>
    <w:rsid w:val="008E1807"/>
    <w:rsid w:val="008E1A83"/>
    <w:rsid w:val="008E67E5"/>
    <w:rsid w:val="008F13B0"/>
    <w:rsid w:val="009208B7"/>
    <w:rsid w:val="0093722A"/>
    <w:rsid w:val="00954CD6"/>
    <w:rsid w:val="00964923"/>
    <w:rsid w:val="00976872"/>
    <w:rsid w:val="00991E73"/>
    <w:rsid w:val="009B7680"/>
    <w:rsid w:val="009F3A13"/>
    <w:rsid w:val="00A22D8C"/>
    <w:rsid w:val="00A40017"/>
    <w:rsid w:val="00A46D42"/>
    <w:rsid w:val="00A47F25"/>
    <w:rsid w:val="00A6778F"/>
    <w:rsid w:val="00A73EA8"/>
    <w:rsid w:val="00A82D85"/>
    <w:rsid w:val="00AA042C"/>
    <w:rsid w:val="00AB3461"/>
    <w:rsid w:val="00AB4E23"/>
    <w:rsid w:val="00AB5183"/>
    <w:rsid w:val="00AC7CDE"/>
    <w:rsid w:val="00AD2205"/>
    <w:rsid w:val="00AE41ED"/>
    <w:rsid w:val="00AF52D2"/>
    <w:rsid w:val="00B20294"/>
    <w:rsid w:val="00B2047E"/>
    <w:rsid w:val="00B227C7"/>
    <w:rsid w:val="00B24263"/>
    <w:rsid w:val="00B278F4"/>
    <w:rsid w:val="00B27C7A"/>
    <w:rsid w:val="00B46C84"/>
    <w:rsid w:val="00B6341A"/>
    <w:rsid w:val="00B74EE4"/>
    <w:rsid w:val="00B84128"/>
    <w:rsid w:val="00B90478"/>
    <w:rsid w:val="00B9179A"/>
    <w:rsid w:val="00BB6BAB"/>
    <w:rsid w:val="00BC04DF"/>
    <w:rsid w:val="00BC2A26"/>
    <w:rsid w:val="00BD03F0"/>
    <w:rsid w:val="00BD0BEF"/>
    <w:rsid w:val="00BD16CA"/>
    <w:rsid w:val="00BD47D8"/>
    <w:rsid w:val="00BE71D3"/>
    <w:rsid w:val="00BF22E6"/>
    <w:rsid w:val="00BF6982"/>
    <w:rsid w:val="00BF6E90"/>
    <w:rsid w:val="00C17618"/>
    <w:rsid w:val="00C31566"/>
    <w:rsid w:val="00C329E7"/>
    <w:rsid w:val="00C37A26"/>
    <w:rsid w:val="00C46E2D"/>
    <w:rsid w:val="00C546C1"/>
    <w:rsid w:val="00C56A85"/>
    <w:rsid w:val="00C902CD"/>
    <w:rsid w:val="00CB5037"/>
    <w:rsid w:val="00CC55F0"/>
    <w:rsid w:val="00CD53A3"/>
    <w:rsid w:val="00CE0B68"/>
    <w:rsid w:val="00CF12CC"/>
    <w:rsid w:val="00CF1C72"/>
    <w:rsid w:val="00CF793A"/>
    <w:rsid w:val="00D01C46"/>
    <w:rsid w:val="00D10024"/>
    <w:rsid w:val="00D34B3A"/>
    <w:rsid w:val="00D5308B"/>
    <w:rsid w:val="00D709F4"/>
    <w:rsid w:val="00D7547D"/>
    <w:rsid w:val="00D76EB1"/>
    <w:rsid w:val="00DB07A0"/>
    <w:rsid w:val="00DB25D5"/>
    <w:rsid w:val="00E071AE"/>
    <w:rsid w:val="00E35FC5"/>
    <w:rsid w:val="00E46D7D"/>
    <w:rsid w:val="00E50710"/>
    <w:rsid w:val="00E55491"/>
    <w:rsid w:val="00E654BF"/>
    <w:rsid w:val="00E85561"/>
    <w:rsid w:val="00E86B7A"/>
    <w:rsid w:val="00E905F5"/>
    <w:rsid w:val="00E9182F"/>
    <w:rsid w:val="00E95858"/>
    <w:rsid w:val="00EA1BA6"/>
    <w:rsid w:val="00EB4EB4"/>
    <w:rsid w:val="00EE2869"/>
    <w:rsid w:val="00EF5CA2"/>
    <w:rsid w:val="00EF6F24"/>
    <w:rsid w:val="00F1286C"/>
    <w:rsid w:val="00F35967"/>
    <w:rsid w:val="00F37B7B"/>
    <w:rsid w:val="00F56D74"/>
    <w:rsid w:val="00F60D23"/>
    <w:rsid w:val="00F6174C"/>
    <w:rsid w:val="00F61B46"/>
    <w:rsid w:val="00F71C78"/>
    <w:rsid w:val="00F71EE7"/>
    <w:rsid w:val="00F84ADB"/>
    <w:rsid w:val="00F86C6A"/>
    <w:rsid w:val="00F939D4"/>
    <w:rsid w:val="00FC4360"/>
    <w:rsid w:val="00FC5F48"/>
    <w:rsid w:val="00FE5D50"/>
    <w:rsid w:val="00FF0C19"/>
    <w:rsid w:val="00FF7C9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986B40-80EA-475C-8F15-5C37F85B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C1247"/>
    <w:pPr>
      <w:widowControl w:val="0"/>
    </w:pPr>
    <w:rPr>
      <w:rFonts w:eastAsia="標楷體"/>
      <w:kern w:val="2"/>
      <w:sz w:val="32"/>
    </w:rPr>
  </w:style>
  <w:style w:type="paragraph" w:styleId="1">
    <w:name w:val="heading 1"/>
    <w:basedOn w:val="a1"/>
    <w:link w:val="10"/>
    <w:qFormat/>
    <w:rsid w:val="006C1247"/>
    <w:pPr>
      <w:numPr>
        <w:numId w:val="1"/>
      </w:numPr>
      <w:kinsoku w:val="0"/>
      <w:jc w:val="both"/>
      <w:outlineLvl w:val="0"/>
    </w:pPr>
    <w:rPr>
      <w:rFonts w:ascii="標楷體" w:hAnsi="Arial"/>
      <w:bCs/>
      <w:kern w:val="0"/>
      <w:szCs w:val="52"/>
    </w:rPr>
  </w:style>
  <w:style w:type="paragraph" w:styleId="2">
    <w:name w:val="heading 2"/>
    <w:basedOn w:val="a1"/>
    <w:link w:val="20"/>
    <w:qFormat/>
    <w:rsid w:val="006C1247"/>
    <w:pPr>
      <w:numPr>
        <w:ilvl w:val="1"/>
        <w:numId w:val="1"/>
      </w:numPr>
      <w:kinsoku w:val="0"/>
      <w:jc w:val="both"/>
      <w:outlineLvl w:val="1"/>
    </w:pPr>
    <w:rPr>
      <w:rFonts w:ascii="標楷體" w:hAnsi="Arial"/>
      <w:bCs/>
      <w:kern w:val="0"/>
      <w:szCs w:val="48"/>
    </w:rPr>
  </w:style>
  <w:style w:type="paragraph" w:styleId="3">
    <w:name w:val="heading 3"/>
    <w:basedOn w:val="a1"/>
    <w:qFormat/>
    <w:rsid w:val="006C1247"/>
    <w:pPr>
      <w:numPr>
        <w:ilvl w:val="2"/>
        <w:numId w:val="1"/>
      </w:numPr>
      <w:kinsoku w:val="0"/>
      <w:jc w:val="both"/>
      <w:outlineLvl w:val="2"/>
    </w:pPr>
    <w:rPr>
      <w:rFonts w:ascii="標楷體" w:hAnsi="Arial"/>
      <w:bCs/>
      <w:kern w:val="0"/>
      <w:szCs w:val="36"/>
    </w:rPr>
  </w:style>
  <w:style w:type="paragraph" w:styleId="4">
    <w:name w:val="heading 4"/>
    <w:basedOn w:val="a1"/>
    <w:qFormat/>
    <w:rsid w:val="006C1247"/>
    <w:pPr>
      <w:numPr>
        <w:ilvl w:val="3"/>
        <w:numId w:val="1"/>
      </w:numPr>
      <w:jc w:val="both"/>
      <w:outlineLvl w:val="3"/>
    </w:pPr>
    <w:rPr>
      <w:rFonts w:ascii="標楷體" w:hAnsi="Arial"/>
      <w:szCs w:val="36"/>
    </w:rPr>
  </w:style>
  <w:style w:type="paragraph" w:styleId="5">
    <w:name w:val="heading 5"/>
    <w:basedOn w:val="a1"/>
    <w:qFormat/>
    <w:rsid w:val="006C1247"/>
    <w:pPr>
      <w:numPr>
        <w:ilvl w:val="4"/>
        <w:numId w:val="1"/>
      </w:numPr>
      <w:kinsoku w:val="0"/>
      <w:jc w:val="both"/>
      <w:outlineLvl w:val="4"/>
    </w:pPr>
    <w:rPr>
      <w:rFonts w:ascii="標楷體" w:hAnsi="Arial"/>
      <w:bCs/>
      <w:szCs w:val="36"/>
    </w:rPr>
  </w:style>
  <w:style w:type="paragraph" w:styleId="6">
    <w:name w:val="heading 6"/>
    <w:basedOn w:val="a1"/>
    <w:qFormat/>
    <w:rsid w:val="006C124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6C1247"/>
    <w:pPr>
      <w:numPr>
        <w:ilvl w:val="6"/>
        <w:numId w:val="1"/>
      </w:numPr>
      <w:kinsoku w:val="0"/>
      <w:jc w:val="both"/>
      <w:outlineLvl w:val="6"/>
    </w:pPr>
    <w:rPr>
      <w:rFonts w:ascii="標楷體" w:hAnsi="Arial"/>
      <w:bCs/>
      <w:szCs w:val="36"/>
    </w:rPr>
  </w:style>
  <w:style w:type="paragraph" w:styleId="8">
    <w:name w:val="heading 8"/>
    <w:basedOn w:val="a1"/>
    <w:qFormat/>
    <w:rsid w:val="006C1247"/>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C1247"/>
    <w:pPr>
      <w:spacing w:before="720" w:after="720"/>
      <w:ind w:left="7371"/>
    </w:pPr>
    <w:rPr>
      <w:rFonts w:ascii="標楷體"/>
      <w:b/>
      <w:snapToGrid w:val="0"/>
      <w:spacing w:val="10"/>
      <w:sz w:val="36"/>
    </w:rPr>
  </w:style>
  <w:style w:type="paragraph" w:styleId="a6">
    <w:name w:val="endnote text"/>
    <w:basedOn w:val="a1"/>
    <w:semiHidden/>
    <w:rsid w:val="006C1247"/>
    <w:pPr>
      <w:spacing w:before="240"/>
      <w:ind w:left="1021" w:hanging="1021"/>
      <w:jc w:val="both"/>
    </w:pPr>
    <w:rPr>
      <w:rFonts w:ascii="標楷體"/>
      <w:snapToGrid w:val="0"/>
      <w:spacing w:val="10"/>
    </w:rPr>
  </w:style>
  <w:style w:type="paragraph" w:styleId="50">
    <w:name w:val="toc 5"/>
    <w:basedOn w:val="a1"/>
    <w:next w:val="a1"/>
    <w:autoRedefine/>
    <w:semiHidden/>
    <w:rsid w:val="006C1247"/>
    <w:pPr>
      <w:ind w:leftChars="400" w:left="600" w:rightChars="200" w:right="200" w:hangingChars="200" w:hanging="200"/>
    </w:pPr>
    <w:rPr>
      <w:rFonts w:ascii="標楷體"/>
    </w:rPr>
  </w:style>
  <w:style w:type="character" w:styleId="a7">
    <w:name w:val="page number"/>
    <w:semiHidden/>
    <w:rsid w:val="006C1247"/>
    <w:rPr>
      <w:rFonts w:ascii="標楷體" w:eastAsia="標楷體"/>
      <w:sz w:val="20"/>
    </w:rPr>
  </w:style>
  <w:style w:type="paragraph" w:styleId="60">
    <w:name w:val="toc 6"/>
    <w:basedOn w:val="a1"/>
    <w:next w:val="a1"/>
    <w:autoRedefine/>
    <w:semiHidden/>
    <w:rsid w:val="006C1247"/>
    <w:pPr>
      <w:ind w:leftChars="500" w:left="500"/>
    </w:pPr>
    <w:rPr>
      <w:rFonts w:ascii="標楷體"/>
    </w:rPr>
  </w:style>
  <w:style w:type="paragraph" w:customStyle="1" w:styleId="11">
    <w:name w:val="段落樣式1"/>
    <w:basedOn w:val="a1"/>
    <w:rsid w:val="006C124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6C1247"/>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6C124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6C1247"/>
    <w:pPr>
      <w:kinsoku w:val="0"/>
      <w:ind w:leftChars="100" w:left="300" w:rightChars="200" w:right="200" w:hangingChars="200" w:hanging="200"/>
    </w:pPr>
    <w:rPr>
      <w:rFonts w:ascii="標楷體"/>
      <w:noProof/>
    </w:rPr>
  </w:style>
  <w:style w:type="paragraph" w:styleId="30">
    <w:name w:val="toc 3"/>
    <w:basedOn w:val="a1"/>
    <w:next w:val="a1"/>
    <w:autoRedefine/>
    <w:semiHidden/>
    <w:rsid w:val="006C1247"/>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6C1247"/>
    <w:pPr>
      <w:kinsoku w:val="0"/>
      <w:ind w:leftChars="300" w:left="500" w:rightChars="200" w:right="200" w:hangingChars="200" w:hanging="200"/>
      <w:jc w:val="both"/>
    </w:pPr>
    <w:rPr>
      <w:rFonts w:ascii="標楷體"/>
    </w:rPr>
  </w:style>
  <w:style w:type="paragraph" w:styleId="70">
    <w:name w:val="toc 7"/>
    <w:basedOn w:val="a1"/>
    <w:next w:val="a1"/>
    <w:autoRedefine/>
    <w:semiHidden/>
    <w:rsid w:val="006C1247"/>
    <w:pPr>
      <w:ind w:leftChars="600" w:left="800" w:hangingChars="200" w:hanging="200"/>
    </w:pPr>
    <w:rPr>
      <w:rFonts w:ascii="標楷體"/>
    </w:rPr>
  </w:style>
  <w:style w:type="paragraph" w:styleId="80">
    <w:name w:val="toc 8"/>
    <w:basedOn w:val="a1"/>
    <w:next w:val="a1"/>
    <w:autoRedefine/>
    <w:semiHidden/>
    <w:rsid w:val="006C1247"/>
    <w:pPr>
      <w:ind w:leftChars="700" w:left="900" w:hangingChars="200" w:hanging="200"/>
    </w:pPr>
    <w:rPr>
      <w:rFonts w:ascii="標楷體"/>
    </w:rPr>
  </w:style>
  <w:style w:type="paragraph" w:styleId="9">
    <w:name w:val="toc 9"/>
    <w:basedOn w:val="a1"/>
    <w:next w:val="a1"/>
    <w:autoRedefine/>
    <w:semiHidden/>
    <w:rsid w:val="006C1247"/>
    <w:pPr>
      <w:ind w:leftChars="1600" w:left="3840"/>
    </w:pPr>
  </w:style>
  <w:style w:type="paragraph" w:styleId="a8">
    <w:name w:val="header"/>
    <w:basedOn w:val="a1"/>
    <w:semiHidden/>
    <w:rsid w:val="006C1247"/>
    <w:pPr>
      <w:tabs>
        <w:tab w:val="center" w:pos="4153"/>
        <w:tab w:val="right" w:pos="8306"/>
      </w:tabs>
      <w:snapToGrid w:val="0"/>
    </w:pPr>
    <w:rPr>
      <w:sz w:val="20"/>
    </w:rPr>
  </w:style>
  <w:style w:type="paragraph" w:customStyle="1" w:styleId="31">
    <w:name w:val="段落樣式3"/>
    <w:basedOn w:val="21"/>
    <w:rsid w:val="006C1247"/>
    <w:pPr>
      <w:ind w:leftChars="400" w:left="400"/>
    </w:pPr>
  </w:style>
  <w:style w:type="character" w:styleId="a9">
    <w:name w:val="Hyperlink"/>
    <w:semiHidden/>
    <w:rsid w:val="006C1247"/>
    <w:rPr>
      <w:color w:val="0000FF"/>
      <w:u w:val="single"/>
    </w:rPr>
  </w:style>
  <w:style w:type="paragraph" w:customStyle="1" w:styleId="aa">
    <w:name w:val="簽名日期"/>
    <w:basedOn w:val="a1"/>
    <w:rsid w:val="006C1247"/>
    <w:pPr>
      <w:kinsoku w:val="0"/>
      <w:jc w:val="distribute"/>
    </w:pPr>
    <w:rPr>
      <w:kern w:val="0"/>
    </w:rPr>
  </w:style>
  <w:style w:type="paragraph" w:customStyle="1" w:styleId="0">
    <w:name w:val="段落樣式0"/>
    <w:basedOn w:val="21"/>
    <w:rsid w:val="006C1247"/>
    <w:pPr>
      <w:ind w:leftChars="200" w:left="200" w:firstLineChars="0" w:firstLine="0"/>
    </w:pPr>
  </w:style>
  <w:style w:type="paragraph" w:customStyle="1" w:styleId="ab">
    <w:name w:val="附件"/>
    <w:basedOn w:val="a6"/>
    <w:rsid w:val="006C1247"/>
    <w:pPr>
      <w:kinsoku w:val="0"/>
      <w:spacing w:before="0"/>
      <w:ind w:left="1047" w:hangingChars="300" w:hanging="1047"/>
    </w:pPr>
    <w:rPr>
      <w:snapToGrid/>
      <w:spacing w:val="0"/>
      <w:kern w:val="0"/>
    </w:rPr>
  </w:style>
  <w:style w:type="paragraph" w:customStyle="1" w:styleId="41">
    <w:name w:val="段落樣式4"/>
    <w:basedOn w:val="31"/>
    <w:rsid w:val="006C1247"/>
    <w:pPr>
      <w:ind w:leftChars="500" w:left="500"/>
    </w:pPr>
  </w:style>
  <w:style w:type="paragraph" w:customStyle="1" w:styleId="51">
    <w:name w:val="段落樣式5"/>
    <w:basedOn w:val="41"/>
    <w:rsid w:val="006C1247"/>
    <w:pPr>
      <w:ind w:leftChars="600" w:left="600"/>
    </w:pPr>
  </w:style>
  <w:style w:type="paragraph" w:customStyle="1" w:styleId="61">
    <w:name w:val="段落樣式6"/>
    <w:basedOn w:val="51"/>
    <w:rsid w:val="006C1247"/>
    <w:pPr>
      <w:ind w:leftChars="700" w:left="700"/>
    </w:pPr>
  </w:style>
  <w:style w:type="paragraph" w:customStyle="1" w:styleId="71">
    <w:name w:val="段落樣式7"/>
    <w:basedOn w:val="61"/>
    <w:rsid w:val="006C1247"/>
  </w:style>
  <w:style w:type="paragraph" w:customStyle="1" w:styleId="81">
    <w:name w:val="段落樣式8"/>
    <w:basedOn w:val="71"/>
    <w:rsid w:val="006C1247"/>
    <w:pPr>
      <w:ind w:leftChars="800" w:left="800"/>
    </w:pPr>
  </w:style>
  <w:style w:type="paragraph" w:customStyle="1" w:styleId="a0">
    <w:name w:val="表樣式"/>
    <w:basedOn w:val="a1"/>
    <w:next w:val="a1"/>
    <w:rsid w:val="006C1247"/>
    <w:pPr>
      <w:numPr>
        <w:numId w:val="2"/>
      </w:numPr>
      <w:jc w:val="both"/>
    </w:pPr>
    <w:rPr>
      <w:rFonts w:ascii="標楷體"/>
      <w:kern w:val="0"/>
    </w:rPr>
  </w:style>
  <w:style w:type="paragraph" w:styleId="ac">
    <w:name w:val="Body Text Indent"/>
    <w:basedOn w:val="a1"/>
    <w:semiHidden/>
    <w:rsid w:val="006C1247"/>
    <w:pPr>
      <w:ind w:left="698" w:hangingChars="200" w:hanging="698"/>
    </w:pPr>
  </w:style>
  <w:style w:type="paragraph" w:customStyle="1" w:styleId="ad">
    <w:name w:val="調查報告"/>
    <w:basedOn w:val="a6"/>
    <w:rsid w:val="006C1247"/>
    <w:pPr>
      <w:kinsoku w:val="0"/>
      <w:spacing w:before="0"/>
      <w:ind w:left="1701" w:firstLine="0"/>
    </w:pPr>
    <w:rPr>
      <w:b/>
      <w:snapToGrid/>
      <w:spacing w:val="200"/>
      <w:kern w:val="0"/>
      <w:sz w:val="36"/>
    </w:rPr>
  </w:style>
  <w:style w:type="character" w:customStyle="1" w:styleId="20">
    <w:name w:val="標題 2 字元"/>
    <w:link w:val="2"/>
    <w:rsid w:val="00A47F25"/>
    <w:rPr>
      <w:rFonts w:ascii="標楷體" w:eastAsia="標楷體" w:hAnsi="Arial"/>
      <w:bCs/>
      <w:sz w:val="32"/>
      <w:szCs w:val="48"/>
    </w:rPr>
  </w:style>
  <w:style w:type="paragraph" w:customStyle="1" w:styleId="a">
    <w:name w:val="圖樣式"/>
    <w:basedOn w:val="a1"/>
    <w:next w:val="a1"/>
    <w:rsid w:val="006C1247"/>
    <w:pPr>
      <w:numPr>
        <w:numId w:val="3"/>
      </w:numPr>
      <w:tabs>
        <w:tab w:val="clear" w:pos="1440"/>
      </w:tabs>
      <w:ind w:left="400" w:hangingChars="400" w:hanging="400"/>
      <w:jc w:val="both"/>
    </w:pPr>
    <w:rPr>
      <w:rFonts w:ascii="標楷體"/>
    </w:rPr>
  </w:style>
  <w:style w:type="paragraph" w:styleId="ae">
    <w:name w:val="footer"/>
    <w:basedOn w:val="a1"/>
    <w:semiHidden/>
    <w:rsid w:val="006C1247"/>
    <w:pPr>
      <w:tabs>
        <w:tab w:val="center" w:pos="4153"/>
        <w:tab w:val="right" w:pos="8306"/>
      </w:tabs>
      <w:snapToGrid w:val="0"/>
    </w:pPr>
    <w:rPr>
      <w:sz w:val="20"/>
    </w:rPr>
  </w:style>
  <w:style w:type="paragraph" w:styleId="af">
    <w:name w:val="table of figures"/>
    <w:basedOn w:val="a1"/>
    <w:next w:val="a1"/>
    <w:semiHidden/>
    <w:rsid w:val="006C1247"/>
    <w:pPr>
      <w:ind w:left="400" w:hangingChars="400" w:hanging="400"/>
    </w:pPr>
  </w:style>
  <w:style w:type="paragraph" w:styleId="af0">
    <w:name w:val="footnote text"/>
    <w:basedOn w:val="a1"/>
    <w:link w:val="af1"/>
    <w:uiPriority w:val="99"/>
    <w:unhideWhenUsed/>
    <w:rsid w:val="00A47F25"/>
    <w:pPr>
      <w:snapToGrid w:val="0"/>
    </w:pPr>
    <w:rPr>
      <w:sz w:val="20"/>
    </w:rPr>
  </w:style>
  <w:style w:type="character" w:customStyle="1" w:styleId="af1">
    <w:name w:val="註腳文字 字元"/>
    <w:link w:val="af0"/>
    <w:uiPriority w:val="99"/>
    <w:rsid w:val="00A47F25"/>
    <w:rPr>
      <w:rFonts w:eastAsia="標楷體"/>
      <w:kern w:val="2"/>
    </w:rPr>
  </w:style>
  <w:style w:type="character" w:styleId="af2">
    <w:name w:val="footnote reference"/>
    <w:uiPriority w:val="99"/>
    <w:semiHidden/>
    <w:unhideWhenUsed/>
    <w:rsid w:val="00A47F25"/>
    <w:rPr>
      <w:vertAlign w:val="superscript"/>
    </w:rPr>
  </w:style>
  <w:style w:type="paragraph" w:styleId="af3">
    <w:name w:val="List Paragraph"/>
    <w:basedOn w:val="a1"/>
    <w:uiPriority w:val="34"/>
    <w:qFormat/>
    <w:rsid w:val="00D10024"/>
    <w:pPr>
      <w:ind w:leftChars="200" w:left="480"/>
    </w:pPr>
    <w:rPr>
      <w:rFonts w:ascii="Calibri" w:eastAsia="新細明體" w:hAnsi="Calibri"/>
      <w:sz w:val="24"/>
      <w:szCs w:val="22"/>
    </w:rPr>
  </w:style>
  <w:style w:type="paragraph" w:styleId="af4">
    <w:name w:val="Balloon Text"/>
    <w:basedOn w:val="a1"/>
    <w:link w:val="af5"/>
    <w:uiPriority w:val="99"/>
    <w:semiHidden/>
    <w:unhideWhenUsed/>
    <w:rsid w:val="006B7F6D"/>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B7F6D"/>
    <w:rPr>
      <w:rFonts w:asciiTheme="majorHAnsi" w:eastAsiaTheme="majorEastAsia" w:hAnsiTheme="majorHAnsi" w:cstheme="majorBidi"/>
      <w:kern w:val="2"/>
      <w:sz w:val="18"/>
      <w:szCs w:val="18"/>
    </w:rPr>
  </w:style>
  <w:style w:type="character" w:customStyle="1" w:styleId="10">
    <w:name w:val="標題 1 字元"/>
    <w:basedOn w:val="a2"/>
    <w:link w:val="1"/>
    <w:rsid w:val="00CD53A3"/>
    <w:rPr>
      <w:rFonts w:ascii="標楷體" w:eastAsia="標楷體" w:hAnsi="Arial"/>
      <w:bCs/>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09944">
      <w:bodyDiv w:val="1"/>
      <w:marLeft w:val="0"/>
      <w:marRight w:val="0"/>
      <w:marTop w:val="0"/>
      <w:marBottom w:val="0"/>
      <w:divBdr>
        <w:top w:val="none" w:sz="0" w:space="0" w:color="auto"/>
        <w:left w:val="none" w:sz="0" w:space="0" w:color="auto"/>
        <w:bottom w:val="none" w:sz="0" w:space="0" w:color="auto"/>
        <w:right w:val="none" w:sz="0" w:space="0" w:color="auto"/>
      </w:divBdr>
      <w:divsChild>
        <w:div w:id="2091538457">
          <w:marLeft w:val="0"/>
          <w:marRight w:val="0"/>
          <w:marTop w:val="0"/>
          <w:marBottom w:val="0"/>
          <w:divBdr>
            <w:top w:val="none" w:sz="0" w:space="0" w:color="auto"/>
            <w:left w:val="none" w:sz="0" w:space="0" w:color="auto"/>
            <w:bottom w:val="none" w:sz="0" w:space="0" w:color="auto"/>
            <w:right w:val="none" w:sz="0" w:space="0" w:color="auto"/>
          </w:divBdr>
          <w:divsChild>
            <w:div w:id="1407386561">
              <w:marLeft w:val="0"/>
              <w:marRight w:val="0"/>
              <w:marTop w:val="0"/>
              <w:marBottom w:val="0"/>
              <w:divBdr>
                <w:top w:val="none" w:sz="0" w:space="0" w:color="auto"/>
                <w:left w:val="none" w:sz="0" w:space="0" w:color="auto"/>
                <w:bottom w:val="none" w:sz="0" w:space="0" w:color="auto"/>
                <w:right w:val="none" w:sz="0" w:space="0" w:color="auto"/>
              </w:divBdr>
              <w:divsChild>
                <w:div w:id="817765270">
                  <w:marLeft w:val="0"/>
                  <w:marRight w:val="0"/>
                  <w:marTop w:val="0"/>
                  <w:marBottom w:val="0"/>
                  <w:divBdr>
                    <w:top w:val="none" w:sz="0" w:space="0" w:color="auto"/>
                    <w:left w:val="none" w:sz="0" w:space="0" w:color="auto"/>
                    <w:bottom w:val="none" w:sz="0" w:space="0" w:color="auto"/>
                    <w:right w:val="none" w:sz="0" w:space="0" w:color="auto"/>
                  </w:divBdr>
                  <w:divsChild>
                    <w:div w:id="1120761385">
                      <w:marLeft w:val="0"/>
                      <w:marRight w:val="0"/>
                      <w:marTop w:val="45"/>
                      <w:marBottom w:val="0"/>
                      <w:divBdr>
                        <w:top w:val="none" w:sz="0" w:space="0" w:color="auto"/>
                        <w:left w:val="none" w:sz="0" w:space="0" w:color="auto"/>
                        <w:bottom w:val="none" w:sz="0" w:space="0" w:color="auto"/>
                        <w:right w:val="none" w:sz="0" w:space="0" w:color="auto"/>
                      </w:divBdr>
                      <w:divsChild>
                        <w:div w:id="707726142">
                          <w:marLeft w:val="0"/>
                          <w:marRight w:val="0"/>
                          <w:marTop w:val="0"/>
                          <w:marBottom w:val="0"/>
                          <w:divBdr>
                            <w:top w:val="none" w:sz="0" w:space="0" w:color="auto"/>
                            <w:left w:val="none" w:sz="0" w:space="0" w:color="auto"/>
                            <w:bottom w:val="none" w:sz="0" w:space="0" w:color="auto"/>
                            <w:right w:val="none" w:sz="0" w:space="0" w:color="auto"/>
                          </w:divBdr>
                          <w:divsChild>
                            <w:div w:id="2044285315">
                              <w:marLeft w:val="12300"/>
                              <w:marRight w:val="0"/>
                              <w:marTop w:val="0"/>
                              <w:marBottom w:val="0"/>
                              <w:divBdr>
                                <w:top w:val="none" w:sz="0" w:space="0" w:color="auto"/>
                                <w:left w:val="none" w:sz="0" w:space="0" w:color="auto"/>
                                <w:bottom w:val="none" w:sz="0" w:space="0" w:color="auto"/>
                                <w:right w:val="none" w:sz="0" w:space="0" w:color="auto"/>
                              </w:divBdr>
                              <w:divsChild>
                                <w:div w:id="1365406621">
                                  <w:marLeft w:val="0"/>
                                  <w:marRight w:val="0"/>
                                  <w:marTop w:val="0"/>
                                  <w:marBottom w:val="0"/>
                                  <w:divBdr>
                                    <w:top w:val="none" w:sz="0" w:space="0" w:color="auto"/>
                                    <w:left w:val="none" w:sz="0" w:space="0" w:color="auto"/>
                                    <w:bottom w:val="none" w:sz="0" w:space="0" w:color="auto"/>
                                    <w:right w:val="none" w:sz="0" w:space="0" w:color="auto"/>
                                  </w:divBdr>
                                  <w:divsChild>
                                    <w:div w:id="40402117">
                                      <w:marLeft w:val="0"/>
                                      <w:marRight w:val="0"/>
                                      <w:marTop w:val="0"/>
                                      <w:marBottom w:val="390"/>
                                      <w:divBdr>
                                        <w:top w:val="none" w:sz="0" w:space="0" w:color="auto"/>
                                        <w:left w:val="none" w:sz="0" w:space="0" w:color="auto"/>
                                        <w:bottom w:val="none" w:sz="0" w:space="0" w:color="auto"/>
                                        <w:right w:val="none" w:sz="0" w:space="0" w:color="auto"/>
                                      </w:divBdr>
                                      <w:divsChild>
                                        <w:div w:id="1071849851">
                                          <w:marLeft w:val="0"/>
                                          <w:marRight w:val="0"/>
                                          <w:marTop w:val="0"/>
                                          <w:marBottom w:val="0"/>
                                          <w:divBdr>
                                            <w:top w:val="none" w:sz="0" w:space="0" w:color="auto"/>
                                            <w:left w:val="none" w:sz="0" w:space="0" w:color="auto"/>
                                            <w:bottom w:val="none" w:sz="0" w:space="0" w:color="auto"/>
                                            <w:right w:val="none" w:sz="0" w:space="0" w:color="auto"/>
                                          </w:divBdr>
                                          <w:divsChild>
                                            <w:div w:id="13657470">
                                              <w:marLeft w:val="0"/>
                                              <w:marRight w:val="0"/>
                                              <w:marTop w:val="0"/>
                                              <w:marBottom w:val="0"/>
                                              <w:divBdr>
                                                <w:top w:val="none" w:sz="0" w:space="0" w:color="auto"/>
                                                <w:left w:val="none" w:sz="0" w:space="0" w:color="auto"/>
                                                <w:bottom w:val="none" w:sz="0" w:space="0" w:color="auto"/>
                                                <w:right w:val="none" w:sz="0" w:space="0" w:color="auto"/>
                                              </w:divBdr>
                                              <w:divsChild>
                                                <w:div w:id="1372223636">
                                                  <w:marLeft w:val="0"/>
                                                  <w:marRight w:val="0"/>
                                                  <w:marTop w:val="0"/>
                                                  <w:marBottom w:val="0"/>
                                                  <w:divBdr>
                                                    <w:top w:val="none" w:sz="0" w:space="0" w:color="auto"/>
                                                    <w:left w:val="none" w:sz="0" w:space="0" w:color="auto"/>
                                                    <w:bottom w:val="none" w:sz="0" w:space="0" w:color="auto"/>
                                                    <w:right w:val="none" w:sz="0" w:space="0" w:color="auto"/>
                                                  </w:divBdr>
                                                  <w:divsChild>
                                                    <w:div w:id="380717006">
                                                      <w:marLeft w:val="0"/>
                                                      <w:marRight w:val="0"/>
                                                      <w:marTop w:val="0"/>
                                                      <w:marBottom w:val="0"/>
                                                      <w:divBdr>
                                                        <w:top w:val="none" w:sz="0" w:space="0" w:color="auto"/>
                                                        <w:left w:val="none" w:sz="0" w:space="0" w:color="auto"/>
                                                        <w:bottom w:val="none" w:sz="0" w:space="0" w:color="auto"/>
                                                        <w:right w:val="none" w:sz="0" w:space="0" w:color="auto"/>
                                                      </w:divBdr>
                                                      <w:divsChild>
                                                        <w:div w:id="786463536">
                                                          <w:marLeft w:val="0"/>
                                                          <w:marRight w:val="0"/>
                                                          <w:marTop w:val="0"/>
                                                          <w:marBottom w:val="0"/>
                                                          <w:divBdr>
                                                            <w:top w:val="none" w:sz="0" w:space="0" w:color="auto"/>
                                                            <w:left w:val="none" w:sz="0" w:space="0" w:color="auto"/>
                                                            <w:bottom w:val="none" w:sz="0" w:space="0" w:color="auto"/>
                                                            <w:right w:val="none" w:sz="0" w:space="0" w:color="auto"/>
                                                          </w:divBdr>
                                                          <w:divsChild>
                                                            <w:div w:id="1013653491">
                                                              <w:marLeft w:val="0"/>
                                                              <w:marRight w:val="0"/>
                                                              <w:marTop w:val="0"/>
                                                              <w:marBottom w:val="0"/>
                                                              <w:divBdr>
                                                                <w:top w:val="none" w:sz="0" w:space="0" w:color="auto"/>
                                                                <w:left w:val="none" w:sz="0" w:space="0" w:color="auto"/>
                                                                <w:bottom w:val="none" w:sz="0" w:space="0" w:color="auto"/>
                                                                <w:right w:val="none" w:sz="0" w:space="0" w:color="auto"/>
                                                              </w:divBdr>
                                                              <w:divsChild>
                                                                <w:div w:id="1358387408">
                                                                  <w:marLeft w:val="0"/>
                                                                  <w:marRight w:val="0"/>
                                                                  <w:marTop w:val="0"/>
                                                                  <w:marBottom w:val="0"/>
                                                                  <w:divBdr>
                                                                    <w:top w:val="none" w:sz="0" w:space="0" w:color="auto"/>
                                                                    <w:left w:val="none" w:sz="0" w:space="0" w:color="auto"/>
                                                                    <w:bottom w:val="none" w:sz="0" w:space="0" w:color="auto"/>
                                                                    <w:right w:val="none" w:sz="0" w:space="0" w:color="auto"/>
                                                                  </w:divBdr>
                                                                  <w:divsChild>
                                                                    <w:div w:id="687219486">
                                                                      <w:marLeft w:val="0"/>
                                                                      <w:marRight w:val="0"/>
                                                                      <w:marTop w:val="0"/>
                                                                      <w:marBottom w:val="0"/>
                                                                      <w:divBdr>
                                                                        <w:top w:val="none" w:sz="0" w:space="0" w:color="auto"/>
                                                                        <w:left w:val="none" w:sz="0" w:space="0" w:color="auto"/>
                                                                        <w:bottom w:val="none" w:sz="0" w:space="0" w:color="auto"/>
                                                                        <w:right w:val="none" w:sz="0" w:space="0" w:color="auto"/>
                                                                      </w:divBdr>
                                                                      <w:divsChild>
                                                                        <w:div w:id="1647930710">
                                                                          <w:marLeft w:val="0"/>
                                                                          <w:marRight w:val="0"/>
                                                                          <w:marTop w:val="0"/>
                                                                          <w:marBottom w:val="0"/>
                                                                          <w:divBdr>
                                                                            <w:top w:val="none" w:sz="0" w:space="0" w:color="auto"/>
                                                                            <w:left w:val="none" w:sz="0" w:space="0" w:color="auto"/>
                                                                            <w:bottom w:val="none" w:sz="0" w:space="0" w:color="auto"/>
                                                                            <w:right w:val="none" w:sz="0" w:space="0" w:color="auto"/>
                                                                          </w:divBdr>
                                                                          <w:divsChild>
                                                                            <w:div w:id="1284923024">
                                                                              <w:marLeft w:val="0"/>
                                                                              <w:marRight w:val="0"/>
                                                                              <w:marTop w:val="0"/>
                                                                              <w:marBottom w:val="0"/>
                                                                              <w:divBdr>
                                                                                <w:top w:val="none" w:sz="0" w:space="0" w:color="auto"/>
                                                                                <w:left w:val="none" w:sz="0" w:space="0" w:color="auto"/>
                                                                                <w:bottom w:val="none" w:sz="0" w:space="0" w:color="auto"/>
                                                                                <w:right w:val="none" w:sz="0" w:space="0" w:color="auto"/>
                                                                              </w:divBdr>
                                                                              <w:divsChild>
                                                                                <w:div w:id="21431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4786A-CE71-471E-A950-07D03609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2991</Words>
  <Characters>17054</Characters>
  <Application>Microsoft Office Word</Application>
  <DocSecurity>0</DocSecurity>
  <Lines>142</Lines>
  <Paragraphs>40</Paragraphs>
  <ScaleCrop>false</ScaleCrop>
  <Company>cy</Company>
  <LinksUpToDate>false</LinksUpToDate>
  <CharactersWithSpaces>20005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吳宏杰</cp:lastModifiedBy>
  <cp:revision>2</cp:revision>
  <cp:lastPrinted>2018-05-21T07:22:00Z</cp:lastPrinted>
  <dcterms:created xsi:type="dcterms:W3CDTF">2019-04-10T09:06:00Z</dcterms:created>
  <dcterms:modified xsi:type="dcterms:W3CDTF">2019-04-10T09:06:00Z</dcterms:modified>
</cp:coreProperties>
</file>