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145BE" w:rsidRDefault="00D75644" w:rsidP="00F37D7B">
      <w:pPr>
        <w:pStyle w:val="af3"/>
      </w:pPr>
      <w:r w:rsidRPr="002145BE">
        <w:rPr>
          <w:rFonts w:hint="eastAsia"/>
        </w:rPr>
        <w:t>調查報告</w:t>
      </w:r>
    </w:p>
    <w:p w:rsidR="00E25849" w:rsidRPr="002145BE" w:rsidRDefault="00E25849" w:rsidP="001D1B5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145B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D1B53" w:rsidRPr="002145BE">
        <w:rPr>
          <w:rFonts w:hint="eastAsia"/>
        </w:rPr>
        <w:t>有關部分農地土壤重金屬含量超過食用作物農地之管制標準，且周邊存有工廠群聚現象，亟待積極檢討妥處等情案。</w:t>
      </w:r>
    </w:p>
    <w:p w:rsidR="00E25849" w:rsidRPr="002145BE"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145B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C79BA" w:rsidRPr="002145BE" w:rsidRDefault="00AA43A5" w:rsidP="00A639F4">
      <w:pPr>
        <w:pStyle w:val="10"/>
        <w:ind w:left="680" w:firstLine="680"/>
      </w:pPr>
      <w:bookmarkStart w:id="49" w:name="_Toc524902730"/>
      <w:r w:rsidRPr="002145BE">
        <w:rPr>
          <w:rFonts w:hint="eastAsia"/>
        </w:rPr>
        <w:t>依據內政統計年報及農業統計年報之最新資料，民國（下同）105年法定農業用地面積達2,780,316公頃，農地可孕育豐富作物，實屬珍貴國家資源，惟我國自60年左右，逐漸由農業社會轉型為工業社會，現今部分工業甚轉型為高科技產業，此等經濟活動的轉變，對於農地維護產生莫大之威脅，污染事件頻傳。</w:t>
      </w:r>
      <w:r w:rsidR="007C79BA" w:rsidRPr="002145BE">
        <w:rPr>
          <w:rFonts w:hint="eastAsia"/>
        </w:rPr>
        <w:t>本院</w:t>
      </w:r>
      <w:r w:rsidR="00EF49AE" w:rsidRPr="002145BE">
        <w:rPr>
          <w:rFonts w:hint="eastAsia"/>
        </w:rPr>
        <w:t>向來對農地污染問題極為重視，</w:t>
      </w:r>
      <w:r w:rsidR="007C79BA" w:rsidRPr="002145BE">
        <w:rPr>
          <w:rFonts w:hint="eastAsia"/>
        </w:rPr>
        <w:t>第5屆監察委員就任以來，</w:t>
      </w:r>
      <w:r w:rsidR="00EF49AE" w:rsidRPr="002145BE">
        <w:rPr>
          <w:rFonts w:hint="eastAsia"/>
        </w:rPr>
        <w:t>除</w:t>
      </w:r>
      <w:r w:rsidR="007C79BA" w:rsidRPr="002145BE">
        <w:rPr>
          <w:rFonts w:hint="eastAsia"/>
        </w:rPr>
        <w:t>於103年下半年度調查研究「國內工業區工廠排放廢（污）水之管控機制」，提出9點結論與建議</w:t>
      </w:r>
      <w:r w:rsidR="00EF49AE" w:rsidRPr="002145BE">
        <w:rPr>
          <w:rFonts w:hint="eastAsia"/>
        </w:rPr>
        <w:t>外</w:t>
      </w:r>
      <w:r w:rsidR="007C79BA" w:rsidRPr="002145BE">
        <w:rPr>
          <w:rFonts w:hint="eastAsia"/>
        </w:rPr>
        <w:t>；復於104年調查研究「國內農地污染防治之檢討」，自法令、制度及執行面，提出13點結論與建議，函送行政院轉知所屬參處。</w:t>
      </w:r>
      <w:r w:rsidR="00EF49AE" w:rsidRPr="002145BE">
        <w:rPr>
          <w:rFonts w:hint="eastAsia"/>
        </w:rPr>
        <w:t>茲以</w:t>
      </w:r>
      <w:r w:rsidR="007C79BA" w:rsidRPr="002145BE">
        <w:rPr>
          <w:rFonts w:hint="eastAsia"/>
        </w:rPr>
        <w:t>審計部105年度中央政府總決算審核報告指出，國內部分農地土壤重金屬含量超過食用作物農地之管制標準，且周邊存有工廠群聚現象，亟待積極檢討妥處等情案，本院為瞭解近年主管機關對於農地污染防治所採行之重要政策及</w:t>
      </w:r>
      <w:r w:rsidR="000B7700" w:rsidRPr="002145BE">
        <w:rPr>
          <w:rFonts w:hint="eastAsia"/>
        </w:rPr>
        <w:t>執行</w:t>
      </w:r>
      <w:r w:rsidR="007C79BA" w:rsidRPr="002145BE">
        <w:rPr>
          <w:rFonts w:hint="eastAsia"/>
        </w:rPr>
        <w:t>結果，爰推派委員調查。</w:t>
      </w:r>
    </w:p>
    <w:p w:rsidR="004D06B7" w:rsidRPr="002145BE" w:rsidRDefault="004D06B7" w:rsidP="00A639F4">
      <w:pPr>
        <w:pStyle w:val="10"/>
        <w:ind w:left="680" w:firstLine="680"/>
      </w:pPr>
      <w:r w:rsidRPr="002145BE">
        <w:rPr>
          <w:rFonts w:hint="eastAsia"/>
        </w:rPr>
        <w:t>案經本院向審計部、行政院農業委員會(下稱農委會)、行政院環境保護署(下稱環保署)、經濟部</w:t>
      </w:r>
      <w:r w:rsidR="00215100" w:rsidRPr="002145BE">
        <w:rPr>
          <w:rFonts w:hint="eastAsia"/>
        </w:rPr>
        <w:t>及</w:t>
      </w:r>
      <w:r w:rsidRPr="002145BE">
        <w:rPr>
          <w:rFonts w:hint="eastAsia"/>
        </w:rPr>
        <w:t>內政部</w:t>
      </w:r>
      <w:r w:rsidR="00215100" w:rsidRPr="002145BE">
        <w:rPr>
          <w:rFonts w:hint="eastAsia"/>
        </w:rPr>
        <w:t>等</w:t>
      </w:r>
      <w:r w:rsidR="006D0ADB" w:rsidRPr="002145BE">
        <w:rPr>
          <w:rFonts w:hint="eastAsia"/>
        </w:rPr>
        <w:t>機關</w:t>
      </w:r>
      <w:r w:rsidR="00215100" w:rsidRPr="002145BE">
        <w:rPr>
          <w:rFonts w:hint="eastAsia"/>
        </w:rPr>
        <w:t>，調閱相關卷證，復於107年3月20日及21日履勘彰化縣及臺中市轄內農地污染與鄰近工廠設立及廢水排放管理情形，且於履勘時同時詢問彰化縣政府與臺中市政府相關局處首長，以及農委會、環保署、經濟部等相關主管人員，</w:t>
      </w:r>
      <w:r w:rsidR="007C79BA" w:rsidRPr="002145BE">
        <w:rPr>
          <w:rFonts w:hint="eastAsia"/>
        </w:rPr>
        <w:t>嗣於約詢後</w:t>
      </w:r>
      <w:r w:rsidR="00215100" w:rsidRPr="002145BE">
        <w:rPr>
          <w:rFonts w:hint="eastAsia"/>
        </w:rPr>
        <w:t>再</w:t>
      </w:r>
      <w:r w:rsidR="007C79BA" w:rsidRPr="002145BE">
        <w:rPr>
          <w:rFonts w:hint="eastAsia"/>
        </w:rPr>
        <w:t>函詢相關事項並經</w:t>
      </w:r>
      <w:r w:rsidR="00215100" w:rsidRPr="002145BE">
        <w:rPr>
          <w:rFonts w:hint="eastAsia"/>
        </w:rPr>
        <w:t>研</w:t>
      </w:r>
      <w:r w:rsidR="00B90170" w:rsidRPr="002145BE">
        <w:rPr>
          <w:rFonts w:hint="eastAsia"/>
        </w:rPr>
        <w:t>閱</w:t>
      </w:r>
      <w:r w:rsidR="007C79BA" w:rsidRPr="002145BE">
        <w:rPr>
          <w:rFonts w:hint="eastAsia"/>
        </w:rPr>
        <w:t>查復</w:t>
      </w:r>
      <w:r w:rsidR="00215100" w:rsidRPr="002145BE">
        <w:rPr>
          <w:rFonts w:hint="eastAsia"/>
        </w:rPr>
        <w:t>書</w:t>
      </w:r>
      <w:r w:rsidR="006D0ADB" w:rsidRPr="002145BE">
        <w:rPr>
          <w:rFonts w:hint="eastAsia"/>
        </w:rPr>
        <w:t>面</w:t>
      </w:r>
      <w:r w:rsidR="00215100" w:rsidRPr="002145BE">
        <w:rPr>
          <w:rFonts w:hint="eastAsia"/>
        </w:rPr>
        <w:t>資料，業調查竣事，茲</w:t>
      </w:r>
      <w:r w:rsidR="00EF49AE" w:rsidRPr="002145BE">
        <w:rPr>
          <w:rFonts w:hint="eastAsia"/>
        </w:rPr>
        <w:t>列</w:t>
      </w:r>
      <w:r w:rsidR="00215100" w:rsidRPr="002145BE">
        <w:rPr>
          <w:rFonts w:hint="eastAsia"/>
        </w:rPr>
        <w:t>述調查意見如下：</w:t>
      </w:r>
    </w:p>
    <w:p w:rsidR="00B90170" w:rsidRPr="002145BE" w:rsidRDefault="0070450C" w:rsidP="0070450C">
      <w:pPr>
        <w:pStyle w:val="2"/>
        <w:rPr>
          <w:b/>
        </w:rPr>
      </w:pPr>
      <w:r w:rsidRPr="002145BE">
        <w:rPr>
          <w:rFonts w:hint="eastAsia"/>
          <w:b/>
        </w:rPr>
        <w:lastRenderedPageBreak/>
        <w:t>農委會為確保農田灌溉水質，於102年10月31日頒布「農業灌溉水質保護方案」，截至106年底止，雖已全數禁止位於重金屬高污染潛勢圳路上之232戶工業類別</w:t>
      </w:r>
      <w:r w:rsidR="006D0ADB" w:rsidRPr="002145BE">
        <w:rPr>
          <w:rFonts w:hint="eastAsia"/>
          <w:b/>
        </w:rPr>
        <w:t>事業</w:t>
      </w:r>
      <w:r w:rsidRPr="002145BE">
        <w:rPr>
          <w:rFonts w:hint="eastAsia"/>
          <w:b/>
        </w:rPr>
        <w:t>搭排，</w:t>
      </w:r>
      <w:r w:rsidR="00C6549E">
        <w:rPr>
          <w:rFonts w:hint="eastAsia"/>
          <w:b/>
        </w:rPr>
        <w:t>而</w:t>
      </w:r>
      <w:r w:rsidRPr="002145BE">
        <w:rPr>
          <w:rFonts w:hint="eastAsia"/>
          <w:b/>
        </w:rPr>
        <w:t>經濟部輔導改排方式主要係以附掛管線、排入道路側溝或直接排入區域排水等方式，最終承載水體為河川；然國內農業灌溉用水有7成以上需仰賴河川水體供應，環保署及農田水利會並未因應事業廢水大多改排至河川水體，而強化河川水質及引灌之相關監控措施，難以杜絕農地土壤重金屬污染問題，基於政府一體之原則，相關政策應相互協調與配合，有待行政院督促所屬檢討改善。</w:t>
      </w:r>
    </w:p>
    <w:p w:rsidR="00C70E10" w:rsidRPr="002145BE" w:rsidRDefault="00E32240" w:rsidP="00FA76F0">
      <w:pPr>
        <w:pStyle w:val="3"/>
      </w:pPr>
      <w:r w:rsidRPr="002145BE">
        <w:rPr>
          <w:rFonts w:hint="eastAsia"/>
        </w:rPr>
        <w:t>按</w:t>
      </w:r>
      <w:r w:rsidR="00ED088D" w:rsidRPr="002145BE">
        <w:rPr>
          <w:rFonts w:hint="eastAsia"/>
        </w:rPr>
        <w:t>農業發展條例第2條及</w:t>
      </w:r>
      <w:r w:rsidR="00B6637B">
        <w:rPr>
          <w:rFonts w:hint="eastAsia"/>
        </w:rPr>
        <w:t>第</w:t>
      </w:r>
      <w:r w:rsidR="00ED088D" w:rsidRPr="002145BE">
        <w:rPr>
          <w:rFonts w:hint="eastAsia"/>
        </w:rPr>
        <w:t>62條規定，為維護農業生產及農村生活環境，農委會應採取必要措施，防止農業生產對環境之污染及非農業部門對農業生產、農村環境、水資源、土地、空氣之污染；</w:t>
      </w:r>
      <w:r w:rsidR="00E33EF1" w:rsidRPr="002145BE">
        <w:rPr>
          <w:rFonts w:hint="eastAsia"/>
        </w:rPr>
        <w:t>按</w:t>
      </w:r>
      <w:r w:rsidRPr="002145BE">
        <w:rPr>
          <w:rFonts w:hint="eastAsia"/>
        </w:rPr>
        <w:t>土壤及地下水污染整治法(下稱土污法)第3條及第4條規定，環保署主管全國性土壤、底泥及地下水污染預防與整治政策、方案、計畫之規劃、訂定、督導與執行，以及全國性土壤及地下水污染之監測及檢驗等</w:t>
      </w:r>
      <w:r w:rsidR="00FA76F0" w:rsidRPr="002145BE">
        <w:rPr>
          <w:rFonts w:hint="eastAsia"/>
        </w:rPr>
        <w:t>；按行政院環境保護署組織條例第7條，水質保護處掌理關於地面水污染防治之策劃、指導及監督事項。</w:t>
      </w:r>
      <w:r w:rsidR="00E33EF1" w:rsidRPr="002145BE">
        <w:rPr>
          <w:rFonts w:hint="eastAsia"/>
        </w:rPr>
        <w:t>按</w:t>
      </w:r>
      <w:r w:rsidR="004D1253" w:rsidRPr="002145BE">
        <w:rPr>
          <w:rFonts w:hint="eastAsia"/>
        </w:rPr>
        <w:t>工廠管理輔導法第26條規定，經濟部為促進工業發展，應</w:t>
      </w:r>
      <w:r w:rsidR="00780107" w:rsidRPr="002145BE">
        <w:rPr>
          <w:rFonts w:hint="eastAsia"/>
        </w:rPr>
        <w:t>輔導</w:t>
      </w:r>
      <w:r w:rsidR="004D1253" w:rsidRPr="002145BE">
        <w:rPr>
          <w:rFonts w:hint="eastAsia"/>
        </w:rPr>
        <w:t>工廠工業污染之防制或管理技術</w:t>
      </w:r>
      <w:r w:rsidR="00E33EF1" w:rsidRPr="002145BE">
        <w:rPr>
          <w:rFonts w:hint="eastAsia"/>
        </w:rPr>
        <w:t>；水污染防治法第24條規定，</w:t>
      </w:r>
      <w:r w:rsidR="00FC56FB" w:rsidRPr="002145BE">
        <w:rPr>
          <w:rFonts w:hint="eastAsia"/>
        </w:rPr>
        <w:t>事業或污水下水道系統，其廢 (污) 水處理及排放之改善，由各目的事業主管機關輔導之</w:t>
      </w:r>
      <w:r w:rsidR="00E33EF1" w:rsidRPr="002145BE">
        <w:rPr>
          <w:rFonts w:hint="eastAsia"/>
        </w:rPr>
        <w:t>。</w:t>
      </w:r>
      <w:r w:rsidR="00ED088D" w:rsidRPr="002145BE">
        <w:rPr>
          <w:rFonts w:hint="eastAsia"/>
        </w:rPr>
        <w:t>爰此，農委會應防止各類事業對於農地之危害及污染，而環保署負有全國性土壤之監測及</w:t>
      </w:r>
      <w:r w:rsidR="00FA76F0" w:rsidRPr="002145BE">
        <w:rPr>
          <w:rFonts w:hint="eastAsia"/>
        </w:rPr>
        <w:t>河川污染防治之策劃、指導及監督</w:t>
      </w:r>
      <w:r w:rsidR="00ED088D" w:rsidRPr="002145BE">
        <w:rPr>
          <w:rFonts w:hint="eastAsia"/>
        </w:rPr>
        <w:t>之責，另為避免事業對於農地土壤污染，經濟部</w:t>
      </w:r>
      <w:r w:rsidR="00780107" w:rsidRPr="002145BE">
        <w:rPr>
          <w:rFonts w:hint="eastAsia"/>
        </w:rPr>
        <w:t>應輔導工廠工業污染之防制或管理技術</w:t>
      </w:r>
      <w:r w:rsidR="00E33EF1" w:rsidRPr="002145BE">
        <w:rPr>
          <w:rFonts w:hint="eastAsia"/>
        </w:rPr>
        <w:t>以及廢水排放</w:t>
      </w:r>
      <w:r w:rsidR="00E33EF1" w:rsidRPr="002145BE">
        <w:rPr>
          <w:rFonts w:hint="eastAsia"/>
        </w:rPr>
        <w:lastRenderedPageBreak/>
        <w:t>之改善</w:t>
      </w:r>
      <w:r w:rsidR="00780107" w:rsidRPr="002145BE">
        <w:rPr>
          <w:rFonts w:hint="eastAsia"/>
        </w:rPr>
        <w:t>。</w:t>
      </w:r>
    </w:p>
    <w:p w:rsidR="00B90170" w:rsidRPr="002145BE" w:rsidRDefault="00B90170" w:rsidP="00B90170">
      <w:pPr>
        <w:pStyle w:val="3"/>
        <w:kinsoku w:val="0"/>
        <w:ind w:left="1372"/>
      </w:pPr>
      <w:r w:rsidRPr="002145BE">
        <w:rPr>
          <w:rFonts w:ascii="Times New Roman"/>
        </w:rPr>
        <w:t>環保署於</w:t>
      </w:r>
      <w:r w:rsidRPr="002145BE">
        <w:rPr>
          <w:rFonts w:ascii="Times New Roman" w:hAnsi="Times New Roman"/>
        </w:rPr>
        <w:t>99</w:t>
      </w:r>
      <w:r w:rsidR="00780107" w:rsidRPr="002145BE">
        <w:rPr>
          <w:rFonts w:ascii="Times New Roman"/>
        </w:rPr>
        <w:t>年開始以灌區集水區的概念</w:t>
      </w:r>
      <w:r w:rsidR="00780107" w:rsidRPr="002145BE">
        <w:rPr>
          <w:rFonts w:ascii="Times New Roman" w:hint="eastAsia"/>
        </w:rPr>
        <w:t>，亦即</w:t>
      </w:r>
      <w:r w:rsidRPr="002145BE">
        <w:rPr>
          <w:rFonts w:ascii="Times New Roman"/>
        </w:rPr>
        <w:t>依據農地土壤重金屬高污染潛勢篩選機制</w:t>
      </w:r>
      <w:r w:rsidRPr="002145BE">
        <w:rPr>
          <w:rFonts w:ascii="Times New Roman" w:hint="eastAsia"/>
        </w:rPr>
        <w:t>進行</w:t>
      </w:r>
      <w:r w:rsidR="00FA76F0" w:rsidRPr="002145BE">
        <w:rPr>
          <w:rFonts w:ascii="Times New Roman" w:hint="eastAsia"/>
        </w:rPr>
        <w:t>農地污染調查</w:t>
      </w:r>
      <w:r w:rsidRPr="002145BE">
        <w:rPr>
          <w:rFonts w:ascii="Times New Roman" w:hint="eastAsia"/>
        </w:rPr>
        <w:t>；</w:t>
      </w:r>
      <w:r w:rsidRPr="002145BE">
        <w:rPr>
          <w:rFonts w:hint="eastAsia"/>
        </w:rPr>
        <w:t>據環保署查復</w:t>
      </w:r>
      <w:r w:rsidRPr="002145BE">
        <w:rPr>
          <w:rStyle w:val="aff"/>
        </w:rPr>
        <w:footnoteReference w:id="1"/>
      </w:r>
      <w:r w:rsidRPr="002145BE">
        <w:rPr>
          <w:rFonts w:hint="eastAsia"/>
        </w:rPr>
        <w:t>，截至106年底止，國內農地累計列管場址計7,065筆，面積達1,121公頃，其中以彰化縣列管之筆數及面積最高(3,105筆、601.9公頃)，面積占率高達53.7%；另以桃園市列管之筆數及面積次之(</w:t>
      </w:r>
      <w:r w:rsidRPr="002145BE">
        <w:rPr>
          <w:rFonts w:hAnsi="Times New Roman"/>
          <w:kern w:val="0"/>
          <w:szCs w:val="24"/>
        </w:rPr>
        <w:t>2,693</w:t>
      </w:r>
      <w:r w:rsidRPr="002145BE">
        <w:rPr>
          <w:rFonts w:hint="eastAsia"/>
          <w:kern w:val="0"/>
          <w:szCs w:val="24"/>
        </w:rPr>
        <w:t>筆、</w:t>
      </w:r>
      <w:r w:rsidRPr="002145BE">
        <w:rPr>
          <w:rFonts w:hAnsi="Times New Roman"/>
          <w:kern w:val="0"/>
          <w:szCs w:val="24"/>
        </w:rPr>
        <w:t>329.5</w:t>
      </w:r>
      <w:r w:rsidRPr="002145BE">
        <w:rPr>
          <w:rFonts w:hint="eastAsia"/>
          <w:kern w:val="0"/>
          <w:szCs w:val="24"/>
        </w:rPr>
        <w:t>公頃)，面積占率計</w:t>
      </w:r>
      <w:r w:rsidRPr="002145BE">
        <w:rPr>
          <w:rFonts w:hAnsi="Times New Roman"/>
          <w:kern w:val="0"/>
          <w:szCs w:val="24"/>
        </w:rPr>
        <w:t>29.4</w:t>
      </w:r>
      <w:r w:rsidRPr="002145BE">
        <w:rPr>
          <w:rFonts w:hint="eastAsia"/>
          <w:kern w:val="0"/>
          <w:szCs w:val="24"/>
        </w:rPr>
        <w:t>%；</w:t>
      </w:r>
      <w:r w:rsidRPr="002145BE">
        <w:rPr>
          <w:rFonts w:hint="eastAsia"/>
        </w:rPr>
        <w:t>臺中市列管之筆數及面積再次之(762筆、90.22公頃)</w:t>
      </w:r>
      <w:r w:rsidRPr="002145BE">
        <w:rPr>
          <w:rFonts w:hint="eastAsia"/>
          <w:kern w:val="0"/>
          <w:szCs w:val="24"/>
        </w:rPr>
        <w:t>，面積占率計8.05%，詳如下表所示。</w:t>
      </w:r>
    </w:p>
    <w:p w:rsidR="00B90170" w:rsidRPr="002145BE" w:rsidRDefault="00B90170" w:rsidP="00B90170">
      <w:pPr>
        <w:pStyle w:val="a3"/>
      </w:pPr>
      <w:r w:rsidRPr="002145BE">
        <w:t>國內各縣市農地</w:t>
      </w:r>
      <w:r w:rsidRPr="002145BE">
        <w:rPr>
          <w:rFonts w:hint="eastAsia"/>
        </w:rPr>
        <w:t>污染控制</w:t>
      </w:r>
      <w:r w:rsidRPr="002145BE">
        <w:t>場址</w:t>
      </w:r>
      <w:r w:rsidRPr="002145BE">
        <w:rPr>
          <w:rFonts w:hint="eastAsia"/>
        </w:rPr>
        <w:t>列管</w:t>
      </w:r>
      <w:r w:rsidR="00C45DD7" w:rsidRPr="002145BE">
        <w:rPr>
          <w:rFonts w:hint="eastAsia"/>
        </w:rPr>
        <w:t>統計</w:t>
      </w:r>
    </w:p>
    <w:tbl>
      <w:tblPr>
        <w:tblW w:w="5257" w:type="pct"/>
        <w:jc w:val="center"/>
        <w:tblLayout w:type="fixed"/>
        <w:tblCellMar>
          <w:left w:w="28" w:type="dxa"/>
          <w:right w:w="28" w:type="dxa"/>
        </w:tblCellMar>
        <w:tblLook w:val="04A0" w:firstRow="1" w:lastRow="0" w:firstColumn="1" w:lastColumn="0" w:noHBand="0" w:noVBand="1"/>
      </w:tblPr>
      <w:tblGrid>
        <w:gridCol w:w="959"/>
        <w:gridCol w:w="968"/>
        <w:gridCol w:w="903"/>
        <w:gridCol w:w="944"/>
        <w:gridCol w:w="766"/>
        <w:gridCol w:w="974"/>
        <w:gridCol w:w="1037"/>
        <w:gridCol w:w="734"/>
        <w:gridCol w:w="912"/>
        <w:gridCol w:w="1095"/>
      </w:tblGrid>
      <w:tr w:rsidR="00B90170" w:rsidRPr="002145BE" w:rsidTr="006C6414">
        <w:trPr>
          <w:trHeight w:val="415"/>
          <w:tblHeader/>
          <w:jc w:val="center"/>
        </w:trPr>
        <w:tc>
          <w:tcPr>
            <w:tcW w:w="516" w:type="pct"/>
            <w:vMerge w:val="restart"/>
            <w:tcBorders>
              <w:top w:val="single" w:sz="2" w:space="0" w:color="auto"/>
              <w:left w:val="single" w:sz="2" w:space="0" w:color="auto"/>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center"/>
              <w:rPr>
                <w:rFonts w:ascii="Times New Roman"/>
                <w:kern w:val="0"/>
                <w:sz w:val="28"/>
                <w:szCs w:val="28"/>
              </w:rPr>
            </w:pPr>
            <w:r w:rsidRPr="002145BE">
              <w:rPr>
                <w:rFonts w:ascii="Times New Roman"/>
                <w:kern w:val="0"/>
                <w:sz w:val="28"/>
                <w:szCs w:val="28"/>
              </w:rPr>
              <w:t>縣市</w:t>
            </w:r>
          </w:p>
        </w:tc>
        <w:tc>
          <w:tcPr>
            <w:tcW w:w="1515" w:type="pct"/>
            <w:gridSpan w:val="3"/>
            <w:tcBorders>
              <w:top w:val="single" w:sz="2" w:space="0" w:color="auto"/>
              <w:left w:val="nil"/>
              <w:bottom w:val="single" w:sz="4" w:space="0" w:color="auto"/>
              <w:right w:val="single" w:sz="4" w:space="0" w:color="000000"/>
            </w:tcBorders>
            <w:shd w:val="clear" w:color="auto" w:fill="auto"/>
            <w:noWrap/>
            <w:vAlign w:val="center"/>
            <w:hideMark/>
          </w:tcPr>
          <w:p w:rsidR="00B90170" w:rsidRPr="002145BE" w:rsidRDefault="00B90170" w:rsidP="00BD2B41">
            <w:pPr>
              <w:widowControl/>
              <w:adjustRightInd w:val="0"/>
              <w:snapToGrid w:val="0"/>
              <w:jc w:val="center"/>
              <w:rPr>
                <w:rFonts w:ascii="Times New Roman"/>
                <w:kern w:val="0"/>
                <w:sz w:val="28"/>
                <w:szCs w:val="28"/>
              </w:rPr>
            </w:pPr>
            <w:r w:rsidRPr="002145BE">
              <w:rPr>
                <w:rFonts w:ascii="Times New Roman"/>
                <w:kern w:val="0"/>
                <w:sz w:val="28"/>
                <w:szCs w:val="28"/>
              </w:rPr>
              <w:t>列管中</w:t>
            </w:r>
          </w:p>
        </w:tc>
        <w:tc>
          <w:tcPr>
            <w:tcW w:w="1494" w:type="pct"/>
            <w:gridSpan w:val="3"/>
            <w:tcBorders>
              <w:top w:val="single" w:sz="2" w:space="0" w:color="auto"/>
              <w:left w:val="nil"/>
              <w:bottom w:val="single" w:sz="4" w:space="0" w:color="auto"/>
              <w:right w:val="single" w:sz="4" w:space="0" w:color="000000"/>
            </w:tcBorders>
            <w:shd w:val="clear" w:color="auto" w:fill="auto"/>
            <w:noWrap/>
            <w:vAlign w:val="center"/>
            <w:hideMark/>
          </w:tcPr>
          <w:p w:rsidR="00B90170" w:rsidRPr="002145BE" w:rsidRDefault="00B90170" w:rsidP="00BD2B41">
            <w:pPr>
              <w:widowControl/>
              <w:adjustRightInd w:val="0"/>
              <w:snapToGrid w:val="0"/>
              <w:jc w:val="center"/>
              <w:rPr>
                <w:rFonts w:ascii="Times New Roman"/>
                <w:kern w:val="0"/>
                <w:sz w:val="28"/>
                <w:szCs w:val="28"/>
              </w:rPr>
            </w:pPr>
            <w:r w:rsidRPr="002145BE">
              <w:rPr>
                <w:rFonts w:ascii="Times New Roman"/>
                <w:kern w:val="0"/>
                <w:sz w:val="28"/>
                <w:szCs w:val="28"/>
              </w:rPr>
              <w:t>已解列</w:t>
            </w:r>
          </w:p>
        </w:tc>
        <w:tc>
          <w:tcPr>
            <w:tcW w:w="1475" w:type="pct"/>
            <w:gridSpan w:val="3"/>
            <w:tcBorders>
              <w:top w:val="single" w:sz="2" w:space="0" w:color="auto"/>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center"/>
              <w:rPr>
                <w:rFonts w:ascii="Times New Roman"/>
                <w:kern w:val="0"/>
                <w:sz w:val="28"/>
                <w:szCs w:val="28"/>
              </w:rPr>
            </w:pPr>
            <w:r w:rsidRPr="002145BE">
              <w:rPr>
                <w:rFonts w:ascii="Times New Roman" w:hint="eastAsia"/>
                <w:kern w:val="0"/>
                <w:sz w:val="28"/>
                <w:szCs w:val="28"/>
              </w:rPr>
              <w:t>合</w:t>
            </w:r>
            <w:r w:rsidRPr="002145BE">
              <w:rPr>
                <w:rFonts w:ascii="Times New Roman"/>
                <w:kern w:val="0"/>
                <w:sz w:val="28"/>
                <w:szCs w:val="28"/>
              </w:rPr>
              <w:t>計</w:t>
            </w:r>
          </w:p>
        </w:tc>
      </w:tr>
      <w:tr w:rsidR="00B90170" w:rsidRPr="002145BE" w:rsidTr="006C6414">
        <w:trPr>
          <w:tblHeader/>
          <w:jc w:val="center"/>
        </w:trPr>
        <w:tc>
          <w:tcPr>
            <w:tcW w:w="516" w:type="pct"/>
            <w:vMerge/>
            <w:tcBorders>
              <w:top w:val="single" w:sz="4" w:space="0" w:color="000000"/>
              <w:left w:val="single" w:sz="2" w:space="0" w:color="auto"/>
              <w:bottom w:val="double" w:sz="4" w:space="0" w:color="auto"/>
              <w:right w:val="single" w:sz="4" w:space="0" w:color="auto"/>
            </w:tcBorders>
            <w:vAlign w:val="center"/>
            <w:hideMark/>
          </w:tcPr>
          <w:p w:rsidR="00B90170" w:rsidRPr="002145BE" w:rsidRDefault="00B90170" w:rsidP="00BD2B41">
            <w:pPr>
              <w:widowControl/>
              <w:adjustRightInd w:val="0"/>
              <w:snapToGrid w:val="0"/>
              <w:jc w:val="center"/>
              <w:rPr>
                <w:rFonts w:ascii="Times New Roman"/>
                <w:kern w:val="0"/>
                <w:sz w:val="28"/>
                <w:szCs w:val="28"/>
              </w:rPr>
            </w:pPr>
          </w:p>
        </w:tc>
        <w:tc>
          <w:tcPr>
            <w:tcW w:w="521"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筆數</w:t>
            </w:r>
          </w:p>
        </w:tc>
        <w:tc>
          <w:tcPr>
            <w:tcW w:w="486"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90170">
            <w:pPr>
              <w:widowControl/>
              <w:adjustRightInd w:val="0"/>
              <w:snapToGrid w:val="0"/>
              <w:spacing w:line="240" w:lineRule="exact"/>
              <w:ind w:leftChars="-25" w:left="-85" w:rightChars="-7" w:right="-24"/>
              <w:jc w:val="center"/>
              <w:rPr>
                <w:rFonts w:ascii="Times New Roman"/>
                <w:kern w:val="0"/>
                <w:sz w:val="24"/>
                <w:szCs w:val="24"/>
              </w:rPr>
            </w:pPr>
            <w:r w:rsidRPr="002145BE">
              <w:rPr>
                <w:rFonts w:ascii="Times New Roman"/>
                <w:kern w:val="0"/>
                <w:sz w:val="24"/>
                <w:szCs w:val="24"/>
              </w:rPr>
              <w:t>（公頃）</w:t>
            </w:r>
          </w:p>
        </w:tc>
        <w:tc>
          <w:tcPr>
            <w:tcW w:w="508"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比</w:t>
            </w:r>
            <w:r w:rsidRPr="002145BE">
              <w:rPr>
                <w:rFonts w:ascii="Times New Roman" w:hint="eastAsia"/>
                <w:kern w:val="0"/>
                <w:sz w:val="28"/>
                <w:szCs w:val="28"/>
              </w:rPr>
              <w:t>率</w:t>
            </w:r>
          </w:p>
          <w:p w:rsidR="00B90170" w:rsidRPr="002145BE" w:rsidRDefault="00B90170" w:rsidP="00B90170">
            <w:pPr>
              <w:widowControl/>
              <w:adjustRightInd w:val="0"/>
              <w:snapToGrid w:val="0"/>
              <w:spacing w:line="240" w:lineRule="exact"/>
              <w:ind w:leftChars="-25" w:left="-85" w:rightChars="-7" w:right="-24"/>
              <w:jc w:val="center"/>
              <w:rPr>
                <w:rFonts w:ascii="Times New Roman"/>
                <w:kern w:val="0"/>
                <w:sz w:val="24"/>
                <w:szCs w:val="24"/>
              </w:rPr>
            </w:pPr>
            <w:r w:rsidRPr="002145BE">
              <w:rPr>
                <w:rFonts w:ascii="Times New Roman"/>
                <w:kern w:val="0"/>
                <w:sz w:val="24"/>
                <w:szCs w:val="24"/>
              </w:rPr>
              <w:t>（</w:t>
            </w:r>
            <w:r w:rsidRPr="002145BE">
              <w:rPr>
                <w:rFonts w:ascii="Times New Roman"/>
                <w:kern w:val="0"/>
                <w:sz w:val="24"/>
                <w:szCs w:val="24"/>
              </w:rPr>
              <w:t>%</w:t>
            </w:r>
            <w:r w:rsidRPr="002145BE">
              <w:rPr>
                <w:rFonts w:ascii="Times New Roman"/>
                <w:kern w:val="0"/>
                <w:sz w:val="24"/>
                <w:szCs w:val="24"/>
              </w:rPr>
              <w:t>）</w:t>
            </w:r>
          </w:p>
        </w:tc>
        <w:tc>
          <w:tcPr>
            <w:tcW w:w="412"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筆數</w:t>
            </w:r>
          </w:p>
        </w:tc>
        <w:tc>
          <w:tcPr>
            <w:tcW w:w="524"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D2B41">
            <w:pPr>
              <w:widowControl/>
              <w:adjustRightInd w:val="0"/>
              <w:snapToGrid w:val="0"/>
              <w:spacing w:line="240" w:lineRule="exact"/>
              <w:jc w:val="center"/>
              <w:rPr>
                <w:rFonts w:ascii="Times New Roman"/>
                <w:kern w:val="0"/>
                <w:sz w:val="24"/>
                <w:szCs w:val="24"/>
              </w:rPr>
            </w:pPr>
            <w:r w:rsidRPr="002145BE">
              <w:rPr>
                <w:rFonts w:ascii="Times New Roman"/>
                <w:kern w:val="0"/>
                <w:sz w:val="24"/>
                <w:szCs w:val="24"/>
              </w:rPr>
              <w:t>（公頃）</w:t>
            </w:r>
          </w:p>
        </w:tc>
        <w:tc>
          <w:tcPr>
            <w:tcW w:w="558"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比</w:t>
            </w:r>
            <w:r w:rsidRPr="002145BE">
              <w:rPr>
                <w:rFonts w:ascii="Times New Roman" w:hint="eastAsia"/>
                <w:kern w:val="0"/>
                <w:sz w:val="28"/>
                <w:szCs w:val="28"/>
              </w:rPr>
              <w:t>率</w:t>
            </w:r>
          </w:p>
          <w:p w:rsidR="00B90170" w:rsidRPr="002145BE" w:rsidRDefault="00B90170" w:rsidP="00BD2B41">
            <w:pPr>
              <w:widowControl/>
              <w:adjustRightInd w:val="0"/>
              <w:snapToGrid w:val="0"/>
              <w:spacing w:line="240" w:lineRule="exact"/>
              <w:jc w:val="center"/>
              <w:rPr>
                <w:rFonts w:ascii="Times New Roman"/>
                <w:kern w:val="0"/>
                <w:sz w:val="24"/>
                <w:szCs w:val="24"/>
              </w:rPr>
            </w:pPr>
            <w:r w:rsidRPr="002145BE">
              <w:rPr>
                <w:rFonts w:ascii="Times New Roman"/>
                <w:kern w:val="0"/>
                <w:sz w:val="24"/>
                <w:szCs w:val="24"/>
              </w:rPr>
              <w:t>（</w:t>
            </w:r>
            <w:r w:rsidRPr="002145BE">
              <w:rPr>
                <w:rFonts w:ascii="Times New Roman"/>
                <w:kern w:val="0"/>
                <w:sz w:val="24"/>
                <w:szCs w:val="24"/>
              </w:rPr>
              <w:t>%</w:t>
            </w:r>
            <w:r w:rsidRPr="002145BE">
              <w:rPr>
                <w:rFonts w:ascii="Times New Roman"/>
                <w:kern w:val="0"/>
                <w:sz w:val="24"/>
                <w:szCs w:val="24"/>
              </w:rPr>
              <w:t>）</w:t>
            </w:r>
          </w:p>
        </w:tc>
        <w:tc>
          <w:tcPr>
            <w:tcW w:w="395"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筆數</w:t>
            </w:r>
          </w:p>
        </w:tc>
        <w:tc>
          <w:tcPr>
            <w:tcW w:w="491" w:type="pct"/>
            <w:tcBorders>
              <w:top w:val="single" w:sz="4" w:space="0" w:color="auto"/>
              <w:left w:val="nil"/>
              <w:bottom w:val="doub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90170">
            <w:pPr>
              <w:widowControl/>
              <w:adjustRightInd w:val="0"/>
              <w:snapToGrid w:val="0"/>
              <w:spacing w:line="240" w:lineRule="exact"/>
              <w:ind w:leftChars="-25" w:left="-85" w:rightChars="-7" w:right="-24"/>
              <w:jc w:val="center"/>
              <w:rPr>
                <w:rFonts w:ascii="Times New Roman"/>
                <w:kern w:val="0"/>
                <w:sz w:val="24"/>
                <w:szCs w:val="24"/>
              </w:rPr>
            </w:pPr>
            <w:r w:rsidRPr="002145BE">
              <w:rPr>
                <w:rFonts w:ascii="Times New Roman"/>
                <w:kern w:val="0"/>
                <w:sz w:val="24"/>
                <w:szCs w:val="24"/>
              </w:rPr>
              <w:t>（公頃）</w:t>
            </w:r>
          </w:p>
        </w:tc>
        <w:tc>
          <w:tcPr>
            <w:tcW w:w="589" w:type="pct"/>
            <w:tcBorders>
              <w:top w:val="single" w:sz="4" w:space="0" w:color="auto"/>
              <w:left w:val="nil"/>
              <w:bottom w:val="doub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面積</w:t>
            </w:r>
          </w:p>
          <w:p w:rsidR="00B90170" w:rsidRPr="002145BE" w:rsidRDefault="00B90170" w:rsidP="00BD2B41">
            <w:pPr>
              <w:widowControl/>
              <w:adjustRightInd w:val="0"/>
              <w:snapToGrid w:val="0"/>
              <w:spacing w:line="240" w:lineRule="exact"/>
              <w:jc w:val="center"/>
              <w:rPr>
                <w:rFonts w:ascii="Times New Roman"/>
                <w:kern w:val="0"/>
                <w:sz w:val="28"/>
                <w:szCs w:val="28"/>
              </w:rPr>
            </w:pPr>
            <w:r w:rsidRPr="002145BE">
              <w:rPr>
                <w:rFonts w:ascii="Times New Roman"/>
                <w:kern w:val="0"/>
                <w:sz w:val="28"/>
                <w:szCs w:val="28"/>
              </w:rPr>
              <w:t>比</w:t>
            </w:r>
            <w:r w:rsidRPr="002145BE">
              <w:rPr>
                <w:rFonts w:ascii="Times New Roman" w:hint="eastAsia"/>
                <w:kern w:val="0"/>
                <w:sz w:val="28"/>
                <w:szCs w:val="28"/>
              </w:rPr>
              <w:t>率</w:t>
            </w:r>
          </w:p>
          <w:p w:rsidR="00B90170" w:rsidRPr="002145BE" w:rsidRDefault="00B90170" w:rsidP="00BD2B41">
            <w:pPr>
              <w:widowControl/>
              <w:adjustRightInd w:val="0"/>
              <w:snapToGrid w:val="0"/>
              <w:spacing w:line="240" w:lineRule="exact"/>
              <w:jc w:val="center"/>
              <w:rPr>
                <w:rFonts w:ascii="Times New Roman"/>
                <w:kern w:val="0"/>
                <w:sz w:val="24"/>
                <w:szCs w:val="24"/>
              </w:rPr>
            </w:pPr>
            <w:r w:rsidRPr="002145BE">
              <w:rPr>
                <w:rFonts w:ascii="Times New Roman"/>
                <w:kern w:val="0"/>
                <w:sz w:val="24"/>
                <w:szCs w:val="24"/>
              </w:rPr>
              <w:t>（</w:t>
            </w:r>
            <w:r w:rsidRPr="002145BE">
              <w:rPr>
                <w:rFonts w:ascii="Times New Roman"/>
                <w:kern w:val="0"/>
                <w:sz w:val="24"/>
                <w:szCs w:val="24"/>
              </w:rPr>
              <w:t>%</w:t>
            </w:r>
            <w:r w:rsidRPr="002145BE">
              <w:rPr>
                <w:rFonts w:ascii="Times New Roman"/>
                <w:kern w:val="0"/>
                <w:sz w:val="24"/>
                <w:szCs w:val="24"/>
              </w:rPr>
              <w:t>）</w:t>
            </w:r>
          </w:p>
        </w:tc>
      </w:tr>
      <w:tr w:rsidR="00B90170" w:rsidRPr="002145BE" w:rsidTr="006C6414">
        <w:trPr>
          <w:jc w:val="center"/>
        </w:trPr>
        <w:tc>
          <w:tcPr>
            <w:tcW w:w="516" w:type="pct"/>
            <w:tcBorders>
              <w:top w:val="double" w:sz="4" w:space="0" w:color="auto"/>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基隆市</w:t>
            </w:r>
          </w:p>
        </w:tc>
        <w:tc>
          <w:tcPr>
            <w:tcW w:w="521"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double" w:sz="4" w:space="0" w:color="auto"/>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double" w:sz="4" w:space="0" w:color="auto"/>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臺北市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22</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4.8</w:t>
            </w:r>
            <w:r w:rsidRPr="002145BE">
              <w:rPr>
                <w:rFonts w:ascii="Times New Roman" w:hint="eastAsia"/>
                <w:kern w:val="0"/>
                <w:sz w:val="28"/>
                <w:szCs w:val="28"/>
              </w:rPr>
              <w:t>9</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0.76</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22</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4.8</w:t>
            </w:r>
            <w:r w:rsidRPr="002145BE">
              <w:rPr>
                <w:rFonts w:ascii="Times New Roman" w:hint="eastAsia"/>
                <w:kern w:val="0"/>
                <w:sz w:val="28"/>
                <w:szCs w:val="28"/>
              </w:rPr>
              <w:t>9</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w:t>
            </w:r>
            <w:r w:rsidRPr="002145BE">
              <w:rPr>
                <w:rFonts w:ascii="Times New Roman" w:hint="eastAsia"/>
                <w:kern w:val="0"/>
                <w:sz w:val="28"/>
                <w:szCs w:val="28"/>
              </w:rPr>
              <w:t>4</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新北市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0.43</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0.09</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13</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3.72</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0.58</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18</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4.1</w:t>
            </w:r>
            <w:r w:rsidRPr="002145BE">
              <w:rPr>
                <w:rFonts w:ascii="Times New Roman" w:hint="eastAsia"/>
                <w:kern w:val="0"/>
                <w:sz w:val="28"/>
                <w:szCs w:val="28"/>
              </w:rPr>
              <w:t>6</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0.37</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b/>
                <w:kern w:val="0"/>
                <w:sz w:val="28"/>
                <w:szCs w:val="28"/>
              </w:rPr>
            </w:pPr>
            <w:r w:rsidRPr="002145BE">
              <w:rPr>
                <w:rFonts w:ascii="Times New Roman"/>
                <w:b/>
                <w:kern w:val="0"/>
                <w:sz w:val="28"/>
                <w:szCs w:val="28"/>
              </w:rPr>
              <w:t>桃園市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1,722</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182.5</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37.9</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971</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147</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23</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2,693</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329.5</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29.4</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新竹縣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新竹市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0.27</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w:t>
            </w:r>
            <w:r w:rsidRPr="002145BE">
              <w:rPr>
                <w:rFonts w:ascii="Times New Roman" w:hint="eastAsia"/>
                <w:kern w:val="0"/>
                <w:sz w:val="28"/>
                <w:szCs w:val="28"/>
              </w:rPr>
              <w:t>6</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200</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35.93</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5.62</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202</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36.2</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3.23</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苗栗縣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10</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1.4</w:t>
            </w:r>
            <w:r w:rsidRPr="002145BE">
              <w:rPr>
                <w:rFonts w:ascii="Times New Roman" w:hint="eastAsia"/>
                <w:kern w:val="0"/>
                <w:sz w:val="28"/>
                <w:szCs w:val="28"/>
              </w:rPr>
              <w:t>3</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w:t>
            </w:r>
            <w:r w:rsidRPr="002145BE">
              <w:rPr>
                <w:rFonts w:ascii="Times New Roman" w:hint="eastAsia"/>
                <w:kern w:val="0"/>
                <w:sz w:val="28"/>
                <w:szCs w:val="28"/>
              </w:rPr>
              <w:t>3</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32</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3.80</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0.6</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42</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5.23</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w:t>
            </w:r>
            <w:r w:rsidRPr="002145BE">
              <w:rPr>
                <w:rFonts w:ascii="Times New Roman" w:hint="eastAsia"/>
                <w:kern w:val="0"/>
                <w:sz w:val="28"/>
                <w:szCs w:val="28"/>
              </w:rPr>
              <w:t>7</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b/>
                <w:kern w:val="0"/>
                <w:sz w:val="28"/>
                <w:szCs w:val="28"/>
              </w:rPr>
            </w:pPr>
            <w:r w:rsidRPr="002145BE">
              <w:rPr>
                <w:rFonts w:ascii="Times New Roman"/>
                <w:b/>
                <w:kern w:val="0"/>
                <w:sz w:val="28"/>
                <w:szCs w:val="28"/>
              </w:rPr>
              <w:t>臺中市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66</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7.36</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1.53</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696</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82.86</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13</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762</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90.22</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8.05</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b/>
                <w:kern w:val="0"/>
                <w:sz w:val="28"/>
                <w:szCs w:val="28"/>
              </w:rPr>
            </w:pPr>
            <w:r w:rsidRPr="002145BE">
              <w:rPr>
                <w:rFonts w:ascii="Times New Roman"/>
                <w:b/>
                <w:kern w:val="0"/>
                <w:sz w:val="28"/>
                <w:szCs w:val="28"/>
              </w:rPr>
              <w:t>彰化縣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1,684</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284.1</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59.1</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1,421</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317.8</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49.6</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3,105</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601.9</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53.7</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南投縣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0.45</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0.09</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0.1</w:t>
            </w:r>
            <w:r w:rsidRPr="002145BE">
              <w:rPr>
                <w:rFonts w:ascii="Times New Roman" w:hint="eastAsia"/>
                <w:kern w:val="0"/>
                <w:sz w:val="28"/>
                <w:szCs w:val="28"/>
              </w:rPr>
              <w:t>3</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0.02</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11</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0.5</w:t>
            </w:r>
            <w:r w:rsidRPr="002145BE">
              <w:rPr>
                <w:rFonts w:ascii="Times New Roman" w:hint="eastAsia"/>
                <w:kern w:val="0"/>
                <w:sz w:val="28"/>
                <w:szCs w:val="28"/>
              </w:rPr>
              <w:t>8</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0.05</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雲林縣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0.30</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0.06</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24</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5.74</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0.90</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26</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6.04</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0.5</w:t>
            </w:r>
            <w:r w:rsidRPr="002145BE">
              <w:rPr>
                <w:rFonts w:ascii="Times New Roman" w:hint="eastAsia"/>
                <w:kern w:val="0"/>
                <w:sz w:val="28"/>
                <w:szCs w:val="28"/>
              </w:rPr>
              <w:t>4</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嘉義縣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0.47</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0.07</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0.47</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0.04</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嘉義市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0.7</w:t>
            </w:r>
            <w:r w:rsidRPr="002145BE">
              <w:rPr>
                <w:rFonts w:ascii="Times New Roman" w:hint="eastAsia"/>
                <w:kern w:val="0"/>
                <w:sz w:val="28"/>
                <w:szCs w:val="28"/>
              </w:rPr>
              <w:t>2</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0.1</w:t>
            </w:r>
            <w:r w:rsidRPr="002145BE">
              <w:rPr>
                <w:rFonts w:ascii="Times New Roman" w:hint="eastAsia"/>
                <w:kern w:val="0"/>
                <w:sz w:val="28"/>
                <w:szCs w:val="28"/>
              </w:rPr>
              <w:t>5</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16</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3.8</w:t>
            </w:r>
            <w:r w:rsidRPr="002145BE">
              <w:rPr>
                <w:rFonts w:ascii="Times New Roman" w:hint="eastAsia"/>
                <w:kern w:val="0"/>
                <w:sz w:val="28"/>
                <w:szCs w:val="28"/>
              </w:rPr>
              <w:t>9</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0.6</w:t>
            </w:r>
            <w:r w:rsidRPr="002145BE">
              <w:rPr>
                <w:rFonts w:ascii="Times New Roman" w:hint="eastAsia"/>
                <w:kern w:val="0"/>
                <w:sz w:val="28"/>
                <w:szCs w:val="28"/>
              </w:rPr>
              <w:t>1</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19</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4.60</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0.41</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臺南市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38</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3.46</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0.71</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68</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16.36</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2.56</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106</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19.82</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1.77</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高雄市</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49</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8.</w:t>
            </w:r>
            <w:r w:rsidRPr="002145BE">
              <w:rPr>
                <w:rFonts w:ascii="Times New Roman" w:hint="eastAsia"/>
                <w:kern w:val="0"/>
                <w:sz w:val="28"/>
                <w:szCs w:val="28"/>
              </w:rPr>
              <w:t>50</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1.33</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49</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8.</w:t>
            </w:r>
            <w:r w:rsidRPr="002145BE">
              <w:rPr>
                <w:rFonts w:ascii="Times New Roman" w:hint="eastAsia"/>
                <w:kern w:val="0"/>
                <w:sz w:val="28"/>
                <w:szCs w:val="28"/>
              </w:rPr>
              <w:t>50</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0.7</w:t>
            </w:r>
            <w:r w:rsidRPr="002145BE">
              <w:rPr>
                <w:rFonts w:ascii="Times New Roman" w:hint="eastAsia"/>
                <w:kern w:val="0"/>
                <w:sz w:val="28"/>
                <w:szCs w:val="28"/>
              </w:rPr>
              <w:t>6</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屏東縣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0.12</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0.0</w:t>
            </w:r>
            <w:r w:rsidRPr="002145BE">
              <w:rPr>
                <w:rFonts w:ascii="Times New Roman" w:hint="eastAsia"/>
                <w:kern w:val="0"/>
                <w:sz w:val="28"/>
                <w:szCs w:val="28"/>
              </w:rPr>
              <w:t>3</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2</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7.39</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1.16</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7.5</w:t>
            </w:r>
            <w:r w:rsidRPr="002145BE">
              <w:rPr>
                <w:rFonts w:ascii="Times New Roman" w:hint="eastAsia"/>
                <w:kern w:val="0"/>
                <w:sz w:val="28"/>
                <w:szCs w:val="28"/>
              </w:rPr>
              <w:t>2</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0.67</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lastRenderedPageBreak/>
              <w:t>宜蘭縣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1.18</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0.18</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5</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1.18</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0.1</w:t>
            </w:r>
            <w:r w:rsidRPr="002145BE">
              <w:rPr>
                <w:rFonts w:ascii="Times New Roman" w:hint="eastAsia"/>
                <w:kern w:val="0"/>
                <w:sz w:val="28"/>
                <w:szCs w:val="28"/>
              </w:rPr>
              <w:t>1</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花蓮縣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臺東縣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澎湖縣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金門縣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4" w:space="0" w:color="auto"/>
              <w:right w:val="single" w:sz="4" w:space="0" w:color="auto"/>
            </w:tcBorders>
            <w:shd w:val="clear" w:color="auto" w:fill="auto"/>
            <w:noWrap/>
            <w:vAlign w:val="center"/>
            <w:hideMark/>
          </w:tcPr>
          <w:p w:rsidR="00B90170" w:rsidRPr="002145BE" w:rsidRDefault="00B90170" w:rsidP="00B90170">
            <w:pPr>
              <w:widowControl/>
              <w:adjustRightInd w:val="0"/>
              <w:snapToGrid w:val="0"/>
              <w:ind w:leftChars="-2" w:left="-7" w:rightChars="-7" w:right="-24"/>
              <w:jc w:val="center"/>
              <w:rPr>
                <w:rFonts w:ascii="Times New Roman"/>
                <w:kern w:val="0"/>
                <w:sz w:val="28"/>
                <w:szCs w:val="28"/>
              </w:rPr>
            </w:pPr>
            <w:r w:rsidRPr="002145BE">
              <w:rPr>
                <w:rFonts w:ascii="Times New Roman"/>
                <w:kern w:val="0"/>
                <w:sz w:val="28"/>
                <w:szCs w:val="28"/>
              </w:rPr>
              <w:t>連江縣</w:t>
            </w:r>
          </w:p>
        </w:tc>
        <w:tc>
          <w:tcPr>
            <w:tcW w:w="52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86"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0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12"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24"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58"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395"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491" w:type="pct"/>
            <w:tcBorders>
              <w:top w:val="nil"/>
              <w:left w:val="nil"/>
              <w:bottom w:val="single" w:sz="4"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c>
          <w:tcPr>
            <w:tcW w:w="589" w:type="pct"/>
            <w:tcBorders>
              <w:top w:val="nil"/>
              <w:left w:val="nil"/>
              <w:bottom w:val="single" w:sz="4"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w:t>
            </w:r>
          </w:p>
        </w:tc>
      </w:tr>
      <w:tr w:rsidR="00B90170" w:rsidRPr="002145BE" w:rsidTr="006C6414">
        <w:trPr>
          <w:jc w:val="center"/>
        </w:trPr>
        <w:tc>
          <w:tcPr>
            <w:tcW w:w="516" w:type="pct"/>
            <w:tcBorders>
              <w:top w:val="nil"/>
              <w:left w:val="single" w:sz="2" w:space="0" w:color="auto"/>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center"/>
              <w:rPr>
                <w:rFonts w:ascii="Times New Roman"/>
                <w:kern w:val="0"/>
                <w:sz w:val="28"/>
                <w:szCs w:val="28"/>
              </w:rPr>
            </w:pPr>
            <w:r w:rsidRPr="002145BE">
              <w:rPr>
                <w:rFonts w:ascii="Times New Roman"/>
                <w:kern w:val="0"/>
                <w:sz w:val="28"/>
                <w:szCs w:val="28"/>
              </w:rPr>
              <w:t>總計</w:t>
            </w:r>
          </w:p>
        </w:tc>
        <w:tc>
          <w:tcPr>
            <w:tcW w:w="521"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3,537</w:t>
            </w:r>
          </w:p>
        </w:tc>
        <w:tc>
          <w:tcPr>
            <w:tcW w:w="486"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481</w:t>
            </w:r>
          </w:p>
        </w:tc>
        <w:tc>
          <w:tcPr>
            <w:tcW w:w="508"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100</w:t>
            </w:r>
          </w:p>
        </w:tc>
        <w:tc>
          <w:tcPr>
            <w:tcW w:w="412"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3,528</w:t>
            </w:r>
          </w:p>
        </w:tc>
        <w:tc>
          <w:tcPr>
            <w:tcW w:w="524"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6</w:t>
            </w:r>
            <w:r w:rsidRPr="002145BE">
              <w:rPr>
                <w:rFonts w:ascii="Times New Roman" w:hint="eastAsia"/>
                <w:kern w:val="0"/>
                <w:sz w:val="28"/>
                <w:szCs w:val="28"/>
              </w:rPr>
              <w:t>40</w:t>
            </w:r>
          </w:p>
        </w:tc>
        <w:tc>
          <w:tcPr>
            <w:tcW w:w="558"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100</w:t>
            </w:r>
          </w:p>
        </w:tc>
        <w:tc>
          <w:tcPr>
            <w:tcW w:w="395"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7,065</w:t>
            </w:r>
          </w:p>
        </w:tc>
        <w:tc>
          <w:tcPr>
            <w:tcW w:w="491" w:type="pct"/>
            <w:tcBorders>
              <w:top w:val="nil"/>
              <w:left w:val="nil"/>
              <w:bottom w:val="single" w:sz="2" w:space="0" w:color="auto"/>
              <w:right w:val="single" w:sz="4"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1,121</w:t>
            </w:r>
          </w:p>
        </w:tc>
        <w:tc>
          <w:tcPr>
            <w:tcW w:w="589" w:type="pct"/>
            <w:tcBorders>
              <w:top w:val="nil"/>
              <w:left w:val="nil"/>
              <w:bottom w:val="single" w:sz="2" w:space="0" w:color="auto"/>
              <w:right w:val="single" w:sz="2" w:space="0" w:color="auto"/>
            </w:tcBorders>
            <w:shd w:val="clear" w:color="auto" w:fill="auto"/>
            <w:noWrap/>
            <w:vAlign w:val="center"/>
            <w:hideMark/>
          </w:tcPr>
          <w:p w:rsidR="00B90170" w:rsidRPr="002145BE" w:rsidRDefault="00B90170" w:rsidP="00BD2B41">
            <w:pPr>
              <w:widowControl/>
              <w:adjustRightInd w:val="0"/>
              <w:snapToGrid w:val="0"/>
              <w:jc w:val="right"/>
              <w:rPr>
                <w:rFonts w:ascii="Times New Roman"/>
                <w:kern w:val="0"/>
                <w:sz w:val="28"/>
                <w:szCs w:val="28"/>
              </w:rPr>
            </w:pPr>
            <w:r w:rsidRPr="002145BE">
              <w:rPr>
                <w:rFonts w:ascii="Times New Roman"/>
                <w:kern w:val="0"/>
                <w:sz w:val="28"/>
                <w:szCs w:val="28"/>
              </w:rPr>
              <w:t>100</w:t>
            </w:r>
          </w:p>
        </w:tc>
      </w:tr>
    </w:tbl>
    <w:p w:rsidR="00B90170" w:rsidRPr="002145BE" w:rsidRDefault="00B90170" w:rsidP="00B90170">
      <w:pPr>
        <w:widowControl/>
        <w:shd w:val="clear" w:color="auto" w:fill="FFFFFF"/>
        <w:adjustRightInd w:val="0"/>
        <w:snapToGrid w:val="0"/>
        <w:ind w:leftChars="-41" w:left="-139"/>
        <w:rPr>
          <w:rFonts w:ascii="Times New Roman"/>
          <w:kern w:val="0"/>
          <w:sz w:val="24"/>
          <w:szCs w:val="24"/>
        </w:rPr>
      </w:pPr>
      <w:r w:rsidRPr="002145BE">
        <w:rPr>
          <w:rFonts w:ascii="Times New Roman"/>
          <w:kern w:val="0"/>
          <w:sz w:val="24"/>
          <w:szCs w:val="24"/>
        </w:rPr>
        <w:t>註：</w:t>
      </w:r>
      <w:r w:rsidRPr="002145BE">
        <w:rPr>
          <w:rFonts w:ascii="Times New Roman" w:hint="eastAsia"/>
          <w:kern w:val="0"/>
          <w:sz w:val="24"/>
          <w:szCs w:val="24"/>
        </w:rPr>
        <w:t>「</w:t>
      </w:r>
      <w:r w:rsidRPr="002145BE">
        <w:rPr>
          <w:rFonts w:ascii="Times New Roman"/>
          <w:kern w:val="0"/>
          <w:sz w:val="24"/>
          <w:szCs w:val="24"/>
        </w:rPr>
        <w:t>─</w:t>
      </w:r>
      <w:r w:rsidRPr="002145BE">
        <w:rPr>
          <w:rFonts w:ascii="Times New Roman" w:hint="eastAsia"/>
          <w:kern w:val="0"/>
          <w:sz w:val="24"/>
          <w:szCs w:val="24"/>
        </w:rPr>
        <w:t>」</w:t>
      </w:r>
      <w:r w:rsidRPr="002145BE">
        <w:rPr>
          <w:rFonts w:ascii="Times New Roman"/>
          <w:kern w:val="0"/>
          <w:sz w:val="24"/>
          <w:szCs w:val="24"/>
        </w:rPr>
        <w:t>表示無列管資料。</w:t>
      </w:r>
    </w:p>
    <w:p w:rsidR="00B90170" w:rsidRPr="002145BE" w:rsidRDefault="00B90170" w:rsidP="00B90170">
      <w:pPr>
        <w:widowControl/>
        <w:shd w:val="clear" w:color="auto" w:fill="FFFFFF"/>
        <w:adjustRightInd w:val="0"/>
        <w:snapToGrid w:val="0"/>
        <w:ind w:leftChars="-41" w:left="-139"/>
        <w:rPr>
          <w:rFonts w:ascii="Times New Roman"/>
          <w:sz w:val="24"/>
          <w:szCs w:val="24"/>
        </w:rPr>
      </w:pPr>
      <w:r w:rsidRPr="002145BE">
        <w:rPr>
          <w:rFonts w:ascii="Times New Roman" w:hint="eastAsia"/>
          <w:kern w:val="0"/>
          <w:sz w:val="24"/>
          <w:szCs w:val="24"/>
        </w:rPr>
        <w:t>資料來源：環保署。</w:t>
      </w:r>
    </w:p>
    <w:p w:rsidR="00B90170" w:rsidRPr="002145BE" w:rsidRDefault="00B90170" w:rsidP="00B90170">
      <w:pPr>
        <w:adjustRightInd w:val="0"/>
        <w:snapToGrid w:val="0"/>
        <w:ind w:left="969" w:hangingChars="285" w:hanging="969"/>
        <w:jc w:val="center"/>
        <w:rPr>
          <w:rFonts w:ascii="Times New Roman"/>
          <w:bCs/>
          <w:szCs w:val="24"/>
        </w:rPr>
      </w:pPr>
    </w:p>
    <w:p w:rsidR="00B432C9" w:rsidRPr="002145BE" w:rsidRDefault="00780107" w:rsidP="00D966D3">
      <w:pPr>
        <w:pStyle w:val="3"/>
        <w:kinsoku w:val="0"/>
        <w:ind w:left="1372"/>
      </w:pPr>
      <w:r w:rsidRPr="002145BE">
        <w:rPr>
          <w:rFonts w:ascii="Times New Roman" w:hAnsi="Times New Roman" w:hint="eastAsia"/>
          <w:szCs w:val="32"/>
        </w:rPr>
        <w:t>次</w:t>
      </w:r>
      <w:r w:rsidR="00B432C9" w:rsidRPr="002145BE">
        <w:rPr>
          <w:rFonts w:ascii="Times New Roman" w:hAnsi="Times New Roman" w:hint="eastAsia"/>
          <w:szCs w:val="32"/>
        </w:rPr>
        <w:t>查</w:t>
      </w:r>
      <w:r w:rsidR="00B432C9" w:rsidRPr="002145BE">
        <w:rPr>
          <w:rFonts w:ascii="Times New Roman" w:hAnsi="Times New Roman"/>
          <w:szCs w:val="32"/>
        </w:rPr>
        <w:t>桃園市</w:t>
      </w:r>
      <w:r w:rsidR="00B432C9" w:rsidRPr="002145BE">
        <w:rPr>
          <w:rFonts w:ascii="Times New Roman" w:hAnsi="Times New Roman" w:hint="eastAsia"/>
          <w:szCs w:val="32"/>
        </w:rPr>
        <w:t>受污染農地主要分布於</w:t>
      </w:r>
      <w:r w:rsidR="00B432C9" w:rsidRPr="002145BE">
        <w:rPr>
          <w:rFonts w:ascii="Times New Roman" w:hAnsi="Times New Roman"/>
          <w:szCs w:val="32"/>
        </w:rPr>
        <w:t>大園區</w:t>
      </w:r>
      <w:r w:rsidR="00B432C9" w:rsidRPr="002145BE">
        <w:rPr>
          <w:rFonts w:ascii="Times New Roman" w:hAnsi="Times New Roman" w:hint="eastAsia"/>
          <w:szCs w:val="32"/>
        </w:rPr>
        <w:t>及</w:t>
      </w:r>
      <w:r w:rsidR="00B432C9" w:rsidRPr="002145BE">
        <w:rPr>
          <w:rFonts w:ascii="Times New Roman" w:hAnsi="Times New Roman"/>
          <w:szCs w:val="32"/>
        </w:rPr>
        <w:t>蘆竹區</w:t>
      </w:r>
      <w:r w:rsidR="00B432C9" w:rsidRPr="002145BE">
        <w:rPr>
          <w:rFonts w:ascii="Times New Roman" w:hAnsi="Times New Roman" w:hint="eastAsia"/>
          <w:szCs w:val="32"/>
        </w:rPr>
        <w:t>，</w:t>
      </w:r>
      <w:r w:rsidR="00B432C9" w:rsidRPr="002145BE">
        <w:rPr>
          <w:rFonts w:ascii="Times New Roman" w:hAnsi="Times New Roman"/>
          <w:szCs w:val="32"/>
        </w:rPr>
        <w:t>彰化縣</w:t>
      </w:r>
      <w:r w:rsidR="00B432C9" w:rsidRPr="002145BE">
        <w:rPr>
          <w:rFonts w:ascii="Times New Roman" w:hAnsi="Times New Roman" w:hint="eastAsia"/>
          <w:szCs w:val="32"/>
        </w:rPr>
        <w:t>受污染農地主要分布於</w:t>
      </w:r>
      <w:r w:rsidR="00B432C9" w:rsidRPr="002145BE">
        <w:rPr>
          <w:rFonts w:ascii="Times New Roman" w:hAnsi="Times New Roman"/>
          <w:szCs w:val="32"/>
        </w:rPr>
        <w:t>和美鎮</w:t>
      </w:r>
      <w:r w:rsidR="00B432C9" w:rsidRPr="002145BE">
        <w:rPr>
          <w:rFonts w:ascii="Times New Roman" w:hAnsi="Times New Roman" w:hint="eastAsia"/>
          <w:szCs w:val="32"/>
        </w:rPr>
        <w:t>、</w:t>
      </w:r>
      <w:r w:rsidR="00B432C9" w:rsidRPr="002145BE">
        <w:rPr>
          <w:rFonts w:ascii="Times New Roman" w:hAnsi="Times New Roman"/>
          <w:szCs w:val="32"/>
        </w:rPr>
        <w:t>鹿港鎮</w:t>
      </w:r>
      <w:r w:rsidR="00B432C9" w:rsidRPr="002145BE">
        <w:rPr>
          <w:rFonts w:ascii="Times New Roman" w:hAnsi="Times New Roman" w:hint="eastAsia"/>
          <w:szCs w:val="32"/>
        </w:rPr>
        <w:t>及彰化市，</w:t>
      </w:r>
      <w:r w:rsidR="00B432C9" w:rsidRPr="002145BE">
        <w:rPr>
          <w:rFonts w:hint="eastAsia"/>
        </w:rPr>
        <w:t>另</w:t>
      </w:r>
      <w:r w:rsidR="00B432C9" w:rsidRPr="002145BE">
        <w:t>臺中市</w:t>
      </w:r>
      <w:r w:rsidR="00B432C9" w:rsidRPr="002145BE">
        <w:rPr>
          <w:rFonts w:hint="eastAsia"/>
        </w:rPr>
        <w:t>則主要分布於</w:t>
      </w:r>
      <w:r w:rsidR="00B432C9" w:rsidRPr="002145BE">
        <w:t>南屯區</w:t>
      </w:r>
      <w:r w:rsidR="00B432C9" w:rsidRPr="002145BE">
        <w:rPr>
          <w:rFonts w:hint="eastAsia"/>
        </w:rPr>
        <w:t>、后里區及烏日區等地；截至106年底止，</w:t>
      </w:r>
      <w:r w:rsidRPr="002145BE">
        <w:rPr>
          <w:rFonts w:hint="eastAsia"/>
        </w:rPr>
        <w:t>該3市縣轄內</w:t>
      </w:r>
      <w:r w:rsidR="00B432C9" w:rsidRPr="002145BE">
        <w:t>未解</w:t>
      </w:r>
      <w:r w:rsidR="00B432C9" w:rsidRPr="002145BE">
        <w:rPr>
          <w:rFonts w:hint="eastAsia"/>
        </w:rPr>
        <w:t>除</w:t>
      </w:r>
      <w:r w:rsidR="00B432C9" w:rsidRPr="002145BE">
        <w:t>列</w:t>
      </w:r>
      <w:r w:rsidR="00B432C9" w:rsidRPr="002145BE">
        <w:rPr>
          <w:rFonts w:hint="eastAsia"/>
        </w:rPr>
        <w:t>管</w:t>
      </w:r>
      <w:r w:rsidR="00B432C9" w:rsidRPr="002145BE">
        <w:t>農地之資料統計如</w:t>
      </w:r>
      <w:r w:rsidR="00B432C9" w:rsidRPr="002145BE">
        <w:rPr>
          <w:rFonts w:hint="eastAsia"/>
        </w:rPr>
        <w:t>下表</w:t>
      </w:r>
      <w:r w:rsidR="00B432C9" w:rsidRPr="002145BE">
        <w:t>。</w:t>
      </w:r>
    </w:p>
    <w:p w:rsidR="00B432C9" w:rsidRPr="002145BE" w:rsidRDefault="00B432C9" w:rsidP="00B432C9">
      <w:pPr>
        <w:pStyle w:val="a3"/>
      </w:pPr>
      <w:r w:rsidRPr="002145BE">
        <w:t>桃園市、臺中市及彰化縣各鄉鎮市區未解列農地統計</w:t>
      </w:r>
    </w:p>
    <w:tbl>
      <w:tblPr>
        <w:tblW w:w="3771" w:type="pct"/>
        <w:jc w:val="center"/>
        <w:tblCellMar>
          <w:left w:w="28" w:type="dxa"/>
          <w:right w:w="28" w:type="dxa"/>
        </w:tblCellMar>
        <w:tblLook w:val="04A0" w:firstRow="1" w:lastRow="0" w:firstColumn="1" w:lastColumn="0" w:noHBand="0" w:noVBand="1"/>
      </w:tblPr>
      <w:tblGrid>
        <w:gridCol w:w="1343"/>
        <w:gridCol w:w="1615"/>
        <w:gridCol w:w="1647"/>
        <w:gridCol w:w="2058"/>
      </w:tblGrid>
      <w:tr w:rsidR="00B432C9" w:rsidRPr="002145BE" w:rsidTr="006C6414">
        <w:trPr>
          <w:jc w:val="center"/>
        </w:trPr>
        <w:tc>
          <w:tcPr>
            <w:tcW w:w="1008"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縣市</w:t>
            </w:r>
          </w:p>
        </w:tc>
        <w:tc>
          <w:tcPr>
            <w:tcW w:w="1212" w:type="pct"/>
            <w:tcBorders>
              <w:top w:val="single" w:sz="4" w:space="0" w:color="auto"/>
              <w:left w:val="nil"/>
              <w:bottom w:val="doub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鄉鎮市區</w:t>
            </w:r>
          </w:p>
        </w:tc>
        <w:tc>
          <w:tcPr>
            <w:tcW w:w="1236" w:type="pct"/>
            <w:tcBorders>
              <w:top w:val="single" w:sz="4" w:space="0" w:color="auto"/>
              <w:left w:val="nil"/>
              <w:bottom w:val="doub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筆數</w:t>
            </w:r>
          </w:p>
        </w:tc>
        <w:tc>
          <w:tcPr>
            <w:tcW w:w="1544" w:type="pct"/>
            <w:tcBorders>
              <w:top w:val="single" w:sz="4" w:space="0" w:color="auto"/>
              <w:left w:val="nil"/>
              <w:bottom w:val="doub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面積（公頃）</w:t>
            </w:r>
          </w:p>
        </w:tc>
      </w:tr>
      <w:tr w:rsidR="00B432C9" w:rsidRPr="002145BE" w:rsidTr="006C6414">
        <w:trPr>
          <w:jc w:val="center"/>
        </w:trPr>
        <w:tc>
          <w:tcPr>
            <w:tcW w:w="1008" w:type="pct"/>
            <w:vMerge w:val="restart"/>
            <w:tcBorders>
              <w:top w:val="double" w:sz="4" w:space="0" w:color="auto"/>
              <w:left w:val="single" w:sz="4" w:space="0" w:color="auto"/>
              <w:bottom w:val="single" w:sz="4" w:space="0" w:color="000000"/>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桃園市</w:t>
            </w:r>
          </w:p>
        </w:tc>
        <w:tc>
          <w:tcPr>
            <w:tcW w:w="1212" w:type="pct"/>
            <w:tcBorders>
              <w:top w:val="double" w:sz="4" w:space="0" w:color="auto"/>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大園區</w:t>
            </w:r>
          </w:p>
        </w:tc>
        <w:tc>
          <w:tcPr>
            <w:tcW w:w="1236" w:type="pct"/>
            <w:tcBorders>
              <w:top w:val="double" w:sz="4" w:space="0" w:color="auto"/>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1,113</w:t>
            </w:r>
          </w:p>
        </w:tc>
        <w:tc>
          <w:tcPr>
            <w:tcW w:w="1544" w:type="pct"/>
            <w:tcBorders>
              <w:top w:val="double" w:sz="4" w:space="0" w:color="auto"/>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96.34</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蘆竹區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509</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73.15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中壢區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42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5.65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平鎮區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19</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3.49</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八德區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11</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w:t>
            </w:r>
            <w:r w:rsidRPr="002145BE">
              <w:rPr>
                <w:rFonts w:ascii="Times New Roman" w:hint="eastAsia"/>
                <w:kern w:val="0"/>
                <w:sz w:val="28"/>
                <w:szCs w:val="28"/>
              </w:rPr>
              <w:t>50</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新屋區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9</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0.9</w:t>
            </w:r>
            <w:r w:rsidRPr="002145BE">
              <w:rPr>
                <w:rFonts w:ascii="Times New Roman" w:hint="eastAsia"/>
                <w:kern w:val="0"/>
                <w:sz w:val="28"/>
                <w:szCs w:val="28"/>
              </w:rPr>
              <w:t>3</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楊梅區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9</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0.61</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桃園區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8</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0.6</w:t>
            </w:r>
            <w:r w:rsidRPr="002145BE">
              <w:rPr>
                <w:rFonts w:ascii="Times New Roman" w:hint="eastAsia"/>
                <w:kern w:val="0"/>
                <w:sz w:val="28"/>
                <w:szCs w:val="28"/>
              </w:rPr>
              <w:t>9</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龜山區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0.1</w:t>
            </w:r>
            <w:r w:rsidRPr="002145BE">
              <w:rPr>
                <w:rFonts w:ascii="Times New Roman" w:hint="eastAsia"/>
                <w:kern w:val="0"/>
                <w:sz w:val="28"/>
                <w:szCs w:val="28"/>
              </w:rPr>
              <w:t>8</w:t>
            </w:r>
          </w:p>
        </w:tc>
      </w:tr>
      <w:tr w:rsidR="00B432C9" w:rsidRPr="002145BE" w:rsidTr="006C6414">
        <w:trPr>
          <w:jc w:val="center"/>
        </w:trPr>
        <w:tc>
          <w:tcPr>
            <w:tcW w:w="100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臺中市</w:t>
            </w: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南屯區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23</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2.25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后里區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15</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1.6</w:t>
            </w:r>
            <w:r w:rsidRPr="002145BE">
              <w:rPr>
                <w:rFonts w:ascii="Times New Roman" w:hint="eastAsia"/>
                <w:kern w:val="0"/>
                <w:sz w:val="28"/>
                <w:szCs w:val="28"/>
              </w:rPr>
              <w:t>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烏日區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0.73</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大里區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10</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1.3</w:t>
            </w:r>
            <w:r w:rsidRPr="002145BE">
              <w:rPr>
                <w:rFonts w:ascii="Times New Roman" w:hint="eastAsia"/>
                <w:kern w:val="0"/>
                <w:sz w:val="28"/>
                <w:szCs w:val="28"/>
              </w:rPr>
              <w:t>8</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大甲區</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6</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1.3</w:t>
            </w:r>
            <w:r w:rsidRPr="002145BE">
              <w:rPr>
                <w:rFonts w:ascii="Times New Roman" w:hint="eastAsia"/>
                <w:kern w:val="0"/>
                <w:sz w:val="28"/>
                <w:szCs w:val="28"/>
              </w:rPr>
              <w:t>5</w:t>
            </w:r>
          </w:p>
        </w:tc>
      </w:tr>
      <w:tr w:rsidR="00B432C9" w:rsidRPr="002145BE" w:rsidTr="006C6414">
        <w:trPr>
          <w:jc w:val="center"/>
        </w:trPr>
        <w:tc>
          <w:tcPr>
            <w:tcW w:w="100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lastRenderedPageBreak/>
              <w:t>彰化縣</w:t>
            </w: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和美鎮</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782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142.6</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鹿港鎮</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575</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90.11</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彰化市</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180</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26.88</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花壇鄉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90</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13.75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秀水鄉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4.05</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大村鄉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18</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3.38</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埔心鄉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8</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1.6</w:t>
            </w:r>
            <w:r w:rsidRPr="002145BE">
              <w:rPr>
                <w:rFonts w:ascii="Times New Roman" w:hint="eastAsia"/>
                <w:kern w:val="0"/>
                <w:sz w:val="28"/>
                <w:szCs w:val="28"/>
              </w:rPr>
              <w:t>4</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福興鄉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4</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1.12</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芳苑鄉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0.19</w:t>
            </w:r>
          </w:p>
        </w:tc>
      </w:tr>
      <w:tr w:rsidR="00B432C9" w:rsidRPr="002145BE" w:rsidTr="006C6414">
        <w:trPr>
          <w:jc w:val="center"/>
        </w:trPr>
        <w:tc>
          <w:tcPr>
            <w:tcW w:w="1008" w:type="pct"/>
            <w:vMerge/>
            <w:tcBorders>
              <w:top w:val="nil"/>
              <w:left w:val="single" w:sz="4" w:space="0" w:color="auto"/>
              <w:bottom w:val="single" w:sz="4" w:space="0" w:color="000000"/>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埔鹽鄉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2</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0.1</w:t>
            </w:r>
            <w:r w:rsidRPr="002145BE">
              <w:rPr>
                <w:rFonts w:ascii="Times New Roman" w:hint="eastAsia"/>
                <w:kern w:val="0"/>
                <w:sz w:val="28"/>
                <w:szCs w:val="28"/>
              </w:rPr>
              <w:t>2</w:t>
            </w:r>
          </w:p>
        </w:tc>
      </w:tr>
      <w:tr w:rsidR="00B432C9" w:rsidRPr="002145BE" w:rsidTr="006C6414">
        <w:trPr>
          <w:jc w:val="center"/>
        </w:trPr>
        <w:tc>
          <w:tcPr>
            <w:tcW w:w="1008" w:type="pct"/>
            <w:vMerge/>
            <w:tcBorders>
              <w:top w:val="nil"/>
              <w:left w:val="single" w:sz="4" w:space="0" w:color="auto"/>
              <w:bottom w:val="single" w:sz="4" w:space="0" w:color="auto"/>
              <w:right w:val="single" w:sz="4" w:space="0" w:color="auto"/>
            </w:tcBorders>
            <w:vAlign w:val="center"/>
            <w:hideMark/>
          </w:tcPr>
          <w:p w:rsidR="00B432C9" w:rsidRPr="002145BE" w:rsidRDefault="00B432C9" w:rsidP="00BD2B41">
            <w:pPr>
              <w:widowControl/>
              <w:adjustRightInd w:val="0"/>
              <w:snapToGrid w:val="0"/>
              <w:jc w:val="center"/>
              <w:rPr>
                <w:rFonts w:ascii="Times New Roman"/>
                <w:kern w:val="0"/>
                <w:sz w:val="28"/>
                <w:szCs w:val="28"/>
              </w:rPr>
            </w:pPr>
          </w:p>
        </w:tc>
        <w:tc>
          <w:tcPr>
            <w:tcW w:w="1212"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線西鄉</w:t>
            </w:r>
          </w:p>
        </w:tc>
        <w:tc>
          <w:tcPr>
            <w:tcW w:w="1236"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1</w:t>
            </w:r>
          </w:p>
        </w:tc>
        <w:tc>
          <w:tcPr>
            <w:tcW w:w="1544" w:type="pct"/>
            <w:tcBorders>
              <w:top w:val="nil"/>
              <w:left w:val="nil"/>
              <w:bottom w:val="single" w:sz="4" w:space="0" w:color="auto"/>
              <w:right w:val="single" w:sz="4" w:space="0" w:color="auto"/>
            </w:tcBorders>
            <w:shd w:val="clear" w:color="auto" w:fill="auto"/>
            <w:noWrap/>
            <w:vAlign w:val="center"/>
            <w:hideMark/>
          </w:tcPr>
          <w:p w:rsidR="00B432C9" w:rsidRPr="002145BE" w:rsidRDefault="00B432C9" w:rsidP="00BD2B41">
            <w:pPr>
              <w:widowControl/>
              <w:adjustRightInd w:val="0"/>
              <w:snapToGrid w:val="0"/>
              <w:jc w:val="center"/>
              <w:rPr>
                <w:rFonts w:ascii="Times New Roman"/>
                <w:kern w:val="0"/>
                <w:sz w:val="28"/>
                <w:szCs w:val="28"/>
              </w:rPr>
            </w:pPr>
            <w:r w:rsidRPr="002145BE">
              <w:rPr>
                <w:rFonts w:ascii="Times New Roman"/>
                <w:kern w:val="0"/>
                <w:sz w:val="28"/>
                <w:szCs w:val="28"/>
              </w:rPr>
              <w:t>0.2</w:t>
            </w:r>
            <w:r w:rsidRPr="002145BE">
              <w:rPr>
                <w:rFonts w:ascii="Times New Roman" w:hint="eastAsia"/>
                <w:kern w:val="0"/>
                <w:sz w:val="28"/>
                <w:szCs w:val="28"/>
              </w:rPr>
              <w:t>9</w:t>
            </w:r>
          </w:p>
        </w:tc>
      </w:tr>
    </w:tbl>
    <w:p w:rsidR="00B432C9" w:rsidRPr="002145BE" w:rsidRDefault="00B432C9" w:rsidP="00B432C9">
      <w:pPr>
        <w:widowControl/>
        <w:shd w:val="clear" w:color="auto" w:fill="FFFFFF"/>
        <w:adjustRightInd w:val="0"/>
        <w:snapToGrid w:val="0"/>
        <w:ind w:leftChars="-41" w:left="-139"/>
        <w:rPr>
          <w:rFonts w:ascii="Times New Roman"/>
          <w:sz w:val="24"/>
          <w:szCs w:val="24"/>
        </w:rPr>
      </w:pPr>
      <w:r w:rsidRPr="002145BE">
        <w:rPr>
          <w:rFonts w:ascii="Times New Roman" w:hint="eastAsia"/>
          <w:kern w:val="0"/>
          <w:sz w:val="24"/>
          <w:szCs w:val="24"/>
        </w:rPr>
        <w:t>資料來源：環保署。</w:t>
      </w:r>
    </w:p>
    <w:p w:rsidR="003961B5" w:rsidRPr="002145BE" w:rsidRDefault="003961B5" w:rsidP="003961B5">
      <w:pPr>
        <w:adjustRightInd w:val="0"/>
        <w:snapToGrid w:val="0"/>
        <w:spacing w:beforeLines="50" w:before="228" w:after="120" w:line="400" w:lineRule="exact"/>
        <w:ind w:left="680" w:hangingChars="200" w:hanging="680"/>
        <w:rPr>
          <w:rFonts w:ascii="Times New Roman"/>
          <w:szCs w:val="32"/>
        </w:rPr>
      </w:pPr>
    </w:p>
    <w:p w:rsidR="003961B5" w:rsidRPr="002145BE" w:rsidRDefault="003961B5" w:rsidP="00B432C9">
      <w:pPr>
        <w:pStyle w:val="3"/>
        <w:numPr>
          <w:ilvl w:val="0"/>
          <w:numId w:val="0"/>
        </w:numPr>
        <w:ind w:left="1361" w:firstLineChars="225" w:firstLine="765"/>
      </w:pPr>
      <w:r w:rsidRPr="002145BE">
        <w:rPr>
          <w:rFonts w:hint="eastAsia"/>
        </w:rPr>
        <w:t>至於污染成因，據環保署表示</w:t>
      </w:r>
      <w:r w:rsidRPr="002145BE">
        <w:rPr>
          <w:rStyle w:val="aff"/>
        </w:rPr>
        <w:footnoteReference w:id="2"/>
      </w:r>
      <w:r w:rsidRPr="002145BE">
        <w:rPr>
          <w:rFonts w:hint="eastAsia"/>
        </w:rPr>
        <w:t>，</w:t>
      </w:r>
      <w:r w:rsidRPr="002145BE">
        <w:rPr>
          <w:rFonts w:hint="eastAsia"/>
          <w:u w:val="single"/>
        </w:rPr>
        <w:t>桃園市</w:t>
      </w:r>
      <w:r w:rsidRPr="002145BE">
        <w:rPr>
          <w:rFonts w:hint="eastAsia"/>
        </w:rPr>
        <w:t>受污染農地引灌水源主要為桃園大圳2、3、4支線及南崁圳，由於位處農田水利會引灌區末端，可供灌溉之天然水體水量不足，故</w:t>
      </w:r>
      <w:r w:rsidRPr="002145BE">
        <w:rPr>
          <w:rFonts w:hint="eastAsia"/>
          <w:u w:val="single"/>
        </w:rPr>
        <w:t>引迴歸水灌溉，惟迴歸水為區域排水</w:t>
      </w:r>
      <w:r w:rsidR="00B432C9" w:rsidRPr="002145BE">
        <w:rPr>
          <w:rFonts w:hint="eastAsia"/>
        </w:rPr>
        <w:t>，</w:t>
      </w:r>
      <w:r w:rsidRPr="002145BE">
        <w:rPr>
          <w:rFonts w:hint="eastAsia"/>
        </w:rPr>
        <w:t>迴歸水經長期且大量引灌，污染物持續累積造成土壤重金屬污染。</w:t>
      </w:r>
      <w:r w:rsidRPr="002145BE">
        <w:rPr>
          <w:rFonts w:hint="eastAsia"/>
          <w:u w:val="single"/>
        </w:rPr>
        <w:t>彰化縣</w:t>
      </w:r>
      <w:r w:rsidRPr="002145BE">
        <w:rPr>
          <w:rFonts w:hint="eastAsia"/>
        </w:rPr>
        <w:t>受污染農地引灌水源主要為東西二圳、東西三圳、番雅溝排水幹線及洋仔厝溪排水幹線，</w:t>
      </w:r>
      <w:r w:rsidRPr="002145BE">
        <w:rPr>
          <w:rFonts w:hint="eastAsia"/>
          <w:u w:val="single"/>
        </w:rPr>
        <w:t>污染原因主要為事業違規排放於灌溉渠道及農田水利會引灌迴歸水造成</w:t>
      </w:r>
      <w:r w:rsidRPr="002145BE">
        <w:rPr>
          <w:rFonts w:hint="eastAsia"/>
        </w:rPr>
        <w:t>農地污染。另</w:t>
      </w:r>
      <w:r w:rsidRPr="002145BE">
        <w:rPr>
          <w:rFonts w:hint="eastAsia"/>
          <w:u w:val="single"/>
        </w:rPr>
        <w:t>臺中市</w:t>
      </w:r>
      <w:r w:rsidRPr="002145BE">
        <w:rPr>
          <w:rFonts w:hint="eastAsia"/>
        </w:rPr>
        <w:t>受污染農地引灌水源主要為南屯泉水區第11泉水7號水路、大甲溪、溪尾寮支圳、大突寮圳及日南圳，</w:t>
      </w:r>
      <w:r w:rsidRPr="002145BE">
        <w:rPr>
          <w:rFonts w:hint="eastAsia"/>
          <w:u w:val="single"/>
        </w:rPr>
        <w:t>污染原因主要為事業違規排放於灌溉渠道</w:t>
      </w:r>
      <w:r w:rsidRPr="002145BE">
        <w:rPr>
          <w:rFonts w:hint="eastAsia"/>
        </w:rPr>
        <w:t>造成農地污染。</w:t>
      </w:r>
      <w:r w:rsidR="00780107" w:rsidRPr="002145BE">
        <w:rPr>
          <w:rFonts w:hint="eastAsia"/>
        </w:rPr>
        <w:t>本案就中部地區(彰化縣及臺中市)部分，進行實地履勘以深度瞭解</w:t>
      </w:r>
      <w:r w:rsidRPr="002145BE">
        <w:rPr>
          <w:rFonts w:hAnsi="標楷體" w:hint="eastAsia"/>
        </w:rPr>
        <w:t>污染</w:t>
      </w:r>
      <w:r w:rsidR="00780107" w:rsidRPr="002145BE">
        <w:rPr>
          <w:rFonts w:hAnsi="標楷體" w:hint="eastAsia"/>
        </w:rPr>
        <w:t>現</w:t>
      </w:r>
      <w:r w:rsidRPr="002145BE">
        <w:rPr>
          <w:rFonts w:hAnsi="標楷體" w:hint="eastAsia"/>
        </w:rPr>
        <w:t>況</w:t>
      </w:r>
      <w:r w:rsidR="00780107" w:rsidRPr="002145BE">
        <w:rPr>
          <w:rFonts w:hAnsi="標楷體" w:hint="eastAsia"/>
        </w:rPr>
        <w:t>及各主管機關採行措施及成效</w:t>
      </w:r>
      <w:r w:rsidRPr="002145BE">
        <w:rPr>
          <w:rFonts w:hAnsi="標楷體" w:hint="eastAsia"/>
        </w:rPr>
        <w:t>。</w:t>
      </w:r>
    </w:p>
    <w:p w:rsidR="00F340E5" w:rsidRPr="002145BE" w:rsidRDefault="00BD2B41" w:rsidP="00C26E93">
      <w:pPr>
        <w:pStyle w:val="3"/>
      </w:pPr>
      <w:r w:rsidRPr="002145BE">
        <w:rPr>
          <w:rFonts w:hint="eastAsia"/>
        </w:rPr>
        <w:t>鑑於</w:t>
      </w:r>
      <w:r w:rsidR="00ED7A11" w:rsidRPr="002145BE">
        <w:rPr>
          <w:rFonts w:hint="eastAsia"/>
        </w:rPr>
        <w:t>前揭污染成因，農委會為確保</w:t>
      </w:r>
      <w:r w:rsidR="00942125" w:rsidRPr="002145BE">
        <w:rPr>
          <w:rFonts w:hint="eastAsia"/>
        </w:rPr>
        <w:t>農田</w:t>
      </w:r>
      <w:r w:rsidR="00ED7A11" w:rsidRPr="002145BE">
        <w:rPr>
          <w:rFonts w:hint="eastAsia"/>
        </w:rPr>
        <w:t>灌溉水質，於102年10月31日頒布</w:t>
      </w:r>
      <w:r w:rsidR="00ED7A11" w:rsidRPr="002145BE">
        <w:t>「農業灌溉水質保護方案」</w:t>
      </w:r>
      <w:r w:rsidR="00ED7A11" w:rsidRPr="002145BE">
        <w:rPr>
          <w:rFonts w:hint="eastAsia"/>
        </w:rPr>
        <w:t>，</w:t>
      </w:r>
      <w:r w:rsidR="00ED7A11" w:rsidRPr="002145BE">
        <w:rPr>
          <w:rFonts w:hint="eastAsia"/>
        </w:rPr>
        <w:lastRenderedPageBreak/>
        <w:t>依污染潛勢高低採「分階段分區」推動方式，優先針對農田土壤受污染地區進行加嚴管制，循序推動各階段實施計畫，其中第一階段為於105年底前，禁止「工業類別」</w:t>
      </w:r>
      <w:r w:rsidR="00D966D3" w:rsidRPr="002145BE">
        <w:rPr>
          <w:rStyle w:val="aff"/>
          <w:rFonts w:hAnsi="標楷體"/>
        </w:rPr>
        <w:footnoteReference w:id="3"/>
      </w:r>
      <w:r w:rsidR="00ED7A11" w:rsidRPr="002145BE">
        <w:rPr>
          <w:rFonts w:hAnsi="標楷體" w:hint="eastAsia"/>
        </w:rPr>
        <w:t>事業搭</w:t>
      </w:r>
      <w:r w:rsidR="00ED7A11" w:rsidRPr="002145BE">
        <w:rPr>
          <w:rFonts w:hint="eastAsia"/>
        </w:rPr>
        <w:t>排於</w:t>
      </w:r>
      <w:r w:rsidR="00BD19DA" w:rsidRPr="002145BE">
        <w:rPr>
          <w:rFonts w:hint="eastAsia"/>
        </w:rPr>
        <w:t>44條</w:t>
      </w:r>
      <w:r w:rsidR="00ED7A11" w:rsidRPr="002145BE">
        <w:rPr>
          <w:rFonts w:hint="eastAsia"/>
        </w:rPr>
        <w:t>重金屬高污染潛勢圳路，由農田水利會採取搭排加嚴管制、經濟部及地方政府加強工廠廢水排放之輔導改善、環保署及地方加強水污染源管制、排水管理及加速興建排水系統等分工措施，</w:t>
      </w:r>
      <w:r w:rsidR="0076004A" w:rsidRPr="002145BE">
        <w:rPr>
          <w:rFonts w:hint="eastAsia"/>
        </w:rPr>
        <w:t>以</w:t>
      </w:r>
      <w:r w:rsidR="00ED7A11" w:rsidRPr="002145BE">
        <w:rPr>
          <w:rFonts w:hint="eastAsia"/>
        </w:rPr>
        <w:t>逐步改善廢水排放影響灌溉用水問題。</w:t>
      </w:r>
    </w:p>
    <w:p w:rsidR="00D966D3" w:rsidRPr="002145BE" w:rsidRDefault="009A4A29" w:rsidP="0063122B">
      <w:pPr>
        <w:pStyle w:val="3"/>
        <w:numPr>
          <w:ilvl w:val="0"/>
          <w:numId w:val="0"/>
        </w:numPr>
        <w:ind w:left="1361" w:firstLineChars="225" w:firstLine="765"/>
      </w:pPr>
      <w:r w:rsidRPr="002145BE">
        <w:rPr>
          <w:rFonts w:hint="eastAsia"/>
        </w:rPr>
        <w:t>本院</w:t>
      </w:r>
      <w:r w:rsidR="00C33F1E" w:rsidRPr="002145BE">
        <w:rPr>
          <w:rFonts w:hint="eastAsia"/>
        </w:rPr>
        <w:t>進一步調查彰化縣及臺中市之狀況</w:t>
      </w:r>
      <w:r w:rsidR="00CF21CA" w:rsidRPr="002145BE">
        <w:rPr>
          <w:rFonts w:hint="eastAsia"/>
        </w:rPr>
        <w:t>得知，</w:t>
      </w:r>
      <w:r w:rsidR="00C33F1E" w:rsidRPr="002145BE">
        <w:rPr>
          <w:rFonts w:hint="eastAsia"/>
        </w:rPr>
        <w:t>農委會所列管44條重金屬高污染潛勢圳路中，有15條圳路位於彰化縣內，</w:t>
      </w:r>
      <w:r w:rsidR="00BD19DA" w:rsidRPr="002145BE">
        <w:rPr>
          <w:rFonts w:hint="eastAsia"/>
        </w:rPr>
        <w:t>該等圳路灌溉範圍內</w:t>
      </w:r>
      <w:r w:rsidRPr="002145BE">
        <w:rPr>
          <w:rFonts w:hint="eastAsia"/>
        </w:rPr>
        <w:t>原有工業類別之搭排戶計有78家，截至106年底止，已全數禁止搭排，</w:t>
      </w:r>
      <w:r w:rsidR="00BD2B41" w:rsidRPr="002145BE">
        <w:rPr>
          <w:rFonts w:hint="eastAsia"/>
        </w:rPr>
        <w:t>輔導後之</w:t>
      </w:r>
      <w:r w:rsidRPr="002145BE">
        <w:rPr>
          <w:rFonts w:hint="eastAsia"/>
        </w:rPr>
        <w:t>廢水排放方式包括：委託待處理業處理者2家、廢水完全回收無排放者2家，以及</w:t>
      </w:r>
      <w:r w:rsidR="00CF21CA" w:rsidRPr="002145BE">
        <w:rPr>
          <w:rFonts w:hint="eastAsia"/>
        </w:rPr>
        <w:t>以附掛管線、排入道路側溝或直</w:t>
      </w:r>
      <w:r w:rsidR="00C26E93" w:rsidRPr="002145BE">
        <w:rPr>
          <w:rFonts w:hint="eastAsia"/>
        </w:rPr>
        <w:t>接</w:t>
      </w:r>
      <w:r w:rsidR="00CF21CA" w:rsidRPr="002145BE">
        <w:rPr>
          <w:rFonts w:hint="eastAsia"/>
        </w:rPr>
        <w:t>排入</w:t>
      </w:r>
      <w:r w:rsidR="001D0212" w:rsidRPr="002145BE">
        <w:rPr>
          <w:rFonts w:hint="eastAsia"/>
        </w:rPr>
        <w:t>區域排水</w:t>
      </w:r>
      <w:r w:rsidR="00CF21CA" w:rsidRPr="002145BE">
        <w:rPr>
          <w:rFonts w:hint="eastAsia"/>
        </w:rPr>
        <w:t>等方式，將廢水</w:t>
      </w:r>
      <w:r w:rsidRPr="002145BE">
        <w:rPr>
          <w:rFonts w:hint="eastAsia"/>
        </w:rPr>
        <w:t>排放於地面水體者75家，而此75家中，其廢水排放</w:t>
      </w:r>
      <w:r w:rsidR="00CF709D" w:rsidRPr="002145BE">
        <w:rPr>
          <w:rFonts w:hint="eastAsia"/>
        </w:rPr>
        <w:t>之最終承受水體為「洋子厝溪」計47家、「番雅溝排水」計13家、「員林大排」10家、「舊濁水溪」3家及「烏溪」2家等；再深入</w:t>
      </w:r>
      <w:r w:rsidR="009D73AE" w:rsidRPr="002145BE">
        <w:rPr>
          <w:rFonts w:hint="eastAsia"/>
        </w:rPr>
        <w:t>分析此75家事業類別</w:t>
      </w:r>
      <w:r w:rsidR="00CF709D" w:rsidRPr="002145BE">
        <w:rPr>
          <w:rFonts w:hint="eastAsia"/>
        </w:rPr>
        <w:t>，</w:t>
      </w:r>
      <w:r w:rsidR="009D73AE" w:rsidRPr="002145BE">
        <w:rPr>
          <w:rFonts w:hint="eastAsia"/>
        </w:rPr>
        <w:t>其中</w:t>
      </w:r>
      <w:r w:rsidR="00CF21CA" w:rsidRPr="002145BE">
        <w:rPr>
          <w:rFonts w:hint="eastAsia"/>
        </w:rPr>
        <w:t>電鍍業計41家、金屬表面處理業計23家、印染整理業計4家、金屬基本工業計3家、橡膠製品製造業計2家、製革業1家、晶圓製造及半導體製造業1家。另</w:t>
      </w:r>
      <w:r w:rsidR="00CF709D" w:rsidRPr="002145BE">
        <w:rPr>
          <w:rFonts w:hint="eastAsia"/>
        </w:rPr>
        <w:t>臺中市</w:t>
      </w:r>
      <w:r w:rsidR="00CF21CA" w:rsidRPr="002145BE">
        <w:rPr>
          <w:rFonts w:hint="eastAsia"/>
        </w:rPr>
        <w:t>部分</w:t>
      </w:r>
      <w:r w:rsidR="0063122B" w:rsidRPr="002145BE">
        <w:rPr>
          <w:rFonts w:hint="eastAsia"/>
        </w:rPr>
        <w:t>，位於重金屬高污染潛勢圳路上之工業類別搭排戶高達105戶，</w:t>
      </w:r>
      <w:r w:rsidR="00C26E93" w:rsidRPr="002145BE">
        <w:rPr>
          <w:rFonts w:hint="eastAsia"/>
        </w:rPr>
        <w:t>截至106年底止，已全數</w:t>
      </w:r>
      <w:r w:rsidR="0063122B" w:rsidRPr="002145BE">
        <w:rPr>
          <w:rFonts w:hint="eastAsia"/>
        </w:rPr>
        <w:t>完成</w:t>
      </w:r>
      <w:r w:rsidR="00C26E93" w:rsidRPr="002145BE">
        <w:rPr>
          <w:rFonts w:hint="eastAsia"/>
        </w:rPr>
        <w:t>禁止搭排，其亦係改以附掛管線方式、排入道路側溝或直接排入</w:t>
      </w:r>
      <w:r w:rsidR="0063122B" w:rsidRPr="002145BE">
        <w:rPr>
          <w:rFonts w:hint="eastAsia"/>
        </w:rPr>
        <w:t>排水系統</w:t>
      </w:r>
      <w:r w:rsidR="00C26E93" w:rsidRPr="002145BE">
        <w:rPr>
          <w:rFonts w:hint="eastAsia"/>
        </w:rPr>
        <w:t>等方式，將</w:t>
      </w:r>
      <w:r w:rsidR="00C26E93" w:rsidRPr="002145BE">
        <w:rPr>
          <w:rFonts w:hint="eastAsia"/>
        </w:rPr>
        <w:lastRenderedPageBreak/>
        <w:t>廢水排放於地面水體</w:t>
      </w:r>
      <w:r w:rsidR="0063122B" w:rsidRPr="002145BE">
        <w:rPr>
          <w:rFonts w:hint="eastAsia"/>
        </w:rPr>
        <w:t>，最終再回歸於河川</w:t>
      </w:r>
      <w:r w:rsidR="00C26E93" w:rsidRPr="002145BE">
        <w:rPr>
          <w:rFonts w:hint="eastAsia"/>
        </w:rPr>
        <w:t>。</w:t>
      </w:r>
    </w:p>
    <w:p w:rsidR="00B92E47" w:rsidRPr="002145BE" w:rsidRDefault="00C26E93" w:rsidP="000C1236">
      <w:pPr>
        <w:pStyle w:val="3"/>
      </w:pPr>
      <w:r w:rsidRPr="002145BE">
        <w:rPr>
          <w:rFonts w:hint="eastAsia"/>
        </w:rPr>
        <w:t>惟查</w:t>
      </w:r>
      <w:r w:rsidR="00BD2B41" w:rsidRPr="002145BE">
        <w:rPr>
          <w:rFonts w:hint="eastAsia"/>
        </w:rPr>
        <w:t>國內</w:t>
      </w:r>
      <w:r w:rsidR="001D0212" w:rsidRPr="002145BE">
        <w:rPr>
          <w:rFonts w:hint="eastAsia"/>
        </w:rPr>
        <w:t>農業灌溉用水量約計116億公噸，其中源自於河川水體者約達73%，即我國農田灌溉主要仰賴河川水體供應。現農委會推動</w:t>
      </w:r>
      <w:r w:rsidR="001D0212" w:rsidRPr="002145BE">
        <w:t>「農業灌溉水質保護方案」</w:t>
      </w:r>
      <w:r w:rsidR="001D0212" w:rsidRPr="002145BE">
        <w:rPr>
          <w:rFonts w:hint="eastAsia"/>
        </w:rPr>
        <w:t>，第一階段禁止「工業類別」事業搭排於重金屬高污染潛勢圳路，截至106年底止，雖已全數達成目標，惟細究事業改排之方式，主要係以附掛管線</w:t>
      </w:r>
      <w:r w:rsidR="00BD19DA" w:rsidRPr="002145BE">
        <w:rPr>
          <w:rFonts w:hint="eastAsia"/>
        </w:rPr>
        <w:t>、排入道路側溝或直接排入區域排水</w:t>
      </w:r>
      <w:r w:rsidR="00B92E47" w:rsidRPr="002145BE">
        <w:rPr>
          <w:rFonts w:hint="eastAsia"/>
        </w:rPr>
        <w:t>等方式改排</w:t>
      </w:r>
      <w:r w:rsidR="00BD19DA" w:rsidRPr="002145BE">
        <w:rPr>
          <w:rFonts w:hint="eastAsia"/>
        </w:rPr>
        <w:t>，</w:t>
      </w:r>
      <w:r w:rsidR="001D0212" w:rsidRPr="002145BE">
        <w:rPr>
          <w:rFonts w:hint="eastAsia"/>
        </w:rPr>
        <w:t>而排放最終承載水體則主要為河川，亦即灌溉渠道雖已無事業搭排</w:t>
      </w:r>
      <w:r w:rsidR="00A51029" w:rsidRPr="002145BE">
        <w:rPr>
          <w:rFonts w:hint="eastAsia"/>
        </w:rPr>
        <w:t>，但農田有引灌河川水體之必要，</w:t>
      </w:r>
      <w:r w:rsidR="00B92E47" w:rsidRPr="002145BE">
        <w:rPr>
          <w:rFonts w:hint="eastAsia"/>
        </w:rPr>
        <w:t>且道路側溝水匯入灌溉渠道以及引灌迴歸水等，均</w:t>
      </w:r>
      <w:r w:rsidR="00A51029" w:rsidRPr="002145BE">
        <w:rPr>
          <w:rFonts w:hint="eastAsia"/>
        </w:rPr>
        <w:t>可能</w:t>
      </w:r>
      <w:r w:rsidR="00B92E47" w:rsidRPr="002145BE">
        <w:rPr>
          <w:rFonts w:hint="eastAsia"/>
        </w:rPr>
        <w:t>再</w:t>
      </w:r>
      <w:r w:rsidR="00A51029" w:rsidRPr="002145BE">
        <w:rPr>
          <w:rFonts w:hint="eastAsia"/>
        </w:rPr>
        <w:t>導致農田遭受重金屬污染。</w:t>
      </w:r>
      <w:r w:rsidR="0063122B" w:rsidRPr="002145BE">
        <w:rPr>
          <w:rFonts w:hint="eastAsia"/>
        </w:rPr>
        <w:t>有關此問題，</w:t>
      </w:r>
      <w:r w:rsidR="00A51029" w:rsidRPr="002145BE">
        <w:rPr>
          <w:rFonts w:hint="eastAsia"/>
        </w:rPr>
        <w:t>環保署對於國內主、支流河川</w:t>
      </w:r>
      <w:r w:rsidR="00310AFB" w:rsidRPr="002145BE">
        <w:rPr>
          <w:rFonts w:hint="eastAsia"/>
        </w:rPr>
        <w:t>雖有</w:t>
      </w:r>
      <w:r w:rsidR="00A51029" w:rsidRPr="002145BE">
        <w:rPr>
          <w:rFonts w:hint="eastAsia"/>
        </w:rPr>
        <w:t>設置296個監測站，監</w:t>
      </w:r>
      <w:r w:rsidR="00310AFB" w:rsidRPr="002145BE">
        <w:rPr>
          <w:rFonts w:hint="eastAsia"/>
        </w:rPr>
        <w:t>控</w:t>
      </w:r>
      <w:r w:rsidR="00A51029" w:rsidRPr="002145BE">
        <w:rPr>
          <w:rFonts w:hint="eastAsia"/>
        </w:rPr>
        <w:t>水質變化，</w:t>
      </w:r>
      <w:r w:rsidR="00310AFB" w:rsidRPr="002145BE">
        <w:rPr>
          <w:rFonts w:hint="eastAsia"/>
        </w:rPr>
        <w:t>惟自農委會推動上開水質保護方案後，環保署並未因應事業廢水</w:t>
      </w:r>
      <w:r w:rsidR="007C14C5" w:rsidRPr="002145BE">
        <w:rPr>
          <w:rFonts w:hint="eastAsia"/>
        </w:rPr>
        <w:t>大多</w:t>
      </w:r>
      <w:r w:rsidR="00310AFB" w:rsidRPr="002145BE">
        <w:rPr>
          <w:rFonts w:hint="eastAsia"/>
        </w:rPr>
        <w:t>改排至河川水體，而強化河川水質之相關監控措施；又，事業廢水排放至河川水體，僅需要符合「放流水標準」，該標準較事業原本排放至灌溉渠道所應符合之「灌溉用水水質標準」</w:t>
      </w:r>
      <w:r w:rsidR="00CF7F6E" w:rsidRPr="002145BE">
        <w:rPr>
          <w:rFonts w:hint="eastAsia"/>
        </w:rPr>
        <w:t>，</w:t>
      </w:r>
      <w:r w:rsidR="00310AFB" w:rsidRPr="002145BE">
        <w:rPr>
          <w:rFonts w:hint="eastAsia"/>
        </w:rPr>
        <w:t>寬鬆許多</w:t>
      </w:r>
      <w:r w:rsidR="00310AFB" w:rsidRPr="002145BE">
        <w:rPr>
          <w:rFonts w:hAnsi="標楷體" w:hint="eastAsia"/>
        </w:rPr>
        <w:t>；再者，農田水利會雖</w:t>
      </w:r>
      <w:r w:rsidR="00CF7F6E" w:rsidRPr="002145BE">
        <w:rPr>
          <w:rFonts w:hAnsi="標楷體" w:hint="eastAsia"/>
        </w:rPr>
        <w:t>於河川</w:t>
      </w:r>
      <w:r w:rsidR="00CF7F6E" w:rsidRPr="002145BE">
        <w:rPr>
          <w:rFonts w:hint="eastAsia"/>
        </w:rPr>
        <w:t>引水點有設置對應之水質監視點，若發現引灌水源水質不符</w:t>
      </w:r>
      <w:r w:rsidR="00CF7F6E" w:rsidRPr="002145BE">
        <w:rPr>
          <w:rFonts w:ascii="新細明體" w:eastAsia="新細明體" w:hAnsi="新細明體" w:hint="eastAsia"/>
        </w:rPr>
        <w:t>「</w:t>
      </w:r>
      <w:r w:rsidR="00CF7F6E" w:rsidRPr="002145BE">
        <w:rPr>
          <w:rFonts w:hint="eastAsia"/>
        </w:rPr>
        <w:t>灌溉用水水質標準</w:t>
      </w:r>
      <w:r w:rsidR="00CF7F6E" w:rsidRPr="002145BE">
        <w:rPr>
          <w:rFonts w:hAnsi="標楷體" w:hint="eastAsia"/>
        </w:rPr>
        <w:t>」</w:t>
      </w:r>
      <w:r w:rsidR="00CF7F6E" w:rsidRPr="002145BE">
        <w:rPr>
          <w:rFonts w:hint="eastAsia"/>
        </w:rPr>
        <w:t>，即不進行引灌作業，但</w:t>
      </w:r>
      <w:r w:rsidR="0063122B" w:rsidRPr="002145BE">
        <w:rPr>
          <w:rFonts w:hint="eastAsia"/>
        </w:rPr>
        <w:t>自農委會</w:t>
      </w:r>
      <w:r w:rsidR="007C14C5" w:rsidRPr="002145BE">
        <w:rPr>
          <w:rFonts w:hint="eastAsia"/>
        </w:rPr>
        <w:t>推行</w:t>
      </w:r>
      <w:r w:rsidR="007C14C5" w:rsidRPr="002145BE">
        <w:t>「農業灌溉水質保護方案」</w:t>
      </w:r>
      <w:r w:rsidR="007C14C5" w:rsidRPr="002145BE">
        <w:rPr>
          <w:rFonts w:hint="eastAsia"/>
        </w:rPr>
        <w:t>後，</w:t>
      </w:r>
      <w:r w:rsidR="00B92E47" w:rsidRPr="002145BE">
        <w:rPr>
          <w:rFonts w:hint="eastAsia"/>
        </w:rPr>
        <w:t>103至106年間，彰化縣及臺中市轄內農田水利會水源型(河川)水質監視點位均分別維持58及20點位，顯然河川引水水質之監控點並無增加</w:t>
      </w:r>
      <w:r w:rsidR="00EC0F73" w:rsidRPr="002145BE">
        <w:rPr>
          <w:rFonts w:hint="eastAsia"/>
        </w:rPr>
        <w:t>，另</w:t>
      </w:r>
      <w:r w:rsidR="00B92E47" w:rsidRPr="002145BE">
        <w:rPr>
          <w:rFonts w:hint="eastAsia"/>
        </w:rPr>
        <w:t>本院函詢關於監測頻率加強情形，該會並未</w:t>
      </w:r>
      <w:r w:rsidR="000C1236" w:rsidRPr="002145BE">
        <w:rPr>
          <w:rFonts w:hint="eastAsia"/>
        </w:rPr>
        <w:t>具體</w:t>
      </w:r>
      <w:r w:rsidR="00B92E47" w:rsidRPr="002145BE">
        <w:rPr>
          <w:rFonts w:hint="eastAsia"/>
        </w:rPr>
        <w:t>回復本院</w:t>
      </w:r>
      <w:r w:rsidR="00B92E47" w:rsidRPr="002145BE">
        <w:rPr>
          <w:rStyle w:val="aff"/>
        </w:rPr>
        <w:footnoteReference w:id="4"/>
      </w:r>
      <w:r w:rsidR="00B92E47" w:rsidRPr="002145BE">
        <w:rPr>
          <w:rFonts w:hint="eastAsia"/>
        </w:rPr>
        <w:t>，</w:t>
      </w:r>
      <w:r w:rsidR="00EC0F73" w:rsidRPr="002145BE">
        <w:rPr>
          <w:rFonts w:hint="eastAsia"/>
        </w:rPr>
        <w:t>故農田水利會亦未因應事業廢水大多改排至河川水體</w:t>
      </w:r>
      <w:r w:rsidR="000C1236" w:rsidRPr="002145BE">
        <w:rPr>
          <w:rFonts w:hint="eastAsia"/>
        </w:rPr>
        <w:t>之措施</w:t>
      </w:r>
      <w:r w:rsidR="00EC0F73" w:rsidRPr="002145BE">
        <w:rPr>
          <w:rFonts w:hint="eastAsia"/>
        </w:rPr>
        <w:t>，而強化河川引水點水質之監視管</w:t>
      </w:r>
      <w:r w:rsidR="00EC0F73" w:rsidRPr="002145BE">
        <w:rPr>
          <w:rFonts w:hint="eastAsia"/>
        </w:rPr>
        <w:lastRenderedPageBreak/>
        <w:t>理。</w:t>
      </w:r>
    </w:p>
    <w:p w:rsidR="00FC56FB" w:rsidRPr="002145BE" w:rsidRDefault="00614591" w:rsidP="00FC56FB">
      <w:pPr>
        <w:pStyle w:val="3"/>
      </w:pPr>
      <w:r w:rsidRPr="002145BE">
        <w:rPr>
          <w:rFonts w:hint="eastAsia"/>
        </w:rPr>
        <w:t>綜上，</w:t>
      </w:r>
      <w:r w:rsidR="00FC56FB" w:rsidRPr="002145BE">
        <w:rPr>
          <w:rFonts w:hint="eastAsia"/>
        </w:rPr>
        <w:t>農委會為確保農田灌溉水質，於102年10月31日頒布「農業灌溉水質保護方案」，截至106年底止，雖已全數禁止位於重金屬高污染潛勢圳路上之232戶工業類別搭排戶搭排，然經濟部輔導改排方式主要係以附掛管線、排入道路側溝或直接排入區域排水等方式，最終承載水體為河川；然國內農業灌溉用水有7成以上需仰賴河川水體供應，環保署及農田水利會並未因應事業廢水大多改排至河川水體，而強化河川水質及引灌之相關監控措施，難以杜絕農地土壤重金屬污染問題，基於政府一體之原則，相關政策應相互協調與配合，有待行政院督促所屬檢討改善。</w:t>
      </w:r>
    </w:p>
    <w:p w:rsidR="00BF325C" w:rsidRPr="002145BE" w:rsidRDefault="00BF325C" w:rsidP="00BF325C">
      <w:pPr>
        <w:pStyle w:val="2"/>
        <w:rPr>
          <w:b/>
        </w:rPr>
      </w:pPr>
      <w:r w:rsidRPr="002145BE">
        <w:rPr>
          <w:rFonts w:hint="eastAsia"/>
          <w:b/>
        </w:rPr>
        <w:t>截至106年底止，國內農業區除有10,842家合法工廠設立及6,322家取得臨時工廠登記者外，尚有4,468家未登記工廠，亦即農業區承載了21,632</w:t>
      </w:r>
      <w:r w:rsidR="000C1236" w:rsidRPr="002145BE">
        <w:rPr>
          <w:rFonts w:hint="eastAsia"/>
          <w:b/>
        </w:rPr>
        <w:t>家</w:t>
      </w:r>
      <w:r w:rsidRPr="002145BE">
        <w:rPr>
          <w:rFonts w:hint="eastAsia"/>
          <w:b/>
        </w:rPr>
        <w:t>工廠工業污染風險，</w:t>
      </w:r>
      <w:r w:rsidR="00982DB6" w:rsidRPr="002145BE">
        <w:rPr>
          <w:rFonts w:hint="eastAsia"/>
          <w:b/>
        </w:rPr>
        <w:t>更</w:t>
      </w:r>
      <w:r w:rsidRPr="002145BE">
        <w:rPr>
          <w:rFonts w:hint="eastAsia"/>
          <w:b/>
        </w:rPr>
        <w:t>值得注意的是，不論是暫時性合法工廠(取得臨時工廠登記者)或違章工廠，其事業類別均以「金屬製品製造業」最高，現農委會雖已限制灌溉渠道搭排申請，惟該等工廠位於農業區係</w:t>
      </w:r>
      <w:r w:rsidR="00EF49AE" w:rsidRPr="002145BE">
        <w:rPr>
          <w:rFonts w:hint="eastAsia"/>
          <w:b/>
        </w:rPr>
        <w:t>屬</w:t>
      </w:r>
      <w:r w:rsidRPr="002145BE">
        <w:rPr>
          <w:rFonts w:hint="eastAsia"/>
          <w:b/>
        </w:rPr>
        <w:t>事實，其廢水水質及排放，對農地土壤重金屬污染風險甚高，是經濟部於輔導</w:t>
      </w:r>
      <w:r w:rsidR="00982DB6" w:rsidRPr="002145BE">
        <w:rPr>
          <w:rFonts w:hint="eastAsia"/>
          <w:b/>
        </w:rPr>
        <w:t>工廠</w:t>
      </w:r>
      <w:r w:rsidRPr="002145BE">
        <w:rPr>
          <w:rFonts w:hint="eastAsia"/>
          <w:b/>
        </w:rPr>
        <w:t>合法</w:t>
      </w:r>
      <w:r w:rsidR="00982DB6" w:rsidRPr="002145BE">
        <w:rPr>
          <w:rFonts w:hint="eastAsia"/>
          <w:b/>
        </w:rPr>
        <w:t>登記</w:t>
      </w:r>
      <w:r w:rsidRPr="002145BE">
        <w:rPr>
          <w:rFonts w:hint="eastAsia"/>
          <w:b/>
        </w:rPr>
        <w:t>及規劃設置「金屬表面處理專區」之同時，應一併積極瞭解該等「金屬製品製造業」其產品製程特性以掌握廢水屬性，如屬對於農地有高度污染之虞</w:t>
      </w:r>
      <w:r w:rsidR="000C1236" w:rsidRPr="002145BE">
        <w:rPr>
          <w:rFonts w:hint="eastAsia"/>
          <w:b/>
        </w:rPr>
        <w:t>者</w:t>
      </w:r>
      <w:r w:rsidRPr="002145BE">
        <w:rPr>
          <w:rFonts w:hint="eastAsia"/>
          <w:b/>
        </w:rPr>
        <w:t>，宜比照於工業區設置</w:t>
      </w:r>
      <w:r w:rsidR="008D3B23" w:rsidRPr="002145BE">
        <w:rPr>
          <w:rFonts w:hint="eastAsia"/>
          <w:b/>
        </w:rPr>
        <w:t>專</w:t>
      </w:r>
      <w:r w:rsidRPr="002145BE">
        <w:rPr>
          <w:rFonts w:hint="eastAsia"/>
          <w:b/>
        </w:rPr>
        <w:t>區</w:t>
      </w:r>
      <w:r w:rsidR="00982DB6" w:rsidRPr="002145BE">
        <w:rPr>
          <w:rFonts w:hint="eastAsia"/>
          <w:b/>
        </w:rPr>
        <w:t>方式，移出農業區且</w:t>
      </w:r>
      <w:r w:rsidRPr="002145BE">
        <w:rPr>
          <w:rFonts w:hint="eastAsia"/>
          <w:b/>
        </w:rPr>
        <w:t>集中管理，以有效杜絕農地重金屬污染。</w:t>
      </w:r>
    </w:p>
    <w:p w:rsidR="00E45500" w:rsidRPr="002145BE" w:rsidRDefault="00E45500" w:rsidP="003C0F63">
      <w:pPr>
        <w:pStyle w:val="3"/>
      </w:pPr>
      <w:r w:rsidRPr="002145BE">
        <w:rPr>
          <w:rFonts w:hAnsi="標楷體" w:hint="eastAsia"/>
        </w:rPr>
        <w:t>據審計部105年度中央政府總決算審核報告</w:t>
      </w:r>
      <w:r w:rsidR="000F733F" w:rsidRPr="002145BE">
        <w:rPr>
          <w:rFonts w:hAnsi="標楷體" w:hint="eastAsia"/>
        </w:rPr>
        <w:t>指出</w:t>
      </w:r>
      <w:r w:rsidRPr="002145BE">
        <w:rPr>
          <w:rFonts w:hAnsi="標楷體" w:hint="eastAsia"/>
        </w:rPr>
        <w:t>，</w:t>
      </w:r>
      <w:r w:rsidR="003A7F35">
        <w:rPr>
          <w:rFonts w:hAnsi="標楷體" w:hint="eastAsia"/>
        </w:rPr>
        <w:t>按</w:t>
      </w:r>
      <w:r w:rsidR="00B422E7" w:rsidRPr="002145BE">
        <w:rPr>
          <w:rFonts w:hAnsi="標楷體" w:hint="eastAsia"/>
        </w:rPr>
        <w:t>行政院農業委員會農業試驗所(下稱農委會農試所)提供之105年底土壤檢驗分布圖，經運用地理資訊系統(Geographic Information System, 下稱</w:t>
      </w:r>
      <w:r w:rsidR="00B422E7" w:rsidRPr="002145BE">
        <w:rPr>
          <w:rFonts w:hAnsi="標楷體" w:hint="eastAsia"/>
        </w:rPr>
        <w:lastRenderedPageBreak/>
        <w:t>GIS)分析比對環保署公告之「食用作物農地之管制標準」，結果</w:t>
      </w:r>
      <w:r w:rsidR="000F733F" w:rsidRPr="002145BE">
        <w:rPr>
          <w:rFonts w:hAnsi="標楷體" w:hint="eastAsia"/>
        </w:rPr>
        <w:t>計有965網格</w:t>
      </w:r>
      <w:r w:rsidR="00B422E7" w:rsidRPr="002145BE">
        <w:rPr>
          <w:rFonts w:hAnsi="標楷體" w:hint="eastAsia"/>
        </w:rPr>
        <w:t>之土壤檢驗圖層</w:t>
      </w:r>
      <w:r w:rsidR="003C0F63" w:rsidRPr="002145BE">
        <w:rPr>
          <w:rFonts w:hAnsi="標楷體" w:hint="eastAsia"/>
        </w:rPr>
        <w:t>重金屬超過管制標準</w:t>
      </w:r>
      <w:r w:rsidR="000F733F" w:rsidRPr="002145BE">
        <w:rPr>
          <w:rFonts w:hAnsi="標楷體" w:hint="eastAsia"/>
        </w:rPr>
        <w:t>，其中以桃園市341個網格數最多，其次依序為彰化縣、高雄市、臺中市……等16個</w:t>
      </w:r>
      <w:r w:rsidR="003A7F35" w:rsidRPr="002145BE">
        <w:rPr>
          <w:rFonts w:hAnsi="標楷體" w:hint="eastAsia"/>
        </w:rPr>
        <w:t>縣</w:t>
      </w:r>
      <w:r w:rsidR="000F733F" w:rsidRPr="002145BE">
        <w:rPr>
          <w:rFonts w:hAnsi="標楷體" w:hint="eastAsia"/>
        </w:rPr>
        <w:t>市</w:t>
      </w:r>
      <w:r w:rsidR="00982DB6" w:rsidRPr="002145BE">
        <w:rPr>
          <w:rFonts w:hAnsi="標楷體" w:hint="eastAsia"/>
        </w:rPr>
        <w:t>，顯示部分縣市轄內</w:t>
      </w:r>
      <w:r w:rsidR="0024102A" w:rsidRPr="002145BE">
        <w:rPr>
          <w:rFonts w:hAnsi="標楷體" w:hint="eastAsia"/>
        </w:rPr>
        <w:t>農地存有重金屬含量超標之情事</w:t>
      </w:r>
      <w:r w:rsidR="003C0F63" w:rsidRPr="002145BE">
        <w:rPr>
          <w:rFonts w:hAnsi="標楷體" w:hint="eastAsia"/>
        </w:rPr>
        <w:t>；又，截至106年2月18日止，環保署公告列管控制場址之農地，計有2,449筆、面積349.77公頃，其中以彰化縣1,452筆、面積247.07公頃居冠，再據農委會農試所提供之全臺工商業使用土地計44,374筆座標點位，經運用GIS之最近鄰樣分析方法，分析比對上</w:t>
      </w:r>
      <w:r w:rsidR="003C0F63" w:rsidRPr="002145BE">
        <w:rPr>
          <w:rFonts w:hint="eastAsia"/>
        </w:rPr>
        <w:t>開2,449筆座標點位250公尺環域範圍，發現</w:t>
      </w:r>
      <w:r w:rsidRPr="002145BE">
        <w:rPr>
          <w:rFonts w:hint="eastAsia"/>
        </w:rPr>
        <w:t>污染農地</w:t>
      </w:r>
      <w:r w:rsidR="003C0F63" w:rsidRPr="002145BE">
        <w:rPr>
          <w:rFonts w:hint="eastAsia"/>
        </w:rPr>
        <w:t>附近</w:t>
      </w:r>
      <w:r w:rsidRPr="002145BE">
        <w:t>存有工業使用之</w:t>
      </w:r>
      <w:r w:rsidRPr="002145BE">
        <w:rPr>
          <w:rFonts w:hint="eastAsia"/>
        </w:rPr>
        <w:t>群聚效果，顯示</w:t>
      </w:r>
      <w:r w:rsidR="003C0F63" w:rsidRPr="002145BE">
        <w:rPr>
          <w:rFonts w:hint="eastAsia"/>
        </w:rPr>
        <w:t>農地土壤重金屬含量超過管制標準與周邊工廠林立</w:t>
      </w:r>
      <w:r w:rsidRPr="002145BE">
        <w:rPr>
          <w:rFonts w:hint="eastAsia"/>
        </w:rPr>
        <w:t>，具直接性與攸關性，亟待</w:t>
      </w:r>
      <w:r w:rsidR="003C0F63" w:rsidRPr="002145BE">
        <w:rPr>
          <w:rFonts w:hint="eastAsia"/>
        </w:rPr>
        <w:t>農委會積極檢討因應</w:t>
      </w:r>
      <w:r w:rsidRPr="002145BE">
        <w:t>。</w:t>
      </w:r>
    </w:p>
    <w:p w:rsidR="00E33EF1" w:rsidRPr="002145BE" w:rsidRDefault="003C0F63" w:rsidP="00E33EF1">
      <w:pPr>
        <w:pStyle w:val="3"/>
      </w:pPr>
      <w:r w:rsidRPr="002145BE">
        <w:rPr>
          <w:rFonts w:hint="eastAsia"/>
        </w:rPr>
        <w:t>本院直接調查農業區工廠設立情形，發現</w:t>
      </w:r>
      <w:r w:rsidR="00E33EF1" w:rsidRPr="002145BE">
        <w:rPr>
          <w:rFonts w:hint="eastAsia"/>
        </w:rPr>
        <w:t>截至106年底止，國內合法登記工廠家數計84,765家，其中設立於農業區者，計10,842家，占率約12.8%</w:t>
      </w:r>
      <w:r w:rsidR="002708CF" w:rsidRPr="002145BE">
        <w:rPr>
          <w:rFonts w:hint="eastAsia"/>
        </w:rPr>
        <w:t>；</w:t>
      </w:r>
      <w:r w:rsidR="00E33EF1" w:rsidRPr="002145BE">
        <w:rPr>
          <w:rFonts w:hint="eastAsia"/>
        </w:rPr>
        <w:t>另</w:t>
      </w:r>
      <w:r w:rsidR="002708CF" w:rsidRPr="002145BE">
        <w:rPr>
          <w:rFonts w:hint="eastAsia"/>
        </w:rPr>
        <w:t>國內取得臨時登記工廠之家數計7,076家，其中設立於農業區者，計6,322家，占率計89.3%</w:t>
      </w:r>
      <w:r w:rsidR="00BF325C" w:rsidRPr="002145BE">
        <w:rPr>
          <w:rFonts w:hint="eastAsia"/>
        </w:rPr>
        <w:t>(各縣市分布情形，</w:t>
      </w:r>
      <w:r w:rsidR="00631D1A" w:rsidRPr="002145BE">
        <w:rPr>
          <w:rFonts w:hint="eastAsia"/>
        </w:rPr>
        <w:t>詳如下表</w:t>
      </w:r>
      <w:r w:rsidR="00BF325C" w:rsidRPr="002145BE">
        <w:rPr>
          <w:rFonts w:hint="eastAsia"/>
        </w:rPr>
        <w:t>)</w:t>
      </w:r>
      <w:r w:rsidR="002708CF" w:rsidRPr="002145BE">
        <w:rPr>
          <w:rFonts w:hint="eastAsia"/>
        </w:rPr>
        <w:t>。</w:t>
      </w:r>
      <w:r w:rsidR="00BF325C" w:rsidRPr="002145BE">
        <w:rPr>
          <w:rFonts w:hint="eastAsia"/>
        </w:rPr>
        <w:t>由上可徵，</w:t>
      </w:r>
      <w:r w:rsidR="002708CF" w:rsidRPr="002145BE">
        <w:rPr>
          <w:rFonts w:hint="eastAsia"/>
        </w:rPr>
        <w:t>國內</w:t>
      </w:r>
      <w:r w:rsidR="002D185A" w:rsidRPr="002145BE">
        <w:rPr>
          <w:rFonts w:hint="eastAsia"/>
        </w:rPr>
        <w:t>已有</w:t>
      </w:r>
      <w:r w:rsidR="002708CF" w:rsidRPr="002145BE">
        <w:rPr>
          <w:rFonts w:hint="eastAsia"/>
        </w:rPr>
        <w:t>高達1成以上之工廠設立於農業區，而經濟部輔導違章工廠取得</w:t>
      </w:r>
      <w:r w:rsidR="002D185A" w:rsidRPr="002145BE">
        <w:rPr>
          <w:rFonts w:hint="eastAsia"/>
        </w:rPr>
        <w:t>臨時工廠</w:t>
      </w:r>
      <w:r w:rsidR="002708CF" w:rsidRPr="002145BE">
        <w:rPr>
          <w:rFonts w:hint="eastAsia"/>
        </w:rPr>
        <w:t>登記</w:t>
      </w:r>
      <w:r w:rsidR="002D185A" w:rsidRPr="002145BE">
        <w:rPr>
          <w:rFonts w:hint="eastAsia"/>
        </w:rPr>
        <w:t>者</w:t>
      </w:r>
      <w:r w:rsidR="002708CF" w:rsidRPr="002145BE">
        <w:rPr>
          <w:rFonts w:hint="eastAsia"/>
        </w:rPr>
        <w:t>，約有9成</w:t>
      </w:r>
      <w:r w:rsidR="007B0F74" w:rsidRPr="002145BE">
        <w:rPr>
          <w:rFonts w:hint="eastAsia"/>
        </w:rPr>
        <w:t>也</w:t>
      </w:r>
      <w:r w:rsidR="002708CF" w:rsidRPr="002145BE">
        <w:rPr>
          <w:rFonts w:hint="eastAsia"/>
        </w:rPr>
        <w:t>位於農業區，</w:t>
      </w:r>
      <w:r w:rsidR="002D185A" w:rsidRPr="002145BE">
        <w:rPr>
          <w:rFonts w:hint="eastAsia"/>
        </w:rPr>
        <w:t>且以</w:t>
      </w:r>
      <w:r w:rsidR="002D185A" w:rsidRPr="002145BE">
        <w:rPr>
          <w:rFonts w:ascii="新細明體" w:eastAsia="新細明體" w:hAnsi="新細明體" w:hint="eastAsia"/>
        </w:rPr>
        <w:t>「</w:t>
      </w:r>
      <w:r w:rsidR="002D185A" w:rsidRPr="002145BE">
        <w:rPr>
          <w:rFonts w:hint="eastAsia"/>
        </w:rPr>
        <w:t>金屬製品製造業</w:t>
      </w:r>
      <w:r w:rsidR="002D185A" w:rsidRPr="002145BE">
        <w:rPr>
          <w:rFonts w:hAnsi="標楷體" w:hint="eastAsia"/>
        </w:rPr>
        <w:t>」數量最高(2,910家)，</w:t>
      </w:r>
      <w:r w:rsidR="002D185A" w:rsidRPr="002145BE">
        <w:rPr>
          <w:rFonts w:ascii="新細明體" w:eastAsia="新細明體" w:hAnsi="新細明體" w:hint="eastAsia"/>
        </w:rPr>
        <w:t>「</w:t>
      </w:r>
      <w:r w:rsidR="002D185A" w:rsidRPr="002145BE">
        <w:rPr>
          <w:rFonts w:hAnsi="標楷體" w:hint="eastAsia"/>
        </w:rPr>
        <w:t>機械設備製造業」次之(1,053家)，</w:t>
      </w:r>
      <w:r w:rsidR="002708CF" w:rsidRPr="002145BE">
        <w:rPr>
          <w:rFonts w:hint="eastAsia"/>
        </w:rPr>
        <w:t>亦即未來農業區</w:t>
      </w:r>
      <w:r w:rsidR="00FC7A58" w:rsidRPr="002145BE">
        <w:rPr>
          <w:rFonts w:hint="eastAsia"/>
        </w:rPr>
        <w:t>合法</w:t>
      </w:r>
      <w:r w:rsidR="002708CF" w:rsidRPr="002145BE">
        <w:rPr>
          <w:rFonts w:hint="eastAsia"/>
        </w:rPr>
        <w:t>工廠數量</w:t>
      </w:r>
      <w:r w:rsidR="0033430D" w:rsidRPr="002145BE">
        <w:rPr>
          <w:rFonts w:hint="eastAsia"/>
        </w:rPr>
        <w:t>不但</w:t>
      </w:r>
      <w:r w:rsidR="002708CF" w:rsidRPr="002145BE">
        <w:rPr>
          <w:rFonts w:hint="eastAsia"/>
        </w:rPr>
        <w:t>必呈增加趨勢</w:t>
      </w:r>
      <w:r w:rsidR="00724512" w:rsidRPr="002145BE">
        <w:rPr>
          <w:rFonts w:hint="eastAsia"/>
        </w:rPr>
        <w:t>，且新增家之工廠以</w:t>
      </w:r>
      <w:r w:rsidR="00724512" w:rsidRPr="002145BE">
        <w:rPr>
          <w:rFonts w:ascii="新細明體" w:eastAsia="新細明體" w:hAnsi="新細明體" w:hint="eastAsia"/>
        </w:rPr>
        <w:t>「</w:t>
      </w:r>
      <w:r w:rsidR="00724512" w:rsidRPr="002145BE">
        <w:rPr>
          <w:rFonts w:hint="eastAsia"/>
        </w:rPr>
        <w:t>金屬製品製造業</w:t>
      </w:r>
      <w:r w:rsidR="00724512" w:rsidRPr="002145BE">
        <w:rPr>
          <w:rFonts w:hAnsi="標楷體" w:hint="eastAsia"/>
        </w:rPr>
        <w:t>」及</w:t>
      </w:r>
      <w:r w:rsidR="00724512" w:rsidRPr="002145BE">
        <w:rPr>
          <w:rFonts w:ascii="新細明體" w:eastAsia="新細明體" w:hAnsi="新細明體" w:hint="eastAsia"/>
        </w:rPr>
        <w:t>「</w:t>
      </w:r>
      <w:r w:rsidR="00724512" w:rsidRPr="002145BE">
        <w:rPr>
          <w:rFonts w:hAnsi="標楷體" w:hint="eastAsia"/>
        </w:rPr>
        <w:t>機械設備製造業」居多，此對於農地土壤重金屬污染之風險，不容輕忽</w:t>
      </w:r>
      <w:r w:rsidR="002708CF" w:rsidRPr="002145BE">
        <w:rPr>
          <w:rFonts w:hint="eastAsia"/>
        </w:rPr>
        <w:t>。</w:t>
      </w:r>
    </w:p>
    <w:p w:rsidR="00982DB6" w:rsidRPr="002145BE" w:rsidRDefault="00982DB6" w:rsidP="00982DB6">
      <w:pPr>
        <w:pStyle w:val="1"/>
        <w:numPr>
          <w:ilvl w:val="0"/>
          <w:numId w:val="0"/>
        </w:numPr>
        <w:ind w:left="2381" w:hanging="2381"/>
      </w:pPr>
    </w:p>
    <w:p w:rsidR="00982DB6" w:rsidRPr="002145BE" w:rsidRDefault="00982DB6" w:rsidP="00982DB6">
      <w:pPr>
        <w:pStyle w:val="1"/>
        <w:numPr>
          <w:ilvl w:val="0"/>
          <w:numId w:val="0"/>
        </w:numPr>
        <w:ind w:left="2381" w:hanging="2381"/>
      </w:pPr>
    </w:p>
    <w:p w:rsidR="00BF325C" w:rsidRPr="002145BE" w:rsidRDefault="00BF325C" w:rsidP="00982DB6">
      <w:pPr>
        <w:pStyle w:val="a3"/>
        <w:jc w:val="center"/>
      </w:pPr>
      <w:r w:rsidRPr="002145BE">
        <w:rPr>
          <w:rFonts w:hint="eastAsia"/>
        </w:rPr>
        <w:lastRenderedPageBreak/>
        <w:t>取得臨時工廠登記工廠(坐落於農業區)家數統計表</w:t>
      </w:r>
    </w:p>
    <w:p w:rsidR="00982DB6" w:rsidRPr="002145BE" w:rsidRDefault="00982DB6" w:rsidP="00982DB6">
      <w:pPr>
        <w:jc w:val="right"/>
        <w:rPr>
          <w:sz w:val="28"/>
          <w:szCs w:val="28"/>
        </w:rPr>
      </w:pPr>
      <w:r w:rsidRPr="002145BE">
        <w:rPr>
          <w:rFonts w:hint="eastAsia"/>
          <w:sz w:val="28"/>
          <w:szCs w:val="28"/>
        </w:rPr>
        <w:t>單位：家數</w:t>
      </w:r>
    </w:p>
    <w:tbl>
      <w:tblPr>
        <w:tblW w:w="8804" w:type="dxa"/>
        <w:tblInd w:w="13" w:type="dxa"/>
        <w:tblCellMar>
          <w:left w:w="28" w:type="dxa"/>
          <w:right w:w="28" w:type="dxa"/>
        </w:tblCellMar>
        <w:tblLook w:val="04A0" w:firstRow="1" w:lastRow="0" w:firstColumn="1" w:lastColumn="0" w:noHBand="0" w:noVBand="1"/>
      </w:tblPr>
      <w:tblGrid>
        <w:gridCol w:w="1291"/>
        <w:gridCol w:w="1697"/>
        <w:gridCol w:w="1280"/>
        <w:gridCol w:w="1559"/>
        <w:gridCol w:w="1559"/>
        <w:gridCol w:w="1418"/>
      </w:tblGrid>
      <w:tr w:rsidR="00BF325C" w:rsidRPr="002145BE" w:rsidTr="002C7C42">
        <w:trPr>
          <w:trHeight w:val="420"/>
          <w:tblHeader/>
        </w:trPr>
        <w:tc>
          <w:tcPr>
            <w:tcW w:w="1291" w:type="dxa"/>
            <w:vMerge w:val="restart"/>
            <w:tcBorders>
              <w:top w:val="single" w:sz="8" w:space="0" w:color="auto"/>
              <w:left w:val="single" w:sz="8" w:space="0" w:color="auto"/>
              <w:bottom w:val="single" w:sz="4" w:space="0" w:color="000000"/>
              <w:right w:val="single" w:sz="4" w:space="0" w:color="auto"/>
              <w:tl2br w:val="single" w:sz="4" w:space="0" w:color="auto"/>
            </w:tcBorders>
            <w:shd w:val="clear" w:color="auto" w:fill="auto"/>
            <w:vAlign w:val="center"/>
            <w:hideMark/>
          </w:tcPr>
          <w:p w:rsidR="00BF325C" w:rsidRPr="002145BE" w:rsidRDefault="00BF325C" w:rsidP="002C7C42">
            <w:pPr>
              <w:widowControl/>
              <w:snapToGrid w:val="0"/>
              <w:jc w:val="right"/>
              <w:rPr>
                <w:rFonts w:hAnsi="標楷體" w:cs="新細明體"/>
                <w:kern w:val="0"/>
                <w:sz w:val="28"/>
                <w:szCs w:val="28"/>
              </w:rPr>
            </w:pPr>
            <w:r w:rsidRPr="002145BE">
              <w:rPr>
                <w:rFonts w:hAnsi="標楷體" w:cs="新細明體" w:hint="eastAsia"/>
                <w:kern w:val="0"/>
                <w:sz w:val="28"/>
                <w:szCs w:val="28"/>
              </w:rPr>
              <w:t>項目</w:t>
            </w:r>
          </w:p>
          <w:p w:rsidR="00BF325C" w:rsidRPr="002145BE" w:rsidRDefault="00BF325C" w:rsidP="002C7C42">
            <w:pPr>
              <w:widowControl/>
              <w:snapToGrid w:val="0"/>
              <w:jc w:val="center"/>
              <w:rPr>
                <w:rFonts w:hAnsi="標楷體" w:cs="新細明體"/>
                <w:kern w:val="0"/>
                <w:sz w:val="28"/>
                <w:szCs w:val="28"/>
              </w:rPr>
            </w:pPr>
          </w:p>
          <w:p w:rsidR="00BF325C" w:rsidRPr="002145BE" w:rsidRDefault="00BF325C" w:rsidP="002C7C42">
            <w:pPr>
              <w:widowControl/>
              <w:snapToGrid w:val="0"/>
              <w:rPr>
                <w:rFonts w:hAnsi="標楷體" w:cs="新細明體"/>
                <w:kern w:val="0"/>
                <w:sz w:val="18"/>
                <w:szCs w:val="18"/>
              </w:rPr>
            </w:pPr>
            <w:r w:rsidRPr="002145BE">
              <w:rPr>
                <w:rFonts w:hAnsi="標楷體" w:cs="新細明體" w:hint="eastAsia"/>
                <w:kern w:val="0"/>
                <w:sz w:val="28"/>
                <w:szCs w:val="28"/>
              </w:rPr>
              <w:t>縣市別</w:t>
            </w:r>
          </w:p>
        </w:tc>
        <w:tc>
          <w:tcPr>
            <w:tcW w:w="1697" w:type="dxa"/>
            <w:vMerge w:val="restart"/>
            <w:tcBorders>
              <w:top w:val="single" w:sz="8" w:space="0" w:color="auto"/>
              <w:left w:val="single" w:sz="4" w:space="0" w:color="auto"/>
              <w:bottom w:val="single" w:sz="4" w:space="0" w:color="auto"/>
              <w:right w:val="double" w:sz="6"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spacing w:val="-18"/>
                <w:kern w:val="0"/>
                <w:sz w:val="28"/>
                <w:szCs w:val="28"/>
              </w:rPr>
              <w:t>取得臨時登記工廠家數</w:t>
            </w:r>
          </w:p>
        </w:tc>
        <w:tc>
          <w:tcPr>
            <w:tcW w:w="5816" w:type="dxa"/>
            <w:gridSpan w:val="4"/>
            <w:tcBorders>
              <w:top w:val="single" w:sz="8" w:space="0" w:color="auto"/>
              <w:left w:val="nil"/>
              <w:bottom w:val="single" w:sz="4" w:space="0" w:color="auto"/>
              <w:right w:val="single" w:sz="8" w:space="0" w:color="000000"/>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其中坐落於農業區家數</w:t>
            </w:r>
          </w:p>
        </w:tc>
      </w:tr>
      <w:tr w:rsidR="00BF325C" w:rsidRPr="002145BE" w:rsidTr="002C7C42">
        <w:trPr>
          <w:trHeight w:val="420"/>
          <w:tblHeader/>
        </w:trPr>
        <w:tc>
          <w:tcPr>
            <w:tcW w:w="1291" w:type="dxa"/>
            <w:vMerge/>
            <w:tcBorders>
              <w:top w:val="single" w:sz="8" w:space="0" w:color="auto"/>
              <w:left w:val="single" w:sz="8" w:space="0" w:color="auto"/>
              <w:bottom w:val="single" w:sz="4" w:space="0" w:color="000000"/>
              <w:right w:val="single" w:sz="4" w:space="0" w:color="auto"/>
            </w:tcBorders>
            <w:vAlign w:val="center"/>
            <w:hideMark/>
          </w:tcPr>
          <w:p w:rsidR="00BF325C" w:rsidRPr="002145BE" w:rsidRDefault="00BF325C" w:rsidP="002C7C42">
            <w:pPr>
              <w:widowControl/>
              <w:snapToGrid w:val="0"/>
              <w:rPr>
                <w:rFonts w:hAnsi="標楷體" w:cs="新細明體"/>
                <w:kern w:val="0"/>
                <w:sz w:val="18"/>
                <w:szCs w:val="18"/>
              </w:rPr>
            </w:pPr>
          </w:p>
        </w:tc>
        <w:tc>
          <w:tcPr>
            <w:tcW w:w="1697" w:type="dxa"/>
            <w:vMerge/>
            <w:tcBorders>
              <w:top w:val="single" w:sz="8" w:space="0" w:color="auto"/>
              <w:left w:val="single" w:sz="4" w:space="0" w:color="auto"/>
              <w:bottom w:val="single" w:sz="4" w:space="0" w:color="auto"/>
              <w:right w:val="double" w:sz="6" w:space="0" w:color="auto"/>
            </w:tcBorders>
            <w:vAlign w:val="center"/>
            <w:hideMark/>
          </w:tcPr>
          <w:p w:rsidR="00BF325C" w:rsidRPr="002145BE" w:rsidRDefault="00BF325C" w:rsidP="002C7C42">
            <w:pPr>
              <w:widowControl/>
              <w:snapToGrid w:val="0"/>
              <w:rPr>
                <w:rFonts w:hAnsi="標楷體" w:cs="新細明體"/>
                <w:kern w:val="0"/>
                <w:sz w:val="28"/>
                <w:szCs w:val="28"/>
              </w:rPr>
            </w:pPr>
          </w:p>
        </w:tc>
        <w:tc>
          <w:tcPr>
            <w:tcW w:w="1280" w:type="dxa"/>
            <w:vMerge w:val="restart"/>
            <w:tcBorders>
              <w:top w:val="nil"/>
              <w:left w:val="nil"/>
              <w:bottom w:val="single" w:sz="4" w:space="0" w:color="000000"/>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農業區</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一般農業區</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特定農業區</w:t>
            </w:r>
          </w:p>
        </w:tc>
        <w:tc>
          <w:tcPr>
            <w:tcW w:w="1418" w:type="dxa"/>
            <w:vMerge w:val="restart"/>
            <w:tcBorders>
              <w:top w:val="nil"/>
              <w:left w:val="single" w:sz="4" w:space="0" w:color="auto"/>
              <w:bottom w:val="single" w:sz="4" w:space="0" w:color="000000"/>
              <w:right w:val="single" w:sz="8"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小計</w:t>
            </w:r>
          </w:p>
        </w:tc>
      </w:tr>
      <w:tr w:rsidR="00BF325C" w:rsidRPr="002145BE" w:rsidTr="002C7C42">
        <w:trPr>
          <w:trHeight w:val="416"/>
        </w:trPr>
        <w:tc>
          <w:tcPr>
            <w:tcW w:w="1291" w:type="dxa"/>
            <w:vMerge/>
            <w:tcBorders>
              <w:top w:val="single" w:sz="8" w:space="0" w:color="auto"/>
              <w:left w:val="single" w:sz="8" w:space="0" w:color="auto"/>
              <w:bottom w:val="single" w:sz="4" w:space="0" w:color="000000"/>
              <w:right w:val="single" w:sz="4" w:space="0" w:color="auto"/>
            </w:tcBorders>
            <w:vAlign w:val="center"/>
            <w:hideMark/>
          </w:tcPr>
          <w:p w:rsidR="00BF325C" w:rsidRPr="002145BE" w:rsidRDefault="00BF325C" w:rsidP="002C7C42">
            <w:pPr>
              <w:widowControl/>
              <w:snapToGrid w:val="0"/>
              <w:rPr>
                <w:rFonts w:hAnsi="標楷體" w:cs="新細明體"/>
                <w:kern w:val="0"/>
                <w:sz w:val="18"/>
                <w:szCs w:val="18"/>
              </w:rPr>
            </w:pPr>
          </w:p>
        </w:tc>
        <w:tc>
          <w:tcPr>
            <w:tcW w:w="1697" w:type="dxa"/>
            <w:vMerge/>
            <w:tcBorders>
              <w:top w:val="single" w:sz="8" w:space="0" w:color="auto"/>
              <w:left w:val="single" w:sz="4" w:space="0" w:color="auto"/>
              <w:bottom w:val="single" w:sz="4" w:space="0" w:color="auto"/>
              <w:right w:val="double" w:sz="6" w:space="0" w:color="auto"/>
            </w:tcBorders>
            <w:vAlign w:val="center"/>
            <w:hideMark/>
          </w:tcPr>
          <w:p w:rsidR="00BF325C" w:rsidRPr="002145BE" w:rsidRDefault="00BF325C" w:rsidP="002C7C42">
            <w:pPr>
              <w:widowControl/>
              <w:snapToGrid w:val="0"/>
              <w:rPr>
                <w:rFonts w:hAnsi="標楷體" w:cs="新細明體"/>
                <w:kern w:val="0"/>
                <w:sz w:val="28"/>
                <w:szCs w:val="28"/>
              </w:rPr>
            </w:pPr>
          </w:p>
        </w:tc>
        <w:tc>
          <w:tcPr>
            <w:tcW w:w="1280" w:type="dxa"/>
            <w:vMerge/>
            <w:tcBorders>
              <w:top w:val="nil"/>
              <w:left w:val="nil"/>
              <w:bottom w:val="single" w:sz="4" w:space="0" w:color="000000"/>
              <w:right w:val="single" w:sz="4" w:space="0" w:color="auto"/>
            </w:tcBorders>
            <w:vAlign w:val="center"/>
            <w:hideMark/>
          </w:tcPr>
          <w:p w:rsidR="00BF325C" w:rsidRPr="002145BE" w:rsidRDefault="00BF325C" w:rsidP="002C7C42">
            <w:pPr>
              <w:widowControl/>
              <w:snapToGrid w:val="0"/>
              <w:rPr>
                <w:rFonts w:hAnsi="標楷體" w:cs="新細明體"/>
                <w:kern w:val="0"/>
                <w:sz w:val="28"/>
                <w:szCs w:val="28"/>
              </w:rPr>
            </w:pPr>
          </w:p>
        </w:tc>
        <w:tc>
          <w:tcPr>
            <w:tcW w:w="1559" w:type="dxa"/>
            <w:vMerge/>
            <w:tcBorders>
              <w:top w:val="nil"/>
              <w:left w:val="single" w:sz="4" w:space="0" w:color="auto"/>
              <w:bottom w:val="single" w:sz="4" w:space="0" w:color="000000"/>
              <w:right w:val="single" w:sz="4" w:space="0" w:color="auto"/>
            </w:tcBorders>
            <w:vAlign w:val="center"/>
            <w:hideMark/>
          </w:tcPr>
          <w:p w:rsidR="00BF325C" w:rsidRPr="002145BE" w:rsidRDefault="00BF325C" w:rsidP="002C7C42">
            <w:pPr>
              <w:widowControl/>
              <w:snapToGrid w:val="0"/>
              <w:rPr>
                <w:rFonts w:hAnsi="標楷體" w:cs="新細明體"/>
                <w:kern w:val="0"/>
                <w:sz w:val="28"/>
                <w:szCs w:val="28"/>
              </w:rPr>
            </w:pPr>
          </w:p>
        </w:tc>
        <w:tc>
          <w:tcPr>
            <w:tcW w:w="1559" w:type="dxa"/>
            <w:vMerge/>
            <w:tcBorders>
              <w:top w:val="nil"/>
              <w:left w:val="single" w:sz="4" w:space="0" w:color="auto"/>
              <w:bottom w:val="single" w:sz="4" w:space="0" w:color="000000"/>
              <w:right w:val="single" w:sz="4" w:space="0" w:color="auto"/>
            </w:tcBorders>
            <w:vAlign w:val="center"/>
            <w:hideMark/>
          </w:tcPr>
          <w:p w:rsidR="00BF325C" w:rsidRPr="002145BE" w:rsidRDefault="00BF325C" w:rsidP="002C7C42">
            <w:pPr>
              <w:widowControl/>
              <w:snapToGrid w:val="0"/>
              <w:rPr>
                <w:rFonts w:hAnsi="標楷體" w:cs="新細明體"/>
                <w:kern w:val="0"/>
                <w:sz w:val="28"/>
                <w:szCs w:val="28"/>
              </w:rPr>
            </w:pPr>
          </w:p>
        </w:tc>
        <w:tc>
          <w:tcPr>
            <w:tcW w:w="1418" w:type="dxa"/>
            <w:vMerge/>
            <w:tcBorders>
              <w:top w:val="nil"/>
              <w:left w:val="single" w:sz="4" w:space="0" w:color="auto"/>
              <w:bottom w:val="single" w:sz="4" w:space="0" w:color="000000"/>
              <w:right w:val="single" w:sz="8" w:space="0" w:color="auto"/>
            </w:tcBorders>
            <w:vAlign w:val="center"/>
            <w:hideMark/>
          </w:tcPr>
          <w:p w:rsidR="00BF325C" w:rsidRPr="002145BE" w:rsidRDefault="00BF325C" w:rsidP="002C7C42">
            <w:pPr>
              <w:widowControl/>
              <w:snapToGrid w:val="0"/>
              <w:rPr>
                <w:rFonts w:hAnsi="標楷體" w:cs="新細明體"/>
                <w:kern w:val="0"/>
                <w:sz w:val="28"/>
                <w:szCs w:val="28"/>
              </w:rPr>
            </w:pP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臺北市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40</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新北市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620</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57</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63</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166</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286</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桃園市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381</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64</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213</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348</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臺中市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1,746</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740</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99</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793</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1,632</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臺南市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697</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161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97</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368</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626</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高雄市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965</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348</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218</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349</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915</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宜蘭縣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51</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40</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48</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新竹縣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100</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83</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92</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苗栗縣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140</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15</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12</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102</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129</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彰化縣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1,546</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204</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78</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1237</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1,519</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南投縣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56</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10</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35</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51</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雲林縣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211</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44</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141</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206</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嘉義縣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148</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12</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29</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105</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146</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屏東縣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302</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10</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115</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148</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273</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臺東縣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花蓮縣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18</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5</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15</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澎湖縣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基隆市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新竹市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19</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嘉義市</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27</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22</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23</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金門縣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w:t>
            </w:r>
          </w:p>
        </w:tc>
      </w:tr>
      <w:tr w:rsidR="00BF325C" w:rsidRPr="002145BE" w:rsidTr="002C7C42">
        <w:trPr>
          <w:trHeight w:val="20"/>
        </w:trPr>
        <w:tc>
          <w:tcPr>
            <w:tcW w:w="1291" w:type="dxa"/>
            <w:tcBorders>
              <w:top w:val="nil"/>
              <w:left w:val="single" w:sz="8" w:space="0" w:color="auto"/>
              <w:bottom w:val="single" w:sz="4" w:space="0" w:color="auto"/>
              <w:right w:val="single" w:sz="4" w:space="0" w:color="auto"/>
            </w:tcBorders>
            <w:shd w:val="clear" w:color="auto" w:fill="auto"/>
            <w:noWrap/>
            <w:vAlign w:val="center"/>
            <w:hideMark/>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連江縣</w:t>
            </w:r>
          </w:p>
        </w:tc>
        <w:tc>
          <w:tcPr>
            <w:tcW w:w="1697" w:type="dxa"/>
            <w:tcBorders>
              <w:top w:val="nil"/>
              <w:left w:val="nil"/>
              <w:bottom w:val="single" w:sz="4"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280"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559" w:type="dxa"/>
            <w:tcBorders>
              <w:top w:val="nil"/>
              <w:left w:val="nil"/>
              <w:bottom w:val="single" w:sz="4"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c>
          <w:tcPr>
            <w:tcW w:w="1418" w:type="dxa"/>
            <w:tcBorders>
              <w:top w:val="nil"/>
              <w:left w:val="nil"/>
              <w:bottom w:val="single" w:sz="4"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w:t>
            </w:r>
          </w:p>
        </w:tc>
      </w:tr>
      <w:tr w:rsidR="00BF325C" w:rsidRPr="002145BE" w:rsidTr="002C7C42">
        <w:trPr>
          <w:trHeight w:val="20"/>
        </w:trPr>
        <w:tc>
          <w:tcPr>
            <w:tcW w:w="1291" w:type="dxa"/>
            <w:tcBorders>
              <w:top w:val="nil"/>
              <w:left w:val="single" w:sz="8" w:space="0" w:color="auto"/>
              <w:bottom w:val="single" w:sz="8" w:space="0" w:color="auto"/>
              <w:right w:val="single" w:sz="4" w:space="0" w:color="auto"/>
            </w:tcBorders>
            <w:shd w:val="clear" w:color="auto" w:fill="auto"/>
            <w:noWrap/>
            <w:vAlign w:val="center"/>
          </w:tcPr>
          <w:p w:rsidR="00BF325C" w:rsidRPr="002145BE" w:rsidRDefault="00BF325C" w:rsidP="002C7C42">
            <w:pPr>
              <w:widowControl/>
              <w:snapToGrid w:val="0"/>
              <w:jc w:val="center"/>
              <w:rPr>
                <w:rFonts w:hAnsi="標楷體" w:cs="新細明體"/>
                <w:kern w:val="0"/>
                <w:sz w:val="28"/>
                <w:szCs w:val="28"/>
              </w:rPr>
            </w:pPr>
            <w:r w:rsidRPr="002145BE">
              <w:rPr>
                <w:rFonts w:hAnsi="標楷體" w:cs="新細明體" w:hint="eastAsia"/>
                <w:kern w:val="0"/>
                <w:sz w:val="28"/>
                <w:szCs w:val="28"/>
              </w:rPr>
              <w:t>合計</w:t>
            </w:r>
          </w:p>
        </w:tc>
        <w:tc>
          <w:tcPr>
            <w:tcW w:w="1697" w:type="dxa"/>
            <w:tcBorders>
              <w:top w:val="nil"/>
              <w:left w:val="nil"/>
              <w:bottom w:val="single" w:sz="8" w:space="0" w:color="auto"/>
              <w:right w:val="double" w:sz="6"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7,076</w:t>
            </w:r>
          </w:p>
        </w:tc>
        <w:tc>
          <w:tcPr>
            <w:tcW w:w="1280" w:type="dxa"/>
            <w:tcBorders>
              <w:top w:val="nil"/>
              <w:left w:val="single" w:sz="4" w:space="0" w:color="auto"/>
              <w:bottom w:val="single" w:sz="8"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1,680</w:t>
            </w:r>
          </w:p>
        </w:tc>
        <w:tc>
          <w:tcPr>
            <w:tcW w:w="1559" w:type="dxa"/>
            <w:tcBorders>
              <w:top w:val="nil"/>
              <w:left w:val="nil"/>
              <w:bottom w:val="single" w:sz="8"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849</w:t>
            </w:r>
          </w:p>
        </w:tc>
        <w:tc>
          <w:tcPr>
            <w:tcW w:w="1559" w:type="dxa"/>
            <w:tcBorders>
              <w:top w:val="nil"/>
              <w:left w:val="nil"/>
              <w:bottom w:val="single" w:sz="8" w:space="0" w:color="auto"/>
              <w:right w:val="single" w:sz="4"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3,793</w:t>
            </w:r>
          </w:p>
        </w:tc>
        <w:tc>
          <w:tcPr>
            <w:tcW w:w="1418" w:type="dxa"/>
            <w:tcBorders>
              <w:top w:val="nil"/>
              <w:left w:val="nil"/>
              <w:bottom w:val="single" w:sz="8" w:space="0" w:color="auto"/>
              <w:right w:val="single" w:sz="8" w:space="0" w:color="auto"/>
            </w:tcBorders>
            <w:shd w:val="clear" w:color="auto" w:fill="auto"/>
            <w:noWrap/>
            <w:vAlign w:val="center"/>
          </w:tcPr>
          <w:p w:rsidR="00BF325C" w:rsidRPr="002145BE" w:rsidRDefault="00BF325C" w:rsidP="002C7C42">
            <w:pPr>
              <w:widowControl/>
              <w:snapToGrid w:val="0"/>
              <w:jc w:val="right"/>
              <w:rPr>
                <w:rFonts w:eastAsia="新細明體"/>
                <w:kern w:val="0"/>
                <w:sz w:val="28"/>
                <w:szCs w:val="28"/>
              </w:rPr>
            </w:pPr>
            <w:r w:rsidRPr="002145BE">
              <w:rPr>
                <w:rFonts w:eastAsia="新細明體" w:hint="eastAsia"/>
                <w:kern w:val="0"/>
                <w:sz w:val="28"/>
                <w:szCs w:val="28"/>
              </w:rPr>
              <w:t>6,322</w:t>
            </w:r>
          </w:p>
        </w:tc>
      </w:tr>
      <w:tr w:rsidR="00BF325C" w:rsidRPr="002145BE" w:rsidTr="002C7C42">
        <w:trPr>
          <w:trHeight w:val="372"/>
        </w:trPr>
        <w:tc>
          <w:tcPr>
            <w:tcW w:w="8804" w:type="dxa"/>
            <w:gridSpan w:val="6"/>
            <w:tcBorders>
              <w:top w:val="single" w:sz="8" w:space="0" w:color="auto"/>
              <w:left w:val="nil"/>
              <w:bottom w:val="nil"/>
              <w:right w:val="nil"/>
            </w:tcBorders>
            <w:shd w:val="clear" w:color="auto" w:fill="auto"/>
            <w:noWrap/>
            <w:vAlign w:val="center"/>
          </w:tcPr>
          <w:p w:rsidR="00BF325C" w:rsidRPr="002145BE" w:rsidRDefault="00BF325C" w:rsidP="002C7C42">
            <w:pPr>
              <w:widowControl/>
              <w:rPr>
                <w:rFonts w:hAnsi="標楷體" w:cs="新細明體"/>
                <w:spacing w:val="-4"/>
                <w:kern w:val="0"/>
                <w:sz w:val="24"/>
                <w:szCs w:val="24"/>
              </w:rPr>
            </w:pPr>
            <w:r w:rsidRPr="002145BE">
              <w:rPr>
                <w:rFonts w:hAnsi="標楷體" w:cs="新細明體" w:hint="eastAsia"/>
                <w:spacing w:val="-4"/>
                <w:kern w:val="0"/>
                <w:sz w:val="24"/>
                <w:szCs w:val="24"/>
              </w:rPr>
              <w:t>統計日期：截至106年12月底。</w:t>
            </w:r>
          </w:p>
          <w:p w:rsidR="00BF325C" w:rsidRPr="002145BE" w:rsidRDefault="00BF325C" w:rsidP="002C7C42">
            <w:pPr>
              <w:pStyle w:val="aff0"/>
              <w:snapToGrid w:val="0"/>
              <w:spacing w:line="240" w:lineRule="auto"/>
              <w:rPr>
                <w:sz w:val="24"/>
                <w:szCs w:val="24"/>
              </w:rPr>
            </w:pPr>
            <w:r w:rsidRPr="002145BE">
              <w:rPr>
                <w:rFonts w:hint="eastAsia"/>
                <w:sz w:val="24"/>
                <w:szCs w:val="24"/>
              </w:rPr>
              <w:t>(</w:t>
            </w:r>
            <w:r w:rsidRPr="002145BE">
              <w:rPr>
                <w:rFonts w:hint="eastAsia"/>
                <w:sz w:val="24"/>
                <w:szCs w:val="24"/>
              </w:rPr>
              <w:t>資料來源：經濟部</w:t>
            </w:r>
            <w:r w:rsidRPr="002145BE">
              <w:rPr>
                <w:rFonts w:hint="eastAsia"/>
                <w:sz w:val="24"/>
                <w:szCs w:val="24"/>
              </w:rPr>
              <w:t>)</w:t>
            </w:r>
          </w:p>
          <w:p w:rsidR="00BF325C" w:rsidRPr="002145BE" w:rsidRDefault="00BF325C" w:rsidP="002C7C42">
            <w:pPr>
              <w:widowControl/>
              <w:rPr>
                <w:rFonts w:hAnsi="標楷體" w:cs="新細明體"/>
                <w:spacing w:val="-4"/>
                <w:kern w:val="0"/>
                <w:sz w:val="24"/>
                <w:szCs w:val="24"/>
              </w:rPr>
            </w:pPr>
          </w:p>
        </w:tc>
      </w:tr>
    </w:tbl>
    <w:p w:rsidR="00346297" w:rsidRPr="002145BE" w:rsidRDefault="00271DE2" w:rsidP="001826C8">
      <w:pPr>
        <w:pStyle w:val="3"/>
      </w:pPr>
      <w:r w:rsidRPr="002145BE">
        <w:rPr>
          <w:rFonts w:hint="eastAsia"/>
        </w:rPr>
        <w:t>復</w:t>
      </w:r>
      <w:r w:rsidR="002D185A" w:rsidRPr="002145BE">
        <w:rPr>
          <w:rFonts w:hint="eastAsia"/>
        </w:rPr>
        <w:t>查截至106年底，</w:t>
      </w:r>
      <w:r w:rsidR="00724512" w:rsidRPr="002145BE">
        <w:rPr>
          <w:rFonts w:hint="eastAsia"/>
        </w:rPr>
        <w:t>經濟部</w:t>
      </w:r>
      <w:r w:rsidR="002D185A" w:rsidRPr="002145BE">
        <w:rPr>
          <w:rFonts w:hint="eastAsia"/>
        </w:rPr>
        <w:t>列管</w:t>
      </w:r>
      <w:r w:rsidR="00724512" w:rsidRPr="002145BE">
        <w:rPr>
          <w:rFonts w:hint="eastAsia"/>
        </w:rPr>
        <w:t>之</w:t>
      </w:r>
      <w:r w:rsidR="002D185A" w:rsidRPr="002145BE">
        <w:rPr>
          <w:rFonts w:hint="eastAsia"/>
        </w:rPr>
        <w:t>未登記工廠家數計10,848家，其中設立於農業區</w:t>
      </w:r>
      <w:r w:rsidR="00724512" w:rsidRPr="002145BE">
        <w:rPr>
          <w:rFonts w:hint="eastAsia"/>
        </w:rPr>
        <w:t>者高達</w:t>
      </w:r>
      <w:r w:rsidR="002D185A" w:rsidRPr="002145BE">
        <w:rPr>
          <w:rFonts w:hint="eastAsia"/>
        </w:rPr>
        <w:t>4,468家，</w:t>
      </w:r>
      <w:r w:rsidR="00724512" w:rsidRPr="002145BE">
        <w:rPr>
          <w:rFonts w:hint="eastAsia"/>
        </w:rPr>
        <w:t>占率計41.2%</w:t>
      </w:r>
      <w:r w:rsidR="00AB3F5B">
        <w:rPr>
          <w:rFonts w:hint="eastAsia"/>
        </w:rPr>
        <w:t>，</w:t>
      </w:r>
      <w:r w:rsidR="0033430D" w:rsidRPr="002145BE">
        <w:rPr>
          <w:rFonts w:hint="eastAsia"/>
        </w:rPr>
        <w:t>再細究該等</w:t>
      </w:r>
      <w:r w:rsidR="00FC7A58" w:rsidRPr="002145BE">
        <w:rPr>
          <w:rFonts w:hint="eastAsia"/>
        </w:rPr>
        <w:t>未登記</w:t>
      </w:r>
      <w:r w:rsidR="0033430D" w:rsidRPr="002145BE">
        <w:rPr>
          <w:rFonts w:hint="eastAsia"/>
        </w:rPr>
        <w:t>工廠之事業類別，其中</w:t>
      </w:r>
      <w:r w:rsidR="00982DB6" w:rsidRPr="002145BE">
        <w:rPr>
          <w:rFonts w:hint="eastAsia"/>
        </w:rPr>
        <w:t>亦</w:t>
      </w:r>
      <w:r w:rsidR="0033430D" w:rsidRPr="002145BE">
        <w:rPr>
          <w:rFonts w:hint="eastAsia"/>
        </w:rPr>
        <w:t>以</w:t>
      </w:r>
      <w:r w:rsidR="0033430D" w:rsidRPr="002145BE">
        <w:rPr>
          <w:rFonts w:ascii="新細明體" w:eastAsia="新細明體" w:hAnsi="新細明體" w:hint="eastAsia"/>
        </w:rPr>
        <w:t>「</w:t>
      </w:r>
      <w:r w:rsidR="0033430D" w:rsidRPr="002145BE">
        <w:rPr>
          <w:rFonts w:hint="eastAsia"/>
        </w:rPr>
        <w:t>金屬製品製造業</w:t>
      </w:r>
      <w:r w:rsidR="0033430D" w:rsidRPr="002145BE">
        <w:rPr>
          <w:rFonts w:hAnsi="標楷體" w:hint="eastAsia"/>
        </w:rPr>
        <w:t>」最高(3,136家)</w:t>
      </w:r>
      <w:r w:rsidR="00AB3F5B">
        <w:rPr>
          <w:rFonts w:hAnsi="標楷體" w:hint="eastAsia"/>
        </w:rPr>
        <w:t>，</w:t>
      </w:r>
      <w:r w:rsidR="007B0F74" w:rsidRPr="002145BE">
        <w:rPr>
          <w:rFonts w:hint="eastAsia"/>
        </w:rPr>
        <w:t>足</w:t>
      </w:r>
      <w:r w:rsidR="0033430D" w:rsidRPr="002145BE">
        <w:rPr>
          <w:rFonts w:hint="eastAsia"/>
        </w:rPr>
        <w:t>見國內</w:t>
      </w:r>
      <w:r w:rsidR="0033430D" w:rsidRPr="002145BE">
        <w:rPr>
          <w:rFonts w:hint="eastAsia"/>
        </w:rPr>
        <w:lastRenderedPageBreak/>
        <w:t>農業區除有10,842家合法工廠設立及6,322家取得臨時工廠登記者外，尚有4,468家</w:t>
      </w:r>
      <w:r w:rsidR="00FC7A58" w:rsidRPr="002145BE">
        <w:rPr>
          <w:rFonts w:hint="eastAsia"/>
        </w:rPr>
        <w:t>未登記</w:t>
      </w:r>
      <w:r w:rsidR="0033430D" w:rsidRPr="002145BE">
        <w:rPr>
          <w:rFonts w:hint="eastAsia"/>
        </w:rPr>
        <w:t>工廠，亦即農業區承載了21,632</w:t>
      </w:r>
      <w:r w:rsidR="000C1236" w:rsidRPr="002145BE">
        <w:rPr>
          <w:rFonts w:hint="eastAsia"/>
        </w:rPr>
        <w:t>家</w:t>
      </w:r>
      <w:r w:rsidR="0033430D" w:rsidRPr="002145BE">
        <w:rPr>
          <w:rFonts w:hint="eastAsia"/>
        </w:rPr>
        <w:t>工廠工業污染風險，</w:t>
      </w:r>
      <w:r w:rsidR="00982DB6" w:rsidRPr="002145BE">
        <w:rPr>
          <w:rFonts w:hint="eastAsia"/>
        </w:rPr>
        <w:t>更</w:t>
      </w:r>
      <w:r w:rsidR="0033430D" w:rsidRPr="002145BE">
        <w:rPr>
          <w:rFonts w:hint="eastAsia"/>
        </w:rPr>
        <w:t>值得注意的是，不論是暫時性合法工廠(取得臨時工廠登記者)</w:t>
      </w:r>
      <w:r w:rsidR="00FC7A58" w:rsidRPr="002145BE">
        <w:rPr>
          <w:rFonts w:hint="eastAsia"/>
        </w:rPr>
        <w:t>或</w:t>
      </w:r>
      <w:r w:rsidR="0033430D" w:rsidRPr="002145BE">
        <w:rPr>
          <w:rFonts w:hint="eastAsia"/>
        </w:rPr>
        <w:t>違章工廠，其事業類別均以</w:t>
      </w:r>
      <w:r w:rsidR="0033430D" w:rsidRPr="002145BE">
        <w:rPr>
          <w:rFonts w:ascii="新細明體" w:eastAsia="新細明體" w:hAnsi="新細明體" w:hint="eastAsia"/>
        </w:rPr>
        <w:t>「</w:t>
      </w:r>
      <w:r w:rsidR="0033430D" w:rsidRPr="002145BE">
        <w:rPr>
          <w:rFonts w:hint="eastAsia"/>
        </w:rPr>
        <w:t>金屬製品製造業</w:t>
      </w:r>
      <w:r w:rsidR="007E0AA2" w:rsidRPr="002145BE">
        <w:rPr>
          <w:rFonts w:hAnsi="標楷體" w:hint="eastAsia"/>
        </w:rPr>
        <w:t>」最高，</w:t>
      </w:r>
      <w:r w:rsidR="00346297" w:rsidRPr="002145BE">
        <w:rPr>
          <w:rFonts w:hAnsi="標楷體" w:hint="eastAsia"/>
        </w:rPr>
        <w:t>現農委會雖已限制灌溉渠道搭排申請，惟該等工廠</w:t>
      </w:r>
      <w:r w:rsidR="00FC7A58" w:rsidRPr="002145BE">
        <w:rPr>
          <w:rFonts w:hAnsi="標楷體" w:hint="eastAsia"/>
        </w:rPr>
        <w:t>仍</w:t>
      </w:r>
      <w:r w:rsidR="00346297" w:rsidRPr="002145BE">
        <w:rPr>
          <w:rFonts w:hAnsi="標楷體" w:hint="eastAsia"/>
        </w:rPr>
        <w:t>位於農業區，其廢水水質及排放，對農地土壤重金屬污染之風險，不禁令人擔憂</w:t>
      </w:r>
      <w:r w:rsidR="00346297" w:rsidRPr="002145BE">
        <w:rPr>
          <w:rFonts w:hint="eastAsia"/>
        </w:rPr>
        <w:t>。</w:t>
      </w:r>
    </w:p>
    <w:p w:rsidR="00014A3E" w:rsidRPr="002145BE" w:rsidRDefault="007B0F74" w:rsidP="003B4933">
      <w:pPr>
        <w:pStyle w:val="3"/>
        <w:numPr>
          <w:ilvl w:val="0"/>
          <w:numId w:val="0"/>
        </w:numPr>
        <w:ind w:left="1361" w:firstLineChars="183" w:firstLine="622"/>
      </w:pPr>
      <w:r w:rsidRPr="002145BE">
        <w:rPr>
          <w:rFonts w:hint="eastAsia"/>
        </w:rPr>
        <w:t>關於上開列管未登記工廠於各縣市分布之情形，</w:t>
      </w:r>
      <w:r w:rsidR="001D40A7" w:rsidRPr="002145BE">
        <w:rPr>
          <w:rFonts w:hint="eastAsia"/>
        </w:rPr>
        <w:t>其中位於臺中市者高達2,613家，</w:t>
      </w:r>
      <w:r w:rsidR="00BD765F" w:rsidRPr="002145BE">
        <w:rPr>
          <w:rFonts w:hint="eastAsia"/>
        </w:rPr>
        <w:t>事業類別以「金屬製品製造業」最高(7</w:t>
      </w:r>
      <w:r w:rsidR="00FC7A58" w:rsidRPr="002145BE">
        <w:rPr>
          <w:rFonts w:hint="eastAsia"/>
        </w:rPr>
        <w:t>49</w:t>
      </w:r>
      <w:r w:rsidR="00BD765F" w:rsidRPr="002145BE">
        <w:rPr>
          <w:rFonts w:hint="eastAsia"/>
        </w:rPr>
        <w:t>家)，「機械設備製造業」次之(33</w:t>
      </w:r>
      <w:r w:rsidR="00FC7A58" w:rsidRPr="002145BE">
        <w:rPr>
          <w:rFonts w:hint="eastAsia"/>
        </w:rPr>
        <w:t>0</w:t>
      </w:r>
      <w:r w:rsidR="00BD765F" w:rsidRPr="002145BE">
        <w:rPr>
          <w:rFonts w:hint="eastAsia"/>
        </w:rPr>
        <w:t>家)；位於彰化縣內之未登記工廠也高達</w:t>
      </w:r>
      <w:r w:rsidR="001D40A7" w:rsidRPr="002145BE">
        <w:rPr>
          <w:rFonts w:hint="eastAsia"/>
        </w:rPr>
        <w:t>1,040家</w:t>
      </w:r>
      <w:r w:rsidR="00BD765F" w:rsidRPr="002145BE">
        <w:rPr>
          <w:rFonts w:hint="eastAsia"/>
        </w:rPr>
        <w:t>，其事業類別亦以「金屬製品製造業」最高(381家)</w:t>
      </w:r>
      <w:r w:rsidR="0002134A" w:rsidRPr="002145BE">
        <w:rPr>
          <w:rFonts w:hint="eastAsia"/>
        </w:rPr>
        <w:t>。由於全國約70至80%之手工具產業集中在彰化</w:t>
      </w:r>
      <w:r w:rsidR="00C956AF" w:rsidRPr="002145BE">
        <w:rPr>
          <w:rFonts w:hint="eastAsia"/>
        </w:rPr>
        <w:t>縣</w:t>
      </w:r>
      <w:r w:rsidR="0002134A" w:rsidRPr="002145BE">
        <w:rPr>
          <w:rFonts w:hint="eastAsia"/>
        </w:rPr>
        <w:t>及臺中</w:t>
      </w:r>
      <w:r w:rsidR="00C956AF" w:rsidRPr="002145BE">
        <w:rPr>
          <w:rFonts w:hint="eastAsia"/>
        </w:rPr>
        <w:t>市</w:t>
      </w:r>
      <w:r w:rsidR="0002134A" w:rsidRPr="002145BE">
        <w:rPr>
          <w:rFonts w:hint="eastAsia"/>
        </w:rPr>
        <w:t>，</w:t>
      </w:r>
      <w:r w:rsidR="00AE5558" w:rsidRPr="002145BE">
        <w:rPr>
          <w:rFonts w:hint="eastAsia"/>
        </w:rPr>
        <w:t>故</w:t>
      </w:r>
      <w:r w:rsidR="00C956AF" w:rsidRPr="002145BE">
        <w:rPr>
          <w:rFonts w:hint="eastAsia"/>
        </w:rPr>
        <w:t>中部地區</w:t>
      </w:r>
      <w:r w:rsidR="00AE5558" w:rsidRPr="002145BE">
        <w:rPr>
          <w:rFonts w:hint="eastAsia"/>
        </w:rPr>
        <w:t>「金屬製品製造業」特多</w:t>
      </w:r>
      <w:r w:rsidR="00765883" w:rsidRPr="002145BE">
        <w:rPr>
          <w:rFonts w:hint="eastAsia"/>
        </w:rPr>
        <w:t>(1,130家)</w:t>
      </w:r>
      <w:r w:rsidR="00AE5558" w:rsidRPr="002145BE">
        <w:rPr>
          <w:rFonts w:hint="eastAsia"/>
        </w:rPr>
        <w:t>，</w:t>
      </w:r>
      <w:r w:rsidR="003B4933" w:rsidRPr="002145BE">
        <w:rPr>
          <w:rFonts w:hint="eastAsia"/>
        </w:rPr>
        <w:t>經濟部為使「金屬製品製造業」之細類</w:t>
      </w:r>
      <w:r w:rsidR="003B4933" w:rsidRPr="002145BE">
        <w:rPr>
          <w:rFonts w:ascii="新細明體" w:eastAsia="新細明體" w:hAnsi="新細明體" w:hint="eastAsia"/>
        </w:rPr>
        <w:t>「</w:t>
      </w:r>
      <w:r w:rsidR="003B4933" w:rsidRPr="002145BE">
        <w:rPr>
          <w:rFonts w:hint="eastAsia"/>
        </w:rPr>
        <w:t>金屬表面處理</w:t>
      </w:r>
      <w:r w:rsidR="003B4933" w:rsidRPr="002145BE">
        <w:rPr>
          <w:rFonts w:hAnsi="標楷體" w:hint="eastAsia"/>
        </w:rPr>
        <w:t>」</w:t>
      </w:r>
      <w:r w:rsidR="00765883" w:rsidRPr="002145BE">
        <w:rPr>
          <w:rFonts w:hAnsi="標楷體" w:hint="eastAsia"/>
        </w:rPr>
        <w:t>業者</w:t>
      </w:r>
      <w:r w:rsidR="003B4933" w:rsidRPr="002145BE">
        <w:rPr>
          <w:rFonts w:hAnsi="標楷體" w:hint="eastAsia"/>
        </w:rPr>
        <w:t>廢水排放集中管理，</w:t>
      </w:r>
      <w:r w:rsidR="00765883" w:rsidRPr="002145BE">
        <w:rPr>
          <w:rFonts w:hAnsi="標楷體" w:hint="eastAsia"/>
        </w:rPr>
        <w:t>已於彰濱工業區分3期設置</w:t>
      </w:r>
      <w:r w:rsidR="00765883" w:rsidRPr="002145BE">
        <w:rPr>
          <w:rFonts w:ascii="新細明體" w:eastAsia="新細明體" w:hAnsi="新細明體" w:hint="eastAsia"/>
        </w:rPr>
        <w:t>「</w:t>
      </w:r>
      <w:r w:rsidR="00765883" w:rsidRPr="002145BE">
        <w:rPr>
          <w:rFonts w:hAnsi="標楷體" w:hint="eastAsia"/>
        </w:rPr>
        <w:t>金屬表面處理專區」，第ㄧ期及第二期可售地分別於102及104年售罄，共有151家廠商進駐，第3期共規劃230坵塊，目前受理租售申請中</w:t>
      </w:r>
      <w:r w:rsidR="00C956AF" w:rsidRPr="002145BE">
        <w:rPr>
          <w:rFonts w:hAnsi="標楷體" w:hint="eastAsia"/>
        </w:rPr>
        <w:t>，此不失為根本解決農地土壤重金屬污染之方法</w:t>
      </w:r>
      <w:r w:rsidR="00982DB6" w:rsidRPr="002145BE">
        <w:rPr>
          <w:rFonts w:hAnsi="標楷體" w:hint="eastAsia"/>
        </w:rPr>
        <w:t>；</w:t>
      </w:r>
      <w:r w:rsidR="00C956AF" w:rsidRPr="002145BE">
        <w:rPr>
          <w:rFonts w:hAnsi="標楷體" w:hint="eastAsia"/>
        </w:rPr>
        <w:t>惟「金屬製品製造業」包括「金屬手工具及模具製造業」、「金屬結構及建築組件製造」、「金屬容器製造業」</w:t>
      </w:r>
      <w:r w:rsidR="00014A3E" w:rsidRPr="002145BE">
        <w:rPr>
          <w:rFonts w:hAnsi="標楷體" w:hint="eastAsia"/>
        </w:rPr>
        <w:t>、</w:t>
      </w:r>
      <w:r w:rsidR="00014A3E" w:rsidRPr="002145BE">
        <w:rPr>
          <w:rFonts w:ascii="新細明體" w:eastAsia="新細明體" w:hAnsi="新細明體" w:hint="eastAsia"/>
        </w:rPr>
        <w:t>「</w:t>
      </w:r>
      <w:r w:rsidR="00014A3E" w:rsidRPr="002145BE">
        <w:rPr>
          <w:rFonts w:hint="eastAsia"/>
        </w:rPr>
        <w:t>金屬加工處理業</w:t>
      </w:r>
      <w:r w:rsidR="00014A3E" w:rsidRPr="002145BE">
        <w:rPr>
          <w:rFonts w:hAnsi="標楷體" w:hint="eastAsia"/>
        </w:rPr>
        <w:t>」</w:t>
      </w:r>
      <w:r w:rsidR="00C956AF" w:rsidRPr="002145BE">
        <w:rPr>
          <w:rFonts w:hAnsi="標楷體" w:hint="eastAsia"/>
        </w:rPr>
        <w:t>及「其他金屬製品製造業」等</w:t>
      </w:r>
      <w:r w:rsidR="00D865FE" w:rsidRPr="002145BE">
        <w:rPr>
          <w:rFonts w:hAnsi="標楷體" w:hint="eastAsia"/>
        </w:rPr>
        <w:t>，</w:t>
      </w:r>
      <w:r w:rsidR="00014A3E" w:rsidRPr="002145BE">
        <w:rPr>
          <w:rFonts w:hAnsi="標楷體" w:hint="eastAsia"/>
        </w:rPr>
        <w:t>而</w:t>
      </w:r>
      <w:r w:rsidR="00014A3E" w:rsidRPr="002145BE">
        <w:rPr>
          <w:rFonts w:ascii="新細明體" w:eastAsia="新細明體" w:hAnsi="新細明體" w:hint="eastAsia"/>
        </w:rPr>
        <w:t>「</w:t>
      </w:r>
      <w:r w:rsidR="00014A3E" w:rsidRPr="002145BE">
        <w:rPr>
          <w:rFonts w:hint="eastAsia"/>
        </w:rPr>
        <w:t>金屬表面處理</w:t>
      </w:r>
      <w:r w:rsidR="00014A3E" w:rsidRPr="002145BE">
        <w:rPr>
          <w:rFonts w:hAnsi="標楷體" w:hint="eastAsia"/>
        </w:rPr>
        <w:t>」僅為</w:t>
      </w:r>
      <w:r w:rsidR="00014A3E" w:rsidRPr="002145BE">
        <w:rPr>
          <w:rFonts w:ascii="新細明體" w:eastAsia="新細明體" w:hAnsi="新細明體" w:hint="eastAsia"/>
        </w:rPr>
        <w:t>「</w:t>
      </w:r>
      <w:r w:rsidR="00014A3E" w:rsidRPr="002145BE">
        <w:rPr>
          <w:rFonts w:hint="eastAsia"/>
        </w:rPr>
        <w:t>金屬加工處理業</w:t>
      </w:r>
      <w:r w:rsidR="00014A3E" w:rsidRPr="002145BE">
        <w:rPr>
          <w:rFonts w:hAnsi="標楷體" w:hint="eastAsia"/>
        </w:rPr>
        <w:t>」其中一項，且</w:t>
      </w:r>
      <w:r w:rsidR="00014A3E" w:rsidRPr="002145BE">
        <w:rPr>
          <w:rFonts w:ascii="新細明體" w:eastAsia="新細明體" w:hAnsi="新細明體" w:hint="eastAsia"/>
        </w:rPr>
        <w:t>「</w:t>
      </w:r>
      <w:r w:rsidR="00014A3E" w:rsidRPr="002145BE">
        <w:rPr>
          <w:rFonts w:hint="eastAsia"/>
        </w:rPr>
        <w:t>金屬加工處理業</w:t>
      </w:r>
      <w:r w:rsidR="00014A3E" w:rsidRPr="002145BE">
        <w:rPr>
          <w:rFonts w:hAnsi="標楷體" w:hint="eastAsia"/>
        </w:rPr>
        <w:t>」又僅屬「金屬製品製造業」之ㄧ，</w:t>
      </w:r>
      <w:r w:rsidR="00271DE2" w:rsidRPr="002145BE">
        <w:rPr>
          <w:rFonts w:hAnsi="標楷體" w:hint="eastAsia"/>
        </w:rPr>
        <w:t>既然彰化縣及臺中市轄內未登記之</w:t>
      </w:r>
      <w:r w:rsidR="00631D1A" w:rsidRPr="002145BE">
        <w:rPr>
          <w:rFonts w:hAnsi="標楷體" w:hint="eastAsia"/>
        </w:rPr>
        <w:t>「金屬製品製造業」高達1,130家，故</w:t>
      </w:r>
      <w:r w:rsidR="00014A3E" w:rsidRPr="002145BE">
        <w:rPr>
          <w:rFonts w:hAnsi="標楷體" w:hint="eastAsia"/>
        </w:rPr>
        <w:t>經濟部</w:t>
      </w:r>
      <w:r w:rsidR="00631D1A" w:rsidRPr="002145BE">
        <w:rPr>
          <w:rFonts w:hAnsi="標楷體" w:hint="eastAsia"/>
        </w:rPr>
        <w:t>於</w:t>
      </w:r>
      <w:r w:rsidR="00014A3E" w:rsidRPr="002145BE">
        <w:rPr>
          <w:rFonts w:hAnsi="標楷體" w:hint="eastAsia"/>
        </w:rPr>
        <w:t>輔導合法</w:t>
      </w:r>
      <w:r w:rsidR="00982DB6" w:rsidRPr="002145BE">
        <w:rPr>
          <w:rFonts w:hAnsi="標楷體" w:hint="eastAsia"/>
        </w:rPr>
        <w:t>登記</w:t>
      </w:r>
      <w:r w:rsidR="00014A3E" w:rsidRPr="002145BE">
        <w:rPr>
          <w:rFonts w:hAnsi="標楷體" w:hint="eastAsia"/>
        </w:rPr>
        <w:t>及規劃設置</w:t>
      </w:r>
      <w:r w:rsidR="00014A3E" w:rsidRPr="002145BE">
        <w:rPr>
          <w:rFonts w:ascii="新細明體" w:eastAsia="新細明體" w:hAnsi="新細明體" w:hint="eastAsia"/>
        </w:rPr>
        <w:t>「</w:t>
      </w:r>
      <w:r w:rsidR="00014A3E" w:rsidRPr="002145BE">
        <w:rPr>
          <w:rFonts w:hAnsi="標楷體" w:hint="eastAsia"/>
        </w:rPr>
        <w:t>金屬表面處理專區」之同時，</w:t>
      </w:r>
      <w:r w:rsidR="00271DE2" w:rsidRPr="002145BE">
        <w:rPr>
          <w:rFonts w:hAnsi="標楷體" w:hint="eastAsia"/>
        </w:rPr>
        <w:t>應</w:t>
      </w:r>
      <w:r w:rsidR="00014A3E" w:rsidRPr="002145BE">
        <w:rPr>
          <w:rFonts w:hAnsi="標楷體" w:hint="eastAsia"/>
        </w:rPr>
        <w:t>一併</w:t>
      </w:r>
      <w:r w:rsidR="00271DE2" w:rsidRPr="002145BE">
        <w:rPr>
          <w:rFonts w:hint="eastAsia"/>
        </w:rPr>
        <w:t>積極瞭解</w:t>
      </w:r>
      <w:r w:rsidR="00271DE2" w:rsidRPr="002145BE">
        <w:rPr>
          <w:rFonts w:hAnsi="標楷體" w:hint="eastAsia"/>
        </w:rPr>
        <w:t>該等「金屬製品</w:t>
      </w:r>
      <w:r w:rsidR="00271DE2" w:rsidRPr="002145BE">
        <w:rPr>
          <w:rFonts w:hAnsi="標楷體" w:hint="eastAsia"/>
        </w:rPr>
        <w:lastRenderedPageBreak/>
        <w:t>製造業」</w:t>
      </w:r>
      <w:r w:rsidR="00271DE2" w:rsidRPr="002145BE">
        <w:rPr>
          <w:rFonts w:hint="eastAsia"/>
        </w:rPr>
        <w:t>其產品製程特性以掌握廢水屬性，如屬對於農地有高度污染之虞</w:t>
      </w:r>
      <w:r w:rsidR="000C1236" w:rsidRPr="002145BE">
        <w:rPr>
          <w:rFonts w:hint="eastAsia"/>
        </w:rPr>
        <w:t>者</w:t>
      </w:r>
      <w:r w:rsidR="00271DE2" w:rsidRPr="002145BE">
        <w:rPr>
          <w:rFonts w:hint="eastAsia"/>
        </w:rPr>
        <w:t>，宜比照於工業區設置專區管理方式，以有效杜絕農地重金屬污染。</w:t>
      </w:r>
    </w:p>
    <w:p w:rsidR="008D3B23" w:rsidRPr="002145BE" w:rsidRDefault="00BF325C" w:rsidP="008D3B23">
      <w:pPr>
        <w:pStyle w:val="3"/>
      </w:pPr>
      <w:r w:rsidRPr="002145BE">
        <w:rPr>
          <w:rFonts w:hint="eastAsia"/>
        </w:rPr>
        <w:t>綜上，截至106年底止，國內農業區除有10,842家合法工廠設立及6,322家取得臨時工廠登記者外，尚有4,468家未登記工廠，亦即農業區承載了21,632</w:t>
      </w:r>
      <w:r w:rsidR="000C1236" w:rsidRPr="002145BE">
        <w:rPr>
          <w:rFonts w:hint="eastAsia"/>
        </w:rPr>
        <w:t>家</w:t>
      </w:r>
      <w:r w:rsidRPr="002145BE">
        <w:rPr>
          <w:rFonts w:hint="eastAsia"/>
        </w:rPr>
        <w:t>工廠工業污染風險，值得注意的是，不論是暫時性合法工廠(取得臨時工廠登記者)或違章工廠，其事業類別均以「金屬製品製造業」最高，現農委會雖已限制灌溉渠道搭排申請，惟該等工廠位於農業區係</w:t>
      </w:r>
      <w:r w:rsidR="00EF49AE" w:rsidRPr="002145BE">
        <w:rPr>
          <w:rFonts w:hint="eastAsia"/>
        </w:rPr>
        <w:t>屬</w:t>
      </w:r>
      <w:r w:rsidRPr="002145BE">
        <w:rPr>
          <w:rFonts w:hint="eastAsia"/>
        </w:rPr>
        <w:t>事實，其廢水水質及排放，對農地土壤重金屬污染風險甚高，是經濟部於輔導其合法及規劃設置「金屬表面處理專區」之同時，應一併積極瞭解該等「金屬製品製造業」其產品製程特性以掌握廢水屬性，如屬對於農地有高度污染之虞</w:t>
      </w:r>
      <w:r w:rsidR="000C1236" w:rsidRPr="002145BE">
        <w:rPr>
          <w:rFonts w:hint="eastAsia"/>
        </w:rPr>
        <w:t>者</w:t>
      </w:r>
      <w:r w:rsidRPr="002145BE">
        <w:rPr>
          <w:rFonts w:hint="eastAsia"/>
        </w:rPr>
        <w:t>，</w:t>
      </w:r>
      <w:r w:rsidR="008D3B23" w:rsidRPr="002145BE">
        <w:rPr>
          <w:rFonts w:hint="eastAsia"/>
        </w:rPr>
        <w:t>宜比照於工業區設置專區方式，移出農業區且集中管理，以有效杜絕農地重金屬污染。</w:t>
      </w:r>
    </w:p>
    <w:p w:rsidR="00014A3E" w:rsidRPr="002145BE" w:rsidRDefault="007C19A7" w:rsidP="00B32E80">
      <w:pPr>
        <w:pStyle w:val="2"/>
        <w:rPr>
          <w:b/>
        </w:rPr>
      </w:pPr>
      <w:r w:rsidRPr="002145BE">
        <w:rPr>
          <w:rFonts w:hint="eastAsia"/>
          <w:b/>
        </w:rPr>
        <w:t>環保署鑑於事業廢水造成農地土壤重金屬污染問題，於106年辦理「重金屬高污染潛勢事業水污染預警系統建置計畫」，藉由掌握重金屬高污染潛勢事業風險高</w:t>
      </w:r>
      <w:r w:rsidR="008D3B23" w:rsidRPr="002145BE">
        <w:rPr>
          <w:rFonts w:hint="eastAsia"/>
          <w:b/>
        </w:rPr>
        <w:t>者</w:t>
      </w:r>
      <w:r w:rsidRPr="002145BE">
        <w:rPr>
          <w:rFonts w:hint="eastAsia"/>
          <w:b/>
        </w:rPr>
        <w:t>，進行深度查核管制，其成效顯著且有助於污染源之追查，允宜持續強化及擴大辦理；另國內未登記工廠家數至少有10,848家，目前經濟部雖積極輔導申請臨時工廠登記，惟多數仍不願提出申請，也尚未經建管單位拆除，尤其高達4成以上者坐落於農業區，環保署應正視此現況，並針對廢水違法排放行為，採行加強稽查管理或</w:t>
      </w:r>
      <w:r w:rsidR="00A0016E" w:rsidRPr="002145BE">
        <w:rPr>
          <w:rFonts w:hint="eastAsia"/>
          <w:b/>
        </w:rPr>
        <w:t>專案列管</w:t>
      </w:r>
      <w:r w:rsidRPr="002145BE">
        <w:rPr>
          <w:rFonts w:hint="eastAsia"/>
          <w:b/>
        </w:rPr>
        <w:t>措施，以避免農地遭重金屬污染之危害。</w:t>
      </w:r>
    </w:p>
    <w:p w:rsidR="00D741BF" w:rsidRPr="002145BE" w:rsidRDefault="00EC58D8" w:rsidP="000C0BE9">
      <w:pPr>
        <w:pStyle w:val="3"/>
      </w:pPr>
      <w:r w:rsidRPr="002145BE">
        <w:rPr>
          <w:rFonts w:hint="eastAsia"/>
        </w:rPr>
        <w:t>按水污染防治法</w:t>
      </w:r>
      <w:r w:rsidR="00D741BF" w:rsidRPr="002145BE">
        <w:rPr>
          <w:rFonts w:hint="eastAsia"/>
        </w:rPr>
        <w:t>第3條、</w:t>
      </w:r>
      <w:r w:rsidRPr="002145BE">
        <w:rPr>
          <w:rFonts w:hint="eastAsia"/>
        </w:rPr>
        <w:t>第13條第1項</w:t>
      </w:r>
      <w:r w:rsidR="00D741BF" w:rsidRPr="002145BE">
        <w:rPr>
          <w:rFonts w:hint="eastAsia"/>
        </w:rPr>
        <w:t>及第14條第1項分別</w:t>
      </w:r>
      <w:r w:rsidRPr="002145BE">
        <w:rPr>
          <w:rFonts w:hint="eastAsia"/>
        </w:rPr>
        <w:t>規定：</w:t>
      </w:r>
      <w:r w:rsidR="00D741BF" w:rsidRPr="002145BE">
        <w:rPr>
          <w:rFonts w:hint="eastAsia"/>
        </w:rPr>
        <w:t>「本法所稱主管機關：在中央為行政院環</w:t>
      </w:r>
      <w:r w:rsidR="00D741BF" w:rsidRPr="002145BE">
        <w:rPr>
          <w:rFonts w:hint="eastAsia"/>
        </w:rPr>
        <w:lastRenderedPageBreak/>
        <w:t>境保護署；在直轄市為直轄市政府；在縣 (市) 為縣 (市) 政府。」、</w:t>
      </w:r>
      <w:r w:rsidRPr="002145BE">
        <w:rPr>
          <w:rFonts w:hint="eastAsia"/>
        </w:rPr>
        <w:t>「事業於設立或變更前，應先檢具水污染防治措施計畫及相關文件，送直轄市、縣 (市) 主管機關或中央主管機關委託之機關審查核准。」</w:t>
      </w:r>
      <w:r w:rsidR="00D741BF" w:rsidRPr="002145BE">
        <w:rPr>
          <w:rFonts w:hint="eastAsia"/>
        </w:rPr>
        <w:t>、「事業排放廢（污）水於地面水體者，應向直轄市、縣（市）主管機關申請核發排放許可證或簡易排放許可文件後，並依登記事項運作，始得排放廢（污）水。登記事項有變更者，應於變更前向直轄市、縣（市）主管機關提出申請，經審查核准始可變更。」復按</w:t>
      </w:r>
      <w:r w:rsidR="000C0BE9" w:rsidRPr="002145BE">
        <w:rPr>
          <w:rFonts w:hint="eastAsia"/>
        </w:rPr>
        <w:t>同法第26條規定：「各級主管機關得派員攜帶證明文件，進入事業、污水下水道系統或建築物污水處理設施之場所，為下列各項查證工作：一、檢查污染物來源及廢(污)水處理、排放情形。二、索取有關資料。三、採樣、流量測定及有關廢(污)水處理、排放情形之攝影……</w:t>
      </w:r>
      <w:r w:rsidR="00CA22EB">
        <w:rPr>
          <w:rFonts w:hint="eastAsia"/>
        </w:rPr>
        <w:t>。</w:t>
      </w:r>
      <w:r w:rsidR="000C0BE9" w:rsidRPr="002145BE">
        <w:rPr>
          <w:rFonts w:hint="eastAsia"/>
        </w:rPr>
        <w:t>」再按</w:t>
      </w:r>
      <w:r w:rsidR="00D741BF" w:rsidRPr="002145BE">
        <w:rPr>
          <w:rFonts w:hint="eastAsia"/>
        </w:rPr>
        <w:t>行政院環境保護署組織條例第7條規定，水質保護處掌理關於廢水、污水排放、管制之策劃、指導及監督事項</w:t>
      </w:r>
      <w:r w:rsidR="006573FE" w:rsidRPr="002145BE">
        <w:rPr>
          <w:rFonts w:hint="eastAsia"/>
        </w:rPr>
        <w:t>。爰此，事業排放廢水於地面水體者，須經主管機關核發排放許可證或簡易排放許可文件後，始得排放，違章工廠因未取得設立許可，不得排放廢水於地面水體，而環保署對於違法廢水排放負有督管之責</w:t>
      </w:r>
      <w:r w:rsidR="000C0BE9" w:rsidRPr="002145BE">
        <w:rPr>
          <w:rFonts w:hint="eastAsia"/>
        </w:rPr>
        <w:t>，且得派員進入事業檢查污染物來源及廢(污)水處理、排放情形等</w:t>
      </w:r>
      <w:r w:rsidR="006573FE" w:rsidRPr="002145BE">
        <w:rPr>
          <w:rFonts w:hint="eastAsia"/>
        </w:rPr>
        <w:t>。</w:t>
      </w:r>
      <w:r w:rsidR="006573FE" w:rsidRPr="002145BE">
        <w:t xml:space="preserve"> </w:t>
      </w:r>
    </w:p>
    <w:p w:rsidR="00B32E80" w:rsidRPr="002145BE" w:rsidRDefault="00B32E80" w:rsidP="00B32E80">
      <w:pPr>
        <w:pStyle w:val="3"/>
      </w:pPr>
      <w:r w:rsidRPr="002145BE">
        <w:rPr>
          <w:rFonts w:hint="eastAsia"/>
        </w:rPr>
        <w:t>環保署鑑於農地污染問題，</w:t>
      </w:r>
      <w:r w:rsidR="00EF2AC7" w:rsidRPr="002145BE">
        <w:rPr>
          <w:rFonts w:hint="eastAsia"/>
        </w:rPr>
        <w:t>近年</w:t>
      </w:r>
      <w:r w:rsidRPr="002145BE">
        <w:rPr>
          <w:rFonts w:hint="eastAsia"/>
        </w:rPr>
        <w:t>針對彰化縣及臺中市轄內相關事業進行深度稽查管制，執行情形及結果如下：</w:t>
      </w:r>
    </w:p>
    <w:p w:rsidR="00B32E80" w:rsidRPr="002145BE" w:rsidRDefault="00B32E80" w:rsidP="00CA23F5">
      <w:pPr>
        <w:pStyle w:val="4"/>
      </w:pPr>
      <w:r w:rsidRPr="002145BE">
        <w:rPr>
          <w:rFonts w:hint="eastAsia"/>
        </w:rPr>
        <w:t>彰化縣</w:t>
      </w:r>
    </w:p>
    <w:p w:rsidR="00B32E80" w:rsidRPr="002145BE" w:rsidRDefault="00B32E80" w:rsidP="00C47184">
      <w:pPr>
        <w:pStyle w:val="5"/>
        <w:numPr>
          <w:ilvl w:val="0"/>
          <w:numId w:val="0"/>
        </w:numPr>
        <w:ind w:left="1701" w:firstLineChars="166" w:firstLine="565"/>
      </w:pPr>
      <w:r w:rsidRPr="002145BE">
        <w:rPr>
          <w:rFonts w:hint="eastAsia"/>
        </w:rPr>
        <w:t>自102年起即針對彰化縣境內之金屬表面處理業(含電鍍業)加強深度稽查管制，並於106年辦理「重金屬高污染潛勢事業水污染預警系統建</w:t>
      </w:r>
      <w:r w:rsidRPr="002145BE">
        <w:rPr>
          <w:rFonts w:hint="eastAsia"/>
        </w:rPr>
        <w:lastRenderedPageBreak/>
        <w:t>置計畫」，藉由資料庫、地理資訊系統之建置及運用智慧型篩選機制，確實掌握彰化地區重金屬高污染潛勢事業風險高</w:t>
      </w:r>
      <w:r w:rsidR="008D3B23" w:rsidRPr="002145BE">
        <w:rPr>
          <w:rFonts w:hint="eastAsia"/>
        </w:rPr>
        <w:t>者</w:t>
      </w:r>
      <w:r w:rsidRPr="002145BE">
        <w:rPr>
          <w:rFonts w:hint="eastAsia"/>
        </w:rPr>
        <w:t>。</w:t>
      </w:r>
      <w:r w:rsidR="00EF2AC7" w:rsidRPr="002145BE">
        <w:rPr>
          <w:rFonts w:hint="eastAsia"/>
        </w:rPr>
        <w:t>該計畫針對彰化縣轄內10家事業執行深度查核，結果查獲9廠（場）次違反環保法令規定，該10家業者均為電鍍業，且多數曾有行政違規遭受處分之紀錄，另10家事業中有2家事業其排放水最後匯入灌溉水圳，其中1家事業經監控後，確認其違規行為重大，經由檢警環聯合查緝</w:t>
      </w:r>
      <w:r w:rsidR="00CA22EB">
        <w:rPr>
          <w:rFonts w:hint="eastAsia"/>
        </w:rPr>
        <w:t>，</w:t>
      </w:r>
      <w:r w:rsidR="00EF2AC7" w:rsidRPr="002145BE">
        <w:rPr>
          <w:rFonts w:hint="eastAsia"/>
        </w:rPr>
        <w:t>查獲其以暗管繞流含重金屬之製程原廢水，除勒令停工及行政處分外，所涉水污染防治法第35條、第36條</w:t>
      </w:r>
      <w:r w:rsidR="00CA22EB">
        <w:rPr>
          <w:rFonts w:hint="eastAsia"/>
        </w:rPr>
        <w:t>之</w:t>
      </w:r>
      <w:r w:rsidR="00EF2AC7" w:rsidRPr="002145BE">
        <w:rPr>
          <w:rFonts w:hint="eastAsia"/>
        </w:rPr>
        <w:t>行政刑罰規定部分，現由臺灣彰化地方法院檢察署偵辦並依刑法相關規定予以扣押不法所得中。</w:t>
      </w:r>
    </w:p>
    <w:p w:rsidR="00B32E80" w:rsidRPr="002145BE" w:rsidRDefault="00B32E80" w:rsidP="00EF2AC7">
      <w:pPr>
        <w:pStyle w:val="4"/>
      </w:pPr>
      <w:r w:rsidRPr="002145BE">
        <w:rPr>
          <w:rFonts w:hint="eastAsia"/>
        </w:rPr>
        <w:t>臺中市</w:t>
      </w:r>
    </w:p>
    <w:p w:rsidR="00B32E80" w:rsidRPr="002145BE" w:rsidRDefault="00B32E80" w:rsidP="00EF2AC7">
      <w:pPr>
        <w:pStyle w:val="5"/>
      </w:pPr>
      <w:r w:rsidRPr="002145BE">
        <w:rPr>
          <w:rFonts w:hint="eastAsia"/>
        </w:rPr>
        <w:t>102年辦理「大肚溪流域污染源專案督察管制計畫」，針對大肚溪支流大里溪大里橋測站偶有檢測出重金屬六價鉻濃度超過保護人體健康環境基準</w:t>
      </w:r>
      <w:r w:rsidR="00332393">
        <w:rPr>
          <w:rFonts w:hint="eastAsia"/>
        </w:rPr>
        <w:t>(</w:t>
      </w:r>
      <w:r w:rsidRPr="002145BE">
        <w:rPr>
          <w:rFonts w:hint="eastAsia"/>
        </w:rPr>
        <w:t>0.05mg/L</w:t>
      </w:r>
      <w:r w:rsidR="00332393">
        <w:rPr>
          <w:rFonts w:hint="eastAsia"/>
        </w:rPr>
        <w:t>)</w:t>
      </w:r>
      <w:r w:rsidRPr="002145BE">
        <w:rPr>
          <w:rFonts w:hint="eastAsia"/>
        </w:rPr>
        <w:t>情形，篩選大里溪上游製程廢水含鉻等重金屬15家電鍍、金屬表面處理業為督察管制對象，執行深度查核。</w:t>
      </w:r>
    </w:p>
    <w:p w:rsidR="00B32E80" w:rsidRPr="002145BE" w:rsidRDefault="00B32E80" w:rsidP="00EF2AC7">
      <w:pPr>
        <w:pStyle w:val="5"/>
      </w:pPr>
      <w:r w:rsidRPr="002145BE">
        <w:rPr>
          <w:rFonts w:hint="eastAsia"/>
        </w:rPr>
        <w:t>103年辦理「事業廢棄物處理機構及高污染風險事業專案督察管制計畫」，針對大肚溪大度橋及大里溪番子寮路堤水門監測站偶有測出六價鉻濃度超過保護人體健康環境基準，篩選相關測站上游製程廢水含鉻等重金屬32家電鍍、金屬表面處理業，進行事業水污染防治許可與定檢申報資料合理性分析，針對異常者執行深度查核。</w:t>
      </w:r>
    </w:p>
    <w:p w:rsidR="00B32E80" w:rsidRPr="002145BE" w:rsidRDefault="00B32E80" w:rsidP="00EF2AC7">
      <w:pPr>
        <w:pStyle w:val="5"/>
      </w:pPr>
      <w:r w:rsidRPr="002145BE">
        <w:rPr>
          <w:rFonts w:hint="eastAsia"/>
        </w:rPr>
        <w:t>104</w:t>
      </w:r>
      <w:r w:rsidR="00222146" w:rsidRPr="002145BE">
        <w:rPr>
          <w:rFonts w:hint="eastAsia"/>
        </w:rPr>
        <w:t>及</w:t>
      </w:r>
      <w:r w:rsidRPr="002145BE">
        <w:rPr>
          <w:rFonts w:hint="eastAsia"/>
        </w:rPr>
        <w:t>105年持續辦理「臺中市高污染潛勢熱區事業專案督察管制計畫」，勾稽河川水質監測資</w:t>
      </w:r>
      <w:r w:rsidRPr="002145BE">
        <w:rPr>
          <w:rFonts w:hint="eastAsia"/>
        </w:rPr>
        <w:lastRenderedPageBreak/>
        <w:t>料、水污染地理資訊系統、污染或需提高關注污染農地等資料，列為水污染潛勢熱區，並依據事業違規紀錄、水污染防治許可與定檢申報合理性分析異常等指標，篩選重金屬污染潛勢高之事業，運用水質監測器、縮時攝影機等儀器及人工採驗大排、渠道水質等監控、蒐證，對可疑事業執行深度查核，督察型態由傳統之管末查核擴達</w:t>
      </w:r>
      <w:r w:rsidR="00332393">
        <w:rPr>
          <w:rFonts w:hint="eastAsia"/>
        </w:rPr>
        <w:t>至</w:t>
      </w:r>
      <w:r w:rsidRPr="002145BE">
        <w:rPr>
          <w:rFonts w:hint="eastAsia"/>
        </w:rPr>
        <w:t>污染預防。</w:t>
      </w:r>
    </w:p>
    <w:p w:rsidR="00B32E80" w:rsidRPr="002145BE" w:rsidRDefault="00B32E80" w:rsidP="00EF2AC7">
      <w:pPr>
        <w:pStyle w:val="5"/>
      </w:pPr>
      <w:r w:rsidRPr="002145BE">
        <w:rPr>
          <w:rFonts w:hint="eastAsia"/>
        </w:rPr>
        <w:t>依據需提高關注污染農地及農田水利會高污染潛勢圳路資料，選定臺中市外埔區后里圳第五支線第一分線、豐原及潭子區葫蘆墩圳四張犁支線為試辦區域，除採驗需提高關注污染農地土壤及灌溉水路水樣、底泥，建立環境背景資料，並於灌溉水路上、中、下游布放離子交換樹脂縮時監測包監測水質，建立由面至線至點之長期監控作業，收斂水路污染潛勢區域，針對區域內12家事業進行水污染防治許可證與其定檢申報資料之合理性分析後，篩選5家可疑事業進廠執行深度查核。</w:t>
      </w:r>
    </w:p>
    <w:p w:rsidR="00222146" w:rsidRPr="002145BE" w:rsidRDefault="00B32E80" w:rsidP="00222146">
      <w:pPr>
        <w:pStyle w:val="5"/>
      </w:pPr>
      <w:r w:rsidRPr="002145BE">
        <w:rPr>
          <w:rFonts w:hint="eastAsia"/>
        </w:rPr>
        <w:t>辦理「106年臺中市高污染潛勢熱區事業專案督察管制計畫」，針對16家事業執行督察21廠（場）次，查獲17廠（場）次違反環保法令規定。</w:t>
      </w:r>
      <w:r w:rsidR="00222146" w:rsidRPr="002145BE">
        <w:rPr>
          <w:rFonts w:hint="eastAsia"/>
        </w:rPr>
        <w:t>該</w:t>
      </w:r>
      <w:r w:rsidRPr="002145BE">
        <w:rPr>
          <w:rFonts w:hint="eastAsia"/>
        </w:rPr>
        <w:t>16家事業多數有未依水污染防治許可證內容執行水污染防治工作、放流水超過放流水標準等違反水污染防治法受處分紀錄。</w:t>
      </w:r>
      <w:r w:rsidR="00222146" w:rsidRPr="002145BE">
        <w:rPr>
          <w:rFonts w:hint="eastAsia"/>
        </w:rPr>
        <w:t>且</w:t>
      </w:r>
      <w:r w:rsidRPr="002145BE">
        <w:rPr>
          <w:rFonts w:hint="eastAsia"/>
        </w:rPr>
        <w:t>16家事業中，計有電鍍業及金屬表面處理業11家，餘為貨櫃集散站經營業、廢棄物清理機構、橡膠製造業及PU</w:t>
      </w:r>
      <w:r w:rsidR="00222146" w:rsidRPr="002145BE">
        <w:rPr>
          <w:rFonts w:hint="eastAsia"/>
        </w:rPr>
        <w:t>防水布等製造業；所查獲違規</w:t>
      </w:r>
      <w:r w:rsidRPr="002145BE">
        <w:rPr>
          <w:rFonts w:hint="eastAsia"/>
        </w:rPr>
        <w:t>態樣為事業排放廢水超過放流水標準、繞流偷排廢水含環保署公告之有害健康物質重金屬並超</w:t>
      </w:r>
      <w:r w:rsidRPr="002145BE">
        <w:rPr>
          <w:rFonts w:hint="eastAsia"/>
        </w:rPr>
        <w:lastRenderedPageBreak/>
        <w:t>過放流水標準、未領有水污染防治許可證（廢污水排放或貯留許可證）逕行排放或貯留廢水，</w:t>
      </w:r>
      <w:r w:rsidR="00332393">
        <w:rPr>
          <w:rFonts w:hint="eastAsia"/>
        </w:rPr>
        <w:t>以及</w:t>
      </w:r>
      <w:r w:rsidRPr="002145BE">
        <w:rPr>
          <w:rFonts w:hint="eastAsia"/>
        </w:rPr>
        <w:t>未依核定之水污染防治許可證內容進行操作</w:t>
      </w:r>
      <w:r w:rsidR="00332393">
        <w:rPr>
          <w:rFonts w:hint="eastAsia"/>
        </w:rPr>
        <w:t>等</w:t>
      </w:r>
      <w:r w:rsidRPr="002145BE">
        <w:rPr>
          <w:rFonts w:hint="eastAsia"/>
        </w:rPr>
        <w:t>。</w:t>
      </w:r>
    </w:p>
    <w:p w:rsidR="002C7C42" w:rsidRPr="002145BE" w:rsidRDefault="008D3B23" w:rsidP="002C7C42">
      <w:pPr>
        <w:pStyle w:val="3"/>
      </w:pPr>
      <w:r w:rsidRPr="002145BE">
        <w:rPr>
          <w:rFonts w:hint="eastAsia"/>
        </w:rPr>
        <w:t>由上可知，</w:t>
      </w:r>
      <w:r w:rsidR="000624F0" w:rsidRPr="002145BE">
        <w:rPr>
          <w:rFonts w:hint="eastAsia"/>
        </w:rPr>
        <w:t>環保署於106年辦理「重金屬高污染潛勢事業水污染預警系統建置計畫」，利用預警系統功能，勾稽交叉比對事業之申報及許可資料，</w:t>
      </w:r>
      <w:r w:rsidR="002C7C42" w:rsidRPr="002145BE">
        <w:rPr>
          <w:rFonts w:hint="eastAsia"/>
        </w:rPr>
        <w:t>估算</w:t>
      </w:r>
      <w:r w:rsidR="000624F0" w:rsidRPr="002145BE">
        <w:rPr>
          <w:rFonts w:hint="eastAsia"/>
        </w:rPr>
        <w:t>事業之單位產品量、原料量、用電量、用藥量、用水量及污泥量與產出廢水量之合理性，利用各類篩選方式進行評估及排序，再加上考量過往</w:t>
      </w:r>
      <w:r w:rsidR="00C47184" w:rsidRPr="002145BE">
        <w:rPr>
          <w:rFonts w:hint="eastAsia"/>
        </w:rPr>
        <w:t>違規紀錄及檢舉案件等，篩選重金屬污染潛勢高之事業，進行深度稽查管制，結果查獲</w:t>
      </w:r>
      <w:r w:rsidR="00A7065F" w:rsidRPr="002145BE">
        <w:rPr>
          <w:rFonts w:hint="eastAsia"/>
        </w:rPr>
        <w:t>業者</w:t>
      </w:r>
      <w:r w:rsidR="00C47184" w:rsidRPr="002145BE">
        <w:rPr>
          <w:rFonts w:hint="eastAsia"/>
        </w:rPr>
        <w:t>違規比率相當高</w:t>
      </w:r>
      <w:r w:rsidR="00A7065F" w:rsidRPr="002145BE">
        <w:rPr>
          <w:rFonts w:hint="eastAsia"/>
        </w:rPr>
        <w:t>；</w:t>
      </w:r>
      <w:r w:rsidR="00222146" w:rsidRPr="002145BE">
        <w:rPr>
          <w:rFonts w:hint="eastAsia"/>
        </w:rPr>
        <w:t>至於與農地污染之關係，</w:t>
      </w:r>
      <w:r w:rsidR="00A7065F" w:rsidRPr="002145BE">
        <w:rPr>
          <w:rFonts w:hint="eastAsia"/>
        </w:rPr>
        <w:t>以臺中市為例，環保署</w:t>
      </w:r>
      <w:r w:rsidR="00B32E80" w:rsidRPr="002145BE">
        <w:rPr>
          <w:rFonts w:hint="eastAsia"/>
        </w:rPr>
        <w:t>於</w:t>
      </w:r>
      <w:r w:rsidR="00A7065F" w:rsidRPr="002145BE">
        <w:rPr>
          <w:rFonts w:hint="eastAsia"/>
        </w:rPr>
        <w:t>該</w:t>
      </w:r>
      <w:r w:rsidR="00B32E80" w:rsidRPr="002145BE">
        <w:rPr>
          <w:rFonts w:hint="eastAsia"/>
        </w:rPr>
        <w:t>市豐原</w:t>
      </w:r>
      <w:r w:rsidR="00222146" w:rsidRPr="002145BE">
        <w:rPr>
          <w:rFonts w:hint="eastAsia"/>
        </w:rPr>
        <w:t>區</w:t>
      </w:r>
      <w:r w:rsidR="00B32E80" w:rsidRPr="002145BE">
        <w:rPr>
          <w:rFonts w:hint="eastAsia"/>
        </w:rPr>
        <w:t>及潭子區葫蘆墩圳四張犁支線需提高關注污染農地灌溉水路上游，查獲2家電鍍廠排放廢水鎳、鋅超過放流水標準，</w:t>
      </w:r>
      <w:r w:rsidR="00332393">
        <w:rPr>
          <w:rFonts w:hint="eastAsia"/>
        </w:rPr>
        <w:t>以</w:t>
      </w:r>
      <w:r w:rsidR="00B32E80" w:rsidRPr="002145BE">
        <w:rPr>
          <w:rFonts w:hint="eastAsia"/>
        </w:rPr>
        <w:t>及於外埔區后里圳第五支線第一分線需提高關注污染農地灌溉水路上游，查獲非法設置廢潤滑油轉運站</w:t>
      </w:r>
      <w:r w:rsidR="00A7065F" w:rsidRPr="002145BE">
        <w:rPr>
          <w:rFonts w:hint="eastAsia"/>
        </w:rPr>
        <w:t>，且此</w:t>
      </w:r>
      <w:r w:rsidR="00B32E80" w:rsidRPr="002145BE">
        <w:rPr>
          <w:rFonts w:hint="eastAsia"/>
        </w:rPr>
        <w:t>涉廢棄物清理法刑責之公司廠內水溝底泥檢出銅、鉛、鎳、鋅、鉻</w:t>
      </w:r>
      <w:r w:rsidR="00A7065F" w:rsidRPr="002145BE">
        <w:rPr>
          <w:rFonts w:hint="eastAsia"/>
        </w:rPr>
        <w:t>等</w:t>
      </w:r>
      <w:r w:rsidR="00B32E80" w:rsidRPr="002145BE">
        <w:rPr>
          <w:rFonts w:hint="eastAsia"/>
        </w:rPr>
        <w:t>，均與灌溉水路下游需提高關注污染農地重金屬污染項目具關連性。</w:t>
      </w:r>
      <w:r w:rsidR="00A7065F" w:rsidRPr="002145BE">
        <w:rPr>
          <w:rFonts w:hint="eastAsia"/>
        </w:rPr>
        <w:t>是以，</w:t>
      </w:r>
      <w:r w:rsidR="002C7C42" w:rsidRPr="002145BE">
        <w:rPr>
          <w:rFonts w:hint="eastAsia"/>
        </w:rPr>
        <w:t>環保署利用所建置之預警系統掌握重金屬高污染潛勢事業風險高之事業，並進行深度查核管制，將整體督察型態由傳統</w:t>
      </w:r>
      <w:r w:rsidR="00332393">
        <w:rPr>
          <w:rFonts w:hint="eastAsia"/>
        </w:rPr>
        <w:t>之管末查緝逐漸轉變為污染預防，其成效顯著且有助於污染源之追查，</w:t>
      </w:r>
      <w:r w:rsidR="002C7C42" w:rsidRPr="002145BE">
        <w:rPr>
          <w:rFonts w:hint="eastAsia"/>
        </w:rPr>
        <w:t>允宜持續強化及擴大辦理，以避免農地重金屬污染危害。</w:t>
      </w:r>
    </w:p>
    <w:p w:rsidR="00043225" w:rsidRPr="002145BE" w:rsidRDefault="00794797" w:rsidP="00043225">
      <w:pPr>
        <w:pStyle w:val="3"/>
      </w:pPr>
      <w:r w:rsidRPr="002145BE">
        <w:rPr>
          <w:rFonts w:hint="eastAsia"/>
        </w:rPr>
        <w:t>另由於國內未登記工廠家數至少有10,848家，目前經濟部雖積極輔導申請臨時工廠登記，惟多數仍不願提出申請，也尚未經建管單位拆除，於此現況下，環保署對該等工廠廢水</w:t>
      </w:r>
      <w:r w:rsidR="00C25159" w:rsidRPr="002145BE">
        <w:rPr>
          <w:rFonts w:hint="eastAsia"/>
        </w:rPr>
        <w:t>違法</w:t>
      </w:r>
      <w:r w:rsidRPr="002145BE">
        <w:rPr>
          <w:rFonts w:hint="eastAsia"/>
        </w:rPr>
        <w:t>排放之</w:t>
      </w:r>
      <w:r w:rsidR="00C25159" w:rsidRPr="002145BE">
        <w:rPr>
          <w:rFonts w:hint="eastAsia"/>
        </w:rPr>
        <w:t>管理，</w:t>
      </w:r>
      <w:r w:rsidRPr="002145BE">
        <w:rPr>
          <w:rFonts w:hint="eastAsia"/>
        </w:rPr>
        <w:t>更顯重</w:t>
      </w:r>
      <w:r w:rsidRPr="002145BE">
        <w:rPr>
          <w:rFonts w:hint="eastAsia"/>
        </w:rPr>
        <w:lastRenderedPageBreak/>
        <w:t>要，尤其高達4成以上者</w:t>
      </w:r>
      <w:r w:rsidR="00EC58D8" w:rsidRPr="002145BE">
        <w:rPr>
          <w:rFonts w:hint="eastAsia"/>
        </w:rPr>
        <w:t>坐落</w:t>
      </w:r>
      <w:r w:rsidRPr="002145BE">
        <w:rPr>
          <w:rFonts w:hint="eastAsia"/>
        </w:rPr>
        <w:t>於農業區，針對此問題，環保署</w:t>
      </w:r>
      <w:r w:rsidR="00C25159" w:rsidRPr="002145BE">
        <w:rPr>
          <w:rFonts w:hint="eastAsia"/>
        </w:rPr>
        <w:t>僅</w:t>
      </w:r>
      <w:r w:rsidRPr="002145BE">
        <w:rPr>
          <w:rFonts w:hint="eastAsia"/>
        </w:rPr>
        <w:t>查復表示</w:t>
      </w:r>
      <w:r w:rsidR="00C25159" w:rsidRPr="002145BE">
        <w:rPr>
          <w:rStyle w:val="aff"/>
        </w:rPr>
        <w:footnoteReference w:id="5"/>
      </w:r>
      <w:r w:rsidRPr="002145BE">
        <w:rPr>
          <w:rFonts w:hint="eastAsia"/>
        </w:rPr>
        <w:t>：</w:t>
      </w:r>
      <w:r w:rsidR="00C25159" w:rsidRPr="002145BE">
        <w:rPr>
          <w:rFonts w:hint="eastAsia"/>
        </w:rPr>
        <w:t>依</w:t>
      </w:r>
      <w:r w:rsidR="00C25159" w:rsidRPr="002145BE">
        <w:rPr>
          <w:rFonts w:ascii="新細明體" w:eastAsia="新細明體" w:hAnsi="新細明體" w:hint="eastAsia"/>
        </w:rPr>
        <w:t>「</w:t>
      </w:r>
      <w:r w:rsidR="00C25159" w:rsidRPr="002145BE">
        <w:rPr>
          <w:rFonts w:hint="eastAsia"/>
        </w:rPr>
        <w:t>水污染防治措施及檢測申報管理辦法</w:t>
      </w:r>
      <w:r w:rsidR="00C25159" w:rsidRPr="002145BE">
        <w:rPr>
          <w:rFonts w:hAnsi="標楷體" w:hint="eastAsia"/>
        </w:rPr>
        <w:t>」</w:t>
      </w:r>
      <w:r w:rsidR="00C25159" w:rsidRPr="002145BE">
        <w:rPr>
          <w:rFonts w:hint="eastAsia"/>
        </w:rPr>
        <w:t>第61條第1項規定，對於排入灌溉渠道者，應先取得灌溉渠道管理機關（構）之同意，且於申請排放許可證時，需檢附該渠道管理機關（構）之同意文件影本，環保機關始核發排放許可證；如渠道管理機關不同意廢（污）水排入灌溉渠道，而不發給搭排同意證明，環保機關則不會同意核發排入該灌溉渠道之排放許可證，亦不同意排放廢水；違章工廠應由建管單位拆除違建才是治本之道等語。</w:t>
      </w:r>
      <w:r w:rsidR="00043225" w:rsidRPr="002145BE">
        <w:rPr>
          <w:rFonts w:hint="eastAsia"/>
        </w:rPr>
        <w:t>然事業排放廢水於地面水體者，須經主管機關核發排放許可證或簡易排放許可文件後，始得排放，此為水污染防治法第14條前段所明定，眾所皆知，</w:t>
      </w:r>
      <w:r w:rsidR="008D3B23" w:rsidRPr="002145BE">
        <w:rPr>
          <w:rFonts w:hint="eastAsia"/>
        </w:rPr>
        <w:t>對</w:t>
      </w:r>
      <w:r w:rsidR="00EC58D8" w:rsidRPr="002145BE">
        <w:rPr>
          <w:rFonts w:hint="eastAsia"/>
        </w:rPr>
        <w:t>於</w:t>
      </w:r>
      <w:r w:rsidR="00043225" w:rsidRPr="002145BE">
        <w:rPr>
          <w:rFonts w:hint="eastAsia"/>
        </w:rPr>
        <w:t>事業</w:t>
      </w:r>
      <w:r w:rsidR="00EC58D8" w:rsidRPr="002145BE">
        <w:rPr>
          <w:rFonts w:hint="eastAsia"/>
        </w:rPr>
        <w:t>未提出臨時工廠登記申請，且</w:t>
      </w:r>
      <w:r w:rsidR="008D3B23" w:rsidRPr="002145BE">
        <w:rPr>
          <w:rFonts w:hint="eastAsia"/>
        </w:rPr>
        <w:t>又</w:t>
      </w:r>
      <w:r w:rsidR="00043225" w:rsidRPr="002145BE">
        <w:rPr>
          <w:rFonts w:hint="eastAsia"/>
        </w:rPr>
        <w:t>尚未經建管單位拆除</w:t>
      </w:r>
      <w:r w:rsidR="008D3B23" w:rsidRPr="002145BE">
        <w:rPr>
          <w:rFonts w:hint="eastAsia"/>
        </w:rPr>
        <w:t>之現況</w:t>
      </w:r>
      <w:r w:rsidR="00EC58D8" w:rsidRPr="002145BE">
        <w:rPr>
          <w:rFonts w:hint="eastAsia"/>
        </w:rPr>
        <w:t>，環保署顯無採行加強稽查管理</w:t>
      </w:r>
      <w:r w:rsidR="006573FE" w:rsidRPr="002145BE">
        <w:rPr>
          <w:rFonts w:hint="eastAsia"/>
        </w:rPr>
        <w:t>、</w:t>
      </w:r>
      <w:r w:rsidR="00EC58D8" w:rsidRPr="002145BE">
        <w:rPr>
          <w:rFonts w:hint="eastAsia"/>
        </w:rPr>
        <w:t>專案列管</w:t>
      </w:r>
      <w:r w:rsidR="006573FE" w:rsidRPr="002145BE">
        <w:rPr>
          <w:rFonts w:hint="eastAsia"/>
        </w:rPr>
        <w:t>或</w:t>
      </w:r>
      <w:r w:rsidR="00132D29" w:rsidRPr="002145BE">
        <w:rPr>
          <w:rFonts w:hint="eastAsia"/>
        </w:rPr>
        <w:t>督導</w:t>
      </w:r>
      <w:r w:rsidR="00EC58D8" w:rsidRPr="002145BE">
        <w:rPr>
          <w:rFonts w:hint="eastAsia"/>
        </w:rPr>
        <w:t>措施，</w:t>
      </w:r>
      <w:r w:rsidR="008D3B23" w:rsidRPr="002145BE">
        <w:rPr>
          <w:rFonts w:hint="eastAsia"/>
        </w:rPr>
        <w:t>此</w:t>
      </w:r>
      <w:r w:rsidR="00EC58D8" w:rsidRPr="002145BE">
        <w:rPr>
          <w:rFonts w:hint="eastAsia"/>
        </w:rPr>
        <w:t>實難避免違章工廠廢水</w:t>
      </w:r>
      <w:r w:rsidR="00132D29" w:rsidRPr="002145BE">
        <w:rPr>
          <w:rFonts w:hint="eastAsia"/>
        </w:rPr>
        <w:t>違法</w:t>
      </w:r>
      <w:r w:rsidR="00EC58D8" w:rsidRPr="002145BE">
        <w:rPr>
          <w:rFonts w:hint="eastAsia"/>
        </w:rPr>
        <w:t>排放</w:t>
      </w:r>
      <w:r w:rsidR="008D3B23" w:rsidRPr="002145BE">
        <w:rPr>
          <w:rFonts w:hint="eastAsia"/>
        </w:rPr>
        <w:t>而</w:t>
      </w:r>
      <w:r w:rsidR="00EC58D8" w:rsidRPr="002145BE">
        <w:rPr>
          <w:rFonts w:hint="eastAsia"/>
        </w:rPr>
        <w:t>污染農地。</w:t>
      </w:r>
    </w:p>
    <w:p w:rsidR="007C19A7" w:rsidRPr="002145BE" w:rsidRDefault="00EC58D8" w:rsidP="007C19A7">
      <w:pPr>
        <w:pStyle w:val="3"/>
      </w:pPr>
      <w:r w:rsidRPr="002145BE">
        <w:rPr>
          <w:rFonts w:hint="eastAsia"/>
        </w:rPr>
        <w:t>據上，</w:t>
      </w:r>
      <w:r w:rsidR="007C19A7" w:rsidRPr="002145BE">
        <w:rPr>
          <w:rFonts w:hint="eastAsia"/>
        </w:rPr>
        <w:t>環保署鑑於事業廢水造成農地土壤重金屬污染問題，於106年辦理「重金屬高污染潛勢事業水污染預警系統建置計畫」，藉由掌握重金屬高污染潛勢事業風險高之事業，進行深度查核管制，其成效顯著且有助於污染源之追查，允宜持續強化及擴大辦理；另國內未登記工廠家數至少有10,848家，目前經濟部雖積極輔導申請臨時工廠登記，惟多數仍不願提出申請，也尚未經建管單位拆除，尤其高達4成以上者坐落於農業區，環保署應正視此現況，並針對廢水違法排放行為，採行加強稽查管理</w:t>
      </w:r>
      <w:r w:rsidR="00A0016E" w:rsidRPr="002145BE">
        <w:rPr>
          <w:rFonts w:hint="eastAsia"/>
        </w:rPr>
        <w:t>或專案列管</w:t>
      </w:r>
      <w:r w:rsidR="007C19A7" w:rsidRPr="002145BE">
        <w:rPr>
          <w:rFonts w:hint="eastAsia"/>
        </w:rPr>
        <w:t>措施，以避免農地遭重金屬污染之危害。</w:t>
      </w:r>
    </w:p>
    <w:p w:rsidR="000C0BE9" w:rsidRPr="002145BE" w:rsidRDefault="00FC7B2D" w:rsidP="00FC7B2D">
      <w:pPr>
        <w:pStyle w:val="2"/>
        <w:rPr>
          <w:b/>
        </w:rPr>
      </w:pPr>
      <w:r w:rsidRPr="002145BE">
        <w:rPr>
          <w:rFonts w:hint="eastAsia"/>
          <w:b/>
        </w:rPr>
        <w:lastRenderedPageBreak/>
        <w:t>農委會允應督促所屬就農地土壤重金屬調查結果，建立橫向常規通報機制，作為農作物重金屬含量監測管制參考，</w:t>
      </w:r>
      <w:r w:rsidR="000C1236" w:rsidRPr="002145BE">
        <w:rPr>
          <w:rFonts w:hint="eastAsia"/>
          <w:b/>
        </w:rPr>
        <w:t>以</w:t>
      </w:r>
      <w:r w:rsidRPr="002145BE">
        <w:rPr>
          <w:rFonts w:hint="eastAsia"/>
          <w:b/>
        </w:rPr>
        <w:t>優先或加強管控高污染風險作物；另臺中市轄內之高風險污染農地面積居冠，針對制定自治條例事宜，臺中市政府允宜再行檢討與評估，或研謀其他解決方案，農委會亦應持續輔導與協助，以共同維護農作物食用安全及保障農民權益。</w:t>
      </w:r>
    </w:p>
    <w:p w:rsidR="00A0016E" w:rsidRPr="002145BE" w:rsidRDefault="000C0BE9" w:rsidP="00A8647D">
      <w:pPr>
        <w:pStyle w:val="3"/>
      </w:pPr>
      <w:r w:rsidRPr="002145BE">
        <w:rPr>
          <w:rFonts w:hint="eastAsia"/>
        </w:rPr>
        <w:t>按行政院農業委員會農糧署（下稱</w:t>
      </w:r>
      <w:r w:rsidR="00A63C5D" w:rsidRPr="002145BE">
        <w:rPr>
          <w:rFonts w:hint="eastAsia"/>
        </w:rPr>
        <w:t>農委會</w:t>
      </w:r>
      <w:r w:rsidRPr="002145BE">
        <w:rPr>
          <w:rFonts w:hint="eastAsia"/>
        </w:rPr>
        <w:t>農糧署）所訂「農作物重金屬污染監測管制作業程序（SOP</w:t>
      </w:r>
      <w:r w:rsidR="00E54AD5">
        <w:rPr>
          <w:rFonts w:hint="eastAsia"/>
        </w:rPr>
        <w:t>）」，規定該署及各區分署須成立計畫輔導直轄市及縣市</w:t>
      </w:r>
      <w:r w:rsidRPr="002145BE">
        <w:rPr>
          <w:rFonts w:hint="eastAsia"/>
        </w:rPr>
        <w:t>政府辦理農作物污染監測管制、受污染農作物之管控、</w:t>
      </w:r>
      <w:r w:rsidR="000903D4" w:rsidRPr="002145BE">
        <w:rPr>
          <w:rFonts w:hint="eastAsia"/>
        </w:rPr>
        <w:t>銷燬</w:t>
      </w:r>
      <w:r w:rsidRPr="002145BE">
        <w:rPr>
          <w:rFonts w:hint="eastAsia"/>
        </w:rPr>
        <w:t>及補償等工作；行政院農業委員會農業藥物毒物試驗所則負責農作物重金屬檢驗及相關技術支援、協助；各直轄市及縣市政府須負責辦理或督導鄉（鎮、市、區）公所辦理農作物重金屬監測管制各項工作。</w:t>
      </w:r>
      <w:r w:rsidR="00A63C5D" w:rsidRPr="002145BE">
        <w:rPr>
          <w:rFonts w:hint="eastAsia"/>
        </w:rPr>
        <w:t>另</w:t>
      </w:r>
      <w:r w:rsidR="00A8647D" w:rsidRPr="002145BE">
        <w:rPr>
          <w:rFonts w:hint="eastAsia"/>
        </w:rPr>
        <w:t>農委會依據行政院96年7月9日院臺建字第0960027673號函核定</w:t>
      </w:r>
      <w:r w:rsidR="00EF49AE" w:rsidRPr="002145BE">
        <w:rPr>
          <w:rFonts w:hint="eastAsia"/>
        </w:rPr>
        <w:t>前</w:t>
      </w:r>
      <w:r w:rsidR="00A8647D" w:rsidRPr="002145BE">
        <w:rPr>
          <w:rFonts w:hint="eastAsia"/>
        </w:rPr>
        <w:t>行政院經濟建設委員會</w:t>
      </w:r>
      <w:r w:rsidR="00EF49AE" w:rsidRPr="002145BE">
        <w:rPr>
          <w:rFonts w:hint="eastAsia"/>
        </w:rPr>
        <w:t>(現改制為國家發展委員會)</w:t>
      </w:r>
      <w:r w:rsidR="00A8647D" w:rsidRPr="002145BE">
        <w:rPr>
          <w:rFonts w:hint="eastAsia"/>
        </w:rPr>
        <w:t>之國家地理資訊系統建置及推動十年計畫暨97年度政府公共建設先期作業審議結果辦理「台灣土壤資源資訊建置計畫」，以建置臺灣新的土壤資源資訊，蒐集與田野調查土壤性質，將舊有的少數調查、定性土壤圖形資料更新為多層面、定量土壤圖資資料，評估不同之土壤功能，以能使各界妥善維護與合理利用土壤資源，對於國土環境管理與決策品質有所助益，合先敘明。</w:t>
      </w:r>
    </w:p>
    <w:p w:rsidR="00A8647D" w:rsidRPr="002145BE" w:rsidRDefault="00A8647D" w:rsidP="009C5C9C">
      <w:pPr>
        <w:pStyle w:val="3"/>
      </w:pPr>
      <w:r w:rsidRPr="002145BE">
        <w:rPr>
          <w:rFonts w:hint="eastAsia"/>
        </w:rPr>
        <w:t>查農委會農試所</w:t>
      </w:r>
      <w:r w:rsidR="004D672B" w:rsidRPr="002145BE">
        <w:rPr>
          <w:rFonts w:hint="eastAsia"/>
        </w:rPr>
        <w:t>已完成「台灣土壤資源資訊建置計畫」第一階段土壤調查工作(97至104年)，調查區域主要位於臺灣北部(部分)、西部及南部(部分)區域；目前進行第二階段土壤調查工作(105至109</w:t>
      </w:r>
      <w:r w:rsidR="004D672B" w:rsidRPr="002145BE">
        <w:rPr>
          <w:rFonts w:hint="eastAsia"/>
        </w:rPr>
        <w:lastRenderedPageBreak/>
        <w:t>年)，調查區域為高雄南部、屏東、臺東、花蓮、宜蘭南部及外島區域。惟據</w:t>
      </w:r>
      <w:r w:rsidR="009C5C9C" w:rsidRPr="002145BE">
        <w:rPr>
          <w:rFonts w:hint="eastAsia"/>
        </w:rPr>
        <w:t>審計部105年度中央政府總決算審核報告指出，依農委會農試所提供之歷年土壤檢驗分布圖，經運用GIS分析比對環保署106年2月18日公告列管污染控制場址之彰化縣農地，發現該等污染農地，前經農委會農試所土壤調查結果顯示為重金屬含量超標者計有215筆；且據該所提供之105年第</w:t>
      </w:r>
      <w:r w:rsidR="00E54AD5">
        <w:rPr>
          <w:rFonts w:hint="eastAsia"/>
        </w:rPr>
        <w:t>一</w:t>
      </w:r>
      <w:r w:rsidR="009C5C9C" w:rsidRPr="002145BE">
        <w:rPr>
          <w:rFonts w:hint="eastAsia"/>
        </w:rPr>
        <w:t>期作農地種稻之航照圖資比對上開環保署公告列管控制場址之農地，其中有46筆(鹿港鎮、和美鎮)種植水稻，22筆已實際繳交公糧，顯示農委會農試所農地土壤調查結果，對農作物重金屬含量超標之監測管制作業，具有指標參考價值，該會允宜加強督導所屬農試所與農糧署建立聯繫通報機制，以落實監測管制重金屬含量超標之高風險農地，防止重金屬污染作物流入食物鏈等情。</w:t>
      </w:r>
    </w:p>
    <w:p w:rsidR="00590EF5" w:rsidRPr="002145BE" w:rsidRDefault="009C5C9C" w:rsidP="00590EF5">
      <w:pPr>
        <w:pStyle w:val="3"/>
      </w:pPr>
      <w:r w:rsidRPr="002145BE">
        <w:rPr>
          <w:rFonts w:hint="eastAsia"/>
        </w:rPr>
        <w:t>本院</w:t>
      </w:r>
      <w:r w:rsidR="00C84451" w:rsidRPr="002145BE">
        <w:rPr>
          <w:rFonts w:hint="eastAsia"/>
        </w:rPr>
        <w:t>進一步詳查上開22筆農地，</w:t>
      </w:r>
      <w:r w:rsidR="00A63C5D" w:rsidRPr="002145BE">
        <w:rPr>
          <w:rFonts w:hint="eastAsia"/>
        </w:rPr>
        <w:t>據農委會於本院約詢時表示，</w:t>
      </w:r>
      <w:r w:rsidR="00C84451" w:rsidRPr="002145BE">
        <w:rPr>
          <w:rFonts w:hint="eastAsia"/>
        </w:rPr>
        <w:t>其中位於和美鎮者計2筆，其中1筆(地號：N03024813820002)</w:t>
      </w:r>
      <w:r w:rsidR="00590EF5" w:rsidRPr="002145BE">
        <w:rPr>
          <w:rFonts w:hint="eastAsia"/>
        </w:rPr>
        <w:t xml:space="preserve"> 地號面積為0.1462公頃，</w:t>
      </w:r>
      <w:r w:rsidR="00E54AD5">
        <w:rPr>
          <w:rFonts w:hint="eastAsia"/>
        </w:rPr>
        <w:t>再</w:t>
      </w:r>
      <w:r w:rsidR="00590EF5" w:rsidRPr="002145BE">
        <w:rPr>
          <w:rFonts w:hint="eastAsia"/>
        </w:rPr>
        <w:t>其中0.0570公頃</w:t>
      </w:r>
      <w:r w:rsidR="00C84451" w:rsidRPr="002145BE">
        <w:rPr>
          <w:rFonts w:hint="eastAsia"/>
        </w:rPr>
        <w:t>係彰化縣政府於104年2月13日公告為污染控制場址，經農委會農糧署判釋105年第</w:t>
      </w:r>
      <w:r w:rsidR="00E54AD5">
        <w:rPr>
          <w:rFonts w:hint="eastAsia"/>
        </w:rPr>
        <w:t>一</w:t>
      </w:r>
      <w:r w:rsidR="00C84451" w:rsidRPr="002145BE">
        <w:rPr>
          <w:rFonts w:hint="eastAsia"/>
        </w:rPr>
        <w:t>期作航照圖，該期作確實未種植水稻，惟農民仍申報種稻，</w:t>
      </w:r>
      <w:r w:rsidR="00590EF5" w:rsidRPr="002145BE">
        <w:rPr>
          <w:rFonts w:hint="eastAsia"/>
        </w:rPr>
        <w:t>係因渠</w:t>
      </w:r>
      <w:r w:rsidR="00C84451" w:rsidRPr="002145BE">
        <w:rPr>
          <w:rFonts w:hint="eastAsia"/>
        </w:rPr>
        <w:t>以其他土地所產之稻穀繳交公糧</w:t>
      </w:r>
      <w:r w:rsidR="00590EF5" w:rsidRPr="002145BE">
        <w:rPr>
          <w:rFonts w:hint="eastAsia"/>
        </w:rPr>
        <w:t>；另1筆(地號：</w:t>
      </w:r>
      <w:r w:rsidR="00590EF5" w:rsidRPr="002145BE">
        <w:t>N03024721040000</w:t>
      </w:r>
      <w:r w:rsidR="00590EF5" w:rsidRPr="002145BE">
        <w:rPr>
          <w:rFonts w:hint="eastAsia"/>
        </w:rPr>
        <w:t>) 地號面積為0.5688公頃，其中0.2217公頃經彰化縣政府於104年11月16日公告為污染控制場址，並辦理剷除</w:t>
      </w:r>
      <w:r w:rsidR="000903D4" w:rsidRPr="002145BE">
        <w:rPr>
          <w:rFonts w:hint="eastAsia"/>
        </w:rPr>
        <w:t>銷燬</w:t>
      </w:r>
      <w:r w:rsidR="00590EF5" w:rsidRPr="002145BE">
        <w:rPr>
          <w:rFonts w:hint="eastAsia"/>
        </w:rPr>
        <w:t>補償作業，扣除污染農地面積後，係以餘可種植作物及申報繳交公糧。餘20筆農地係位於鹿港鎮，彰化縣政府於106年1月20日依環保署105年7月起執行全國重金屬高污染潛勢農地之管制及調查計畫(第四期)調查結果，公告該等土地為污染控制場</w:t>
      </w:r>
      <w:r w:rsidR="00590EF5" w:rsidRPr="002145BE">
        <w:rPr>
          <w:rFonts w:hint="eastAsia"/>
        </w:rPr>
        <w:lastRenderedPageBreak/>
        <w:t>址，105年第1期作</w:t>
      </w:r>
      <w:r w:rsidR="00A63C5D" w:rsidRPr="002145BE">
        <w:rPr>
          <w:rFonts w:hint="eastAsia"/>
        </w:rPr>
        <w:t>時，</w:t>
      </w:r>
      <w:r w:rsidR="00590EF5" w:rsidRPr="002145BE">
        <w:rPr>
          <w:rFonts w:hint="eastAsia"/>
        </w:rPr>
        <w:t>該等土地尚未公告為污染控制場址。審諸上開詳情，上開22筆農地並無已繳交公糧情事。</w:t>
      </w:r>
    </w:p>
    <w:p w:rsidR="00823745" w:rsidRPr="002145BE" w:rsidRDefault="00590EF5" w:rsidP="00013C99">
      <w:pPr>
        <w:pStyle w:val="3"/>
      </w:pPr>
      <w:r w:rsidRPr="002145BE">
        <w:rPr>
          <w:rFonts w:hint="eastAsia"/>
        </w:rPr>
        <w:t>惟有關農委會農試所土壤重金屬調查結果有否提供農委會農糧署作為農作物重金屬含量監測管制作業之參考，</w:t>
      </w:r>
      <w:r w:rsidR="00085969" w:rsidRPr="002145BE">
        <w:rPr>
          <w:rFonts w:hint="eastAsia"/>
        </w:rPr>
        <w:t>據農委會查復</w:t>
      </w:r>
      <w:r w:rsidR="00085969" w:rsidRPr="002145BE">
        <w:rPr>
          <w:rStyle w:val="aff"/>
        </w:rPr>
        <w:footnoteReference w:id="6"/>
      </w:r>
      <w:r w:rsidR="00085969" w:rsidRPr="002145BE">
        <w:rPr>
          <w:rFonts w:hint="eastAsia"/>
        </w:rPr>
        <w:t>，該所曾於103年9月將81至97年執行網格調查13萬筆土壤重金屬分析資料(0.1M鹽酸萃取)篩選重金屬鉛、鎘濃度疑超過污染管制標準之區域等資料，以電子郵件方式</w:t>
      </w:r>
      <w:r w:rsidR="00013C99" w:rsidRPr="002145BE">
        <w:rPr>
          <w:rFonts w:hint="eastAsia"/>
        </w:rPr>
        <w:t>提供該會農糧署參考</w:t>
      </w:r>
      <w:r w:rsidR="00085969" w:rsidRPr="002145BE">
        <w:rPr>
          <w:rFonts w:hint="eastAsia"/>
        </w:rPr>
        <w:t>。</w:t>
      </w:r>
      <w:r w:rsidR="00013C99" w:rsidRPr="002145BE">
        <w:rPr>
          <w:rFonts w:hint="eastAsia"/>
        </w:rPr>
        <w:t>惟查農委會農試所辦理「台灣土壤資源資訊建置計畫」</w:t>
      </w:r>
      <w:r w:rsidR="00026A4B" w:rsidRPr="002145BE">
        <w:rPr>
          <w:rFonts w:hint="eastAsia"/>
        </w:rPr>
        <w:t>現</w:t>
      </w:r>
      <w:r w:rsidR="00013C99" w:rsidRPr="002145BE">
        <w:rPr>
          <w:rFonts w:hint="eastAsia"/>
        </w:rPr>
        <w:t>已進入第二階段，關於第一階段位於臺灣北部(部分)、西部及南部(部分)區域之土壤調查工作(97至104年)，尤其西部及南部之土壤重金屬調查結果，對於農作物重金屬監測管制更具意義，然該所並未</w:t>
      </w:r>
      <w:r w:rsidR="00026A4B" w:rsidRPr="002145BE">
        <w:rPr>
          <w:rFonts w:hint="eastAsia"/>
        </w:rPr>
        <w:t>通報該會農糧署；另</w:t>
      </w:r>
      <w:r w:rsidR="004E160A" w:rsidRPr="002145BE">
        <w:rPr>
          <w:rFonts w:hint="eastAsia"/>
        </w:rPr>
        <w:t>該所長久以來僅於103年9月提供資料乙次，且</w:t>
      </w:r>
      <w:r w:rsidR="00A2453F" w:rsidRPr="002145BE">
        <w:rPr>
          <w:rFonts w:hint="eastAsia"/>
        </w:rPr>
        <w:t>據農委會查復資料，</w:t>
      </w:r>
      <w:r w:rsidR="004E160A" w:rsidRPr="002145BE">
        <w:rPr>
          <w:rFonts w:hint="eastAsia"/>
        </w:rPr>
        <w:t>並無說明該次提供資料之原因及目的，是</w:t>
      </w:r>
      <w:r w:rsidR="00823745" w:rsidRPr="002145BE">
        <w:rPr>
          <w:rFonts w:hint="eastAsia"/>
        </w:rPr>
        <w:t>農委會農試所就土壤重金屬調查結果並未建立橫向</w:t>
      </w:r>
      <w:r w:rsidR="00B8574D" w:rsidRPr="002145BE">
        <w:rPr>
          <w:rFonts w:hint="eastAsia"/>
        </w:rPr>
        <w:t>常規</w:t>
      </w:r>
      <w:r w:rsidR="00823745" w:rsidRPr="002145BE">
        <w:rPr>
          <w:rFonts w:hint="eastAsia"/>
        </w:rPr>
        <w:t>通報機制。</w:t>
      </w:r>
    </w:p>
    <w:p w:rsidR="000C0BE9" w:rsidRPr="002145BE" w:rsidRDefault="00823745" w:rsidP="00E63F4E">
      <w:pPr>
        <w:pStyle w:val="3"/>
      </w:pPr>
      <w:r w:rsidRPr="002145BE">
        <w:rPr>
          <w:rFonts w:hint="eastAsia"/>
        </w:rPr>
        <w:t>另按</w:t>
      </w:r>
      <w:r w:rsidRPr="002145BE">
        <w:rPr>
          <w:rFonts w:hint="eastAsia"/>
          <w:szCs w:val="32"/>
        </w:rPr>
        <w:t>「土壤污染管制標準」第5條規定，食用作物農地之管制項目及管制標準值為「鎘 5毫克／公斤」、「銅 200毫克／公斤」、「汞 5毫克／公斤」、「鉛500毫克／公斤」、「鋅 600毫克／公斤」；另「食米重金屬限量標準」規定食米重金屬限量標準為「汞 0.05ppm」、「鎘 0.4ppm」及「鉛 0.2ppm」等，復查「蔬果植物類重金屬限量標準」，不同蔬果植物類別及可食部位之限量歸納為「鎘 0.05-0.2ppm」、「鉛 0.1-0.3ppm」。惟據農委會查復，截至106年底</w:t>
      </w:r>
      <w:r w:rsidRPr="002145BE">
        <w:rPr>
          <w:rFonts w:hint="eastAsia"/>
          <w:szCs w:val="32"/>
        </w:rPr>
        <w:lastRenderedPageBreak/>
        <w:t>止，國內土壤「鎘」、「鉛」濃度未達污染管制標準，然所種植食用作物之「鎘」、「鉛」含量卻超過食品重金屬限量標準之農地面積計45.1公頃（下稱高污染風險農地）</w:t>
      </w:r>
      <w:r w:rsidRPr="002145BE">
        <w:rPr>
          <w:rFonts w:hAnsi="標楷體" w:hint="eastAsia"/>
          <w:szCs w:val="32"/>
        </w:rPr>
        <w:t>，分布於臺中市(約12.3公頃)、彰化縣(約12.18公頃)、桃園市(約9.66公頃)、雲林縣(約7.38公頃)、新竹市(約1.7公頃)、嘉義市(約1.14公頃)、新竹縣(約0.43公頃)、苗栗縣(約0.13公頃)、高雄市(約0.12公頃)及新北市(0.07公頃)，以臺中市居冠。</w:t>
      </w:r>
    </w:p>
    <w:p w:rsidR="00640B7D" w:rsidRPr="002145BE" w:rsidRDefault="00053A7F" w:rsidP="00640B7D">
      <w:pPr>
        <w:pStyle w:val="3"/>
        <w:rPr>
          <w:szCs w:val="32"/>
        </w:rPr>
      </w:pPr>
      <w:r w:rsidRPr="002145BE">
        <w:rPr>
          <w:rFonts w:hint="eastAsia"/>
        </w:rPr>
        <w:t>據農委會表示，針對高污染風險農地，藉由輔導休耕、轉作非食用作物或轉作低鎘、鉛吸收作物，並由各級政府相關計畫予以農民適當補償，以106年度為例，經輔導後計22.6公頃農地辦理休耕、3.2公頃農地轉作非食用作物、5.48公頃農地轉作低鎘、鉛吸收作物</w:t>
      </w:r>
      <w:r w:rsidR="00810DA4" w:rsidRPr="002145BE">
        <w:rPr>
          <w:rFonts w:hint="eastAsia"/>
        </w:rPr>
        <w:t>。</w:t>
      </w:r>
      <w:r w:rsidRPr="002145BE">
        <w:rPr>
          <w:rFonts w:hint="eastAsia"/>
        </w:rPr>
        <w:t>該會於本院履勘時</w:t>
      </w:r>
      <w:r w:rsidR="00810DA4" w:rsidRPr="002145BE">
        <w:rPr>
          <w:rFonts w:hint="eastAsia"/>
        </w:rPr>
        <w:t>續</w:t>
      </w:r>
      <w:r w:rsidRPr="002145BE">
        <w:rPr>
          <w:rFonts w:hint="eastAsia"/>
        </w:rPr>
        <w:t>表示，</w:t>
      </w:r>
      <w:r w:rsidR="00810DA4" w:rsidRPr="002145BE">
        <w:rPr>
          <w:rFonts w:hint="eastAsia"/>
        </w:rPr>
        <w:t>102年10月24日臺中市政府已進行「臺中市農作物污染防制自治條例」草案之</w:t>
      </w:r>
      <w:r w:rsidR="00810DA4" w:rsidRPr="002145BE">
        <w:rPr>
          <w:rFonts w:hAnsi="標楷體" w:hint="eastAsia"/>
        </w:rPr>
        <w:t>預告，</w:t>
      </w:r>
      <w:r w:rsidR="00A2453F" w:rsidRPr="002145BE">
        <w:rPr>
          <w:rFonts w:hAnsi="標楷體" w:hint="eastAsia"/>
        </w:rPr>
        <w:t>然</w:t>
      </w:r>
      <w:r w:rsidR="00810DA4" w:rsidRPr="002145BE">
        <w:rPr>
          <w:rFonts w:hAnsi="標楷體" w:hint="eastAsia"/>
        </w:rPr>
        <w:t>似乎遲未公布施</w:t>
      </w:r>
      <w:r w:rsidR="00810DA4" w:rsidRPr="002145BE">
        <w:rPr>
          <w:rFonts w:hint="eastAsia"/>
        </w:rPr>
        <w:t>行，建議加速此條例之制定；臺中市政府則回應表示，經參考其他縣市自治條例之內容，發現各規定在現行「處理農地污染事件標準作業原則」及「農作物重金屬污染監測管制作業程序（SOP）」已有規範，故目前以臺中市農地土壤污染防治計畫來進行，如有必要</w:t>
      </w:r>
      <w:r w:rsidR="00640B7D" w:rsidRPr="002145BE">
        <w:rPr>
          <w:rFonts w:hint="eastAsia"/>
        </w:rPr>
        <w:t>制定該自治條例</w:t>
      </w:r>
      <w:r w:rsidR="00810DA4" w:rsidRPr="002145BE">
        <w:rPr>
          <w:rFonts w:hint="eastAsia"/>
        </w:rPr>
        <w:t>，</w:t>
      </w:r>
      <w:r w:rsidR="00640B7D" w:rsidRPr="002145BE">
        <w:rPr>
          <w:rFonts w:hint="eastAsia"/>
        </w:rPr>
        <w:t>未來</w:t>
      </w:r>
      <w:r w:rsidR="00810DA4" w:rsidRPr="002145BE">
        <w:rPr>
          <w:rFonts w:hint="eastAsia"/>
        </w:rPr>
        <w:t>再進行研討。</w:t>
      </w:r>
      <w:r w:rsidR="00640B7D" w:rsidRPr="002145BE">
        <w:rPr>
          <w:rFonts w:hint="eastAsia"/>
        </w:rPr>
        <w:t>惟</w:t>
      </w:r>
      <w:r w:rsidR="00640B7D" w:rsidRPr="002145BE">
        <w:rPr>
          <w:rFonts w:hint="eastAsia"/>
          <w:szCs w:val="32"/>
        </w:rPr>
        <w:t>查前揭</w:t>
      </w:r>
      <w:r w:rsidR="00640B7D" w:rsidRPr="002145BE">
        <w:rPr>
          <w:rFonts w:hint="eastAsia"/>
        </w:rPr>
        <w:t>「處理農地污染事件標準作業原則」及「農作物重金屬污染監測管制作業程序（SOP）」似無法周延解決</w:t>
      </w:r>
      <w:r w:rsidR="00640B7D" w:rsidRPr="002145BE">
        <w:rPr>
          <w:rFonts w:hint="eastAsia"/>
          <w:szCs w:val="32"/>
        </w:rPr>
        <w:t>高污染風險農地</w:t>
      </w:r>
      <w:r w:rsidR="00A2453F" w:rsidRPr="002145BE">
        <w:rPr>
          <w:rFonts w:hint="eastAsia"/>
          <w:szCs w:val="32"/>
        </w:rPr>
        <w:t>及作物之</w:t>
      </w:r>
      <w:r w:rsidR="00640B7D" w:rsidRPr="002145BE">
        <w:rPr>
          <w:rFonts w:hint="eastAsia"/>
          <w:szCs w:val="32"/>
        </w:rPr>
        <w:t>問題，因所種植作物重金屬含量若超標，雖可依現行規定逕行</w:t>
      </w:r>
      <w:r w:rsidR="000C1236" w:rsidRPr="002145BE">
        <w:rPr>
          <w:rFonts w:hint="eastAsia"/>
          <w:szCs w:val="32"/>
        </w:rPr>
        <w:t>剷除</w:t>
      </w:r>
      <w:r w:rsidR="000903D4" w:rsidRPr="002145BE">
        <w:rPr>
          <w:rFonts w:hint="eastAsia"/>
          <w:szCs w:val="32"/>
        </w:rPr>
        <w:t>銷燬</w:t>
      </w:r>
      <w:r w:rsidR="00640B7D" w:rsidRPr="002145BE">
        <w:rPr>
          <w:rFonts w:hint="eastAsia"/>
          <w:szCs w:val="32"/>
        </w:rPr>
        <w:t>，然因農地土壤重金屬未達管制標準，故無法</w:t>
      </w:r>
      <w:r w:rsidR="00D96913">
        <w:rPr>
          <w:rFonts w:hint="eastAsia"/>
          <w:szCs w:val="32"/>
        </w:rPr>
        <w:t>依法</w:t>
      </w:r>
      <w:r w:rsidR="00640B7D" w:rsidRPr="002145BE">
        <w:rPr>
          <w:rFonts w:hint="eastAsia"/>
          <w:szCs w:val="32"/>
        </w:rPr>
        <w:t>限制耕作</w:t>
      </w:r>
      <w:r w:rsidR="00850352" w:rsidRPr="002145BE">
        <w:rPr>
          <w:rFonts w:hint="eastAsia"/>
          <w:szCs w:val="32"/>
        </w:rPr>
        <w:t>，且土壤</w:t>
      </w:r>
      <w:r w:rsidR="00640B7D" w:rsidRPr="002145BE">
        <w:rPr>
          <w:rFonts w:hint="eastAsia"/>
          <w:szCs w:val="32"/>
        </w:rPr>
        <w:t>無法獲得經費補助以進行污染改善</w:t>
      </w:r>
      <w:r w:rsidR="00A2453F" w:rsidRPr="002145BE">
        <w:rPr>
          <w:rFonts w:hint="eastAsia"/>
          <w:szCs w:val="32"/>
        </w:rPr>
        <w:t>，終無法解決問題</w:t>
      </w:r>
      <w:r w:rsidR="00640B7D" w:rsidRPr="002145BE">
        <w:rPr>
          <w:rFonts w:hint="eastAsia"/>
          <w:szCs w:val="32"/>
        </w:rPr>
        <w:t>，</w:t>
      </w:r>
      <w:r w:rsidR="00850352" w:rsidRPr="002145BE">
        <w:rPr>
          <w:rFonts w:hint="eastAsia"/>
          <w:szCs w:val="32"/>
        </w:rPr>
        <w:t>故</w:t>
      </w:r>
      <w:r w:rsidR="00A2453F" w:rsidRPr="002145BE">
        <w:rPr>
          <w:rFonts w:hint="eastAsia"/>
          <w:szCs w:val="32"/>
        </w:rPr>
        <w:t>關於制定自治條例事宜，</w:t>
      </w:r>
      <w:r w:rsidR="00850352" w:rsidRPr="002145BE">
        <w:rPr>
          <w:rFonts w:hint="eastAsia"/>
          <w:szCs w:val="32"/>
        </w:rPr>
        <w:lastRenderedPageBreak/>
        <w:t>臺中市政府允宜再行檢討與評估，或研謀其他解決方案，尤其臺中市轄內之高風險污染農地面積居冠，農委會亦應持續輔導與協助之。</w:t>
      </w:r>
    </w:p>
    <w:p w:rsidR="00FC7B2D" w:rsidRPr="002145BE" w:rsidRDefault="00850352" w:rsidP="00B8574D">
      <w:pPr>
        <w:pStyle w:val="3"/>
      </w:pPr>
      <w:r w:rsidRPr="002145BE">
        <w:rPr>
          <w:rFonts w:hint="eastAsia"/>
        </w:rPr>
        <w:t>綜上，</w:t>
      </w:r>
      <w:r w:rsidR="00B8574D" w:rsidRPr="002145BE">
        <w:rPr>
          <w:rFonts w:hint="eastAsia"/>
        </w:rPr>
        <w:t>農委會允應督促所屬就農地土壤重金屬調查結果，建立橫向常規通報機制，作為農作物重金屬含量監測管制參考，</w:t>
      </w:r>
      <w:r w:rsidR="000C1236" w:rsidRPr="002145BE">
        <w:rPr>
          <w:rFonts w:hint="eastAsia"/>
        </w:rPr>
        <w:t>以</w:t>
      </w:r>
      <w:r w:rsidR="00B8574D" w:rsidRPr="002145BE">
        <w:rPr>
          <w:rFonts w:hint="eastAsia"/>
        </w:rPr>
        <w:t>優先或加強</w:t>
      </w:r>
      <w:r w:rsidR="00FC7B2D" w:rsidRPr="002145BE">
        <w:rPr>
          <w:rFonts w:hint="eastAsia"/>
        </w:rPr>
        <w:t>管控高污染風險作物；另</w:t>
      </w:r>
      <w:r w:rsidR="00FC7B2D" w:rsidRPr="002145BE">
        <w:rPr>
          <w:rFonts w:hint="eastAsia"/>
          <w:szCs w:val="32"/>
        </w:rPr>
        <w:t>臺中市轄內之高風險污染農地面積居冠，針對制定自治條例事宜，臺中市政府允宜再行檢討與評估，或研謀其他解決方案，農委會亦應持續輔導與協助，以共同維護農作物食用安全及保障農民權益。</w:t>
      </w:r>
    </w:p>
    <w:p w:rsidR="007C14C5" w:rsidRPr="002145BE" w:rsidRDefault="007C14C5" w:rsidP="0077309D">
      <w:pPr>
        <w:pStyle w:val="20"/>
        <w:ind w:left="1020" w:firstLine="680"/>
      </w:pPr>
    </w:p>
    <w:p w:rsidR="007C14C5" w:rsidRPr="002145BE" w:rsidRDefault="007C14C5" w:rsidP="0077309D">
      <w:pPr>
        <w:pStyle w:val="20"/>
        <w:ind w:left="1020" w:firstLine="680"/>
      </w:pPr>
    </w:p>
    <w:p w:rsidR="007C14C5" w:rsidRPr="002145BE" w:rsidRDefault="007C14C5" w:rsidP="0077309D">
      <w:pPr>
        <w:pStyle w:val="20"/>
        <w:ind w:left="1020" w:firstLine="680"/>
      </w:pPr>
    </w:p>
    <w:p w:rsidR="007C14C5" w:rsidRPr="002145BE" w:rsidRDefault="007C14C5" w:rsidP="0077309D">
      <w:pPr>
        <w:pStyle w:val="20"/>
        <w:ind w:left="1020" w:firstLine="680"/>
      </w:pPr>
    </w:p>
    <w:p w:rsidR="003A5927" w:rsidRPr="002145BE" w:rsidRDefault="003A5927" w:rsidP="00DE4238">
      <w:pPr>
        <w:pStyle w:val="32"/>
        <w:ind w:left="1361" w:firstLine="680"/>
      </w:pPr>
    </w:p>
    <w:p w:rsidR="003A5927" w:rsidRPr="002145BE" w:rsidRDefault="003A5927" w:rsidP="00DE4238">
      <w:pPr>
        <w:pStyle w:val="32"/>
        <w:ind w:left="1361" w:firstLine="680"/>
      </w:pPr>
    </w:p>
    <w:p w:rsidR="003A5927" w:rsidRPr="002145BE" w:rsidRDefault="003A5927" w:rsidP="00DE4238">
      <w:pPr>
        <w:pStyle w:val="32"/>
        <w:ind w:left="1361" w:firstLine="680"/>
      </w:pPr>
    </w:p>
    <w:p w:rsidR="003A5927" w:rsidRPr="002145BE" w:rsidRDefault="003A5927" w:rsidP="00DE4238">
      <w:pPr>
        <w:pStyle w:val="32"/>
        <w:ind w:left="1361" w:firstLine="680"/>
      </w:pPr>
    </w:p>
    <w:p w:rsidR="003A5927" w:rsidRPr="002145BE" w:rsidRDefault="003A5927" w:rsidP="00DE4238">
      <w:pPr>
        <w:pStyle w:val="32"/>
        <w:ind w:left="1361" w:firstLine="680"/>
      </w:pPr>
    </w:p>
    <w:p w:rsidR="003A5927" w:rsidRPr="002145BE" w:rsidRDefault="003A5927" w:rsidP="00DE4238">
      <w:pPr>
        <w:pStyle w:val="32"/>
        <w:ind w:left="1361" w:firstLine="680"/>
      </w:pPr>
    </w:p>
    <w:p w:rsidR="003A5927" w:rsidRPr="002145BE" w:rsidRDefault="003A5927" w:rsidP="003A5927">
      <w:pPr>
        <w:pStyle w:val="32"/>
        <w:ind w:leftChars="0" w:left="0" w:firstLineChars="0" w:firstLine="0"/>
      </w:pPr>
    </w:p>
    <w:p w:rsidR="00E25849" w:rsidRPr="002145BE"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2145BE">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2145BE">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A2453F" w:rsidRPr="002145BE">
        <w:t xml:space="preserve"> </w:t>
      </w:r>
    </w:p>
    <w:p w:rsidR="00E25849" w:rsidRPr="002145BE" w:rsidRDefault="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2145BE">
        <w:rPr>
          <w:rFonts w:hint="eastAsia"/>
        </w:rPr>
        <w:t>調查意見</w:t>
      </w:r>
      <w:r w:rsidR="00A2453F" w:rsidRPr="002145BE">
        <w:rPr>
          <w:rFonts w:hint="eastAsia"/>
        </w:rPr>
        <w:t>ㄧ至四</w:t>
      </w:r>
      <w:r w:rsidRPr="002145BE">
        <w:rPr>
          <w:rFonts w:hint="eastAsia"/>
        </w:rPr>
        <w:t>，</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00E25849" w:rsidRPr="002145BE">
        <w:rPr>
          <w:rFonts w:hint="eastAsia"/>
        </w:rPr>
        <w:t>函請</w:t>
      </w:r>
      <w:r w:rsidR="00A2453F" w:rsidRPr="002145BE">
        <w:rPr>
          <w:rFonts w:hint="eastAsia"/>
        </w:rPr>
        <w:t>行政院督促所屬</w:t>
      </w:r>
      <w:r w:rsidR="00E25849" w:rsidRPr="002145BE">
        <w:rPr>
          <w:rFonts w:hint="eastAsia"/>
        </w:rPr>
        <w:t>確實檢討改進，並於</w:t>
      </w:r>
      <w:r w:rsidR="00E122D8" w:rsidRPr="002145BE">
        <w:rPr>
          <w:rFonts w:hint="eastAsia"/>
        </w:rPr>
        <w:t>2</w:t>
      </w:r>
      <w:r w:rsidR="00E25849" w:rsidRPr="002145BE">
        <w:rPr>
          <w:rFonts w:hint="eastAsia"/>
        </w:rPr>
        <w:t>個月內見復。</w:t>
      </w:r>
      <w:bookmarkEnd w:id="84"/>
      <w:bookmarkEnd w:id="85"/>
      <w:bookmarkEnd w:id="86"/>
      <w:bookmarkEnd w:id="87"/>
      <w:bookmarkEnd w:id="88"/>
      <w:bookmarkEnd w:id="89"/>
      <w:bookmarkEnd w:id="90"/>
      <w:bookmarkEnd w:id="91"/>
      <w:bookmarkEnd w:id="103"/>
      <w:bookmarkEnd w:id="104"/>
      <w:bookmarkEnd w:id="105"/>
      <w:bookmarkEnd w:id="106"/>
      <w:bookmarkEnd w:id="107"/>
    </w:p>
    <w:p w:rsidR="00FB7770" w:rsidRDefault="00FB7770" w:rsidP="00F804D3">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sidRPr="002145BE">
        <w:rPr>
          <w:rFonts w:hint="eastAsia"/>
        </w:rPr>
        <w:t>調查意見</w:t>
      </w:r>
      <w:r w:rsidR="00A2453F" w:rsidRPr="002145BE">
        <w:rPr>
          <w:rFonts w:hint="eastAsia"/>
        </w:rPr>
        <w:t>ㄧ至四</w:t>
      </w:r>
      <w:r w:rsidRPr="002145BE">
        <w:rPr>
          <w:rFonts w:hint="eastAsia"/>
        </w:rPr>
        <w:t>，函復審計部。</w:t>
      </w:r>
      <w:bookmarkEnd w:id="108"/>
      <w:bookmarkEnd w:id="109"/>
      <w:bookmarkEnd w:id="110"/>
      <w:bookmarkEnd w:id="111"/>
      <w:bookmarkEnd w:id="112"/>
      <w:bookmarkEnd w:id="113"/>
      <w:bookmarkEnd w:id="114"/>
    </w:p>
    <w:p w:rsidR="001A21F9" w:rsidRPr="002145BE" w:rsidRDefault="00326E5C" w:rsidP="00F804D3">
      <w:pPr>
        <w:pStyle w:val="2"/>
      </w:pPr>
      <w:r>
        <w:rPr>
          <w:rFonts w:hAnsi="標楷體"/>
        </w:rPr>
        <w:t>本案因涉及</w:t>
      </w:r>
      <w:r>
        <w:rPr>
          <w:rFonts w:hAnsi="標楷體" w:hint="eastAsia"/>
        </w:rPr>
        <w:t>生存權及</w:t>
      </w:r>
      <w:r>
        <w:rPr>
          <w:rFonts w:hAnsi="標楷體"/>
        </w:rPr>
        <w:t>健康權，</w:t>
      </w:r>
      <w:r>
        <w:rPr>
          <w:rFonts w:hAnsi="標楷體" w:hint="eastAsia"/>
        </w:rPr>
        <w:t>送</w:t>
      </w:r>
      <w:r>
        <w:rPr>
          <w:rFonts w:hAnsi="標楷體"/>
        </w:rPr>
        <w:t>請本院人權保障委員會參處。</w:t>
      </w:r>
    </w:p>
    <w:p w:rsidR="00E25849" w:rsidRPr="002145BE"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2"/>
      <w:bookmarkEnd w:id="93"/>
      <w:bookmarkEnd w:id="94"/>
      <w:bookmarkEnd w:id="95"/>
      <w:bookmarkEnd w:id="96"/>
      <w:bookmarkEnd w:id="97"/>
      <w:bookmarkEnd w:id="98"/>
      <w:bookmarkEnd w:id="99"/>
      <w:bookmarkEnd w:id="100"/>
      <w:bookmarkEnd w:id="101"/>
      <w:bookmarkEnd w:id="102"/>
      <w:bookmarkEnd w:id="115"/>
      <w:bookmarkEnd w:id="116"/>
      <w:bookmarkEnd w:id="117"/>
      <w:bookmarkEnd w:id="118"/>
      <w:bookmarkEnd w:id="119"/>
      <w:r w:rsidRPr="002145BE">
        <w:rPr>
          <w:rFonts w:hint="eastAsia"/>
        </w:rPr>
        <w:t>檢附派查函及相關附件，送請</w:t>
      </w:r>
      <w:r w:rsidR="00A2453F" w:rsidRPr="002145BE">
        <w:rPr>
          <w:rFonts w:hint="eastAsia"/>
        </w:rPr>
        <w:t>財政及經濟</w:t>
      </w:r>
      <w:r w:rsidRPr="002145BE">
        <w:rPr>
          <w:rFonts w:hint="eastAsia"/>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F816CB" w:rsidRDefault="00F816CB" w:rsidP="00A2453F">
      <w:pPr>
        <w:pStyle w:val="af1"/>
        <w:kinsoku/>
        <w:autoSpaceDE w:val="0"/>
        <w:spacing w:beforeLines="50" w:before="228"/>
        <w:ind w:left="1020" w:hanging="1020"/>
        <w:rPr>
          <w:kern w:val="32"/>
        </w:rPr>
      </w:pPr>
    </w:p>
    <w:p w:rsidR="00642961" w:rsidRPr="00642961" w:rsidRDefault="00642961" w:rsidP="00642961">
      <w:pPr>
        <w:pStyle w:val="aa"/>
        <w:spacing w:before="0" w:after="0"/>
        <w:ind w:leftChars="1100" w:left="4631" w:hanging="889"/>
        <w:rPr>
          <w:sz w:val="40"/>
          <w:szCs w:val="40"/>
        </w:rPr>
      </w:pPr>
      <w:r w:rsidRPr="00642961">
        <w:rPr>
          <w:rFonts w:hint="eastAsia"/>
          <w:b w:val="0"/>
          <w:bCs/>
          <w:snapToGrid/>
          <w:spacing w:val="12"/>
          <w:kern w:val="0"/>
          <w:sz w:val="40"/>
          <w:szCs w:val="40"/>
        </w:rPr>
        <w:t>調查委員：</w:t>
      </w:r>
      <w:r w:rsidRPr="00642961">
        <w:rPr>
          <w:sz w:val="40"/>
          <w:szCs w:val="40"/>
        </w:rPr>
        <w:t>陳慶財</w:t>
      </w:r>
    </w:p>
    <w:p w:rsidR="00642961" w:rsidRPr="00642961" w:rsidRDefault="00642961" w:rsidP="00642961">
      <w:pPr>
        <w:pStyle w:val="aa"/>
        <w:spacing w:before="0" w:after="0"/>
        <w:ind w:leftChars="1751" w:left="6796" w:hanging="840"/>
        <w:rPr>
          <w:b w:val="0"/>
          <w:bCs/>
          <w:snapToGrid/>
          <w:spacing w:val="12"/>
          <w:kern w:val="0"/>
          <w:sz w:val="40"/>
          <w:szCs w:val="40"/>
        </w:rPr>
      </w:pPr>
      <w:r w:rsidRPr="00642961">
        <w:rPr>
          <w:sz w:val="40"/>
          <w:szCs w:val="40"/>
        </w:rPr>
        <w:t>楊美鈴</w:t>
      </w:r>
    </w:p>
    <w:p w:rsidR="00642961" w:rsidRPr="00642961" w:rsidRDefault="00642961" w:rsidP="00642961">
      <w:pPr>
        <w:pStyle w:val="aa"/>
        <w:spacing w:before="0" w:after="0"/>
        <w:ind w:leftChars="1751" w:left="6796" w:hanging="840"/>
        <w:rPr>
          <w:b w:val="0"/>
          <w:bCs/>
          <w:snapToGrid/>
          <w:spacing w:val="0"/>
          <w:kern w:val="0"/>
          <w:sz w:val="40"/>
          <w:szCs w:val="40"/>
        </w:rPr>
      </w:pPr>
      <w:bookmarkStart w:id="133" w:name="_GoBack"/>
      <w:bookmarkEnd w:id="133"/>
      <w:r w:rsidRPr="00642961">
        <w:rPr>
          <w:sz w:val="40"/>
          <w:szCs w:val="40"/>
        </w:rPr>
        <w:t>章仁香</w:t>
      </w:r>
    </w:p>
    <w:p w:rsidR="00642961" w:rsidRDefault="00642961" w:rsidP="00642961">
      <w:pPr>
        <w:pStyle w:val="aa"/>
        <w:spacing w:before="0" w:after="0"/>
        <w:ind w:leftChars="1100" w:left="3742" w:firstLineChars="500" w:firstLine="1901"/>
        <w:rPr>
          <w:b w:val="0"/>
          <w:bCs/>
          <w:snapToGrid/>
          <w:spacing w:val="0"/>
          <w:kern w:val="0"/>
        </w:rPr>
      </w:pPr>
    </w:p>
    <w:p w:rsidR="00642961" w:rsidRDefault="00642961" w:rsidP="00642961">
      <w:pPr>
        <w:pStyle w:val="aa"/>
        <w:spacing w:before="0" w:after="0"/>
        <w:ind w:leftChars="1100" w:left="3742" w:firstLineChars="500" w:firstLine="1901"/>
        <w:rPr>
          <w:b w:val="0"/>
          <w:bCs/>
          <w:snapToGrid/>
          <w:spacing w:val="0"/>
          <w:kern w:val="0"/>
        </w:rPr>
      </w:pPr>
    </w:p>
    <w:p w:rsidR="00642961" w:rsidRDefault="00642961" w:rsidP="00642961">
      <w:pPr>
        <w:pStyle w:val="aa"/>
        <w:spacing w:before="0" w:after="0"/>
        <w:ind w:leftChars="1100" w:left="3742" w:firstLineChars="500" w:firstLine="1901"/>
        <w:rPr>
          <w:b w:val="0"/>
          <w:bCs/>
          <w:snapToGrid/>
          <w:spacing w:val="0"/>
          <w:kern w:val="0"/>
        </w:rPr>
      </w:pPr>
    </w:p>
    <w:p w:rsidR="00642961" w:rsidRDefault="00642961" w:rsidP="00642961">
      <w:pPr>
        <w:pStyle w:val="aa"/>
        <w:spacing w:before="0" w:after="0"/>
        <w:ind w:leftChars="1100" w:left="3742" w:firstLineChars="500" w:firstLine="1901"/>
        <w:rPr>
          <w:b w:val="0"/>
          <w:bCs/>
          <w:snapToGrid/>
          <w:spacing w:val="0"/>
          <w:kern w:val="0"/>
        </w:rPr>
      </w:pPr>
    </w:p>
    <w:p w:rsidR="00642961" w:rsidRPr="00C17171" w:rsidRDefault="00642961" w:rsidP="00642961">
      <w:pPr>
        <w:pStyle w:val="af1"/>
        <w:kinsoku/>
        <w:autoSpaceDE w:val="0"/>
        <w:spacing w:beforeLines="50" w:before="228"/>
        <w:ind w:left="1037" w:hangingChars="305" w:hanging="1037"/>
        <w:rPr>
          <w:rFonts w:hAnsi="標楷體"/>
          <w:bCs/>
        </w:rPr>
      </w:pPr>
      <w:r>
        <w:rPr>
          <w:rFonts w:hint="eastAsia"/>
          <w:bCs/>
        </w:rPr>
        <w:t xml:space="preserve">中    華    民    國   105  年   </w:t>
      </w:r>
      <w:r>
        <w:rPr>
          <w:rFonts w:hint="eastAsia"/>
          <w:bCs/>
        </w:rPr>
        <w:t>6</w:t>
      </w:r>
      <w:r>
        <w:rPr>
          <w:rFonts w:hint="eastAsia"/>
          <w:bCs/>
        </w:rPr>
        <w:t xml:space="preserve">   月   </w:t>
      </w:r>
      <w:r>
        <w:rPr>
          <w:rFonts w:hint="eastAsia"/>
          <w:bCs/>
        </w:rPr>
        <w:t>6</w:t>
      </w:r>
      <w:r>
        <w:rPr>
          <w:rFonts w:hint="eastAsia"/>
          <w:bCs/>
        </w:rPr>
        <w:t xml:space="preserve">   日</w:t>
      </w:r>
    </w:p>
    <w:p w:rsidR="00642961" w:rsidRPr="00642961" w:rsidRDefault="00642961" w:rsidP="00A2453F">
      <w:pPr>
        <w:pStyle w:val="af1"/>
        <w:kinsoku/>
        <w:autoSpaceDE w:val="0"/>
        <w:spacing w:beforeLines="50" w:before="228"/>
        <w:ind w:left="1020" w:hanging="1020"/>
        <w:rPr>
          <w:rFonts w:hint="eastAsia"/>
          <w:kern w:val="32"/>
        </w:rPr>
      </w:pPr>
    </w:p>
    <w:sectPr w:rsidR="00642961" w:rsidRPr="00642961" w:rsidSect="00D56767">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17" w:rsidRDefault="00213D17">
      <w:r>
        <w:separator/>
      </w:r>
    </w:p>
  </w:endnote>
  <w:endnote w:type="continuationSeparator" w:id="0">
    <w:p w:rsidR="00213D17" w:rsidRDefault="0021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7B" w:rsidRDefault="00B663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42961">
      <w:rPr>
        <w:rStyle w:val="ad"/>
        <w:noProof/>
        <w:sz w:val="24"/>
      </w:rPr>
      <w:t>22</w:t>
    </w:r>
    <w:r>
      <w:rPr>
        <w:rStyle w:val="ad"/>
        <w:sz w:val="24"/>
      </w:rPr>
      <w:fldChar w:fldCharType="end"/>
    </w:r>
  </w:p>
  <w:p w:rsidR="00B6637B" w:rsidRDefault="00B6637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17" w:rsidRDefault="00213D17">
      <w:r>
        <w:separator/>
      </w:r>
    </w:p>
  </w:footnote>
  <w:footnote w:type="continuationSeparator" w:id="0">
    <w:p w:rsidR="00213D17" w:rsidRDefault="00213D17">
      <w:r>
        <w:continuationSeparator/>
      </w:r>
    </w:p>
  </w:footnote>
  <w:footnote w:id="1">
    <w:p w:rsidR="00B6637B" w:rsidRDefault="00B6637B">
      <w:pPr>
        <w:pStyle w:val="afd"/>
      </w:pPr>
      <w:r>
        <w:rPr>
          <w:rStyle w:val="aff"/>
        </w:rPr>
        <w:footnoteRef/>
      </w:r>
      <w:r>
        <w:t xml:space="preserve"> </w:t>
      </w:r>
      <w:r>
        <w:rPr>
          <w:rFonts w:hint="eastAsia"/>
        </w:rPr>
        <w:t>環保署</w:t>
      </w:r>
      <w:r>
        <w:rPr>
          <w:rFonts w:hint="eastAsia"/>
        </w:rPr>
        <w:t>107</w:t>
      </w:r>
      <w:r>
        <w:rPr>
          <w:rFonts w:hint="eastAsia"/>
        </w:rPr>
        <w:t>年</w:t>
      </w:r>
      <w:r>
        <w:rPr>
          <w:rFonts w:hint="eastAsia"/>
        </w:rPr>
        <w:t>3</w:t>
      </w:r>
      <w:r>
        <w:rPr>
          <w:rFonts w:hint="eastAsia"/>
        </w:rPr>
        <w:t>閱</w:t>
      </w:r>
      <w:r>
        <w:rPr>
          <w:rFonts w:hint="eastAsia"/>
        </w:rPr>
        <w:t>7</w:t>
      </w:r>
      <w:r>
        <w:rPr>
          <w:rFonts w:hint="eastAsia"/>
        </w:rPr>
        <w:t>日環</w:t>
      </w:r>
      <w:proofErr w:type="gramStart"/>
      <w:r>
        <w:rPr>
          <w:rFonts w:hint="eastAsia"/>
        </w:rPr>
        <w:t>署土字</w:t>
      </w:r>
      <w:proofErr w:type="gramEnd"/>
      <w:r>
        <w:rPr>
          <w:rFonts w:hint="eastAsia"/>
        </w:rPr>
        <w:t>第</w:t>
      </w:r>
      <w:r>
        <w:rPr>
          <w:rFonts w:hint="eastAsia"/>
        </w:rPr>
        <w:t>1070013710</w:t>
      </w:r>
      <w:r>
        <w:rPr>
          <w:rFonts w:hint="eastAsia"/>
        </w:rPr>
        <w:t>號函。</w:t>
      </w:r>
    </w:p>
  </w:footnote>
  <w:footnote w:id="2">
    <w:p w:rsidR="00B6637B" w:rsidRPr="00EF1C77" w:rsidRDefault="00B6637B" w:rsidP="003961B5">
      <w:pPr>
        <w:pStyle w:val="afd"/>
      </w:pPr>
      <w:r>
        <w:rPr>
          <w:rStyle w:val="aff"/>
        </w:rPr>
        <w:footnoteRef/>
      </w:r>
      <w:r>
        <w:t xml:space="preserve"> </w:t>
      </w:r>
      <w:r>
        <w:rPr>
          <w:rFonts w:hint="eastAsia"/>
        </w:rPr>
        <w:t>環保署</w:t>
      </w:r>
      <w:r>
        <w:rPr>
          <w:rFonts w:hint="eastAsia"/>
        </w:rPr>
        <w:t>107</w:t>
      </w:r>
      <w:r>
        <w:rPr>
          <w:rFonts w:hint="eastAsia"/>
        </w:rPr>
        <w:t>年</w:t>
      </w:r>
      <w:r>
        <w:rPr>
          <w:rFonts w:hint="eastAsia"/>
        </w:rPr>
        <w:t>3</w:t>
      </w:r>
      <w:r>
        <w:rPr>
          <w:rFonts w:hint="eastAsia"/>
        </w:rPr>
        <w:t>月</w:t>
      </w:r>
      <w:r>
        <w:rPr>
          <w:rFonts w:hint="eastAsia"/>
        </w:rPr>
        <w:t>7</w:t>
      </w:r>
      <w:r>
        <w:rPr>
          <w:rFonts w:hint="eastAsia"/>
        </w:rPr>
        <w:t>日環</w:t>
      </w:r>
      <w:proofErr w:type="gramStart"/>
      <w:r>
        <w:rPr>
          <w:rFonts w:hint="eastAsia"/>
        </w:rPr>
        <w:t>署土字</w:t>
      </w:r>
      <w:proofErr w:type="gramEnd"/>
      <w:r>
        <w:rPr>
          <w:rFonts w:hint="eastAsia"/>
        </w:rPr>
        <w:t>第</w:t>
      </w:r>
      <w:r>
        <w:rPr>
          <w:rFonts w:hint="eastAsia"/>
        </w:rPr>
        <w:t>1070013710</w:t>
      </w:r>
      <w:r>
        <w:rPr>
          <w:rFonts w:hint="eastAsia"/>
        </w:rPr>
        <w:t>號函。</w:t>
      </w:r>
      <w:r>
        <w:rPr>
          <w:rFonts w:hint="eastAsia"/>
        </w:rPr>
        <w:t xml:space="preserve">                                    </w:t>
      </w:r>
    </w:p>
  </w:footnote>
  <w:footnote w:id="3">
    <w:p w:rsidR="00B6637B" w:rsidRDefault="00B6637B">
      <w:pPr>
        <w:pStyle w:val="afd"/>
      </w:pPr>
      <w:r>
        <w:rPr>
          <w:rStyle w:val="aff"/>
        </w:rPr>
        <w:footnoteRef/>
      </w:r>
      <w:r>
        <w:rPr>
          <w:rFonts w:hint="eastAsia"/>
        </w:rPr>
        <w:t xml:space="preserve"> </w:t>
      </w:r>
      <w:r w:rsidRPr="00D966D3">
        <w:rPr>
          <w:rFonts w:hint="eastAsia"/>
        </w:rPr>
        <w:t>工業類別，係指「農田水利會灌溉水質監視作業規範」附表四所列各類別扣除畜牧業、屠宰業、農舍及其他類別之其餘</w:t>
      </w:r>
      <w:r w:rsidRPr="00D966D3">
        <w:rPr>
          <w:rFonts w:hint="eastAsia"/>
        </w:rPr>
        <w:t>16</w:t>
      </w:r>
      <w:r w:rsidRPr="00D966D3">
        <w:rPr>
          <w:rFonts w:hint="eastAsia"/>
        </w:rPr>
        <w:t>項工業相關類別</w:t>
      </w:r>
      <w:r>
        <w:rPr>
          <w:rFonts w:hint="eastAsia"/>
        </w:rPr>
        <w:t>；包括：製造業、</w:t>
      </w:r>
      <w:proofErr w:type="gramStart"/>
      <w:r>
        <w:rPr>
          <w:rFonts w:hint="eastAsia"/>
        </w:rPr>
        <w:t>製粉業</w:t>
      </w:r>
      <w:proofErr w:type="gramEnd"/>
      <w:r>
        <w:rPr>
          <w:rFonts w:hint="eastAsia"/>
        </w:rPr>
        <w:t>、紡織染紙業、化工業、</w:t>
      </w:r>
      <w:r w:rsidRPr="009A4A29">
        <w:rPr>
          <w:rFonts w:hint="eastAsia"/>
        </w:rPr>
        <w:t>鋼鐵機械業</w:t>
      </w:r>
      <w:r>
        <w:rPr>
          <w:rFonts w:hint="eastAsia"/>
        </w:rPr>
        <w:t>、</w:t>
      </w:r>
      <w:r w:rsidRPr="009A4A29">
        <w:rPr>
          <w:rFonts w:hint="eastAsia"/>
        </w:rPr>
        <w:t>電鍍處理業</w:t>
      </w:r>
      <w:r>
        <w:rPr>
          <w:rFonts w:hint="eastAsia"/>
        </w:rPr>
        <w:t>…</w:t>
      </w:r>
      <w:proofErr w:type="gramStart"/>
      <w:r>
        <w:rPr>
          <w:rFonts w:hint="eastAsia"/>
        </w:rPr>
        <w:t>…</w:t>
      </w:r>
      <w:proofErr w:type="gramEnd"/>
      <w:r>
        <w:rPr>
          <w:rFonts w:hint="eastAsia"/>
        </w:rPr>
        <w:t>等。</w:t>
      </w:r>
    </w:p>
  </w:footnote>
  <w:footnote w:id="4">
    <w:p w:rsidR="00B6637B" w:rsidRPr="00B92E47" w:rsidRDefault="00B6637B">
      <w:pPr>
        <w:pStyle w:val="afd"/>
      </w:pPr>
      <w:r>
        <w:rPr>
          <w:rStyle w:val="aff"/>
        </w:rPr>
        <w:footnoteRef/>
      </w:r>
      <w:r>
        <w:rPr>
          <w:rFonts w:hint="eastAsia"/>
        </w:rPr>
        <w:t xml:space="preserve"> </w:t>
      </w:r>
      <w:r>
        <w:rPr>
          <w:rFonts w:hint="eastAsia"/>
        </w:rPr>
        <w:t>農委會</w:t>
      </w:r>
      <w:r>
        <w:rPr>
          <w:rFonts w:hint="eastAsia"/>
        </w:rPr>
        <w:t>107</w:t>
      </w:r>
      <w:r>
        <w:rPr>
          <w:rFonts w:hint="eastAsia"/>
        </w:rPr>
        <w:t>年</w:t>
      </w:r>
      <w:r>
        <w:rPr>
          <w:rFonts w:hint="eastAsia"/>
        </w:rPr>
        <w:t>4</w:t>
      </w:r>
      <w:r>
        <w:rPr>
          <w:rFonts w:hint="eastAsia"/>
        </w:rPr>
        <w:t>月</w:t>
      </w:r>
      <w:r>
        <w:rPr>
          <w:rFonts w:hint="eastAsia"/>
        </w:rPr>
        <w:t>24</w:t>
      </w:r>
      <w:r>
        <w:rPr>
          <w:rFonts w:hint="eastAsia"/>
        </w:rPr>
        <w:t>日</w:t>
      </w:r>
      <w:proofErr w:type="gramStart"/>
      <w:r>
        <w:rPr>
          <w:rFonts w:hint="eastAsia"/>
        </w:rPr>
        <w:t>農糧字第</w:t>
      </w:r>
      <w:r>
        <w:rPr>
          <w:rFonts w:hint="eastAsia"/>
        </w:rPr>
        <w:t>1070212995</w:t>
      </w:r>
      <w:r>
        <w:rPr>
          <w:rFonts w:hint="eastAsia"/>
        </w:rPr>
        <w:t>號</w:t>
      </w:r>
      <w:proofErr w:type="gramEnd"/>
      <w:r>
        <w:rPr>
          <w:rFonts w:hint="eastAsia"/>
        </w:rPr>
        <w:t>函。</w:t>
      </w:r>
    </w:p>
  </w:footnote>
  <w:footnote w:id="5">
    <w:p w:rsidR="00B6637B" w:rsidRDefault="00B6637B">
      <w:pPr>
        <w:pStyle w:val="afd"/>
      </w:pPr>
      <w:r>
        <w:rPr>
          <w:rStyle w:val="aff"/>
        </w:rPr>
        <w:footnoteRef/>
      </w:r>
      <w:r>
        <w:rPr>
          <w:rFonts w:hint="eastAsia"/>
        </w:rPr>
        <w:t xml:space="preserve"> </w:t>
      </w:r>
      <w:r>
        <w:rPr>
          <w:rFonts w:hint="eastAsia"/>
        </w:rPr>
        <w:t>環保署</w:t>
      </w:r>
      <w:r>
        <w:rPr>
          <w:rFonts w:hint="eastAsia"/>
        </w:rPr>
        <w:t>107</w:t>
      </w:r>
      <w:r>
        <w:rPr>
          <w:rFonts w:hint="eastAsia"/>
        </w:rPr>
        <w:t>年</w:t>
      </w:r>
      <w:r>
        <w:rPr>
          <w:rFonts w:hint="eastAsia"/>
        </w:rPr>
        <w:t>3</w:t>
      </w:r>
      <w:r>
        <w:rPr>
          <w:rFonts w:hint="eastAsia"/>
        </w:rPr>
        <w:t>月</w:t>
      </w:r>
      <w:r>
        <w:rPr>
          <w:rFonts w:hint="eastAsia"/>
        </w:rPr>
        <w:t>7</w:t>
      </w:r>
      <w:r>
        <w:rPr>
          <w:rFonts w:hint="eastAsia"/>
        </w:rPr>
        <w:t>日環</w:t>
      </w:r>
      <w:proofErr w:type="gramStart"/>
      <w:r>
        <w:rPr>
          <w:rFonts w:hint="eastAsia"/>
        </w:rPr>
        <w:t>署土字</w:t>
      </w:r>
      <w:proofErr w:type="gramEnd"/>
      <w:r>
        <w:rPr>
          <w:rFonts w:hint="eastAsia"/>
        </w:rPr>
        <w:t>第</w:t>
      </w:r>
      <w:r>
        <w:rPr>
          <w:rFonts w:hint="eastAsia"/>
        </w:rPr>
        <w:t>1070013710</w:t>
      </w:r>
      <w:r>
        <w:rPr>
          <w:rFonts w:hint="eastAsia"/>
        </w:rPr>
        <w:t>號函。</w:t>
      </w:r>
      <w:r>
        <w:rPr>
          <w:rFonts w:hint="eastAsia"/>
        </w:rPr>
        <w:t xml:space="preserve">  </w:t>
      </w:r>
    </w:p>
  </w:footnote>
  <w:footnote w:id="6">
    <w:p w:rsidR="00B6637B" w:rsidRDefault="00B6637B">
      <w:pPr>
        <w:pStyle w:val="afd"/>
      </w:pPr>
      <w:r w:rsidRPr="0085734E">
        <w:rPr>
          <w:rStyle w:val="aff"/>
        </w:rPr>
        <w:footnoteRef/>
      </w:r>
      <w:r w:rsidRPr="0085734E">
        <w:t xml:space="preserve"> </w:t>
      </w:r>
      <w:r w:rsidRPr="0085734E">
        <w:rPr>
          <w:rFonts w:hint="eastAsia"/>
        </w:rPr>
        <w:t>農委會</w:t>
      </w:r>
      <w:r w:rsidRPr="0085734E">
        <w:rPr>
          <w:rFonts w:hint="eastAsia"/>
        </w:rPr>
        <w:t>107</w:t>
      </w:r>
      <w:r w:rsidRPr="0085734E">
        <w:rPr>
          <w:rFonts w:hint="eastAsia"/>
        </w:rPr>
        <w:t>年</w:t>
      </w:r>
      <w:r w:rsidRPr="0085734E">
        <w:rPr>
          <w:rFonts w:hint="eastAsia"/>
        </w:rPr>
        <w:t>4</w:t>
      </w:r>
      <w:r w:rsidRPr="0085734E">
        <w:rPr>
          <w:rFonts w:hint="eastAsia"/>
        </w:rPr>
        <w:t>月</w:t>
      </w:r>
      <w:r w:rsidRPr="0085734E">
        <w:rPr>
          <w:rFonts w:hint="eastAsia"/>
        </w:rPr>
        <w:t>24</w:t>
      </w:r>
      <w:r w:rsidRPr="0085734E">
        <w:rPr>
          <w:rFonts w:hint="eastAsia"/>
        </w:rPr>
        <w:t>日</w:t>
      </w:r>
      <w:proofErr w:type="gramStart"/>
      <w:r w:rsidRPr="0085734E">
        <w:rPr>
          <w:rFonts w:hint="eastAsia"/>
        </w:rPr>
        <w:t>農糧字第</w:t>
      </w:r>
      <w:r w:rsidRPr="0085734E">
        <w:rPr>
          <w:rFonts w:hint="eastAsia"/>
        </w:rPr>
        <w:t>1070212995</w:t>
      </w:r>
      <w:r w:rsidRPr="0085734E">
        <w:rPr>
          <w:rFonts w:hint="eastAsia"/>
        </w:rPr>
        <w:t>號</w:t>
      </w:r>
      <w:proofErr w:type="gramEnd"/>
      <w:r w:rsidRPr="0085734E">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75077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651D2D"/>
    <w:multiLevelType w:val="hybridMultilevel"/>
    <w:tmpl w:val="14FE92B4"/>
    <w:lvl w:ilvl="0" w:tplc="A396394E">
      <w:start w:val="1"/>
      <w:numFmt w:val="taiwaneseCountingThousand"/>
      <w:suff w:val="nothing"/>
      <w:lvlText w:val="%1、"/>
      <w:lvlJc w:val="left"/>
      <w:pPr>
        <w:ind w:left="1134" w:hanging="141"/>
      </w:pPr>
      <w:rPr>
        <w:rFonts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D42"/>
    <w:rsid w:val="00006961"/>
    <w:rsid w:val="000112BF"/>
    <w:rsid w:val="00011BAF"/>
    <w:rsid w:val="00012233"/>
    <w:rsid w:val="00013C99"/>
    <w:rsid w:val="00014A3E"/>
    <w:rsid w:val="00017318"/>
    <w:rsid w:val="0002134A"/>
    <w:rsid w:val="000246F7"/>
    <w:rsid w:val="00026A4B"/>
    <w:rsid w:val="0003114D"/>
    <w:rsid w:val="00036D76"/>
    <w:rsid w:val="00043225"/>
    <w:rsid w:val="00043E1B"/>
    <w:rsid w:val="00053A7F"/>
    <w:rsid w:val="00053B67"/>
    <w:rsid w:val="00057F32"/>
    <w:rsid w:val="000624F0"/>
    <w:rsid w:val="00062A25"/>
    <w:rsid w:val="00073CB5"/>
    <w:rsid w:val="0007425C"/>
    <w:rsid w:val="00077553"/>
    <w:rsid w:val="00084784"/>
    <w:rsid w:val="000851A2"/>
    <w:rsid w:val="00085969"/>
    <w:rsid w:val="00086E5A"/>
    <w:rsid w:val="000903D4"/>
    <w:rsid w:val="0009192C"/>
    <w:rsid w:val="0009352E"/>
    <w:rsid w:val="00096B96"/>
    <w:rsid w:val="000A009D"/>
    <w:rsid w:val="000A2F3F"/>
    <w:rsid w:val="000B0B4A"/>
    <w:rsid w:val="000B279A"/>
    <w:rsid w:val="000B61D2"/>
    <w:rsid w:val="000B70A7"/>
    <w:rsid w:val="000B7278"/>
    <w:rsid w:val="000B73DD"/>
    <w:rsid w:val="000B7700"/>
    <w:rsid w:val="000C0BE9"/>
    <w:rsid w:val="000C1236"/>
    <w:rsid w:val="000C16DD"/>
    <w:rsid w:val="000C495F"/>
    <w:rsid w:val="000C6AFC"/>
    <w:rsid w:val="000D6EF1"/>
    <w:rsid w:val="000E6431"/>
    <w:rsid w:val="000F21A5"/>
    <w:rsid w:val="000F5649"/>
    <w:rsid w:val="000F733F"/>
    <w:rsid w:val="00102B9F"/>
    <w:rsid w:val="00112637"/>
    <w:rsid w:val="00112ABC"/>
    <w:rsid w:val="0012001E"/>
    <w:rsid w:val="00126A55"/>
    <w:rsid w:val="00132D29"/>
    <w:rsid w:val="00133F08"/>
    <w:rsid w:val="001345E6"/>
    <w:rsid w:val="001378B0"/>
    <w:rsid w:val="00142E00"/>
    <w:rsid w:val="00152793"/>
    <w:rsid w:val="00153B7E"/>
    <w:rsid w:val="001545A9"/>
    <w:rsid w:val="001637C7"/>
    <w:rsid w:val="0016480E"/>
    <w:rsid w:val="00174297"/>
    <w:rsid w:val="00180E06"/>
    <w:rsid w:val="001817B3"/>
    <w:rsid w:val="001826C8"/>
    <w:rsid w:val="00183014"/>
    <w:rsid w:val="0018460B"/>
    <w:rsid w:val="001959C2"/>
    <w:rsid w:val="001A21F9"/>
    <w:rsid w:val="001A51E3"/>
    <w:rsid w:val="001A7968"/>
    <w:rsid w:val="001B2E98"/>
    <w:rsid w:val="001B3483"/>
    <w:rsid w:val="001B3C1E"/>
    <w:rsid w:val="001B4494"/>
    <w:rsid w:val="001C0D8B"/>
    <w:rsid w:val="001C0DA8"/>
    <w:rsid w:val="001D0212"/>
    <w:rsid w:val="001D1B53"/>
    <w:rsid w:val="001D40A7"/>
    <w:rsid w:val="001D4AD7"/>
    <w:rsid w:val="001E0D8A"/>
    <w:rsid w:val="001E67BA"/>
    <w:rsid w:val="001E74C2"/>
    <w:rsid w:val="001F4F82"/>
    <w:rsid w:val="001F5A48"/>
    <w:rsid w:val="001F6260"/>
    <w:rsid w:val="00200007"/>
    <w:rsid w:val="00200D47"/>
    <w:rsid w:val="002030A5"/>
    <w:rsid w:val="00203131"/>
    <w:rsid w:val="00212E88"/>
    <w:rsid w:val="00213C9C"/>
    <w:rsid w:val="00213D17"/>
    <w:rsid w:val="002145BE"/>
    <w:rsid w:val="00215100"/>
    <w:rsid w:val="0022009E"/>
    <w:rsid w:val="00222146"/>
    <w:rsid w:val="00223241"/>
    <w:rsid w:val="0022425C"/>
    <w:rsid w:val="002246DE"/>
    <w:rsid w:val="00227E7F"/>
    <w:rsid w:val="0024102A"/>
    <w:rsid w:val="00252BC4"/>
    <w:rsid w:val="00254014"/>
    <w:rsid w:val="00254B39"/>
    <w:rsid w:val="0026504D"/>
    <w:rsid w:val="002708CF"/>
    <w:rsid w:val="00271DE2"/>
    <w:rsid w:val="00273A2F"/>
    <w:rsid w:val="00277644"/>
    <w:rsid w:val="00280986"/>
    <w:rsid w:val="00281ECE"/>
    <w:rsid w:val="002831C7"/>
    <w:rsid w:val="002840C6"/>
    <w:rsid w:val="00295174"/>
    <w:rsid w:val="00296172"/>
    <w:rsid w:val="00296B92"/>
    <w:rsid w:val="002A2C22"/>
    <w:rsid w:val="002A388D"/>
    <w:rsid w:val="002B02EB"/>
    <w:rsid w:val="002B6F97"/>
    <w:rsid w:val="002C0602"/>
    <w:rsid w:val="002C7C42"/>
    <w:rsid w:val="002D185A"/>
    <w:rsid w:val="002D5C16"/>
    <w:rsid w:val="002E5F2F"/>
    <w:rsid w:val="002F0B3E"/>
    <w:rsid w:val="002F2476"/>
    <w:rsid w:val="002F3DFF"/>
    <w:rsid w:val="002F5E05"/>
    <w:rsid w:val="00307A76"/>
    <w:rsid w:val="00310AFB"/>
    <w:rsid w:val="00315A16"/>
    <w:rsid w:val="00317053"/>
    <w:rsid w:val="0032109C"/>
    <w:rsid w:val="00321DEF"/>
    <w:rsid w:val="00322B45"/>
    <w:rsid w:val="00323809"/>
    <w:rsid w:val="00323D41"/>
    <w:rsid w:val="00325414"/>
    <w:rsid w:val="00326E5C"/>
    <w:rsid w:val="003302F1"/>
    <w:rsid w:val="00332393"/>
    <w:rsid w:val="0033430D"/>
    <w:rsid w:val="0034470E"/>
    <w:rsid w:val="003460A2"/>
    <w:rsid w:val="00346297"/>
    <w:rsid w:val="00352DB0"/>
    <w:rsid w:val="00361063"/>
    <w:rsid w:val="0037094A"/>
    <w:rsid w:val="00371ED3"/>
    <w:rsid w:val="00372FFC"/>
    <w:rsid w:val="0037728A"/>
    <w:rsid w:val="00380B7D"/>
    <w:rsid w:val="00381A99"/>
    <w:rsid w:val="003829C2"/>
    <w:rsid w:val="003830B2"/>
    <w:rsid w:val="00383F96"/>
    <w:rsid w:val="00384724"/>
    <w:rsid w:val="00384D2F"/>
    <w:rsid w:val="00386E81"/>
    <w:rsid w:val="003919B7"/>
    <w:rsid w:val="00391D57"/>
    <w:rsid w:val="00392292"/>
    <w:rsid w:val="00394F45"/>
    <w:rsid w:val="003961B5"/>
    <w:rsid w:val="003A5927"/>
    <w:rsid w:val="003A7F35"/>
    <w:rsid w:val="003B1017"/>
    <w:rsid w:val="003B245D"/>
    <w:rsid w:val="003B3C07"/>
    <w:rsid w:val="003B4933"/>
    <w:rsid w:val="003B6081"/>
    <w:rsid w:val="003B6775"/>
    <w:rsid w:val="003C0F63"/>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6FA0"/>
    <w:rsid w:val="0044346F"/>
    <w:rsid w:val="00453FF6"/>
    <w:rsid w:val="0046520A"/>
    <w:rsid w:val="004672AB"/>
    <w:rsid w:val="00470FCE"/>
    <w:rsid w:val="004714FE"/>
    <w:rsid w:val="004772EB"/>
    <w:rsid w:val="00477BAA"/>
    <w:rsid w:val="00480AE0"/>
    <w:rsid w:val="00480F5B"/>
    <w:rsid w:val="00495053"/>
    <w:rsid w:val="004A1F59"/>
    <w:rsid w:val="004A29BE"/>
    <w:rsid w:val="004A3225"/>
    <w:rsid w:val="004A33EE"/>
    <w:rsid w:val="004A3AA8"/>
    <w:rsid w:val="004B13C7"/>
    <w:rsid w:val="004B778F"/>
    <w:rsid w:val="004C0609"/>
    <w:rsid w:val="004C405A"/>
    <w:rsid w:val="004C5944"/>
    <w:rsid w:val="004D06B7"/>
    <w:rsid w:val="004D1253"/>
    <w:rsid w:val="004D141F"/>
    <w:rsid w:val="004D2742"/>
    <w:rsid w:val="004D6310"/>
    <w:rsid w:val="004D672B"/>
    <w:rsid w:val="004E0062"/>
    <w:rsid w:val="004E05A1"/>
    <w:rsid w:val="004E160A"/>
    <w:rsid w:val="004F472A"/>
    <w:rsid w:val="004F5E57"/>
    <w:rsid w:val="004F6710"/>
    <w:rsid w:val="00500C3E"/>
    <w:rsid w:val="00502849"/>
    <w:rsid w:val="00504334"/>
    <w:rsid w:val="0050498D"/>
    <w:rsid w:val="005104D7"/>
    <w:rsid w:val="00510B9E"/>
    <w:rsid w:val="00536BC2"/>
    <w:rsid w:val="0054016A"/>
    <w:rsid w:val="005425E1"/>
    <w:rsid w:val="005427C5"/>
    <w:rsid w:val="00542CF6"/>
    <w:rsid w:val="00553C03"/>
    <w:rsid w:val="00563692"/>
    <w:rsid w:val="00571679"/>
    <w:rsid w:val="00573930"/>
    <w:rsid w:val="005844E7"/>
    <w:rsid w:val="005908B8"/>
    <w:rsid w:val="00590EF5"/>
    <w:rsid w:val="0059512E"/>
    <w:rsid w:val="005A6DD2"/>
    <w:rsid w:val="005C385D"/>
    <w:rsid w:val="005D3B20"/>
    <w:rsid w:val="005E4759"/>
    <w:rsid w:val="005E5C68"/>
    <w:rsid w:val="005E65C0"/>
    <w:rsid w:val="005F0390"/>
    <w:rsid w:val="006072CD"/>
    <w:rsid w:val="00612023"/>
    <w:rsid w:val="00614190"/>
    <w:rsid w:val="00614591"/>
    <w:rsid w:val="00622A99"/>
    <w:rsid w:val="00622E67"/>
    <w:rsid w:val="00626B57"/>
    <w:rsid w:val="00626EDC"/>
    <w:rsid w:val="0063122B"/>
    <w:rsid w:val="00631D1A"/>
    <w:rsid w:val="00640B7D"/>
    <w:rsid w:val="00642961"/>
    <w:rsid w:val="006470EC"/>
    <w:rsid w:val="006542D6"/>
    <w:rsid w:val="0065598E"/>
    <w:rsid w:val="00655AF2"/>
    <w:rsid w:val="00655BC5"/>
    <w:rsid w:val="006568BE"/>
    <w:rsid w:val="006573FE"/>
    <w:rsid w:val="0066025D"/>
    <w:rsid w:val="0066091A"/>
    <w:rsid w:val="00660D61"/>
    <w:rsid w:val="006773EC"/>
    <w:rsid w:val="00680504"/>
    <w:rsid w:val="00681CD9"/>
    <w:rsid w:val="00683E30"/>
    <w:rsid w:val="00687024"/>
    <w:rsid w:val="00695E22"/>
    <w:rsid w:val="006B7093"/>
    <w:rsid w:val="006B7417"/>
    <w:rsid w:val="006C2E0D"/>
    <w:rsid w:val="006C6414"/>
    <w:rsid w:val="006D0ADB"/>
    <w:rsid w:val="006D3691"/>
    <w:rsid w:val="006E5EF0"/>
    <w:rsid w:val="006F3563"/>
    <w:rsid w:val="006F42B9"/>
    <w:rsid w:val="006F6103"/>
    <w:rsid w:val="0070450C"/>
    <w:rsid w:val="00704E00"/>
    <w:rsid w:val="007209E7"/>
    <w:rsid w:val="00724512"/>
    <w:rsid w:val="00726182"/>
    <w:rsid w:val="00727635"/>
    <w:rsid w:val="00732329"/>
    <w:rsid w:val="007337CA"/>
    <w:rsid w:val="00734CE4"/>
    <w:rsid w:val="00735123"/>
    <w:rsid w:val="00741837"/>
    <w:rsid w:val="007453E6"/>
    <w:rsid w:val="00745962"/>
    <w:rsid w:val="0076004A"/>
    <w:rsid w:val="00765883"/>
    <w:rsid w:val="00767DAB"/>
    <w:rsid w:val="0077309D"/>
    <w:rsid w:val="007774EE"/>
    <w:rsid w:val="00780107"/>
    <w:rsid w:val="00781822"/>
    <w:rsid w:val="00783F21"/>
    <w:rsid w:val="00787159"/>
    <w:rsid w:val="0079043A"/>
    <w:rsid w:val="00791668"/>
    <w:rsid w:val="00791AA1"/>
    <w:rsid w:val="00794797"/>
    <w:rsid w:val="007A33D3"/>
    <w:rsid w:val="007A3793"/>
    <w:rsid w:val="007B0F74"/>
    <w:rsid w:val="007C097C"/>
    <w:rsid w:val="007C14C5"/>
    <w:rsid w:val="007C19A7"/>
    <w:rsid w:val="007C1BA2"/>
    <w:rsid w:val="007C2B48"/>
    <w:rsid w:val="007C79BA"/>
    <w:rsid w:val="007D20E9"/>
    <w:rsid w:val="007D26C5"/>
    <w:rsid w:val="007D7881"/>
    <w:rsid w:val="007D7E3A"/>
    <w:rsid w:val="007E0AA2"/>
    <w:rsid w:val="007E0E10"/>
    <w:rsid w:val="007E4768"/>
    <w:rsid w:val="007E693E"/>
    <w:rsid w:val="007E777B"/>
    <w:rsid w:val="007F2070"/>
    <w:rsid w:val="007F63C1"/>
    <w:rsid w:val="008053F5"/>
    <w:rsid w:val="00807AF7"/>
    <w:rsid w:val="00810198"/>
    <w:rsid w:val="00810DA4"/>
    <w:rsid w:val="00815DA8"/>
    <w:rsid w:val="0082194D"/>
    <w:rsid w:val="008221F9"/>
    <w:rsid w:val="00823745"/>
    <w:rsid w:val="00826EF5"/>
    <w:rsid w:val="00831693"/>
    <w:rsid w:val="00831B31"/>
    <w:rsid w:val="00840104"/>
    <w:rsid w:val="00840C1F"/>
    <w:rsid w:val="008411C9"/>
    <w:rsid w:val="00841FC5"/>
    <w:rsid w:val="008445D2"/>
    <w:rsid w:val="00845709"/>
    <w:rsid w:val="00850352"/>
    <w:rsid w:val="0085734E"/>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D3B23"/>
    <w:rsid w:val="008E0085"/>
    <w:rsid w:val="008E2AA6"/>
    <w:rsid w:val="008E311B"/>
    <w:rsid w:val="008F46E7"/>
    <w:rsid w:val="008F6F0B"/>
    <w:rsid w:val="00907BA7"/>
    <w:rsid w:val="0091064E"/>
    <w:rsid w:val="00911FC5"/>
    <w:rsid w:val="009238AF"/>
    <w:rsid w:val="00931A10"/>
    <w:rsid w:val="00942125"/>
    <w:rsid w:val="00947967"/>
    <w:rsid w:val="00955201"/>
    <w:rsid w:val="00956050"/>
    <w:rsid w:val="00964718"/>
    <w:rsid w:val="00965200"/>
    <w:rsid w:val="009668B3"/>
    <w:rsid w:val="00971471"/>
    <w:rsid w:val="00982DB6"/>
    <w:rsid w:val="009849C2"/>
    <w:rsid w:val="00984D24"/>
    <w:rsid w:val="00985896"/>
    <w:rsid w:val="009858EB"/>
    <w:rsid w:val="0099006E"/>
    <w:rsid w:val="009A3F47"/>
    <w:rsid w:val="009A4A29"/>
    <w:rsid w:val="009A5CFB"/>
    <w:rsid w:val="009B0046"/>
    <w:rsid w:val="009C1440"/>
    <w:rsid w:val="009C2107"/>
    <w:rsid w:val="009C5C9C"/>
    <w:rsid w:val="009C5D9E"/>
    <w:rsid w:val="009D2C3E"/>
    <w:rsid w:val="009D73AE"/>
    <w:rsid w:val="009E0625"/>
    <w:rsid w:val="009E3034"/>
    <w:rsid w:val="009E549F"/>
    <w:rsid w:val="009F28A8"/>
    <w:rsid w:val="009F473E"/>
    <w:rsid w:val="009F682A"/>
    <w:rsid w:val="00A0016E"/>
    <w:rsid w:val="00A022BE"/>
    <w:rsid w:val="00A02973"/>
    <w:rsid w:val="00A07B4B"/>
    <w:rsid w:val="00A1039F"/>
    <w:rsid w:val="00A15204"/>
    <w:rsid w:val="00A2453F"/>
    <w:rsid w:val="00A24C95"/>
    <w:rsid w:val="00A2547E"/>
    <w:rsid w:val="00A2599A"/>
    <w:rsid w:val="00A26094"/>
    <w:rsid w:val="00A301BF"/>
    <w:rsid w:val="00A302B2"/>
    <w:rsid w:val="00A331B4"/>
    <w:rsid w:val="00A3484E"/>
    <w:rsid w:val="00A34F7D"/>
    <w:rsid w:val="00A356D3"/>
    <w:rsid w:val="00A36ADA"/>
    <w:rsid w:val="00A37B03"/>
    <w:rsid w:val="00A438D8"/>
    <w:rsid w:val="00A473F5"/>
    <w:rsid w:val="00A51029"/>
    <w:rsid w:val="00A51F9D"/>
    <w:rsid w:val="00A5416A"/>
    <w:rsid w:val="00A639F4"/>
    <w:rsid w:val="00A63C5D"/>
    <w:rsid w:val="00A7065F"/>
    <w:rsid w:val="00A81A32"/>
    <w:rsid w:val="00A835BD"/>
    <w:rsid w:val="00A8647D"/>
    <w:rsid w:val="00A97B15"/>
    <w:rsid w:val="00AA1D29"/>
    <w:rsid w:val="00AA42D5"/>
    <w:rsid w:val="00AA43A5"/>
    <w:rsid w:val="00AB2FAB"/>
    <w:rsid w:val="00AB3F5B"/>
    <w:rsid w:val="00AB5C14"/>
    <w:rsid w:val="00AC1EE7"/>
    <w:rsid w:val="00AC333F"/>
    <w:rsid w:val="00AC585C"/>
    <w:rsid w:val="00AC6254"/>
    <w:rsid w:val="00AD1925"/>
    <w:rsid w:val="00AE067D"/>
    <w:rsid w:val="00AE5558"/>
    <w:rsid w:val="00AE609E"/>
    <w:rsid w:val="00AF1181"/>
    <w:rsid w:val="00AF2F79"/>
    <w:rsid w:val="00AF4653"/>
    <w:rsid w:val="00AF7DB7"/>
    <w:rsid w:val="00B045E7"/>
    <w:rsid w:val="00B07924"/>
    <w:rsid w:val="00B10D02"/>
    <w:rsid w:val="00B201E2"/>
    <w:rsid w:val="00B32E80"/>
    <w:rsid w:val="00B422E7"/>
    <w:rsid w:val="00B432C9"/>
    <w:rsid w:val="00B443E4"/>
    <w:rsid w:val="00B5484D"/>
    <w:rsid w:val="00B563EA"/>
    <w:rsid w:val="00B56CDF"/>
    <w:rsid w:val="00B60E51"/>
    <w:rsid w:val="00B63A54"/>
    <w:rsid w:val="00B6637B"/>
    <w:rsid w:val="00B6688D"/>
    <w:rsid w:val="00B77B3A"/>
    <w:rsid w:val="00B77D18"/>
    <w:rsid w:val="00B8313A"/>
    <w:rsid w:val="00B8574D"/>
    <w:rsid w:val="00B90170"/>
    <w:rsid w:val="00B92E47"/>
    <w:rsid w:val="00B93503"/>
    <w:rsid w:val="00BA31E8"/>
    <w:rsid w:val="00BA51B4"/>
    <w:rsid w:val="00BA55E0"/>
    <w:rsid w:val="00BA6BD4"/>
    <w:rsid w:val="00BA6C7A"/>
    <w:rsid w:val="00BB17D1"/>
    <w:rsid w:val="00BB3752"/>
    <w:rsid w:val="00BB6688"/>
    <w:rsid w:val="00BC26D4"/>
    <w:rsid w:val="00BD19DA"/>
    <w:rsid w:val="00BD2B41"/>
    <w:rsid w:val="00BD46D4"/>
    <w:rsid w:val="00BD4898"/>
    <w:rsid w:val="00BD765F"/>
    <w:rsid w:val="00BE0C80"/>
    <w:rsid w:val="00BF2A42"/>
    <w:rsid w:val="00BF325C"/>
    <w:rsid w:val="00C035F3"/>
    <w:rsid w:val="00C03D8C"/>
    <w:rsid w:val="00C055EC"/>
    <w:rsid w:val="00C1017F"/>
    <w:rsid w:val="00C10DC9"/>
    <w:rsid w:val="00C12FB3"/>
    <w:rsid w:val="00C17341"/>
    <w:rsid w:val="00C24EEF"/>
    <w:rsid w:val="00C25055"/>
    <w:rsid w:val="00C25159"/>
    <w:rsid w:val="00C25CF6"/>
    <w:rsid w:val="00C26C36"/>
    <w:rsid w:val="00C26E93"/>
    <w:rsid w:val="00C32768"/>
    <w:rsid w:val="00C33F1E"/>
    <w:rsid w:val="00C431DF"/>
    <w:rsid w:val="00C456BD"/>
    <w:rsid w:val="00C45DD7"/>
    <w:rsid w:val="00C47184"/>
    <w:rsid w:val="00C530DC"/>
    <w:rsid w:val="00C5350D"/>
    <w:rsid w:val="00C6123C"/>
    <w:rsid w:val="00C623B1"/>
    <w:rsid w:val="00C6311A"/>
    <w:rsid w:val="00C6549E"/>
    <w:rsid w:val="00C7084D"/>
    <w:rsid w:val="00C70E10"/>
    <w:rsid w:val="00C7315E"/>
    <w:rsid w:val="00C75895"/>
    <w:rsid w:val="00C83C9F"/>
    <w:rsid w:val="00C84451"/>
    <w:rsid w:val="00C90F8D"/>
    <w:rsid w:val="00C94840"/>
    <w:rsid w:val="00C956AF"/>
    <w:rsid w:val="00CA22EB"/>
    <w:rsid w:val="00CA23F5"/>
    <w:rsid w:val="00CA4EE3"/>
    <w:rsid w:val="00CB027F"/>
    <w:rsid w:val="00CB4A0D"/>
    <w:rsid w:val="00CC0EBB"/>
    <w:rsid w:val="00CC6297"/>
    <w:rsid w:val="00CC7690"/>
    <w:rsid w:val="00CD1986"/>
    <w:rsid w:val="00CD54BF"/>
    <w:rsid w:val="00CE4D5C"/>
    <w:rsid w:val="00CF05DA"/>
    <w:rsid w:val="00CF21CA"/>
    <w:rsid w:val="00CF58EB"/>
    <w:rsid w:val="00CF6FEC"/>
    <w:rsid w:val="00CF709D"/>
    <w:rsid w:val="00CF7F6E"/>
    <w:rsid w:val="00D0106E"/>
    <w:rsid w:val="00D06383"/>
    <w:rsid w:val="00D17535"/>
    <w:rsid w:val="00D20E85"/>
    <w:rsid w:val="00D2432C"/>
    <w:rsid w:val="00D24615"/>
    <w:rsid w:val="00D2669B"/>
    <w:rsid w:val="00D2738C"/>
    <w:rsid w:val="00D37842"/>
    <w:rsid w:val="00D42DC2"/>
    <w:rsid w:val="00D4302B"/>
    <w:rsid w:val="00D537E1"/>
    <w:rsid w:val="00D55BB2"/>
    <w:rsid w:val="00D56767"/>
    <w:rsid w:val="00D6091A"/>
    <w:rsid w:val="00D6605A"/>
    <w:rsid w:val="00D6695F"/>
    <w:rsid w:val="00D67EEC"/>
    <w:rsid w:val="00D71671"/>
    <w:rsid w:val="00D741BF"/>
    <w:rsid w:val="00D75583"/>
    <w:rsid w:val="00D75644"/>
    <w:rsid w:val="00D81656"/>
    <w:rsid w:val="00D83D87"/>
    <w:rsid w:val="00D84A6D"/>
    <w:rsid w:val="00D84E39"/>
    <w:rsid w:val="00D865FE"/>
    <w:rsid w:val="00D86A30"/>
    <w:rsid w:val="00D90629"/>
    <w:rsid w:val="00D966D3"/>
    <w:rsid w:val="00D96765"/>
    <w:rsid w:val="00D96913"/>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2296"/>
    <w:rsid w:val="00DF6462"/>
    <w:rsid w:val="00E02FA0"/>
    <w:rsid w:val="00E036DC"/>
    <w:rsid w:val="00E10454"/>
    <w:rsid w:val="00E112E5"/>
    <w:rsid w:val="00E122D8"/>
    <w:rsid w:val="00E12CC8"/>
    <w:rsid w:val="00E15352"/>
    <w:rsid w:val="00E21CC7"/>
    <w:rsid w:val="00E24D9E"/>
    <w:rsid w:val="00E25849"/>
    <w:rsid w:val="00E3197E"/>
    <w:rsid w:val="00E32240"/>
    <w:rsid w:val="00E33EF1"/>
    <w:rsid w:val="00E342F8"/>
    <w:rsid w:val="00E351ED"/>
    <w:rsid w:val="00E35475"/>
    <w:rsid w:val="00E45500"/>
    <w:rsid w:val="00E54AD5"/>
    <w:rsid w:val="00E6034B"/>
    <w:rsid w:val="00E63F4E"/>
    <w:rsid w:val="00E6549E"/>
    <w:rsid w:val="00E65EDE"/>
    <w:rsid w:val="00E70F81"/>
    <w:rsid w:val="00E77055"/>
    <w:rsid w:val="00E773BF"/>
    <w:rsid w:val="00E77460"/>
    <w:rsid w:val="00E83ABC"/>
    <w:rsid w:val="00E844F2"/>
    <w:rsid w:val="00E85005"/>
    <w:rsid w:val="00E90AD0"/>
    <w:rsid w:val="00E92FCB"/>
    <w:rsid w:val="00EA147F"/>
    <w:rsid w:val="00EA4A27"/>
    <w:rsid w:val="00EA4FA6"/>
    <w:rsid w:val="00EB1A25"/>
    <w:rsid w:val="00EC0F73"/>
    <w:rsid w:val="00EC278B"/>
    <w:rsid w:val="00EC58D8"/>
    <w:rsid w:val="00EC7363"/>
    <w:rsid w:val="00ED03AB"/>
    <w:rsid w:val="00ED088D"/>
    <w:rsid w:val="00ED1963"/>
    <w:rsid w:val="00ED1CD4"/>
    <w:rsid w:val="00ED1D2B"/>
    <w:rsid w:val="00ED64B5"/>
    <w:rsid w:val="00ED7A11"/>
    <w:rsid w:val="00EE7CCA"/>
    <w:rsid w:val="00EF1C77"/>
    <w:rsid w:val="00EF2AC7"/>
    <w:rsid w:val="00EF49AE"/>
    <w:rsid w:val="00F16A14"/>
    <w:rsid w:val="00F31E99"/>
    <w:rsid w:val="00F340E5"/>
    <w:rsid w:val="00F34E39"/>
    <w:rsid w:val="00F362D7"/>
    <w:rsid w:val="00F37D7B"/>
    <w:rsid w:val="00F43426"/>
    <w:rsid w:val="00F5095B"/>
    <w:rsid w:val="00F51D15"/>
    <w:rsid w:val="00F5314C"/>
    <w:rsid w:val="00F5688C"/>
    <w:rsid w:val="00F60048"/>
    <w:rsid w:val="00F635DD"/>
    <w:rsid w:val="00F6627B"/>
    <w:rsid w:val="00F7336E"/>
    <w:rsid w:val="00F734F2"/>
    <w:rsid w:val="00F741C4"/>
    <w:rsid w:val="00F75052"/>
    <w:rsid w:val="00F804D3"/>
    <w:rsid w:val="00F816CB"/>
    <w:rsid w:val="00F81CD2"/>
    <w:rsid w:val="00F82641"/>
    <w:rsid w:val="00F86449"/>
    <w:rsid w:val="00F87A75"/>
    <w:rsid w:val="00F902C6"/>
    <w:rsid w:val="00F90F18"/>
    <w:rsid w:val="00F937E4"/>
    <w:rsid w:val="00F95EE7"/>
    <w:rsid w:val="00FA022F"/>
    <w:rsid w:val="00FA39E6"/>
    <w:rsid w:val="00FA5368"/>
    <w:rsid w:val="00FA76F0"/>
    <w:rsid w:val="00FA7BC9"/>
    <w:rsid w:val="00FB1D9B"/>
    <w:rsid w:val="00FB378E"/>
    <w:rsid w:val="00FB37F1"/>
    <w:rsid w:val="00FB47C0"/>
    <w:rsid w:val="00FB501B"/>
    <w:rsid w:val="00FB7770"/>
    <w:rsid w:val="00FC56FB"/>
    <w:rsid w:val="00FC7A58"/>
    <w:rsid w:val="00FC7B2D"/>
    <w:rsid w:val="00FD3B91"/>
    <w:rsid w:val="00FD576B"/>
    <w:rsid w:val="00FD579E"/>
    <w:rsid w:val="00FD6845"/>
    <w:rsid w:val="00FD77E9"/>
    <w:rsid w:val="00FE4516"/>
    <w:rsid w:val="00FE64C8"/>
    <w:rsid w:val="00FF0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FE147F-0DB8-42B6-895B-9A45BA5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9017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1"/>
      </w:numPr>
      <w:outlineLvl w:val="0"/>
    </w:pPr>
    <w:rPr>
      <w:rFonts w:hAnsi="Arial"/>
      <w:bCs/>
      <w:kern w:val="32"/>
      <w:szCs w:val="52"/>
    </w:rPr>
  </w:style>
  <w:style w:type="paragraph" w:styleId="2">
    <w:name w:val="heading 2"/>
    <w:aliases w:val="標題110/111,節,節1"/>
    <w:basedOn w:val="a6"/>
    <w:qFormat/>
    <w:rsid w:val="004F5E57"/>
    <w:pPr>
      <w:numPr>
        <w:ilvl w:val="1"/>
        <w:numId w:val="1"/>
      </w:numPr>
      <w:ind w:left="1021"/>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 字元"/>
    <w:basedOn w:val="a6"/>
    <w:link w:val="afe"/>
    <w:rsid w:val="00F87A75"/>
    <w:pPr>
      <w:overflowPunct/>
      <w:autoSpaceDE/>
      <w:autoSpaceDN/>
      <w:snapToGrid w:val="0"/>
      <w:jc w:val="left"/>
    </w:pPr>
    <w:rPr>
      <w:rFonts w:ascii="Times New Roman"/>
      <w:sz w:val="20"/>
    </w:rPr>
  </w:style>
  <w:style w:type="character" w:customStyle="1" w:styleId="afe">
    <w:name w:val="註腳文字 字元"/>
    <w:aliases w:val=" 字元 字元"/>
    <w:basedOn w:val="a7"/>
    <w:link w:val="afd"/>
    <w:rsid w:val="00F87A75"/>
    <w:rPr>
      <w:rFonts w:eastAsia="標楷體"/>
      <w:kern w:val="2"/>
    </w:rPr>
  </w:style>
  <w:style w:type="character" w:styleId="aff">
    <w:name w:val="footnote reference"/>
    <w:uiPriority w:val="99"/>
    <w:rsid w:val="00F87A75"/>
    <w:rPr>
      <w:vertAlign w:val="superscript"/>
    </w:rPr>
  </w:style>
  <w:style w:type="paragraph" w:customStyle="1" w:styleId="aff0">
    <w:name w:val="說明之內文"/>
    <w:basedOn w:val="2"/>
    <w:qFormat/>
    <w:rsid w:val="00E35475"/>
    <w:pPr>
      <w:numPr>
        <w:ilvl w:val="0"/>
        <w:numId w:val="0"/>
      </w:numPr>
      <w:kinsoku w:val="0"/>
      <w:overflowPunct/>
      <w:autoSpaceDE/>
      <w:autoSpaceDN/>
      <w:spacing w:line="480" w:lineRule="exact"/>
      <w:jc w:val="left"/>
    </w:pPr>
    <w:rPr>
      <w:rFonts w:ascii="Times New Roman" w:hAnsi="Times New Roman"/>
      <w:kern w:val="0"/>
      <w:szCs w:val="32"/>
    </w:rPr>
  </w:style>
  <w:style w:type="character" w:customStyle="1" w:styleId="30">
    <w:name w:val="標題 3 字元"/>
    <w:basedOn w:val="a7"/>
    <w:link w:val="3"/>
    <w:rsid w:val="00B90170"/>
    <w:rPr>
      <w:rFonts w:ascii="標楷體" w:eastAsia="標楷體" w:hAnsi="Arial"/>
      <w:bCs/>
      <w:kern w:val="32"/>
      <w:sz w:val="32"/>
      <w:szCs w:val="36"/>
    </w:rPr>
  </w:style>
  <w:style w:type="paragraph" w:styleId="HTML">
    <w:name w:val="HTML Preformatted"/>
    <w:basedOn w:val="a6"/>
    <w:link w:val="HTML0"/>
    <w:uiPriority w:val="99"/>
    <w:unhideWhenUsed/>
    <w:rsid w:val="00780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80107"/>
    <w:rPr>
      <w:rFonts w:ascii="細明體" w:eastAsia="細明體" w:hAnsi="細明體" w:cs="細明體"/>
      <w:sz w:val="24"/>
      <w:szCs w:val="24"/>
    </w:rPr>
  </w:style>
  <w:style w:type="paragraph" w:customStyle="1" w:styleId="aff1">
    <w:name w:val="分項段落"/>
    <w:basedOn w:val="a6"/>
    <w:rsid w:val="00383F96"/>
    <w:pPr>
      <w:overflowPunct/>
      <w:autoSpaceDE/>
      <w:autoSpaceDN/>
      <w:jc w:val="left"/>
    </w:pPr>
    <w:rPr>
      <w:rFonts w:ascii="Times New Roman" w:eastAsia="新細明體"/>
      <w:sz w:val="24"/>
    </w:rPr>
  </w:style>
  <w:style w:type="character" w:customStyle="1" w:styleId="ab">
    <w:name w:val="簽名 字元"/>
    <w:basedOn w:val="a7"/>
    <w:link w:val="aa"/>
    <w:rsid w:val="0064296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4004">
      <w:bodyDiv w:val="1"/>
      <w:marLeft w:val="0"/>
      <w:marRight w:val="0"/>
      <w:marTop w:val="0"/>
      <w:marBottom w:val="0"/>
      <w:divBdr>
        <w:top w:val="none" w:sz="0" w:space="0" w:color="auto"/>
        <w:left w:val="none" w:sz="0" w:space="0" w:color="auto"/>
        <w:bottom w:val="none" w:sz="0" w:space="0" w:color="auto"/>
        <w:right w:val="none" w:sz="0" w:space="0" w:color="auto"/>
      </w:divBdr>
    </w:div>
    <w:div w:id="694380023">
      <w:bodyDiv w:val="1"/>
      <w:marLeft w:val="0"/>
      <w:marRight w:val="0"/>
      <w:marTop w:val="0"/>
      <w:marBottom w:val="0"/>
      <w:divBdr>
        <w:top w:val="none" w:sz="0" w:space="0" w:color="auto"/>
        <w:left w:val="none" w:sz="0" w:space="0" w:color="auto"/>
        <w:bottom w:val="none" w:sz="0" w:space="0" w:color="auto"/>
        <w:right w:val="none" w:sz="0" w:space="0" w:color="auto"/>
      </w:divBdr>
    </w:div>
    <w:div w:id="81179780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333350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7BCD-6D34-4B6B-813C-691B6FC0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23</Pages>
  <Words>6977</Words>
  <Characters>7258</Characters>
  <Application>Microsoft Office Word</Application>
  <DocSecurity>0</DocSecurity>
  <Lines>329</Lines>
  <Paragraphs>135</Paragraphs>
  <ScaleCrop>false</ScaleCrop>
  <Company>cy</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周慶安</cp:lastModifiedBy>
  <cp:revision>5</cp:revision>
  <cp:lastPrinted>2018-05-25T09:23:00Z</cp:lastPrinted>
  <dcterms:created xsi:type="dcterms:W3CDTF">2018-06-06T07:04:00Z</dcterms:created>
  <dcterms:modified xsi:type="dcterms:W3CDTF">2019-04-11T01:37:00Z</dcterms:modified>
</cp:coreProperties>
</file>