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B2102D">
        <w:rPr>
          <w:rFonts w:hint="eastAsia"/>
        </w:rPr>
        <w:t>財政部。</w:t>
      </w:r>
    </w:p>
    <w:p w:rsidR="00E25849" w:rsidRDefault="0025106C" w:rsidP="00DE42B9">
      <w:pPr>
        <w:pStyle w:val="1"/>
      </w:pPr>
      <w:r>
        <w:rPr>
          <w:rFonts w:hint="eastAsia"/>
        </w:rPr>
        <w:t>案　　　由：</w:t>
      </w:r>
      <w:r w:rsidR="003D28BE" w:rsidRPr="00A57FA7">
        <w:rPr>
          <w:rFonts w:hAnsi="標楷體" w:hint="eastAsia"/>
          <w:szCs w:val="32"/>
        </w:rPr>
        <w:t>部分直轄</w:t>
      </w:r>
      <w:r w:rsidR="003D28BE" w:rsidRPr="00A57FA7">
        <w:rPr>
          <w:rFonts w:hAnsi="標楷體" w:cs="細明體" w:hint="eastAsia"/>
          <w:kern w:val="0"/>
          <w:szCs w:val="32"/>
        </w:rPr>
        <w:t>市及縣（市）</w:t>
      </w:r>
      <w:r w:rsidR="003D28BE" w:rsidRPr="00A57FA7">
        <w:rPr>
          <w:rFonts w:hAnsi="標楷體" w:hint="eastAsia"/>
          <w:szCs w:val="32"/>
        </w:rPr>
        <w:t>政府</w:t>
      </w:r>
      <w:r w:rsidR="004D6198" w:rsidRPr="00A57FA7">
        <w:rPr>
          <w:rFonts w:hAnsi="標楷體" w:cs="細明體" w:hint="eastAsia"/>
          <w:kern w:val="0"/>
          <w:szCs w:val="32"/>
        </w:rPr>
        <w:t>獲配菸品健康福利捐供</w:t>
      </w:r>
      <w:r w:rsidR="00210F54" w:rsidRPr="00A57FA7">
        <w:rPr>
          <w:rFonts w:hAnsi="標楷體" w:cs="細明體" w:hint="eastAsia"/>
          <w:kern w:val="0"/>
          <w:szCs w:val="32"/>
        </w:rPr>
        <w:t>作為</w:t>
      </w:r>
      <w:r w:rsidR="004D6198" w:rsidRPr="00A57FA7">
        <w:rPr>
          <w:rFonts w:hAnsi="標楷體" w:cs="細明體" w:hint="eastAsia"/>
          <w:kern w:val="0"/>
          <w:szCs w:val="32"/>
        </w:rPr>
        <w:t>私劣菸品查緝經費</w:t>
      </w:r>
      <w:r w:rsidR="00210F54" w:rsidRPr="00A57FA7">
        <w:rPr>
          <w:rFonts w:hAnsi="標楷體" w:cs="細明體" w:hint="eastAsia"/>
          <w:kern w:val="0"/>
          <w:szCs w:val="32"/>
        </w:rPr>
        <w:t>之</w:t>
      </w:r>
      <w:r w:rsidR="003D28BE" w:rsidRPr="00A57FA7">
        <w:rPr>
          <w:rFonts w:hAnsi="標楷體" w:cs="新細明體" w:hint="eastAsia"/>
          <w:kern w:val="0"/>
          <w:szCs w:val="32"/>
        </w:rPr>
        <w:t>執行率偏低，並將經費賸餘款逕行解繳市縣庫，未留供以後年度辦理私劣菸品查緝</w:t>
      </w:r>
      <w:r w:rsidR="00210F54" w:rsidRPr="00A57FA7">
        <w:rPr>
          <w:rFonts w:hAnsi="標楷體" w:cs="新細明體" w:hint="eastAsia"/>
          <w:kern w:val="0"/>
          <w:szCs w:val="32"/>
        </w:rPr>
        <w:t>使</w:t>
      </w:r>
      <w:r w:rsidR="003D28BE" w:rsidRPr="00A57FA7">
        <w:rPr>
          <w:rFonts w:hAnsi="標楷體" w:cs="新細明體" w:hint="eastAsia"/>
          <w:kern w:val="0"/>
          <w:szCs w:val="32"/>
        </w:rPr>
        <w:t>用，</w:t>
      </w:r>
      <w:r w:rsidR="00210F54" w:rsidRPr="00A57FA7">
        <w:rPr>
          <w:rFonts w:hAnsi="標楷體" w:cs="新細明體" w:hint="eastAsia"/>
          <w:kern w:val="0"/>
          <w:szCs w:val="32"/>
        </w:rPr>
        <w:t>顯</w:t>
      </w:r>
      <w:r w:rsidR="003D28BE" w:rsidRPr="00A57FA7">
        <w:rPr>
          <w:rFonts w:hAnsi="標楷體" w:cs="新細明體" w:hint="eastAsia"/>
          <w:kern w:val="0"/>
          <w:szCs w:val="32"/>
        </w:rPr>
        <w:t>不符專款專用之規定，而</w:t>
      </w:r>
      <w:r w:rsidR="003D28BE" w:rsidRPr="00A57FA7">
        <w:rPr>
          <w:rFonts w:hAnsi="標楷體" w:cs="細明體" w:hint="eastAsia"/>
          <w:kern w:val="0"/>
          <w:szCs w:val="32"/>
        </w:rPr>
        <w:t>財政部</w:t>
      </w:r>
      <w:r w:rsidR="00210F54" w:rsidRPr="00A57FA7">
        <w:rPr>
          <w:rFonts w:hAnsi="標楷體" w:cs="細明體" w:hint="eastAsia"/>
          <w:kern w:val="0"/>
          <w:szCs w:val="32"/>
        </w:rPr>
        <w:t>卻</w:t>
      </w:r>
      <w:r w:rsidR="00210F54" w:rsidRPr="00A57FA7">
        <w:rPr>
          <w:rFonts w:hAnsi="標楷體" w:cs="新細明體" w:hint="eastAsia"/>
          <w:szCs w:val="32"/>
        </w:rPr>
        <w:t>未依</w:t>
      </w:r>
      <w:r w:rsidR="00210F54" w:rsidRPr="00A57FA7">
        <w:rPr>
          <w:rFonts w:hAnsi="標楷體" w:cs="新細明體" w:hint="eastAsia"/>
          <w:kern w:val="0"/>
          <w:szCs w:val="32"/>
        </w:rPr>
        <w:t>菸品健康福利捐供私劣菸品查緝及防制菸品稅捐逃漏經費運用要點</w:t>
      </w:r>
      <w:r w:rsidR="00210F54" w:rsidRPr="00A57FA7">
        <w:rPr>
          <w:rFonts w:hAnsi="標楷體" w:cs="新細明體" w:hint="eastAsia"/>
          <w:szCs w:val="32"/>
        </w:rPr>
        <w:t>所定之查核機制，</w:t>
      </w:r>
      <w:r w:rsidR="003D28BE" w:rsidRPr="00A57FA7">
        <w:rPr>
          <w:rFonts w:hAnsi="標楷體" w:cs="新細明體"/>
          <w:szCs w:val="32"/>
        </w:rPr>
        <w:t>派員</w:t>
      </w:r>
      <w:r w:rsidR="003D28BE" w:rsidRPr="00A57FA7">
        <w:rPr>
          <w:rFonts w:hAnsi="標楷體" w:cs="新細明體" w:hint="eastAsia"/>
          <w:szCs w:val="32"/>
        </w:rPr>
        <w:t>實地查核</w:t>
      </w:r>
      <w:r w:rsidR="003D28BE" w:rsidRPr="00A57FA7">
        <w:rPr>
          <w:rFonts w:hAnsi="標楷體" w:cs="細明體" w:hint="eastAsia"/>
          <w:kern w:val="0"/>
          <w:szCs w:val="32"/>
        </w:rPr>
        <w:t>地方政府</w:t>
      </w:r>
      <w:r w:rsidR="00D82FB0" w:rsidRPr="00A57FA7">
        <w:rPr>
          <w:rFonts w:hAnsi="標楷體" w:cs="新細明體" w:hint="eastAsia"/>
          <w:kern w:val="0"/>
          <w:szCs w:val="32"/>
        </w:rPr>
        <w:t>支用</w:t>
      </w:r>
      <w:r w:rsidR="008A740D" w:rsidRPr="00A57FA7">
        <w:rPr>
          <w:rFonts w:hAnsi="標楷體" w:cs="細明體" w:hint="eastAsia"/>
          <w:kern w:val="0"/>
          <w:szCs w:val="32"/>
        </w:rPr>
        <w:t>該</w:t>
      </w:r>
      <w:r w:rsidR="003D28BE" w:rsidRPr="00A57FA7">
        <w:rPr>
          <w:rFonts w:hAnsi="標楷體" w:cs="細明體" w:hint="eastAsia"/>
          <w:kern w:val="0"/>
          <w:szCs w:val="32"/>
        </w:rPr>
        <w:t>經費</w:t>
      </w:r>
      <w:r w:rsidR="003D28BE" w:rsidRPr="00A57FA7">
        <w:rPr>
          <w:rFonts w:hAnsi="標楷體" w:cs="新細明體" w:hint="eastAsia"/>
          <w:kern w:val="0"/>
          <w:szCs w:val="32"/>
        </w:rPr>
        <w:t>之情形</w:t>
      </w:r>
      <w:r w:rsidR="003D28BE" w:rsidRPr="00A57FA7">
        <w:rPr>
          <w:rFonts w:hAnsi="標楷體" w:cs="新細明體" w:hint="eastAsia"/>
          <w:szCs w:val="32"/>
        </w:rPr>
        <w:t>，</w:t>
      </w:r>
      <w:r w:rsidR="003B142D" w:rsidRPr="00A57FA7">
        <w:rPr>
          <w:rFonts w:hAnsi="標楷體" w:cs="新細明體" w:hint="eastAsia"/>
          <w:szCs w:val="32"/>
        </w:rPr>
        <w:t>肇</w:t>
      </w:r>
      <w:r w:rsidR="003D28BE" w:rsidRPr="00A57FA7">
        <w:rPr>
          <w:rFonts w:hAnsi="標楷體" w:cs="新細明體" w:hint="eastAsia"/>
          <w:szCs w:val="32"/>
        </w:rPr>
        <w:t>致地方政府</w:t>
      </w:r>
      <w:r w:rsidR="00210F54" w:rsidRPr="00A57FA7">
        <w:rPr>
          <w:rFonts w:hAnsi="標楷體" w:cs="新細明體" w:hint="eastAsia"/>
          <w:szCs w:val="32"/>
        </w:rPr>
        <w:t>前揭</w:t>
      </w:r>
      <w:r w:rsidR="003D28BE" w:rsidRPr="00A57FA7">
        <w:rPr>
          <w:rFonts w:hAnsi="標楷體" w:cs="新細明體" w:hint="eastAsia"/>
          <w:szCs w:val="32"/>
        </w:rPr>
        <w:t>違失持續多年，</w:t>
      </w:r>
      <w:r w:rsidR="00AE1257" w:rsidRPr="00A57FA7">
        <w:rPr>
          <w:rFonts w:hAnsi="標楷體" w:hint="eastAsia"/>
          <w:szCs w:val="32"/>
        </w:rPr>
        <w:t>確</w:t>
      </w:r>
      <w:r w:rsidRPr="00A57FA7">
        <w:rPr>
          <w:rFonts w:hAnsi="標楷體" w:hint="eastAsia"/>
          <w:szCs w:val="32"/>
        </w:rPr>
        <w:t>有違失</w:t>
      </w:r>
      <w:r w:rsidR="008B4841" w:rsidRPr="00A57FA7">
        <w:rPr>
          <w:rFonts w:hAnsi="標楷體" w:hint="eastAsia"/>
          <w:szCs w:val="32"/>
        </w:rPr>
        <w:t>，爰依法提案糾正</w:t>
      </w:r>
      <w:r w:rsidRPr="00A57FA7">
        <w:rPr>
          <w:rFonts w:hAnsi="標楷體" w:hint="eastAsia"/>
          <w:szCs w:val="32"/>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2102D" w:rsidRPr="00631B7E" w:rsidRDefault="00B2102D" w:rsidP="00631B7E">
      <w:pPr>
        <w:pStyle w:val="10"/>
        <w:ind w:left="680" w:firstLine="680"/>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31B7E">
        <w:rPr>
          <w:rFonts w:hAnsi="標楷體" w:hint="eastAsia"/>
          <w:szCs w:val="32"/>
        </w:rPr>
        <w:t>按</w:t>
      </w:r>
      <w:r w:rsidRPr="00631B7E">
        <w:rPr>
          <w:rFonts w:hAnsi="標楷體" w:cs="新細明體" w:hint="eastAsia"/>
          <w:kern w:val="0"/>
          <w:szCs w:val="32"/>
        </w:rPr>
        <w:t>菸品健康福利捐分配及運作辦法（下稱</w:t>
      </w:r>
      <w:r w:rsidRPr="00631B7E">
        <w:rPr>
          <w:rFonts w:hAnsi="標楷體" w:hint="eastAsia"/>
          <w:szCs w:val="32"/>
        </w:rPr>
        <w:t>菸捐</w:t>
      </w:r>
      <w:r w:rsidRPr="00631B7E">
        <w:rPr>
          <w:rFonts w:hAnsi="標楷體" w:cs="新細明體" w:hint="eastAsia"/>
          <w:kern w:val="0"/>
          <w:szCs w:val="32"/>
        </w:rPr>
        <w:t>分配運作辦法）</w:t>
      </w:r>
      <w:r w:rsidRPr="00631B7E">
        <w:rPr>
          <w:rFonts w:hAnsi="標楷體" w:hint="eastAsia"/>
          <w:szCs w:val="32"/>
        </w:rPr>
        <w:t>規定，</w:t>
      </w:r>
      <w:r w:rsidRPr="00631B7E">
        <w:rPr>
          <w:rFonts w:hAnsi="標楷體" w:cs="細明體" w:hint="eastAsia"/>
          <w:kern w:val="0"/>
          <w:szCs w:val="32"/>
        </w:rPr>
        <w:t>菸品健康福利捐</w:t>
      </w:r>
      <w:r w:rsidRPr="00631B7E">
        <w:rPr>
          <w:rFonts w:hAnsi="標楷體" w:hint="eastAsia"/>
          <w:szCs w:val="32"/>
        </w:rPr>
        <w:t>（下稱菸捐）扣除定額分配予辦理</w:t>
      </w:r>
      <w:r w:rsidRPr="00631B7E">
        <w:rPr>
          <w:rFonts w:hAnsi="標楷體" w:cs="細明體" w:hint="eastAsia"/>
          <w:kern w:val="0"/>
          <w:szCs w:val="32"/>
        </w:rPr>
        <w:t>菸農及相關產業勞工之輔導與照顧等經費後，其餘額1%分配予財政部，供中央與地方</w:t>
      </w:r>
      <w:r w:rsidR="00D82FB0">
        <w:rPr>
          <w:rFonts w:hAnsi="標楷體" w:cs="細明體" w:hint="eastAsia"/>
          <w:kern w:val="0"/>
          <w:szCs w:val="32"/>
        </w:rPr>
        <w:t>政府作為私劣菸品查緝及防制菸品稅捐逃漏之用。</w:t>
      </w:r>
      <w:r w:rsidRPr="00631B7E">
        <w:rPr>
          <w:rFonts w:hAnsi="標楷體" w:cs="細明體" w:hint="eastAsia"/>
          <w:kern w:val="0"/>
          <w:szCs w:val="32"/>
        </w:rPr>
        <w:t>爰財政部訂定</w:t>
      </w:r>
      <w:r w:rsidRPr="00631B7E">
        <w:rPr>
          <w:rFonts w:hAnsi="標楷體" w:cs="新細明體" w:hint="eastAsia"/>
          <w:kern w:val="0"/>
          <w:szCs w:val="32"/>
        </w:rPr>
        <w:t>菸品健康福利捐供私劣菸品查緝及防制菸品稅捐逃漏經費運用要點</w:t>
      </w:r>
      <w:r w:rsidRPr="00631B7E">
        <w:rPr>
          <w:rFonts w:hAnsi="標楷體" w:cs="細明體" w:hint="eastAsia"/>
          <w:kern w:val="0"/>
          <w:szCs w:val="32"/>
        </w:rPr>
        <w:t>（下稱</w:t>
      </w:r>
      <w:r w:rsidRPr="00631B7E">
        <w:rPr>
          <w:rFonts w:hAnsi="標楷體" w:hint="eastAsia"/>
          <w:szCs w:val="32"/>
        </w:rPr>
        <w:t>菸捐</w:t>
      </w:r>
      <w:r w:rsidRPr="00631B7E">
        <w:rPr>
          <w:rFonts w:hAnsi="標楷體" w:cs="新細明體" w:hint="eastAsia"/>
          <w:kern w:val="0"/>
          <w:szCs w:val="32"/>
        </w:rPr>
        <w:t>經費運用要點）</w:t>
      </w:r>
      <w:r w:rsidRPr="00631B7E">
        <w:rPr>
          <w:rFonts w:hAnsi="標楷體" w:cs="細明體" w:hint="eastAsia"/>
          <w:kern w:val="0"/>
          <w:szCs w:val="32"/>
        </w:rPr>
        <w:t>，據以規範上開經費之分配、運用與執行等事項。惟據審計部民國（下同）105年度</w:t>
      </w:r>
      <w:r w:rsidRPr="00631B7E">
        <w:rPr>
          <w:rFonts w:hAnsi="標楷體"/>
          <w:bCs/>
          <w:szCs w:val="32"/>
        </w:rPr>
        <w:t>中央政府總決算審核報告</w:t>
      </w:r>
      <w:r w:rsidRPr="00631B7E">
        <w:rPr>
          <w:rFonts w:hAnsi="標楷體" w:cs="細明體" w:hint="eastAsia"/>
          <w:kern w:val="0"/>
          <w:szCs w:val="32"/>
        </w:rPr>
        <w:t>，部分地方政府獲配</w:t>
      </w:r>
      <w:r w:rsidRPr="00631B7E">
        <w:rPr>
          <w:rFonts w:hAnsi="標楷體" w:hint="eastAsia"/>
          <w:szCs w:val="32"/>
        </w:rPr>
        <w:t>菸捐</w:t>
      </w:r>
      <w:r w:rsidRPr="00631B7E">
        <w:rPr>
          <w:rFonts w:hAnsi="標楷體" w:cs="細明體" w:hint="eastAsia"/>
          <w:kern w:val="0"/>
          <w:szCs w:val="32"/>
        </w:rPr>
        <w:t>供私劣菸品查緝經費（下稱查緝經費）</w:t>
      </w:r>
      <w:r w:rsidRPr="00631B7E">
        <w:rPr>
          <w:rFonts w:hAnsi="標楷體" w:cs="新細明體" w:hint="eastAsia"/>
          <w:kern w:val="0"/>
          <w:szCs w:val="32"/>
        </w:rPr>
        <w:t>之支用</w:t>
      </w:r>
      <w:r w:rsidRPr="00631B7E">
        <w:rPr>
          <w:rFonts w:hAnsi="標楷體" w:cs="細明體" w:hint="eastAsia"/>
          <w:kern w:val="0"/>
          <w:szCs w:val="32"/>
        </w:rPr>
        <w:t>有未符專款專用規定等情事。</w:t>
      </w:r>
      <w:r w:rsidRPr="00631B7E">
        <w:rPr>
          <w:rFonts w:hAnsi="標楷體" w:hint="eastAsia"/>
          <w:szCs w:val="32"/>
        </w:rPr>
        <w:t>經調閱</w:t>
      </w:r>
      <w:r w:rsidRPr="00631B7E">
        <w:rPr>
          <w:rFonts w:hAnsi="標楷體" w:cs="細明體" w:hint="eastAsia"/>
          <w:kern w:val="0"/>
          <w:szCs w:val="32"/>
        </w:rPr>
        <w:t>財政部及審計部</w:t>
      </w:r>
      <w:r w:rsidRPr="00631B7E">
        <w:rPr>
          <w:rFonts w:hAnsi="標楷體" w:hint="eastAsia"/>
          <w:szCs w:val="32"/>
        </w:rPr>
        <w:t>等機關卷證資料，</w:t>
      </w:r>
      <w:r w:rsidRPr="00631B7E">
        <w:rPr>
          <w:rFonts w:hAnsi="標楷體" w:hint="eastAsia"/>
          <w:bCs/>
          <w:szCs w:val="32"/>
        </w:rPr>
        <w:t>並於107年4月25日詢問</w:t>
      </w:r>
      <w:r w:rsidR="00FE5F69" w:rsidRPr="00631B7E">
        <w:rPr>
          <w:rFonts w:hAnsi="標楷體" w:hint="eastAsia"/>
          <w:szCs w:val="32"/>
        </w:rPr>
        <w:t>案</w:t>
      </w:r>
      <w:r w:rsidR="00FE5F69" w:rsidRPr="00631B7E">
        <w:rPr>
          <w:rFonts w:hAnsi="標楷體" w:hint="eastAsia"/>
          <w:bCs/>
          <w:szCs w:val="32"/>
        </w:rPr>
        <w:t>關</w:t>
      </w:r>
      <w:r w:rsidR="00D82FB0">
        <w:rPr>
          <w:rFonts w:hAnsi="標楷體" w:hint="eastAsia"/>
          <w:bCs/>
          <w:szCs w:val="32"/>
        </w:rPr>
        <w:t>機關</w:t>
      </w:r>
      <w:r w:rsidR="00FE5F69" w:rsidRPr="00631B7E">
        <w:rPr>
          <w:rFonts w:hAnsi="標楷體" w:hint="eastAsia"/>
          <w:bCs/>
          <w:szCs w:val="32"/>
        </w:rPr>
        <w:t>人員調查發現，</w:t>
      </w:r>
      <w:r w:rsidR="00FE5F69" w:rsidRPr="00631B7E">
        <w:rPr>
          <w:rFonts w:hAnsi="標楷體" w:hint="eastAsia"/>
          <w:szCs w:val="32"/>
        </w:rPr>
        <w:t>部分直轄</w:t>
      </w:r>
      <w:r w:rsidR="00FE5F69" w:rsidRPr="00631B7E">
        <w:rPr>
          <w:rFonts w:hAnsi="標楷體" w:cs="細明體" w:hint="eastAsia"/>
          <w:kern w:val="0"/>
          <w:szCs w:val="32"/>
        </w:rPr>
        <w:t>市及縣（市）</w:t>
      </w:r>
      <w:r w:rsidR="00FE5F69" w:rsidRPr="00631B7E">
        <w:rPr>
          <w:rFonts w:hAnsi="標楷體" w:hint="eastAsia"/>
          <w:szCs w:val="32"/>
        </w:rPr>
        <w:t>政府</w:t>
      </w:r>
      <w:r w:rsidR="00631B7E" w:rsidRPr="00631B7E">
        <w:rPr>
          <w:rFonts w:hAnsi="標楷體" w:cs="新細明體" w:hint="eastAsia"/>
          <w:kern w:val="0"/>
          <w:szCs w:val="32"/>
        </w:rPr>
        <w:t>執行</w:t>
      </w:r>
      <w:r w:rsidR="00FE5F69" w:rsidRPr="00631B7E">
        <w:rPr>
          <w:rFonts w:hAnsi="標楷體" w:cs="細明體" w:hint="eastAsia"/>
          <w:kern w:val="0"/>
          <w:szCs w:val="32"/>
        </w:rPr>
        <w:t>查緝經費</w:t>
      </w:r>
      <w:r w:rsidR="00FE5F69" w:rsidRPr="00631B7E">
        <w:rPr>
          <w:rFonts w:hAnsi="標楷體" w:cs="新細明體" w:hint="eastAsia"/>
          <w:kern w:val="0"/>
          <w:szCs w:val="32"/>
        </w:rPr>
        <w:t>不符專款專用之規定，且</w:t>
      </w:r>
      <w:r w:rsidR="00FE5F69" w:rsidRPr="00631B7E">
        <w:rPr>
          <w:rFonts w:hAnsi="標楷體" w:cs="細明體" w:hint="eastAsia"/>
          <w:kern w:val="0"/>
          <w:szCs w:val="32"/>
        </w:rPr>
        <w:t>財政部</w:t>
      </w:r>
      <w:r w:rsidR="00631B7E" w:rsidRPr="00631B7E">
        <w:rPr>
          <w:rFonts w:hAnsi="標楷體" w:cs="新細明體" w:hint="eastAsia"/>
          <w:kern w:val="0"/>
          <w:szCs w:val="32"/>
        </w:rPr>
        <w:t>長期</w:t>
      </w:r>
      <w:r w:rsidR="00631B7E" w:rsidRPr="00631B7E">
        <w:rPr>
          <w:rFonts w:hAnsi="標楷體" w:cs="新細明體" w:hint="eastAsia"/>
          <w:szCs w:val="32"/>
        </w:rPr>
        <w:t>未</w:t>
      </w:r>
      <w:r w:rsidR="00631B7E" w:rsidRPr="00631B7E">
        <w:rPr>
          <w:rFonts w:hAnsi="標楷體" w:cs="新細明體"/>
          <w:szCs w:val="32"/>
        </w:rPr>
        <w:t>派員</w:t>
      </w:r>
      <w:r w:rsidR="00631B7E" w:rsidRPr="00631B7E">
        <w:rPr>
          <w:rFonts w:hAnsi="標楷體" w:cs="新細明體" w:hint="eastAsia"/>
          <w:szCs w:val="32"/>
        </w:rPr>
        <w:t>實地查核</w:t>
      </w:r>
      <w:r w:rsidR="00FE5F69" w:rsidRPr="00631B7E">
        <w:rPr>
          <w:rFonts w:hAnsi="標楷體" w:cs="細明體" w:hint="eastAsia"/>
          <w:kern w:val="0"/>
          <w:szCs w:val="32"/>
        </w:rPr>
        <w:t>地方政府獲配查緝經費</w:t>
      </w:r>
      <w:r w:rsidR="00FE5F69" w:rsidRPr="00631B7E">
        <w:rPr>
          <w:rFonts w:hAnsi="標楷體" w:cs="新細明體" w:hint="eastAsia"/>
          <w:kern w:val="0"/>
          <w:szCs w:val="32"/>
        </w:rPr>
        <w:t>之支用情形，</w:t>
      </w:r>
      <w:r w:rsidR="00631B7E" w:rsidRPr="00631B7E">
        <w:rPr>
          <w:rFonts w:hAnsi="標楷體" w:hint="eastAsia"/>
          <w:bCs/>
          <w:szCs w:val="32"/>
        </w:rPr>
        <w:t>確有違失，應予糾正促其注意改善。茲臚列</w:t>
      </w:r>
      <w:r w:rsidR="00631B7E" w:rsidRPr="00631B7E">
        <w:rPr>
          <w:rFonts w:hAnsi="標楷體" w:hint="eastAsia"/>
          <w:bCs/>
          <w:color w:val="000000" w:themeColor="text1"/>
          <w:szCs w:val="32"/>
        </w:rPr>
        <w:t>事實與理由</w:t>
      </w:r>
      <w:r w:rsidR="00631B7E" w:rsidRPr="00631B7E">
        <w:rPr>
          <w:rFonts w:hAnsi="標楷體" w:hint="eastAsia"/>
          <w:bCs/>
          <w:szCs w:val="32"/>
        </w:rPr>
        <w:t>如下</w:t>
      </w:r>
      <w:r w:rsidR="00631B7E" w:rsidRPr="00631B7E">
        <w:rPr>
          <w:rFonts w:hAnsi="標楷體" w:hint="eastAsia"/>
          <w:color w:val="000000"/>
          <w:szCs w:val="32"/>
        </w:rPr>
        <w:t>：</w:t>
      </w:r>
    </w:p>
    <w:p w:rsidR="00C055EC" w:rsidRPr="009F0B2D" w:rsidRDefault="009F0B2D" w:rsidP="00720134">
      <w:pPr>
        <w:pStyle w:val="2"/>
      </w:pPr>
      <w:r w:rsidRPr="00E800E0">
        <w:rPr>
          <w:rFonts w:hAnsi="標楷體" w:hint="eastAsia"/>
          <w:szCs w:val="32"/>
        </w:rPr>
        <w:lastRenderedPageBreak/>
        <w:t>部分直轄</w:t>
      </w:r>
      <w:r w:rsidRPr="00E800E0">
        <w:rPr>
          <w:rFonts w:hAnsi="標楷體" w:cs="細明體" w:hint="eastAsia"/>
          <w:kern w:val="0"/>
          <w:szCs w:val="32"/>
        </w:rPr>
        <w:t>市及縣（市）</w:t>
      </w:r>
      <w:r w:rsidRPr="00E800E0">
        <w:rPr>
          <w:rFonts w:hAnsi="標楷體" w:hint="eastAsia"/>
          <w:szCs w:val="32"/>
        </w:rPr>
        <w:t>政府</w:t>
      </w:r>
      <w:r w:rsidRPr="00E800E0">
        <w:rPr>
          <w:rFonts w:hAnsi="標楷體" w:cs="細明體" w:hint="eastAsia"/>
          <w:kern w:val="0"/>
          <w:szCs w:val="32"/>
        </w:rPr>
        <w:t>查緝經費</w:t>
      </w:r>
      <w:r w:rsidRPr="00E800E0">
        <w:rPr>
          <w:rFonts w:hAnsi="標楷體" w:cs="新細明體" w:hint="eastAsia"/>
          <w:kern w:val="0"/>
          <w:szCs w:val="32"/>
        </w:rPr>
        <w:t>執行率偏低，並將經費賸餘款逕行解繳市縣庫，未留供以後年度辦理私劣菸品查緝等用途，不符專款專用之規定，</w:t>
      </w:r>
      <w:r w:rsidRPr="00E800E0">
        <w:rPr>
          <w:rFonts w:hAnsi="標楷體" w:cs="細明體" w:hint="eastAsia"/>
          <w:kern w:val="0"/>
          <w:szCs w:val="32"/>
        </w:rPr>
        <w:t>財政部允應</w:t>
      </w:r>
      <w:r w:rsidRPr="00E800E0">
        <w:rPr>
          <w:rFonts w:hAnsi="標楷體" w:hint="eastAsia"/>
          <w:szCs w:val="32"/>
        </w:rPr>
        <w:t>適時檢討直轄</w:t>
      </w:r>
      <w:r w:rsidRPr="00E800E0">
        <w:rPr>
          <w:rFonts w:hAnsi="標楷體" w:cs="細明體" w:hint="eastAsia"/>
          <w:kern w:val="0"/>
          <w:szCs w:val="32"/>
        </w:rPr>
        <w:t>市及縣（市）</w:t>
      </w:r>
      <w:r w:rsidRPr="00E800E0">
        <w:rPr>
          <w:rFonts w:hAnsi="標楷體" w:hint="eastAsia"/>
          <w:szCs w:val="32"/>
        </w:rPr>
        <w:t>政府</w:t>
      </w:r>
      <w:r w:rsidRPr="00E800E0">
        <w:rPr>
          <w:rFonts w:hAnsi="標楷體" w:cs="細明體" w:hint="eastAsia"/>
          <w:kern w:val="0"/>
          <w:szCs w:val="32"/>
        </w:rPr>
        <w:t>查緝經費之</w:t>
      </w:r>
      <w:r w:rsidRPr="00E800E0">
        <w:rPr>
          <w:rFonts w:hAnsi="標楷體" w:hint="eastAsia"/>
          <w:szCs w:val="32"/>
        </w:rPr>
        <w:t>執行情形，並加強</w:t>
      </w:r>
      <w:r w:rsidRPr="00E800E0">
        <w:rPr>
          <w:rFonts w:hAnsi="標楷體" w:cs="細明體" w:hint="eastAsia"/>
          <w:kern w:val="0"/>
          <w:szCs w:val="32"/>
        </w:rPr>
        <w:t>督促地方政府依</w:t>
      </w:r>
      <w:r w:rsidRPr="00E800E0">
        <w:rPr>
          <w:rFonts w:hAnsi="標楷體" w:hint="eastAsia"/>
          <w:szCs w:val="32"/>
        </w:rPr>
        <w:t>菸捐</w:t>
      </w:r>
      <w:r w:rsidRPr="00E800E0">
        <w:rPr>
          <w:rFonts w:hAnsi="標楷體" w:cs="新細明體" w:hint="eastAsia"/>
          <w:kern w:val="0"/>
          <w:szCs w:val="32"/>
        </w:rPr>
        <w:t>經費運用要點</w:t>
      </w:r>
      <w:r w:rsidRPr="00E800E0">
        <w:rPr>
          <w:rFonts w:hAnsi="標楷體" w:cs="細明體" w:hint="eastAsia"/>
          <w:kern w:val="0"/>
          <w:szCs w:val="32"/>
        </w:rPr>
        <w:t>規定支用查緝經費，以提升查緝績效。</w:t>
      </w:r>
    </w:p>
    <w:p w:rsidR="009F0B2D" w:rsidRPr="009F0B2D" w:rsidRDefault="009F0B2D" w:rsidP="009F0B2D">
      <w:pPr>
        <w:pStyle w:val="3"/>
      </w:pPr>
      <w:r w:rsidRPr="00BF5675">
        <w:rPr>
          <w:rFonts w:hAnsi="標楷體" w:hint="eastAsia"/>
          <w:szCs w:val="32"/>
        </w:rPr>
        <w:t>依95年2月16日修正之菸捐</w:t>
      </w:r>
      <w:r w:rsidRPr="00BF5675">
        <w:rPr>
          <w:rFonts w:hAnsi="標楷體" w:cs="新細明體" w:hint="eastAsia"/>
          <w:kern w:val="0"/>
          <w:szCs w:val="32"/>
        </w:rPr>
        <w:t>分配運作辦法</w:t>
      </w:r>
      <w:r w:rsidRPr="00BF5675">
        <w:rPr>
          <w:rFonts w:hAnsi="標楷體" w:hint="eastAsia"/>
          <w:szCs w:val="32"/>
        </w:rPr>
        <w:t>第5條規定：「</w:t>
      </w:r>
      <w:r w:rsidRPr="00BF5675">
        <w:rPr>
          <w:rFonts w:hAnsi="標楷體" w:cs="細明體" w:hint="eastAsia"/>
          <w:kern w:val="0"/>
          <w:szCs w:val="32"/>
        </w:rPr>
        <w:t>菸品健康福利捐之分配，應以……1%供中央與地方之私劣菸品查緝及防治菸品稅捐逃漏之用。</w:t>
      </w:r>
      <w:r w:rsidRPr="00BF5675">
        <w:rPr>
          <w:rFonts w:hAnsi="標楷體" w:hint="eastAsia"/>
          <w:szCs w:val="32"/>
        </w:rPr>
        <w:t>」第6條規定：「</w:t>
      </w:r>
      <w:r w:rsidRPr="00BF5675">
        <w:rPr>
          <w:rFonts w:hAnsi="標楷體" w:cs="細明體" w:hint="eastAsia"/>
          <w:kern w:val="0"/>
          <w:szCs w:val="32"/>
        </w:rPr>
        <w:t>前條規定……供中央與地方之私劣菸品查緝及防治菸品稅捐逃漏者，其受分配機關為財政部，並循預算程序辦理相關業務。前項各該受分配機關獲配款項之運用，應依其運用辦法 (要點)規定辦理。</w:t>
      </w:r>
      <w:r w:rsidRPr="00BF5675">
        <w:rPr>
          <w:rFonts w:hAnsi="標楷體" w:hint="eastAsia"/>
          <w:szCs w:val="32"/>
        </w:rPr>
        <w:t>」</w:t>
      </w:r>
      <w:r w:rsidRPr="00BF5675">
        <w:rPr>
          <w:rFonts w:hAnsi="標楷體" w:cs="細明體" w:hint="eastAsia"/>
          <w:kern w:val="0"/>
          <w:szCs w:val="32"/>
        </w:rPr>
        <w:t>財政部爰按上開規定，於95年5月16日訂定「</w:t>
      </w:r>
      <w:r w:rsidRPr="00BF5675">
        <w:rPr>
          <w:rFonts w:hAnsi="標楷體" w:cs="新細明體" w:hint="eastAsia"/>
          <w:kern w:val="0"/>
          <w:szCs w:val="32"/>
        </w:rPr>
        <w:t>菸品健康福利捐供私劣菸品查緝及防治稅捐逃漏經費運用要點</w:t>
      </w:r>
      <w:r w:rsidRPr="00BF5675">
        <w:rPr>
          <w:rFonts w:hAnsi="標楷體" w:cs="細明體" w:hint="eastAsia"/>
          <w:kern w:val="0"/>
          <w:szCs w:val="32"/>
        </w:rPr>
        <w:t>」（於104年2月26日修正名稱為「</w:t>
      </w:r>
      <w:r w:rsidRPr="00BF5675">
        <w:rPr>
          <w:rFonts w:hAnsi="標楷體" w:cs="新細明體" w:hint="eastAsia"/>
          <w:kern w:val="0"/>
          <w:szCs w:val="32"/>
        </w:rPr>
        <w:t>菸品健康福利捐供私劣菸品查緝及防制菸品稅捐逃漏經費運用要點</w:t>
      </w:r>
      <w:r w:rsidRPr="00BF5675">
        <w:rPr>
          <w:rFonts w:hAnsi="標楷體" w:cs="細明體" w:hint="eastAsia"/>
          <w:kern w:val="0"/>
          <w:szCs w:val="32"/>
        </w:rPr>
        <w:t>」），據以規範菸捐供私劣菸品查緝及防制菸品稅捐逃漏經費之分配、運用與執行等事項；該要點分別於96年4月3日、97年6月17日、104年2月26日及106年5月5日修正，合先敘明。</w:t>
      </w:r>
    </w:p>
    <w:p w:rsidR="009F0B2D" w:rsidRPr="009F0B2D" w:rsidRDefault="009F0B2D" w:rsidP="009F0B2D">
      <w:pPr>
        <w:pStyle w:val="3"/>
      </w:pPr>
      <w:r w:rsidRPr="00BF5675">
        <w:rPr>
          <w:rFonts w:hAnsi="標楷體" w:hint="eastAsia"/>
          <w:szCs w:val="32"/>
        </w:rPr>
        <w:t>按</w:t>
      </w:r>
      <w:r w:rsidRPr="00BF5675">
        <w:rPr>
          <w:rFonts w:hAnsi="標楷體" w:cs="細明體" w:hint="eastAsia"/>
          <w:kern w:val="0"/>
          <w:szCs w:val="32"/>
        </w:rPr>
        <w:t>97年6月17日修正之</w:t>
      </w:r>
      <w:r w:rsidRPr="00BF5675">
        <w:rPr>
          <w:rFonts w:hAnsi="標楷體" w:hint="eastAsia"/>
          <w:szCs w:val="32"/>
        </w:rPr>
        <w:t>菸捐</w:t>
      </w:r>
      <w:r w:rsidRPr="00BF5675">
        <w:rPr>
          <w:rFonts w:hAnsi="標楷體" w:cs="新細明體" w:hint="eastAsia"/>
          <w:kern w:val="0"/>
          <w:szCs w:val="32"/>
        </w:rPr>
        <w:t>經費運用要點</w:t>
      </w:r>
      <w:r w:rsidRPr="00BF5675">
        <w:rPr>
          <w:rFonts w:hAnsi="標楷體" w:cs="細明體" w:hint="eastAsia"/>
          <w:kern w:val="0"/>
          <w:szCs w:val="32"/>
        </w:rPr>
        <w:t>第2點及第5點規定：「菸品健康福利捐分配1%供中央與地方之私劣菸品查緝及</w:t>
      </w:r>
      <w:r w:rsidRPr="00BF5675">
        <w:rPr>
          <w:rFonts w:hAnsi="標楷體" w:cs="新細明體" w:hint="eastAsia"/>
          <w:kern w:val="0"/>
          <w:szCs w:val="32"/>
        </w:rPr>
        <w:t>防治</w:t>
      </w:r>
      <w:r w:rsidRPr="00BF5675">
        <w:rPr>
          <w:rFonts w:hAnsi="標楷體" w:cs="細明體" w:hint="eastAsia"/>
          <w:kern w:val="0"/>
          <w:szCs w:val="32"/>
        </w:rPr>
        <w:t>菸品稅捐逃漏之用，並依第3點所列支用項目專款專用，不得挪為他用（第1項）。前項經費應分配90%供中央與地方之私劣菸品查緝之用，10%</w:t>
      </w:r>
      <w:r w:rsidRPr="00BF5675">
        <w:rPr>
          <w:rFonts w:hAnsi="標楷體" w:cs="新細明體" w:hint="eastAsia"/>
          <w:kern w:val="0"/>
          <w:szCs w:val="32"/>
        </w:rPr>
        <w:t>供防治菸品稅捐逃漏之用</w:t>
      </w:r>
      <w:r w:rsidRPr="00BF5675">
        <w:rPr>
          <w:rFonts w:hAnsi="標楷體" w:cs="細明體" w:hint="eastAsia"/>
          <w:kern w:val="0"/>
          <w:szCs w:val="32"/>
        </w:rPr>
        <w:t>（第2項）</w:t>
      </w:r>
      <w:r w:rsidRPr="00BF5675">
        <w:rPr>
          <w:rFonts w:hAnsi="標楷體" w:cs="新細明體" w:hint="eastAsia"/>
          <w:kern w:val="0"/>
          <w:szCs w:val="32"/>
        </w:rPr>
        <w:t>。</w:t>
      </w:r>
      <w:r w:rsidRPr="00BF5675">
        <w:rPr>
          <w:rFonts w:hAnsi="標楷體" w:cs="細明體" w:hint="eastAsia"/>
          <w:kern w:val="0"/>
          <w:szCs w:val="32"/>
        </w:rPr>
        <w:t>」、「供中央與地方之私劣菸品查緝經費應以40%分配予</w:t>
      </w:r>
      <w:r w:rsidRPr="00BF5675">
        <w:rPr>
          <w:rFonts w:hAnsi="標楷體" w:hint="eastAsia"/>
          <w:szCs w:val="32"/>
        </w:rPr>
        <w:t>第4點</w:t>
      </w:r>
      <w:r w:rsidRPr="00BF5675">
        <w:rPr>
          <w:rFonts w:hAnsi="標楷體" w:cs="細明體" w:hint="eastAsia"/>
          <w:kern w:val="0"/>
          <w:szCs w:val="32"/>
        </w:rPr>
        <w:t>第1項第1款所列中央私劣菸品查緝機關，60%分配予直轄市及縣（市）政府（第1項）。前項</w:t>
      </w:r>
      <w:r w:rsidRPr="00BF5675">
        <w:rPr>
          <w:rFonts w:hAnsi="標楷體" w:cs="細明體" w:hint="eastAsia"/>
          <w:kern w:val="0"/>
          <w:szCs w:val="32"/>
        </w:rPr>
        <w:lastRenderedPageBreak/>
        <w:t>供中央私劣菸品查緝機關之經費，應於扣除估列查緝菸品獎勵金提撥數後，參酌各機關需求予以分配（第2項）。供直轄市及縣（市）政府之經費，應先提撥其中之20%，平均分配予各直轄市及縣（市）政府，其餘80%，依各直轄市及縣（市）人口數比例、面積比例各占20%及前1年度查獲私劣菸品案件數比例及數量比例各占30%之權數分配（第3項）。</w:t>
      </w:r>
      <w:r w:rsidRPr="00BF5675">
        <w:rPr>
          <w:rFonts w:hAnsi="標楷體" w:cs="新細明體" w:hint="eastAsia"/>
          <w:kern w:val="0"/>
          <w:szCs w:val="32"/>
        </w:rPr>
        <w:t>前項離島地區之人口數比</w:t>
      </w:r>
      <w:r w:rsidRPr="00BF5675">
        <w:rPr>
          <w:rFonts w:hAnsi="標楷體" w:cs="細明體" w:hint="eastAsia"/>
          <w:kern w:val="0"/>
          <w:szCs w:val="32"/>
        </w:rPr>
        <w:t>例</w:t>
      </w:r>
      <w:r w:rsidRPr="00BF5675">
        <w:rPr>
          <w:rFonts w:hAnsi="標楷體" w:cs="新細明體" w:hint="eastAsia"/>
          <w:kern w:val="0"/>
          <w:szCs w:val="32"/>
        </w:rPr>
        <w:t>及面積比</w:t>
      </w:r>
      <w:r w:rsidRPr="00BF5675">
        <w:rPr>
          <w:rFonts w:hAnsi="標楷體" w:cs="細明體" w:hint="eastAsia"/>
          <w:kern w:val="0"/>
          <w:szCs w:val="32"/>
        </w:rPr>
        <w:t>例</w:t>
      </w:r>
      <w:r w:rsidRPr="00BF5675">
        <w:rPr>
          <w:rFonts w:hAnsi="標楷體" w:cs="新細明體" w:hint="eastAsia"/>
          <w:kern w:val="0"/>
          <w:szCs w:val="32"/>
        </w:rPr>
        <w:t>應加重2.5倍計算</w:t>
      </w:r>
      <w:r w:rsidRPr="00BF5675">
        <w:rPr>
          <w:rFonts w:hAnsi="標楷體" w:cs="細明體" w:hint="eastAsia"/>
          <w:kern w:val="0"/>
          <w:szCs w:val="32"/>
        </w:rPr>
        <w:t>（第4項）</w:t>
      </w:r>
      <w:r w:rsidRPr="00BF5675">
        <w:rPr>
          <w:rFonts w:hAnsi="標楷體" w:cs="新細明體" w:hint="eastAsia"/>
          <w:kern w:val="0"/>
          <w:szCs w:val="32"/>
        </w:rPr>
        <w:t>。</w:t>
      </w:r>
      <w:r w:rsidRPr="00BF5675">
        <w:rPr>
          <w:rFonts w:hAnsi="標楷體" w:cs="細明體" w:hint="eastAsia"/>
          <w:kern w:val="0"/>
          <w:szCs w:val="32"/>
        </w:rPr>
        <w:t>」【104年2月26日修訂該要點，該2條文僅做部分文字修正，分配比率則未有更動。】</w:t>
      </w:r>
    </w:p>
    <w:p w:rsidR="009F0B2D" w:rsidRPr="009F0B2D" w:rsidRDefault="009F0B2D" w:rsidP="009F0B2D">
      <w:pPr>
        <w:pStyle w:val="3"/>
      </w:pPr>
      <w:r w:rsidRPr="00BF5675">
        <w:rPr>
          <w:rFonts w:hAnsi="標楷體" w:hint="eastAsia"/>
          <w:szCs w:val="32"/>
        </w:rPr>
        <w:t>經查各直轄</w:t>
      </w:r>
      <w:r w:rsidRPr="00BF5675">
        <w:rPr>
          <w:rFonts w:hAnsi="標楷體" w:cs="細明體" w:hint="eastAsia"/>
          <w:kern w:val="0"/>
          <w:szCs w:val="32"/>
        </w:rPr>
        <w:t>市及縣（市）政府</w:t>
      </w:r>
      <w:r w:rsidRPr="00BF5675">
        <w:rPr>
          <w:rFonts w:hAnsi="標楷體" w:hint="eastAsia"/>
          <w:szCs w:val="32"/>
        </w:rPr>
        <w:t>101至106年</w:t>
      </w:r>
      <w:r w:rsidRPr="00BF5675">
        <w:rPr>
          <w:rFonts w:hAnsi="標楷體" w:cs="細明體" w:hint="eastAsia"/>
          <w:kern w:val="0"/>
          <w:szCs w:val="32"/>
        </w:rPr>
        <w:t>獲配查緝經費計新臺幣（下同）</w:t>
      </w:r>
      <w:r w:rsidRPr="00BF5675">
        <w:rPr>
          <w:rFonts w:hAnsi="標楷體" w:cs="新細明體" w:hint="eastAsia"/>
          <w:kern w:val="0"/>
          <w:szCs w:val="32"/>
        </w:rPr>
        <w:t>979,560</w:t>
      </w:r>
      <w:r w:rsidRPr="00BF5675">
        <w:rPr>
          <w:rFonts w:hAnsi="標楷體" w:cs="細明體" w:hint="eastAsia"/>
          <w:kern w:val="0"/>
          <w:szCs w:val="32"/>
        </w:rPr>
        <w:t>千元，實支數</w:t>
      </w:r>
      <w:r w:rsidRPr="00BF5675">
        <w:rPr>
          <w:rFonts w:hAnsi="標楷體" w:cs="新細明體" w:hint="eastAsia"/>
          <w:kern w:val="0"/>
          <w:szCs w:val="32"/>
        </w:rPr>
        <w:t>685,793</w:t>
      </w:r>
      <w:r w:rsidRPr="00BF5675">
        <w:rPr>
          <w:rFonts w:hAnsi="標楷體" w:cs="細明體" w:hint="eastAsia"/>
          <w:kern w:val="0"/>
          <w:szCs w:val="32"/>
        </w:rPr>
        <w:t>千元，執行率</w:t>
      </w:r>
      <w:r w:rsidRPr="00BF5675">
        <w:rPr>
          <w:rFonts w:hAnsi="標楷體" w:cs="新細明體" w:hint="eastAsia"/>
          <w:kern w:val="0"/>
          <w:szCs w:val="32"/>
        </w:rPr>
        <w:t>70.01%，而賸餘經費293,767</w:t>
      </w:r>
      <w:r w:rsidRPr="00BF5675">
        <w:rPr>
          <w:rFonts w:hAnsi="標楷體" w:cs="細明體" w:hint="eastAsia"/>
          <w:kern w:val="0"/>
          <w:szCs w:val="32"/>
        </w:rPr>
        <w:t>千元</w:t>
      </w:r>
      <w:r w:rsidRPr="00BF5675">
        <w:rPr>
          <w:rFonts w:hAnsi="標楷體" w:cs="新細明體" w:hint="eastAsia"/>
          <w:kern w:val="0"/>
          <w:szCs w:val="32"/>
        </w:rPr>
        <w:t>中，除</w:t>
      </w:r>
      <w:r w:rsidRPr="00BF5675">
        <w:rPr>
          <w:rFonts w:hAnsi="標楷體" w:hint="eastAsia"/>
          <w:szCs w:val="32"/>
        </w:rPr>
        <w:t>保留</w:t>
      </w:r>
      <w:r w:rsidRPr="00BF5675">
        <w:rPr>
          <w:rFonts w:hAnsi="標楷體" w:cs="新細明體" w:hint="eastAsia"/>
          <w:kern w:val="0"/>
          <w:szCs w:val="32"/>
        </w:rPr>
        <w:t>150,826.94</w:t>
      </w:r>
      <w:r w:rsidRPr="00BF5675">
        <w:rPr>
          <w:rFonts w:hAnsi="標楷體" w:cs="細明體" w:hint="eastAsia"/>
          <w:kern w:val="0"/>
          <w:szCs w:val="32"/>
        </w:rPr>
        <w:t>千元及</w:t>
      </w:r>
      <w:r w:rsidRPr="00BF5675">
        <w:rPr>
          <w:rFonts w:hAnsi="標楷體" w:hint="eastAsia"/>
          <w:szCs w:val="32"/>
        </w:rPr>
        <w:t>轉入專戶</w:t>
      </w:r>
      <w:r w:rsidRPr="00BF5675">
        <w:rPr>
          <w:rFonts w:hAnsi="標楷體" w:cs="新細明體" w:hint="eastAsia"/>
          <w:kern w:val="0"/>
          <w:szCs w:val="32"/>
        </w:rPr>
        <w:t>26,076.27</w:t>
      </w:r>
      <w:r w:rsidRPr="00BF5675">
        <w:rPr>
          <w:rFonts w:hAnsi="標楷體" w:cs="細明體" w:hint="eastAsia"/>
          <w:kern w:val="0"/>
          <w:szCs w:val="32"/>
        </w:rPr>
        <w:t>千元</w:t>
      </w:r>
      <w:r w:rsidRPr="00BF5675">
        <w:rPr>
          <w:rFonts w:hAnsi="標楷體" w:hint="eastAsia"/>
          <w:szCs w:val="32"/>
        </w:rPr>
        <w:t>供以後年度辦理私劣菸品查緝業務外，餘</w:t>
      </w:r>
      <w:r w:rsidRPr="00BF5675">
        <w:rPr>
          <w:rFonts w:hAnsi="標楷體" w:cs="新細明體" w:hint="eastAsia"/>
          <w:kern w:val="0"/>
          <w:szCs w:val="32"/>
        </w:rPr>
        <w:t>116,863.79</w:t>
      </w:r>
      <w:r w:rsidRPr="00BF5675">
        <w:rPr>
          <w:rFonts w:hAnsi="標楷體" w:cs="細明體" w:hint="eastAsia"/>
          <w:kern w:val="0"/>
          <w:szCs w:val="32"/>
        </w:rPr>
        <w:t>千元</w:t>
      </w:r>
      <w:r w:rsidRPr="00BF5675">
        <w:rPr>
          <w:rFonts w:hAnsi="標楷體" w:hint="eastAsia"/>
          <w:szCs w:val="32"/>
        </w:rPr>
        <w:t>係</w:t>
      </w:r>
      <w:r w:rsidRPr="00BF5675">
        <w:rPr>
          <w:rFonts w:hAnsi="標楷體" w:cs="新細明體" w:hint="eastAsia"/>
          <w:kern w:val="0"/>
          <w:szCs w:val="32"/>
        </w:rPr>
        <w:t>逕行解繳市縣庫（如</w:t>
      </w:r>
      <w:r w:rsidRPr="00BF5675">
        <w:rPr>
          <w:rFonts w:hAnsi="標楷體" w:cs="新細明體" w:hint="eastAsia"/>
          <w:color w:val="FF0000"/>
          <w:kern w:val="0"/>
          <w:szCs w:val="32"/>
        </w:rPr>
        <w:t>表1</w:t>
      </w:r>
      <w:r w:rsidRPr="00BF5675">
        <w:rPr>
          <w:rFonts w:hAnsi="標楷體" w:cs="新細明體" w:hint="eastAsia"/>
          <w:kern w:val="0"/>
          <w:szCs w:val="32"/>
        </w:rPr>
        <w:t>）。各年度計有101年桃園市政府、宜蘭縣政府、彰化縣</w:t>
      </w:r>
      <w:r w:rsidRPr="00B566C7">
        <w:rPr>
          <w:rFonts w:hAnsi="標楷體" w:cs="新細明體" w:hint="eastAsia"/>
          <w:kern w:val="0"/>
          <w:szCs w:val="32"/>
        </w:rPr>
        <w:t>政府、</w:t>
      </w:r>
      <w:r w:rsidRPr="00A250D0">
        <w:rPr>
          <w:rFonts w:hAnsi="標楷體" w:cs="新細明體" w:hint="eastAsia"/>
          <w:kern w:val="0"/>
          <w:szCs w:val="32"/>
        </w:rPr>
        <w:t>南投縣</w:t>
      </w:r>
      <w:r w:rsidRPr="00B566C7">
        <w:rPr>
          <w:rFonts w:hAnsi="標楷體" w:cs="新細明體" w:hint="eastAsia"/>
          <w:kern w:val="0"/>
          <w:szCs w:val="32"/>
        </w:rPr>
        <w:t>政府、</w:t>
      </w:r>
      <w:r w:rsidRPr="00A250D0">
        <w:rPr>
          <w:rFonts w:hAnsi="標楷體" w:cs="新細明體" w:hint="eastAsia"/>
          <w:kern w:val="0"/>
          <w:szCs w:val="32"/>
        </w:rPr>
        <w:t>雲林縣</w:t>
      </w:r>
      <w:r w:rsidRPr="00B566C7">
        <w:rPr>
          <w:rFonts w:hAnsi="標楷體" w:cs="新細明體" w:hint="eastAsia"/>
          <w:kern w:val="0"/>
          <w:szCs w:val="32"/>
        </w:rPr>
        <w:t>政府、</w:t>
      </w:r>
      <w:r w:rsidRPr="00A250D0">
        <w:rPr>
          <w:rFonts w:hAnsi="標楷體" w:cs="新細明體" w:hint="eastAsia"/>
          <w:kern w:val="0"/>
          <w:szCs w:val="32"/>
        </w:rPr>
        <w:t>屏東縣</w:t>
      </w:r>
      <w:r w:rsidRPr="00B566C7">
        <w:rPr>
          <w:rFonts w:hAnsi="標楷體" w:cs="新細明體" w:hint="eastAsia"/>
          <w:kern w:val="0"/>
          <w:szCs w:val="32"/>
        </w:rPr>
        <w:t>政府、</w:t>
      </w:r>
      <w:r w:rsidRPr="00A250D0">
        <w:rPr>
          <w:rFonts w:hAnsi="標楷體" w:cs="新細明體" w:hint="eastAsia"/>
          <w:kern w:val="0"/>
          <w:szCs w:val="32"/>
        </w:rPr>
        <w:t>臺東縣</w:t>
      </w:r>
      <w:r w:rsidRPr="00B566C7">
        <w:rPr>
          <w:rFonts w:hAnsi="標楷體" w:cs="新細明體" w:hint="eastAsia"/>
          <w:kern w:val="0"/>
          <w:szCs w:val="32"/>
        </w:rPr>
        <w:t>政府、</w:t>
      </w:r>
      <w:r w:rsidRPr="00A250D0">
        <w:rPr>
          <w:rFonts w:hAnsi="標楷體" w:cs="新細明體" w:hint="eastAsia"/>
          <w:kern w:val="0"/>
          <w:szCs w:val="32"/>
        </w:rPr>
        <w:t>花蓮縣</w:t>
      </w:r>
      <w:r w:rsidRPr="00B566C7">
        <w:rPr>
          <w:rFonts w:hAnsi="標楷體" w:cs="新細明體" w:hint="eastAsia"/>
          <w:kern w:val="0"/>
          <w:szCs w:val="32"/>
        </w:rPr>
        <w:t>政府、</w:t>
      </w:r>
      <w:r w:rsidRPr="00A250D0">
        <w:rPr>
          <w:rFonts w:hAnsi="標楷體" w:cs="新細明體" w:hint="eastAsia"/>
          <w:kern w:val="0"/>
          <w:szCs w:val="32"/>
        </w:rPr>
        <w:t>基隆市</w:t>
      </w:r>
      <w:r w:rsidRPr="00B566C7">
        <w:rPr>
          <w:rFonts w:hAnsi="標楷體" w:cs="新細明體" w:hint="eastAsia"/>
          <w:kern w:val="0"/>
          <w:szCs w:val="32"/>
        </w:rPr>
        <w:t>政府及</w:t>
      </w:r>
      <w:r w:rsidRPr="00A250D0">
        <w:rPr>
          <w:rFonts w:hAnsi="標楷體" w:cs="新細明體" w:hint="eastAsia"/>
          <w:kern w:val="0"/>
          <w:szCs w:val="32"/>
        </w:rPr>
        <w:t>新竹市</w:t>
      </w:r>
      <w:r w:rsidRPr="00B566C7">
        <w:rPr>
          <w:rFonts w:hAnsi="標楷體" w:cs="新細明體" w:hint="eastAsia"/>
          <w:kern w:val="0"/>
          <w:szCs w:val="32"/>
        </w:rPr>
        <w:t>政府</w:t>
      </w:r>
      <w:r>
        <w:rPr>
          <w:rFonts w:hAnsi="標楷體" w:cs="新細明體" w:hint="eastAsia"/>
          <w:kern w:val="0"/>
          <w:szCs w:val="32"/>
        </w:rPr>
        <w:t>等</w:t>
      </w:r>
      <w:r w:rsidRPr="00B566C7">
        <w:rPr>
          <w:rFonts w:hAnsi="標楷體" w:cs="細明體" w:hint="eastAsia"/>
          <w:kern w:val="0"/>
          <w:szCs w:val="32"/>
        </w:rPr>
        <w:t>，102年</w:t>
      </w:r>
      <w:r w:rsidRPr="00A250D0">
        <w:rPr>
          <w:rFonts w:hAnsi="標楷體" w:cs="新細明體" w:hint="eastAsia"/>
          <w:kern w:val="0"/>
          <w:szCs w:val="32"/>
        </w:rPr>
        <w:t>桃園市</w:t>
      </w:r>
      <w:r w:rsidRPr="00B566C7">
        <w:rPr>
          <w:rFonts w:hAnsi="標楷體" w:cs="新細明體" w:hint="eastAsia"/>
          <w:kern w:val="0"/>
          <w:szCs w:val="32"/>
        </w:rPr>
        <w:t>政府、</w:t>
      </w:r>
      <w:r w:rsidRPr="00A250D0">
        <w:rPr>
          <w:rFonts w:hAnsi="標楷體" w:cs="新細明體" w:hint="eastAsia"/>
          <w:kern w:val="0"/>
          <w:szCs w:val="32"/>
        </w:rPr>
        <w:t>宜蘭縣</w:t>
      </w:r>
      <w:r w:rsidRPr="00B566C7">
        <w:rPr>
          <w:rFonts w:hAnsi="標楷體" w:cs="新細明體" w:hint="eastAsia"/>
          <w:kern w:val="0"/>
          <w:szCs w:val="32"/>
        </w:rPr>
        <w:t>政府、</w:t>
      </w:r>
      <w:r w:rsidRPr="00A250D0">
        <w:rPr>
          <w:rFonts w:hAnsi="標楷體" w:cs="新細明體" w:hint="eastAsia"/>
          <w:kern w:val="0"/>
          <w:szCs w:val="32"/>
        </w:rPr>
        <w:t>彰化縣</w:t>
      </w:r>
      <w:r w:rsidRPr="00B566C7">
        <w:rPr>
          <w:rFonts w:hAnsi="標楷體" w:cs="新細明體" w:hint="eastAsia"/>
          <w:kern w:val="0"/>
          <w:szCs w:val="32"/>
        </w:rPr>
        <w:t>政府、</w:t>
      </w:r>
      <w:r w:rsidRPr="00A250D0">
        <w:rPr>
          <w:rFonts w:hAnsi="標楷體" w:cs="新細明體" w:hint="eastAsia"/>
          <w:kern w:val="0"/>
          <w:szCs w:val="32"/>
        </w:rPr>
        <w:t>南投縣</w:t>
      </w:r>
      <w:r w:rsidRPr="00B566C7">
        <w:rPr>
          <w:rFonts w:hAnsi="標楷體" w:cs="新細明體" w:hint="eastAsia"/>
          <w:kern w:val="0"/>
          <w:szCs w:val="32"/>
        </w:rPr>
        <w:t>政府、</w:t>
      </w:r>
      <w:r w:rsidRPr="00A250D0">
        <w:rPr>
          <w:rFonts w:hAnsi="標楷體" w:cs="新細明體" w:hint="eastAsia"/>
          <w:kern w:val="0"/>
          <w:szCs w:val="32"/>
        </w:rPr>
        <w:t>雲林縣</w:t>
      </w:r>
      <w:r w:rsidRPr="00B566C7">
        <w:rPr>
          <w:rFonts w:hAnsi="標楷體" w:cs="新細明體" w:hint="eastAsia"/>
          <w:kern w:val="0"/>
          <w:szCs w:val="32"/>
        </w:rPr>
        <w:t>政府、</w:t>
      </w:r>
      <w:r w:rsidRPr="00A250D0">
        <w:rPr>
          <w:rFonts w:hAnsi="標楷體" w:cs="新細明體" w:hint="eastAsia"/>
          <w:kern w:val="0"/>
          <w:szCs w:val="32"/>
        </w:rPr>
        <w:t>屏東縣</w:t>
      </w:r>
      <w:r w:rsidRPr="00B566C7">
        <w:rPr>
          <w:rFonts w:hAnsi="標楷體" w:cs="新細明體" w:hint="eastAsia"/>
          <w:kern w:val="0"/>
          <w:szCs w:val="32"/>
        </w:rPr>
        <w:t>政府、</w:t>
      </w:r>
      <w:r w:rsidRPr="00A250D0">
        <w:rPr>
          <w:rFonts w:hAnsi="標楷體" w:cs="新細明體" w:hint="eastAsia"/>
          <w:kern w:val="0"/>
          <w:szCs w:val="32"/>
        </w:rPr>
        <w:t>花蓮縣</w:t>
      </w:r>
      <w:r w:rsidRPr="00B566C7">
        <w:rPr>
          <w:rFonts w:hAnsi="標楷體" w:cs="新細明體" w:hint="eastAsia"/>
          <w:kern w:val="0"/>
          <w:szCs w:val="32"/>
        </w:rPr>
        <w:t>政府及</w:t>
      </w:r>
      <w:r w:rsidRPr="00A250D0">
        <w:rPr>
          <w:rFonts w:hAnsi="標楷體" w:cs="新細明體" w:hint="eastAsia"/>
          <w:kern w:val="0"/>
          <w:szCs w:val="32"/>
        </w:rPr>
        <w:t>新竹市</w:t>
      </w:r>
      <w:r w:rsidRPr="00B566C7">
        <w:rPr>
          <w:rFonts w:hAnsi="標楷體" w:cs="新細明體" w:hint="eastAsia"/>
          <w:kern w:val="0"/>
          <w:szCs w:val="32"/>
        </w:rPr>
        <w:t>政府</w:t>
      </w:r>
      <w:r>
        <w:rPr>
          <w:rFonts w:hAnsi="標楷體" w:cs="新細明體" w:hint="eastAsia"/>
          <w:kern w:val="0"/>
          <w:szCs w:val="32"/>
        </w:rPr>
        <w:t>等</w:t>
      </w:r>
      <w:r w:rsidRPr="00B566C7">
        <w:rPr>
          <w:rFonts w:hAnsi="標楷體" w:cs="細明體" w:hint="eastAsia"/>
          <w:kern w:val="0"/>
          <w:szCs w:val="32"/>
        </w:rPr>
        <w:t>，103年</w:t>
      </w:r>
      <w:r w:rsidRPr="00392057">
        <w:rPr>
          <w:rFonts w:hAnsi="標楷體" w:cs="新細明體" w:hint="eastAsia"/>
          <w:kern w:val="0"/>
          <w:szCs w:val="32"/>
        </w:rPr>
        <w:t>宜蘭縣</w:t>
      </w:r>
      <w:r w:rsidRPr="00B566C7">
        <w:rPr>
          <w:rFonts w:hAnsi="標楷體" w:cs="新細明體" w:hint="eastAsia"/>
          <w:kern w:val="0"/>
          <w:szCs w:val="32"/>
        </w:rPr>
        <w:t>政府、</w:t>
      </w:r>
      <w:r w:rsidRPr="00392057">
        <w:rPr>
          <w:rFonts w:hAnsi="標楷體" w:cs="新細明體" w:hint="eastAsia"/>
          <w:kern w:val="0"/>
          <w:szCs w:val="32"/>
        </w:rPr>
        <w:t>苗栗縣</w:t>
      </w:r>
      <w:r w:rsidRPr="00B566C7">
        <w:rPr>
          <w:rFonts w:hAnsi="標楷體" w:cs="新細明體" w:hint="eastAsia"/>
          <w:kern w:val="0"/>
          <w:szCs w:val="32"/>
        </w:rPr>
        <w:t>政府、</w:t>
      </w:r>
      <w:r w:rsidRPr="00392057">
        <w:rPr>
          <w:rFonts w:hAnsi="標楷體" w:cs="新細明體" w:hint="eastAsia"/>
          <w:kern w:val="0"/>
          <w:szCs w:val="32"/>
        </w:rPr>
        <w:t>彰化縣</w:t>
      </w:r>
      <w:r w:rsidRPr="00B566C7">
        <w:rPr>
          <w:rFonts w:hAnsi="標楷體" w:cs="新細明體" w:hint="eastAsia"/>
          <w:kern w:val="0"/>
          <w:szCs w:val="32"/>
        </w:rPr>
        <w:t>政府、</w:t>
      </w:r>
      <w:r w:rsidRPr="00392057">
        <w:rPr>
          <w:rFonts w:hAnsi="標楷體" w:cs="新細明體" w:hint="eastAsia"/>
          <w:kern w:val="0"/>
          <w:szCs w:val="32"/>
        </w:rPr>
        <w:t>南投縣</w:t>
      </w:r>
      <w:r w:rsidRPr="00B566C7">
        <w:rPr>
          <w:rFonts w:hAnsi="標楷體" w:cs="新細明體" w:hint="eastAsia"/>
          <w:kern w:val="0"/>
          <w:szCs w:val="32"/>
        </w:rPr>
        <w:t>政府、</w:t>
      </w:r>
      <w:r w:rsidRPr="00392057">
        <w:rPr>
          <w:rFonts w:hAnsi="標楷體" w:cs="新細明體" w:hint="eastAsia"/>
          <w:kern w:val="0"/>
          <w:szCs w:val="32"/>
        </w:rPr>
        <w:t>雲林縣</w:t>
      </w:r>
      <w:r w:rsidRPr="00B566C7">
        <w:rPr>
          <w:rFonts w:hAnsi="標楷體" w:cs="新細明體" w:hint="eastAsia"/>
          <w:kern w:val="0"/>
          <w:szCs w:val="32"/>
        </w:rPr>
        <w:t>政府、</w:t>
      </w:r>
      <w:r w:rsidRPr="00392057">
        <w:rPr>
          <w:rFonts w:hAnsi="標楷體" w:cs="新細明體" w:hint="eastAsia"/>
          <w:kern w:val="0"/>
          <w:szCs w:val="32"/>
        </w:rPr>
        <w:t>屏東縣</w:t>
      </w:r>
      <w:r w:rsidRPr="00B566C7">
        <w:rPr>
          <w:rFonts w:hAnsi="標楷體" w:cs="新細明體" w:hint="eastAsia"/>
          <w:kern w:val="0"/>
          <w:szCs w:val="32"/>
        </w:rPr>
        <w:t>政府、</w:t>
      </w:r>
      <w:r w:rsidRPr="00392057">
        <w:rPr>
          <w:rFonts w:hAnsi="標楷體" w:cs="新細明體" w:hint="eastAsia"/>
          <w:kern w:val="0"/>
          <w:szCs w:val="32"/>
        </w:rPr>
        <w:t>臺東縣</w:t>
      </w:r>
      <w:r w:rsidRPr="00B566C7">
        <w:rPr>
          <w:rFonts w:hAnsi="標楷體" w:cs="新細明體" w:hint="eastAsia"/>
          <w:kern w:val="0"/>
          <w:szCs w:val="32"/>
        </w:rPr>
        <w:t>政府、</w:t>
      </w:r>
      <w:r w:rsidRPr="00392057">
        <w:rPr>
          <w:rFonts w:hAnsi="標楷體" w:cs="新細明體" w:hint="eastAsia"/>
          <w:kern w:val="0"/>
          <w:szCs w:val="32"/>
        </w:rPr>
        <w:t>花蓮縣</w:t>
      </w:r>
      <w:r w:rsidRPr="00B566C7">
        <w:rPr>
          <w:rFonts w:hAnsi="標楷體" w:cs="新細明體" w:hint="eastAsia"/>
          <w:kern w:val="0"/>
          <w:szCs w:val="32"/>
        </w:rPr>
        <w:t>政府及</w:t>
      </w:r>
      <w:r w:rsidRPr="00392057">
        <w:rPr>
          <w:rFonts w:hAnsi="標楷體" w:cs="新細明體" w:hint="eastAsia"/>
          <w:kern w:val="0"/>
          <w:szCs w:val="32"/>
        </w:rPr>
        <w:t>新竹市</w:t>
      </w:r>
      <w:r w:rsidRPr="00B566C7">
        <w:rPr>
          <w:rFonts w:hAnsi="標楷體" w:cs="新細明體" w:hint="eastAsia"/>
          <w:kern w:val="0"/>
          <w:szCs w:val="32"/>
        </w:rPr>
        <w:t>政府</w:t>
      </w:r>
      <w:r>
        <w:rPr>
          <w:rFonts w:hAnsi="標楷體" w:cs="新細明體" w:hint="eastAsia"/>
          <w:kern w:val="0"/>
          <w:szCs w:val="32"/>
        </w:rPr>
        <w:t>等</w:t>
      </w:r>
      <w:r w:rsidRPr="00B566C7">
        <w:rPr>
          <w:rFonts w:hAnsi="標楷體" w:cs="細明體" w:hint="eastAsia"/>
          <w:kern w:val="0"/>
          <w:szCs w:val="32"/>
        </w:rPr>
        <w:t>，104年</w:t>
      </w:r>
      <w:r w:rsidRPr="00392057">
        <w:rPr>
          <w:rFonts w:hAnsi="標楷體" w:cs="新細明體" w:hint="eastAsia"/>
          <w:kern w:val="0"/>
          <w:szCs w:val="32"/>
        </w:rPr>
        <w:t>宜蘭縣</w:t>
      </w:r>
      <w:r w:rsidRPr="00B566C7">
        <w:rPr>
          <w:rFonts w:hAnsi="標楷體" w:cs="新細明體" w:hint="eastAsia"/>
          <w:kern w:val="0"/>
          <w:szCs w:val="32"/>
        </w:rPr>
        <w:t>政府、</w:t>
      </w:r>
      <w:r w:rsidRPr="00392057">
        <w:rPr>
          <w:rFonts w:hAnsi="標楷體" w:cs="新細明體" w:hint="eastAsia"/>
          <w:kern w:val="0"/>
          <w:szCs w:val="32"/>
        </w:rPr>
        <w:t>苗栗縣</w:t>
      </w:r>
      <w:r w:rsidRPr="00B566C7">
        <w:rPr>
          <w:rFonts w:hAnsi="標楷體" w:cs="新細明體" w:hint="eastAsia"/>
          <w:kern w:val="0"/>
          <w:szCs w:val="32"/>
        </w:rPr>
        <w:t>政府、</w:t>
      </w:r>
      <w:r w:rsidRPr="00392057">
        <w:rPr>
          <w:rFonts w:hAnsi="標楷體" w:cs="新細明體" w:hint="eastAsia"/>
          <w:kern w:val="0"/>
          <w:szCs w:val="32"/>
        </w:rPr>
        <w:t>彰化縣</w:t>
      </w:r>
      <w:r w:rsidRPr="00B566C7">
        <w:rPr>
          <w:rFonts w:hAnsi="標楷體" w:cs="新細明體" w:hint="eastAsia"/>
          <w:kern w:val="0"/>
          <w:szCs w:val="32"/>
        </w:rPr>
        <w:t>政府、</w:t>
      </w:r>
      <w:r w:rsidRPr="00392057">
        <w:rPr>
          <w:rFonts w:hAnsi="標楷體" w:cs="新細明體" w:hint="eastAsia"/>
          <w:kern w:val="0"/>
          <w:szCs w:val="32"/>
        </w:rPr>
        <w:t>南投縣</w:t>
      </w:r>
      <w:r w:rsidRPr="00B566C7">
        <w:rPr>
          <w:rFonts w:hAnsi="標楷體" w:cs="新細明體" w:hint="eastAsia"/>
          <w:kern w:val="0"/>
          <w:szCs w:val="32"/>
        </w:rPr>
        <w:t>政府、</w:t>
      </w:r>
      <w:r w:rsidRPr="00392057">
        <w:rPr>
          <w:rFonts w:hAnsi="標楷體" w:cs="新細明體" w:hint="eastAsia"/>
          <w:kern w:val="0"/>
          <w:szCs w:val="32"/>
        </w:rPr>
        <w:t>雲林縣</w:t>
      </w:r>
      <w:r w:rsidRPr="00B566C7">
        <w:rPr>
          <w:rFonts w:hAnsi="標楷體" w:cs="新細明體" w:hint="eastAsia"/>
          <w:kern w:val="0"/>
          <w:szCs w:val="32"/>
        </w:rPr>
        <w:t>政府、</w:t>
      </w:r>
      <w:r w:rsidRPr="00392057">
        <w:rPr>
          <w:rFonts w:hAnsi="標楷體" w:cs="新細明體" w:hint="eastAsia"/>
          <w:kern w:val="0"/>
          <w:szCs w:val="32"/>
        </w:rPr>
        <w:t>臺東縣</w:t>
      </w:r>
      <w:r w:rsidRPr="00B566C7">
        <w:rPr>
          <w:rFonts w:hAnsi="標楷體" w:cs="新細明體" w:hint="eastAsia"/>
          <w:kern w:val="0"/>
          <w:szCs w:val="32"/>
        </w:rPr>
        <w:t>政府、</w:t>
      </w:r>
      <w:r w:rsidRPr="00392057">
        <w:rPr>
          <w:rFonts w:hAnsi="標楷體" w:cs="新細明體" w:hint="eastAsia"/>
          <w:kern w:val="0"/>
          <w:szCs w:val="32"/>
        </w:rPr>
        <w:t>花蓮縣</w:t>
      </w:r>
      <w:r w:rsidRPr="00B566C7">
        <w:rPr>
          <w:rFonts w:hAnsi="標楷體" w:cs="新細明體" w:hint="eastAsia"/>
          <w:kern w:val="0"/>
          <w:szCs w:val="32"/>
        </w:rPr>
        <w:t>政府、</w:t>
      </w:r>
      <w:r w:rsidRPr="00392057">
        <w:rPr>
          <w:rFonts w:hAnsi="標楷體" w:cs="新細明體" w:hint="eastAsia"/>
          <w:kern w:val="0"/>
          <w:szCs w:val="32"/>
        </w:rPr>
        <w:t>基隆市</w:t>
      </w:r>
      <w:r w:rsidRPr="00B566C7">
        <w:rPr>
          <w:rFonts w:hAnsi="標楷體" w:cs="新細明體" w:hint="eastAsia"/>
          <w:kern w:val="0"/>
          <w:szCs w:val="32"/>
        </w:rPr>
        <w:t>政府及</w:t>
      </w:r>
      <w:r w:rsidRPr="00392057">
        <w:rPr>
          <w:rFonts w:hAnsi="標楷體" w:cs="新細明體" w:hint="eastAsia"/>
          <w:kern w:val="0"/>
          <w:szCs w:val="32"/>
        </w:rPr>
        <w:t>新竹市</w:t>
      </w:r>
      <w:r w:rsidRPr="00B566C7">
        <w:rPr>
          <w:rFonts w:hAnsi="標楷體" w:cs="新細明體" w:hint="eastAsia"/>
          <w:kern w:val="0"/>
          <w:szCs w:val="32"/>
        </w:rPr>
        <w:t>政府</w:t>
      </w:r>
      <w:r>
        <w:rPr>
          <w:rFonts w:hAnsi="標楷體" w:cs="新細明體" w:hint="eastAsia"/>
          <w:kern w:val="0"/>
          <w:szCs w:val="32"/>
        </w:rPr>
        <w:t>等</w:t>
      </w:r>
      <w:r w:rsidRPr="00B566C7">
        <w:rPr>
          <w:rFonts w:hAnsi="標楷體" w:cs="細明體" w:hint="eastAsia"/>
          <w:kern w:val="0"/>
          <w:szCs w:val="32"/>
        </w:rPr>
        <w:t>，105年</w:t>
      </w:r>
      <w:r w:rsidRPr="00392057">
        <w:rPr>
          <w:rFonts w:hAnsi="標楷體" w:cs="新細明體" w:hint="eastAsia"/>
          <w:kern w:val="0"/>
          <w:szCs w:val="32"/>
        </w:rPr>
        <w:t>臺南市</w:t>
      </w:r>
      <w:r w:rsidRPr="00B566C7">
        <w:rPr>
          <w:rFonts w:hAnsi="標楷體" w:cs="新細明體" w:hint="eastAsia"/>
          <w:kern w:val="0"/>
          <w:szCs w:val="32"/>
        </w:rPr>
        <w:t>政府、</w:t>
      </w:r>
      <w:r w:rsidRPr="00392057">
        <w:rPr>
          <w:rFonts w:hAnsi="標楷體" w:cs="新細明體" w:hint="eastAsia"/>
          <w:kern w:val="0"/>
          <w:szCs w:val="32"/>
        </w:rPr>
        <w:t>宜蘭縣</w:t>
      </w:r>
      <w:r w:rsidRPr="00B566C7">
        <w:rPr>
          <w:rFonts w:hAnsi="標楷體" w:cs="新細明體" w:hint="eastAsia"/>
          <w:kern w:val="0"/>
          <w:szCs w:val="32"/>
        </w:rPr>
        <w:t>政府、</w:t>
      </w:r>
      <w:r w:rsidRPr="00392057">
        <w:rPr>
          <w:rFonts w:hAnsi="標楷體" w:cs="新細明體" w:hint="eastAsia"/>
          <w:kern w:val="0"/>
          <w:szCs w:val="32"/>
        </w:rPr>
        <w:t>苗栗縣</w:t>
      </w:r>
      <w:r w:rsidRPr="00B566C7">
        <w:rPr>
          <w:rFonts w:hAnsi="標楷體" w:cs="新細明體" w:hint="eastAsia"/>
          <w:kern w:val="0"/>
          <w:szCs w:val="32"/>
        </w:rPr>
        <w:t>政府、</w:t>
      </w:r>
      <w:r w:rsidRPr="00392057">
        <w:rPr>
          <w:rFonts w:hAnsi="標楷體" w:cs="新細明體" w:hint="eastAsia"/>
          <w:kern w:val="0"/>
          <w:szCs w:val="32"/>
        </w:rPr>
        <w:t>南投縣</w:t>
      </w:r>
      <w:r w:rsidRPr="00B566C7">
        <w:rPr>
          <w:rFonts w:hAnsi="標楷體" w:cs="新細明體" w:hint="eastAsia"/>
          <w:kern w:val="0"/>
          <w:szCs w:val="32"/>
        </w:rPr>
        <w:t>政府、</w:t>
      </w:r>
      <w:r w:rsidRPr="00392057">
        <w:rPr>
          <w:rFonts w:hAnsi="標楷體" w:cs="新細明體" w:hint="eastAsia"/>
          <w:kern w:val="0"/>
          <w:szCs w:val="32"/>
        </w:rPr>
        <w:t>雲林縣</w:t>
      </w:r>
      <w:r w:rsidRPr="00B566C7">
        <w:rPr>
          <w:rFonts w:hAnsi="標楷體" w:cs="新細明體" w:hint="eastAsia"/>
          <w:kern w:val="0"/>
          <w:szCs w:val="32"/>
        </w:rPr>
        <w:t>政府、</w:t>
      </w:r>
      <w:r w:rsidRPr="00392057">
        <w:rPr>
          <w:rFonts w:hAnsi="標楷體" w:cs="新細明體" w:hint="eastAsia"/>
          <w:kern w:val="0"/>
          <w:szCs w:val="32"/>
        </w:rPr>
        <w:t>臺東縣</w:t>
      </w:r>
      <w:r w:rsidRPr="00B566C7">
        <w:rPr>
          <w:rFonts w:hAnsi="標楷體" w:cs="新細明體" w:hint="eastAsia"/>
          <w:kern w:val="0"/>
          <w:szCs w:val="32"/>
        </w:rPr>
        <w:t>政府、</w:t>
      </w:r>
      <w:r w:rsidRPr="00392057">
        <w:rPr>
          <w:rFonts w:hAnsi="標楷體" w:cs="新細明體" w:hint="eastAsia"/>
          <w:kern w:val="0"/>
          <w:szCs w:val="32"/>
        </w:rPr>
        <w:t>花蓮縣</w:t>
      </w:r>
      <w:r w:rsidRPr="00B566C7">
        <w:rPr>
          <w:rFonts w:hAnsi="標楷體" w:cs="新細明體" w:hint="eastAsia"/>
          <w:kern w:val="0"/>
          <w:szCs w:val="32"/>
        </w:rPr>
        <w:t>政府、</w:t>
      </w:r>
      <w:r w:rsidRPr="00392057">
        <w:rPr>
          <w:rFonts w:hAnsi="標楷體" w:cs="新細明體" w:hint="eastAsia"/>
          <w:kern w:val="0"/>
          <w:szCs w:val="32"/>
        </w:rPr>
        <w:t>基隆市</w:t>
      </w:r>
      <w:r w:rsidRPr="00B566C7">
        <w:rPr>
          <w:rFonts w:hAnsi="標楷體" w:cs="新細明體" w:hint="eastAsia"/>
          <w:kern w:val="0"/>
          <w:szCs w:val="32"/>
        </w:rPr>
        <w:t>政府及</w:t>
      </w:r>
      <w:r w:rsidRPr="00392057">
        <w:rPr>
          <w:rFonts w:hAnsi="標楷體" w:cs="新細明體" w:hint="eastAsia"/>
          <w:kern w:val="0"/>
          <w:szCs w:val="32"/>
        </w:rPr>
        <w:t>新竹市</w:t>
      </w:r>
      <w:r w:rsidRPr="00B566C7">
        <w:rPr>
          <w:rFonts w:hAnsi="標楷體" w:cs="新細明體" w:hint="eastAsia"/>
          <w:kern w:val="0"/>
          <w:szCs w:val="32"/>
        </w:rPr>
        <w:t>政府</w:t>
      </w:r>
      <w:r>
        <w:rPr>
          <w:rFonts w:hAnsi="標楷體" w:cs="新細明體" w:hint="eastAsia"/>
          <w:kern w:val="0"/>
          <w:szCs w:val="32"/>
        </w:rPr>
        <w:t>等</w:t>
      </w:r>
      <w:r w:rsidRPr="00B566C7">
        <w:rPr>
          <w:rFonts w:hAnsi="標楷體" w:cs="細明體" w:hint="eastAsia"/>
          <w:kern w:val="0"/>
          <w:szCs w:val="32"/>
        </w:rPr>
        <w:t>，106年</w:t>
      </w:r>
      <w:r w:rsidRPr="00655B58">
        <w:rPr>
          <w:rFonts w:hAnsi="標楷體" w:cs="新細明體" w:hint="eastAsia"/>
          <w:kern w:val="0"/>
          <w:szCs w:val="32"/>
        </w:rPr>
        <w:t>臺北市</w:t>
      </w:r>
      <w:r w:rsidRPr="00B566C7">
        <w:rPr>
          <w:rFonts w:hAnsi="標楷體" w:cs="新細明體" w:hint="eastAsia"/>
          <w:kern w:val="0"/>
          <w:szCs w:val="32"/>
        </w:rPr>
        <w:t>政府、</w:t>
      </w:r>
      <w:r w:rsidRPr="00655B58">
        <w:rPr>
          <w:rFonts w:hAnsi="標楷體" w:cs="新細明體" w:hint="eastAsia"/>
          <w:kern w:val="0"/>
          <w:szCs w:val="32"/>
        </w:rPr>
        <w:t>高雄市</w:t>
      </w:r>
      <w:r w:rsidRPr="00B566C7">
        <w:rPr>
          <w:rFonts w:hAnsi="標楷體" w:cs="新細明體" w:hint="eastAsia"/>
          <w:kern w:val="0"/>
          <w:szCs w:val="32"/>
        </w:rPr>
        <w:t>政府、</w:t>
      </w:r>
      <w:r w:rsidRPr="00655B58">
        <w:rPr>
          <w:rFonts w:hAnsi="標楷體" w:cs="新細明體" w:hint="eastAsia"/>
          <w:kern w:val="0"/>
          <w:szCs w:val="32"/>
        </w:rPr>
        <w:t>宜蘭縣</w:t>
      </w:r>
      <w:r w:rsidRPr="00B566C7">
        <w:rPr>
          <w:rFonts w:hAnsi="標楷體" w:cs="新細明體" w:hint="eastAsia"/>
          <w:kern w:val="0"/>
          <w:szCs w:val="32"/>
        </w:rPr>
        <w:t>政府、</w:t>
      </w:r>
      <w:r w:rsidRPr="00655B58">
        <w:rPr>
          <w:rFonts w:hAnsi="標楷體" w:cs="新細明體" w:hint="eastAsia"/>
          <w:kern w:val="0"/>
          <w:szCs w:val="32"/>
        </w:rPr>
        <w:t>新竹</w:t>
      </w:r>
      <w:r w:rsidRPr="00655B58">
        <w:rPr>
          <w:rFonts w:hAnsi="標楷體" w:cs="新細明體" w:hint="eastAsia"/>
          <w:kern w:val="0"/>
          <w:szCs w:val="32"/>
        </w:rPr>
        <w:lastRenderedPageBreak/>
        <w:t>縣</w:t>
      </w:r>
      <w:r w:rsidRPr="00B566C7">
        <w:rPr>
          <w:rFonts w:hAnsi="標楷體" w:cs="新細明體" w:hint="eastAsia"/>
          <w:kern w:val="0"/>
          <w:szCs w:val="32"/>
        </w:rPr>
        <w:t>政府、</w:t>
      </w:r>
      <w:r w:rsidRPr="00655B58">
        <w:rPr>
          <w:rFonts w:hAnsi="標楷體" w:cs="新細明體" w:hint="eastAsia"/>
          <w:kern w:val="0"/>
          <w:szCs w:val="32"/>
        </w:rPr>
        <w:t>苗栗縣</w:t>
      </w:r>
      <w:r w:rsidRPr="00B566C7">
        <w:rPr>
          <w:rFonts w:hAnsi="標楷體" w:cs="新細明體" w:hint="eastAsia"/>
          <w:kern w:val="0"/>
          <w:szCs w:val="32"/>
        </w:rPr>
        <w:t>政府、</w:t>
      </w:r>
      <w:r w:rsidRPr="00655B58">
        <w:rPr>
          <w:rFonts w:hAnsi="標楷體" w:cs="新細明體" w:hint="eastAsia"/>
          <w:kern w:val="0"/>
          <w:szCs w:val="32"/>
        </w:rPr>
        <w:t>彰化縣</w:t>
      </w:r>
      <w:r w:rsidRPr="00B566C7">
        <w:rPr>
          <w:rFonts w:hAnsi="標楷體" w:cs="新細明體" w:hint="eastAsia"/>
          <w:kern w:val="0"/>
          <w:szCs w:val="32"/>
        </w:rPr>
        <w:t>政府、</w:t>
      </w:r>
      <w:r w:rsidRPr="00655B58">
        <w:rPr>
          <w:rFonts w:hAnsi="標楷體" w:cs="新細明體" w:hint="eastAsia"/>
          <w:kern w:val="0"/>
          <w:szCs w:val="32"/>
        </w:rPr>
        <w:t>南投縣</w:t>
      </w:r>
      <w:r w:rsidRPr="00B566C7">
        <w:rPr>
          <w:rFonts w:hAnsi="標楷體" w:cs="新細明體" w:hint="eastAsia"/>
          <w:kern w:val="0"/>
          <w:szCs w:val="32"/>
        </w:rPr>
        <w:t>政府、</w:t>
      </w:r>
      <w:r w:rsidRPr="00655B58">
        <w:rPr>
          <w:rFonts w:hAnsi="標楷體" w:cs="新細明體" w:hint="eastAsia"/>
          <w:kern w:val="0"/>
          <w:szCs w:val="32"/>
        </w:rPr>
        <w:t>雲林縣</w:t>
      </w:r>
      <w:r w:rsidRPr="00B566C7">
        <w:rPr>
          <w:rFonts w:hAnsi="標楷體" w:cs="新細明體" w:hint="eastAsia"/>
          <w:kern w:val="0"/>
          <w:szCs w:val="32"/>
        </w:rPr>
        <w:t>政府、</w:t>
      </w:r>
      <w:r w:rsidRPr="00655B58">
        <w:rPr>
          <w:rFonts w:hAnsi="標楷體" w:cs="新細明體" w:hint="eastAsia"/>
          <w:kern w:val="0"/>
          <w:szCs w:val="32"/>
        </w:rPr>
        <w:t>嘉義縣</w:t>
      </w:r>
      <w:r w:rsidRPr="00B566C7">
        <w:rPr>
          <w:rFonts w:hAnsi="標楷體" w:cs="新細明體" w:hint="eastAsia"/>
          <w:kern w:val="0"/>
          <w:szCs w:val="32"/>
        </w:rPr>
        <w:t>政府、</w:t>
      </w:r>
      <w:r w:rsidRPr="00655B58">
        <w:rPr>
          <w:rFonts w:hAnsi="標楷體" w:cs="新細明體" w:hint="eastAsia"/>
          <w:kern w:val="0"/>
          <w:szCs w:val="32"/>
        </w:rPr>
        <w:t>花蓮縣</w:t>
      </w:r>
      <w:r w:rsidRPr="00B566C7">
        <w:rPr>
          <w:rFonts w:hAnsi="標楷體" w:cs="新細明體" w:hint="eastAsia"/>
          <w:kern w:val="0"/>
          <w:szCs w:val="32"/>
        </w:rPr>
        <w:t>政府、</w:t>
      </w:r>
      <w:r w:rsidRPr="00655B58">
        <w:rPr>
          <w:rFonts w:hAnsi="標楷體" w:cs="新細明體" w:hint="eastAsia"/>
          <w:kern w:val="0"/>
          <w:szCs w:val="32"/>
        </w:rPr>
        <w:t>澎湖縣</w:t>
      </w:r>
      <w:r w:rsidRPr="00B566C7">
        <w:rPr>
          <w:rFonts w:hAnsi="標楷體" w:cs="新細明體" w:hint="eastAsia"/>
          <w:kern w:val="0"/>
          <w:szCs w:val="32"/>
        </w:rPr>
        <w:t>政府、</w:t>
      </w:r>
      <w:r w:rsidRPr="00655B58">
        <w:rPr>
          <w:rFonts w:hAnsi="標楷體" w:cs="新細明體" w:hint="eastAsia"/>
          <w:kern w:val="0"/>
          <w:szCs w:val="32"/>
        </w:rPr>
        <w:t>基隆市</w:t>
      </w:r>
      <w:r w:rsidRPr="00B566C7">
        <w:rPr>
          <w:rFonts w:hAnsi="標楷體" w:cs="新細明體" w:hint="eastAsia"/>
          <w:kern w:val="0"/>
          <w:szCs w:val="32"/>
        </w:rPr>
        <w:t>政府、</w:t>
      </w:r>
      <w:r w:rsidRPr="00655B58">
        <w:rPr>
          <w:rFonts w:hAnsi="標楷體" w:cs="新細明體" w:hint="eastAsia"/>
          <w:kern w:val="0"/>
          <w:szCs w:val="32"/>
        </w:rPr>
        <w:t>新竹市</w:t>
      </w:r>
      <w:r w:rsidRPr="00B566C7">
        <w:rPr>
          <w:rFonts w:hAnsi="標楷體" w:cs="新細明體" w:hint="eastAsia"/>
          <w:kern w:val="0"/>
          <w:szCs w:val="32"/>
        </w:rPr>
        <w:t>政府、</w:t>
      </w:r>
      <w:r w:rsidRPr="00655B58">
        <w:rPr>
          <w:rFonts w:hAnsi="標楷體" w:cs="新細明體" w:hint="eastAsia"/>
          <w:kern w:val="0"/>
          <w:szCs w:val="32"/>
        </w:rPr>
        <w:t>嘉義市</w:t>
      </w:r>
      <w:r w:rsidRPr="00B566C7">
        <w:rPr>
          <w:rFonts w:hAnsi="標楷體" w:cs="新細明體" w:hint="eastAsia"/>
          <w:kern w:val="0"/>
          <w:szCs w:val="32"/>
        </w:rPr>
        <w:t>政府及</w:t>
      </w:r>
      <w:r w:rsidRPr="00655B58">
        <w:rPr>
          <w:rFonts w:hAnsi="標楷體" w:cs="新細明體" w:hint="eastAsia"/>
          <w:kern w:val="0"/>
          <w:szCs w:val="32"/>
        </w:rPr>
        <w:t>連江縣</w:t>
      </w:r>
      <w:r w:rsidRPr="00B566C7">
        <w:rPr>
          <w:rFonts w:hAnsi="標楷體" w:cs="新細明體" w:hint="eastAsia"/>
          <w:kern w:val="0"/>
          <w:szCs w:val="32"/>
        </w:rPr>
        <w:t>政府</w:t>
      </w:r>
      <w:r w:rsidRPr="00B566C7">
        <w:rPr>
          <w:rFonts w:hAnsi="標楷體" w:cs="細明體" w:hint="eastAsia"/>
          <w:kern w:val="0"/>
          <w:szCs w:val="32"/>
        </w:rPr>
        <w:t>等之執行率均低於80%</w:t>
      </w:r>
      <w:r>
        <w:rPr>
          <w:rFonts w:hAnsi="標楷體" w:cs="細明體" w:hint="eastAsia"/>
          <w:kern w:val="0"/>
          <w:szCs w:val="32"/>
        </w:rPr>
        <w:t>。且上開年度中，</w:t>
      </w:r>
      <w:r w:rsidRPr="00417CF0">
        <w:rPr>
          <w:rFonts w:hAnsi="標楷體" w:cs="新細明體" w:hint="eastAsia"/>
          <w:kern w:val="0"/>
          <w:szCs w:val="32"/>
        </w:rPr>
        <w:t>花蓮縣政府係連續5年</w:t>
      </w:r>
      <w:r w:rsidRPr="00417CF0">
        <w:rPr>
          <w:rFonts w:hAnsi="標楷體" w:cs="細明體" w:hint="eastAsia"/>
          <w:kern w:val="0"/>
          <w:szCs w:val="32"/>
        </w:rPr>
        <w:t>執行率不及6成，而</w:t>
      </w:r>
      <w:r w:rsidRPr="00417CF0">
        <w:rPr>
          <w:rFonts w:hAnsi="標楷體" w:cs="新細明體" w:hint="eastAsia"/>
          <w:kern w:val="0"/>
          <w:szCs w:val="32"/>
        </w:rPr>
        <w:t>新竹市政府甚至連續5年</w:t>
      </w:r>
      <w:r w:rsidRPr="00417CF0">
        <w:rPr>
          <w:rFonts w:hAnsi="標楷體" w:cs="細明體" w:hint="eastAsia"/>
          <w:kern w:val="0"/>
          <w:szCs w:val="32"/>
        </w:rPr>
        <w:t>執行率不及5成；</w:t>
      </w:r>
      <w:r w:rsidRPr="00CE6C4B">
        <w:rPr>
          <w:rFonts w:hAnsi="標楷體" w:cs="細明體" w:hint="eastAsia"/>
          <w:kern w:val="0"/>
          <w:szCs w:val="32"/>
        </w:rPr>
        <w:t>另</w:t>
      </w:r>
      <w:r w:rsidRPr="00CE6C4B">
        <w:rPr>
          <w:rFonts w:hAnsi="標楷體" w:cs="新細明體" w:hint="eastAsia"/>
          <w:kern w:val="0"/>
          <w:szCs w:val="32"/>
        </w:rPr>
        <w:t>除101年宜蘭縣政府及連江縣</w:t>
      </w:r>
      <w:r w:rsidRPr="00CE6C4B">
        <w:rPr>
          <w:rFonts w:hAnsi="標楷體" w:cs="細明體" w:hint="eastAsia"/>
          <w:kern w:val="0"/>
          <w:szCs w:val="32"/>
        </w:rPr>
        <w:t>政府，102年</w:t>
      </w:r>
      <w:r w:rsidRPr="00CE6C4B">
        <w:rPr>
          <w:rFonts w:hAnsi="標楷體" w:cs="新細明體" w:hint="eastAsia"/>
          <w:kern w:val="0"/>
          <w:szCs w:val="32"/>
        </w:rPr>
        <w:t>宜蘭縣政府、澎湖縣政府</w:t>
      </w:r>
      <w:r>
        <w:rPr>
          <w:rFonts w:hAnsi="標楷體" w:cs="新細明體" w:hint="eastAsia"/>
          <w:kern w:val="0"/>
          <w:szCs w:val="32"/>
        </w:rPr>
        <w:t>及</w:t>
      </w:r>
      <w:r w:rsidRPr="00CE6C4B">
        <w:rPr>
          <w:rFonts w:hAnsi="標楷體" w:cs="新細明體" w:hint="eastAsia"/>
          <w:kern w:val="0"/>
          <w:szCs w:val="32"/>
        </w:rPr>
        <w:t>連江縣</w:t>
      </w:r>
      <w:r w:rsidRPr="00CE6C4B">
        <w:rPr>
          <w:rFonts w:hAnsi="標楷體" w:cs="細明體" w:hint="eastAsia"/>
          <w:kern w:val="0"/>
          <w:szCs w:val="32"/>
        </w:rPr>
        <w:t>政府，103年</w:t>
      </w:r>
      <w:r w:rsidRPr="00CE6C4B">
        <w:rPr>
          <w:rFonts w:hAnsi="標楷體" w:cs="新細明體" w:hint="eastAsia"/>
          <w:kern w:val="0"/>
          <w:szCs w:val="32"/>
        </w:rPr>
        <w:t>宜蘭縣政府及連江縣</w:t>
      </w:r>
      <w:r w:rsidRPr="00CE6C4B">
        <w:rPr>
          <w:rFonts w:hAnsi="標楷體" w:cs="細明體" w:hint="eastAsia"/>
          <w:kern w:val="0"/>
          <w:szCs w:val="32"/>
        </w:rPr>
        <w:t>政府，104年</w:t>
      </w:r>
      <w:r w:rsidRPr="00CE6C4B">
        <w:rPr>
          <w:rFonts w:hAnsi="標楷體" w:cs="新細明體" w:hint="eastAsia"/>
          <w:kern w:val="0"/>
          <w:szCs w:val="32"/>
        </w:rPr>
        <w:t>宜蘭縣政府及連江縣</w:t>
      </w:r>
      <w:r w:rsidRPr="00CE6C4B">
        <w:rPr>
          <w:rFonts w:hAnsi="標楷體" w:cs="細明體" w:hint="eastAsia"/>
          <w:kern w:val="0"/>
          <w:szCs w:val="32"/>
        </w:rPr>
        <w:t>政府，105年</w:t>
      </w:r>
      <w:r w:rsidRPr="00CE6C4B">
        <w:rPr>
          <w:rFonts w:hAnsi="標楷體" w:cs="新細明體" w:hint="eastAsia"/>
          <w:kern w:val="0"/>
          <w:szCs w:val="32"/>
        </w:rPr>
        <w:t>宜蘭縣政府及連江縣</w:t>
      </w:r>
      <w:r w:rsidRPr="00CE6C4B">
        <w:rPr>
          <w:rFonts w:hAnsi="標楷體" w:cs="細明體" w:hint="eastAsia"/>
          <w:kern w:val="0"/>
          <w:szCs w:val="32"/>
        </w:rPr>
        <w:t>政府，106年新北市</w:t>
      </w:r>
      <w:r w:rsidRPr="00CE6C4B">
        <w:rPr>
          <w:rFonts w:hAnsi="標楷體" w:cs="新細明體" w:hint="eastAsia"/>
          <w:kern w:val="0"/>
          <w:szCs w:val="32"/>
        </w:rPr>
        <w:t>政府</w:t>
      </w:r>
      <w:r w:rsidRPr="00CE6C4B">
        <w:rPr>
          <w:rFonts w:hAnsi="標楷體" w:cs="細明體" w:hint="eastAsia"/>
          <w:kern w:val="0"/>
          <w:szCs w:val="32"/>
        </w:rPr>
        <w:t>、</w:t>
      </w:r>
      <w:r w:rsidRPr="00CE6C4B">
        <w:rPr>
          <w:rFonts w:hAnsi="標楷體" w:cs="新細明體" w:hint="eastAsia"/>
          <w:kern w:val="0"/>
          <w:szCs w:val="32"/>
        </w:rPr>
        <w:t>桃園市政府、</w:t>
      </w:r>
      <w:r w:rsidRPr="000E4999">
        <w:rPr>
          <w:rFonts w:hAnsi="標楷體" w:cs="新細明體" w:hint="eastAsia"/>
          <w:kern w:val="0"/>
          <w:szCs w:val="32"/>
        </w:rPr>
        <w:t>臺中市政府、宜蘭縣政府、苗栗縣政府、彰化縣政府、南投縣政府、基隆市政府及</w:t>
      </w:r>
      <w:r w:rsidRPr="00E800E0">
        <w:rPr>
          <w:rFonts w:hAnsi="標楷體" w:cs="新細明體" w:hint="eastAsia"/>
          <w:kern w:val="0"/>
          <w:szCs w:val="32"/>
        </w:rPr>
        <w:t>連江縣</w:t>
      </w:r>
      <w:r w:rsidRPr="00E800E0">
        <w:rPr>
          <w:rFonts w:hAnsi="標楷體" w:cs="細明體" w:hint="eastAsia"/>
          <w:kern w:val="0"/>
          <w:szCs w:val="32"/>
        </w:rPr>
        <w:t>政府等外，其餘直轄市及縣（市）政府均將</w:t>
      </w:r>
      <w:r w:rsidRPr="000E4999">
        <w:rPr>
          <w:rFonts w:hAnsi="標楷體" w:cs="細明體" w:hint="eastAsia"/>
          <w:kern w:val="0"/>
          <w:szCs w:val="32"/>
        </w:rPr>
        <w:t>賸餘款</w:t>
      </w:r>
      <w:r w:rsidRPr="000E4999">
        <w:rPr>
          <w:rFonts w:hAnsi="標楷體" w:cs="新細明體" w:hint="eastAsia"/>
          <w:kern w:val="0"/>
          <w:szCs w:val="32"/>
        </w:rPr>
        <w:t>解繳市縣庫</w:t>
      </w:r>
      <w:r w:rsidRPr="000E4999">
        <w:rPr>
          <w:rFonts w:hAnsi="標楷體" w:cs="細明體" w:hint="eastAsia"/>
          <w:kern w:val="0"/>
          <w:szCs w:val="32"/>
        </w:rPr>
        <w:t>，</w:t>
      </w:r>
      <w:r w:rsidRPr="001506F4">
        <w:rPr>
          <w:rFonts w:hAnsi="標楷體" w:cs="細明體" w:hint="eastAsia"/>
          <w:kern w:val="0"/>
          <w:szCs w:val="32"/>
        </w:rPr>
        <w:t>其中</w:t>
      </w:r>
      <w:r w:rsidRPr="001506F4">
        <w:rPr>
          <w:rFonts w:hAnsi="標楷體" w:cs="新細明體" w:hint="eastAsia"/>
          <w:kern w:val="0"/>
          <w:szCs w:val="32"/>
        </w:rPr>
        <w:t>南投縣政府、雲林縣政府、花蓮縣政府及新竹市政府等係連續5年</w:t>
      </w:r>
      <w:r w:rsidRPr="001506F4">
        <w:rPr>
          <w:rFonts w:hAnsi="標楷體" w:cs="細明體" w:hint="eastAsia"/>
          <w:kern w:val="0"/>
          <w:szCs w:val="32"/>
        </w:rPr>
        <w:t>繳庫率均逾3成</w:t>
      </w:r>
      <w:r w:rsidRPr="000E4999">
        <w:rPr>
          <w:rFonts w:hAnsi="標楷體" w:cs="細明體" w:hint="eastAsia"/>
          <w:kern w:val="0"/>
          <w:szCs w:val="32"/>
        </w:rPr>
        <w:t>（如</w:t>
      </w:r>
      <w:r w:rsidRPr="000E4999">
        <w:rPr>
          <w:rFonts w:hAnsi="標楷體" w:cs="細明體" w:hint="eastAsia"/>
          <w:color w:val="FF0000"/>
          <w:kern w:val="0"/>
          <w:szCs w:val="32"/>
        </w:rPr>
        <w:t>表2-1、2-2</w:t>
      </w:r>
      <w:r w:rsidRPr="000E4999">
        <w:rPr>
          <w:rFonts w:hAnsi="標楷體" w:cs="細明體" w:hint="eastAsia"/>
          <w:kern w:val="0"/>
          <w:szCs w:val="32"/>
        </w:rPr>
        <w:t>），</w:t>
      </w:r>
      <w:r w:rsidRPr="000E4999">
        <w:rPr>
          <w:rFonts w:hAnsi="標楷體" w:cs="新細明體" w:hint="eastAsia"/>
          <w:kern w:val="0"/>
          <w:szCs w:val="32"/>
        </w:rPr>
        <w:t>未留供以後年度辦理私劣菸品查緝等用途，顯不符專款專用之規定。</w:t>
      </w:r>
    </w:p>
    <w:p w:rsidR="0070038D" w:rsidRPr="000841F6" w:rsidRDefault="0070038D" w:rsidP="008E780F">
      <w:pPr>
        <w:pStyle w:val="3"/>
        <w:numPr>
          <w:ilvl w:val="0"/>
          <w:numId w:val="0"/>
        </w:numPr>
        <w:spacing w:beforeLines="30" w:before="137"/>
        <w:ind w:left="1361" w:firstLineChars="100" w:firstLine="300"/>
        <w:rPr>
          <w:rFonts w:hAnsi="標楷體" w:cs="細明體"/>
          <w:b/>
          <w:kern w:val="0"/>
          <w:sz w:val="28"/>
          <w:szCs w:val="28"/>
        </w:rPr>
      </w:pPr>
      <w:r w:rsidRPr="000841F6">
        <w:rPr>
          <w:rFonts w:hAnsi="標楷體" w:cs="細明體" w:hint="eastAsia"/>
          <w:b/>
          <w:kern w:val="0"/>
          <w:sz w:val="28"/>
          <w:szCs w:val="28"/>
        </w:rPr>
        <w:t xml:space="preserve">表1 </w:t>
      </w:r>
      <w:r w:rsidRPr="000841F6">
        <w:rPr>
          <w:rFonts w:hAnsi="標楷體" w:hint="eastAsia"/>
          <w:b/>
          <w:sz w:val="28"/>
          <w:szCs w:val="28"/>
        </w:rPr>
        <w:t>101-106年</w:t>
      </w:r>
      <w:r w:rsidRPr="000841F6">
        <w:rPr>
          <w:rFonts w:hAnsi="標楷體" w:cs="細明體" w:hint="eastAsia"/>
          <w:b/>
          <w:kern w:val="0"/>
          <w:sz w:val="28"/>
          <w:szCs w:val="28"/>
        </w:rPr>
        <w:t>地方政府獲配查緝經費支用情形</w:t>
      </w:r>
    </w:p>
    <w:p w:rsidR="0070038D" w:rsidRPr="005B26CE" w:rsidRDefault="0070038D" w:rsidP="0070038D">
      <w:pPr>
        <w:pStyle w:val="3"/>
        <w:numPr>
          <w:ilvl w:val="0"/>
          <w:numId w:val="0"/>
        </w:numPr>
        <w:ind w:left="1361"/>
        <w:jc w:val="right"/>
        <w:rPr>
          <w:rFonts w:hAnsi="標楷體" w:cs="細明體"/>
          <w:kern w:val="0"/>
          <w:sz w:val="24"/>
          <w:szCs w:val="24"/>
        </w:rPr>
      </w:pPr>
      <w:r w:rsidRPr="005B26CE">
        <w:rPr>
          <w:rFonts w:hAnsi="標楷體" w:cs="細明體" w:hint="eastAsia"/>
          <w:kern w:val="0"/>
          <w:sz w:val="24"/>
          <w:szCs w:val="24"/>
        </w:rPr>
        <w:t>單位：千元、%</w:t>
      </w:r>
    </w:p>
    <w:tbl>
      <w:tblPr>
        <w:tblStyle w:val="af7"/>
        <w:tblW w:w="9921" w:type="dxa"/>
        <w:tblInd w:w="-176" w:type="dxa"/>
        <w:tblLook w:val="04A0" w:firstRow="1" w:lastRow="0" w:firstColumn="1" w:lastColumn="0" w:noHBand="0" w:noVBand="1"/>
      </w:tblPr>
      <w:tblGrid>
        <w:gridCol w:w="737"/>
        <w:gridCol w:w="1134"/>
        <w:gridCol w:w="1531"/>
        <w:gridCol w:w="1531"/>
        <w:gridCol w:w="1417"/>
        <w:gridCol w:w="1531"/>
        <w:gridCol w:w="1020"/>
        <w:gridCol w:w="1020"/>
      </w:tblGrid>
      <w:tr w:rsidR="0070038D" w:rsidRPr="00B75D80" w:rsidTr="0096504F">
        <w:trPr>
          <w:tblHeader/>
        </w:trPr>
        <w:tc>
          <w:tcPr>
            <w:tcW w:w="737" w:type="dxa"/>
            <w:vMerge w:val="restart"/>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年度</w:t>
            </w:r>
          </w:p>
        </w:tc>
        <w:tc>
          <w:tcPr>
            <w:tcW w:w="1134" w:type="dxa"/>
            <w:vMerge w:val="restart"/>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獲配查緝經費a</w:t>
            </w:r>
          </w:p>
        </w:tc>
        <w:tc>
          <w:tcPr>
            <w:tcW w:w="6010" w:type="dxa"/>
            <w:gridSpan w:val="4"/>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經費支用</w:t>
            </w:r>
          </w:p>
        </w:tc>
        <w:tc>
          <w:tcPr>
            <w:tcW w:w="1020" w:type="dxa"/>
            <w:vMerge w:val="restart"/>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執行率b/a</w:t>
            </w:r>
          </w:p>
        </w:tc>
        <w:tc>
          <w:tcPr>
            <w:tcW w:w="1020" w:type="dxa"/>
            <w:vMerge w:val="restart"/>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繳庫率e/a</w:t>
            </w:r>
          </w:p>
        </w:tc>
      </w:tr>
      <w:tr w:rsidR="0070038D" w:rsidRPr="00B75D80" w:rsidTr="0096504F">
        <w:trPr>
          <w:tblHeader/>
        </w:trPr>
        <w:tc>
          <w:tcPr>
            <w:tcW w:w="737" w:type="dxa"/>
            <w:vMerge/>
          </w:tcPr>
          <w:p w:rsidR="0070038D" w:rsidRPr="00B75D80" w:rsidRDefault="0070038D" w:rsidP="0096504F">
            <w:pPr>
              <w:pStyle w:val="3"/>
              <w:numPr>
                <w:ilvl w:val="0"/>
                <w:numId w:val="0"/>
              </w:numPr>
              <w:rPr>
                <w:rFonts w:hAnsi="標楷體" w:cs="細明體"/>
                <w:b/>
                <w:kern w:val="0"/>
                <w:sz w:val="24"/>
                <w:szCs w:val="24"/>
              </w:rPr>
            </w:pPr>
          </w:p>
        </w:tc>
        <w:tc>
          <w:tcPr>
            <w:tcW w:w="1134" w:type="dxa"/>
            <w:vMerge/>
          </w:tcPr>
          <w:p w:rsidR="0070038D" w:rsidRPr="00B75D80" w:rsidRDefault="0070038D" w:rsidP="0096504F">
            <w:pPr>
              <w:pStyle w:val="3"/>
              <w:numPr>
                <w:ilvl w:val="0"/>
                <w:numId w:val="0"/>
              </w:numPr>
              <w:rPr>
                <w:rFonts w:hAnsi="標楷體" w:cs="細明體"/>
                <w:b/>
                <w:kern w:val="0"/>
                <w:sz w:val="24"/>
                <w:szCs w:val="24"/>
              </w:rPr>
            </w:pPr>
          </w:p>
        </w:tc>
        <w:tc>
          <w:tcPr>
            <w:tcW w:w="1531" w:type="dxa"/>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實支數b</w:t>
            </w:r>
          </w:p>
        </w:tc>
        <w:tc>
          <w:tcPr>
            <w:tcW w:w="1531" w:type="dxa"/>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hint="eastAsia"/>
                <w:b/>
                <w:sz w:val="24"/>
                <w:szCs w:val="24"/>
              </w:rPr>
              <w:t>保留供以後年度使用c</w:t>
            </w:r>
          </w:p>
        </w:tc>
        <w:tc>
          <w:tcPr>
            <w:tcW w:w="1417" w:type="dxa"/>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hint="eastAsia"/>
                <w:b/>
                <w:sz w:val="24"/>
                <w:szCs w:val="24"/>
              </w:rPr>
              <w:t>轉入專戶供以後年度使用d</w:t>
            </w:r>
          </w:p>
        </w:tc>
        <w:tc>
          <w:tcPr>
            <w:tcW w:w="1531" w:type="dxa"/>
            <w:vAlign w:val="center"/>
          </w:tcPr>
          <w:p w:rsidR="0070038D" w:rsidRPr="00B75D80" w:rsidRDefault="0070038D" w:rsidP="0096504F">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繳庫數e</w:t>
            </w:r>
          </w:p>
        </w:tc>
        <w:tc>
          <w:tcPr>
            <w:tcW w:w="1020" w:type="dxa"/>
            <w:vMerge/>
          </w:tcPr>
          <w:p w:rsidR="0070038D" w:rsidRPr="00B75D80" w:rsidRDefault="0070038D" w:rsidP="0096504F">
            <w:pPr>
              <w:pStyle w:val="3"/>
              <w:numPr>
                <w:ilvl w:val="0"/>
                <w:numId w:val="0"/>
              </w:numPr>
              <w:rPr>
                <w:rFonts w:hAnsi="標楷體" w:cs="細明體"/>
                <w:b/>
                <w:kern w:val="0"/>
                <w:sz w:val="24"/>
                <w:szCs w:val="24"/>
              </w:rPr>
            </w:pPr>
          </w:p>
        </w:tc>
        <w:tc>
          <w:tcPr>
            <w:tcW w:w="1020" w:type="dxa"/>
            <w:vMerge/>
          </w:tcPr>
          <w:p w:rsidR="0070038D" w:rsidRPr="00B75D80" w:rsidRDefault="0070038D" w:rsidP="0096504F">
            <w:pPr>
              <w:pStyle w:val="3"/>
              <w:numPr>
                <w:ilvl w:val="0"/>
                <w:numId w:val="0"/>
              </w:numPr>
              <w:rPr>
                <w:rFonts w:hAnsi="標楷體" w:cs="細明體"/>
                <w:b/>
                <w:kern w:val="0"/>
                <w:sz w:val="24"/>
                <w:szCs w:val="24"/>
              </w:rPr>
            </w:pP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101</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104,852.08</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27,198.76</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6,665.00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22,204.16</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65.16%</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13.80%</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102</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116,942.15</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20,069.88</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2,973.00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20,934.97</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72.67%</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13.01%</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103</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106,395.63</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32,488.36</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2,043.00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19,993.01</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66.12%</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12.42%</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104</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170,100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119,817.41</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26,836.96</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1,902.00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21,543.63</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70.44%</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12.67%</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105</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164,700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111,748.69</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23,670.67</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1,211.00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28,069.64</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67.85%</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17.04%</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106</w:t>
            </w:r>
          </w:p>
        </w:tc>
        <w:tc>
          <w:tcPr>
            <w:tcW w:w="1134"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162,000</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126,037.04</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20,562.31</w:t>
            </w:r>
          </w:p>
        </w:tc>
        <w:tc>
          <w:tcPr>
            <w:tcW w:w="1417"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11,282.27</w:t>
            </w:r>
          </w:p>
        </w:tc>
        <w:tc>
          <w:tcPr>
            <w:tcW w:w="1531" w:type="dxa"/>
            <w:vAlign w:val="center"/>
          </w:tcPr>
          <w:p w:rsidR="0070038D" w:rsidRPr="00B75D80" w:rsidRDefault="0070038D" w:rsidP="0096504F">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4,118.38</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77.80%</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2.54%</w:t>
            </w:r>
          </w:p>
        </w:tc>
      </w:tr>
      <w:tr w:rsidR="0070038D" w:rsidRPr="00B75D80" w:rsidTr="0096504F">
        <w:tc>
          <w:tcPr>
            <w:tcW w:w="737" w:type="dxa"/>
          </w:tcPr>
          <w:p w:rsidR="0070038D" w:rsidRPr="00B75D80" w:rsidRDefault="0070038D" w:rsidP="0096504F">
            <w:pPr>
              <w:pStyle w:val="3"/>
              <w:numPr>
                <w:ilvl w:val="0"/>
                <w:numId w:val="0"/>
              </w:numPr>
              <w:rPr>
                <w:rFonts w:hAnsi="標楷體" w:cs="細明體"/>
                <w:kern w:val="0"/>
                <w:sz w:val="24"/>
                <w:szCs w:val="24"/>
              </w:rPr>
            </w:pPr>
            <w:r w:rsidRPr="00B75D80">
              <w:rPr>
                <w:rFonts w:hAnsi="標楷體" w:cs="細明體" w:hint="eastAsia"/>
                <w:kern w:val="0"/>
                <w:sz w:val="24"/>
                <w:szCs w:val="24"/>
              </w:rPr>
              <w:t>合計</w:t>
            </w:r>
          </w:p>
        </w:tc>
        <w:tc>
          <w:tcPr>
            <w:tcW w:w="1134"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979,560</w:t>
            </w:r>
          </w:p>
        </w:tc>
        <w:tc>
          <w:tcPr>
            <w:tcW w:w="1531"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685,793.00</w:t>
            </w:r>
          </w:p>
        </w:tc>
        <w:tc>
          <w:tcPr>
            <w:tcW w:w="1531"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150,826.94</w:t>
            </w:r>
          </w:p>
        </w:tc>
        <w:tc>
          <w:tcPr>
            <w:tcW w:w="1417"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26,076.27</w:t>
            </w:r>
          </w:p>
        </w:tc>
        <w:tc>
          <w:tcPr>
            <w:tcW w:w="1531"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116,863.79</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70.01%</w:t>
            </w:r>
          </w:p>
        </w:tc>
        <w:tc>
          <w:tcPr>
            <w:tcW w:w="1020" w:type="dxa"/>
            <w:vAlign w:val="center"/>
          </w:tcPr>
          <w:p w:rsidR="0070038D" w:rsidRPr="00BE16BB" w:rsidRDefault="0070038D" w:rsidP="0096504F">
            <w:pPr>
              <w:widowControl/>
              <w:jc w:val="right"/>
              <w:rPr>
                <w:rFonts w:hAnsi="標楷體" w:cs="新細明體"/>
                <w:kern w:val="0"/>
                <w:sz w:val="24"/>
                <w:szCs w:val="24"/>
              </w:rPr>
            </w:pPr>
            <w:r w:rsidRPr="00BE16BB">
              <w:rPr>
                <w:rFonts w:hAnsi="標楷體" w:cs="新細明體" w:hint="eastAsia"/>
                <w:kern w:val="0"/>
                <w:sz w:val="24"/>
                <w:szCs w:val="24"/>
              </w:rPr>
              <w:t>11.93%</w:t>
            </w:r>
          </w:p>
        </w:tc>
      </w:tr>
    </w:tbl>
    <w:p w:rsidR="0070038D" w:rsidRPr="005B26CE" w:rsidRDefault="0070038D" w:rsidP="0070038D">
      <w:pPr>
        <w:pStyle w:val="3"/>
        <w:numPr>
          <w:ilvl w:val="0"/>
          <w:numId w:val="0"/>
        </w:numPr>
        <w:ind w:leftChars="-87" w:left="-2" w:hangingChars="113" w:hanging="294"/>
        <w:rPr>
          <w:rFonts w:hAnsi="標楷體" w:cs="細明體"/>
          <w:kern w:val="0"/>
          <w:sz w:val="24"/>
          <w:szCs w:val="24"/>
        </w:rPr>
      </w:pPr>
      <w:r w:rsidRPr="005B26CE">
        <w:rPr>
          <w:rFonts w:hAnsi="標楷體" w:cs="細明體" w:hint="eastAsia"/>
          <w:kern w:val="0"/>
          <w:sz w:val="24"/>
          <w:szCs w:val="24"/>
        </w:rPr>
        <w:t>資料來源：財政部</w:t>
      </w:r>
      <w:r>
        <w:rPr>
          <w:rFonts w:hAnsi="標楷體" w:cs="細明體" w:hint="eastAsia"/>
          <w:kern w:val="0"/>
          <w:sz w:val="24"/>
          <w:szCs w:val="24"/>
        </w:rPr>
        <w:t>。</w:t>
      </w:r>
    </w:p>
    <w:p w:rsidR="0070038D" w:rsidRPr="000841F6" w:rsidRDefault="0070038D" w:rsidP="002E2E97">
      <w:pPr>
        <w:pStyle w:val="3"/>
        <w:numPr>
          <w:ilvl w:val="0"/>
          <w:numId w:val="0"/>
        </w:numPr>
        <w:ind w:leftChars="-400" w:hangingChars="453" w:hanging="1361"/>
        <w:jc w:val="center"/>
        <w:rPr>
          <w:rFonts w:hAnsi="標楷體" w:cs="細明體"/>
          <w:b/>
          <w:kern w:val="0"/>
          <w:sz w:val="28"/>
          <w:szCs w:val="28"/>
        </w:rPr>
      </w:pPr>
      <w:r>
        <w:rPr>
          <w:rFonts w:hAnsi="標楷體" w:cs="細明體" w:hint="eastAsia"/>
          <w:b/>
          <w:kern w:val="0"/>
          <w:sz w:val="28"/>
          <w:szCs w:val="28"/>
        </w:rPr>
        <w:t xml:space="preserve">         </w:t>
      </w:r>
      <w:r w:rsidRPr="000841F6">
        <w:rPr>
          <w:rFonts w:hAnsi="標楷體" w:cs="細明體" w:hint="eastAsia"/>
          <w:b/>
          <w:kern w:val="0"/>
          <w:sz w:val="28"/>
          <w:szCs w:val="28"/>
        </w:rPr>
        <w:t>表2-1</w:t>
      </w:r>
      <w:r>
        <w:rPr>
          <w:rFonts w:hAnsi="標楷體" w:cs="細明體" w:hint="eastAsia"/>
          <w:b/>
          <w:kern w:val="0"/>
          <w:sz w:val="28"/>
          <w:szCs w:val="28"/>
        </w:rPr>
        <w:t xml:space="preserve"> </w:t>
      </w:r>
      <w:r w:rsidRPr="000841F6">
        <w:rPr>
          <w:rFonts w:hAnsi="標楷體" w:cs="細明體" w:hint="eastAsia"/>
          <w:b/>
          <w:kern w:val="0"/>
          <w:sz w:val="28"/>
          <w:szCs w:val="28"/>
        </w:rPr>
        <w:t xml:space="preserve"> </w:t>
      </w:r>
      <w:r w:rsidRPr="000841F6">
        <w:rPr>
          <w:rFonts w:hAnsi="標楷體" w:hint="eastAsia"/>
          <w:b/>
          <w:sz w:val="28"/>
          <w:szCs w:val="28"/>
        </w:rPr>
        <w:t>101-103年</w:t>
      </w:r>
      <w:r w:rsidRPr="001331E2">
        <w:rPr>
          <w:rFonts w:hAnsi="標楷體" w:hint="eastAsia"/>
          <w:b/>
          <w:sz w:val="28"/>
          <w:szCs w:val="28"/>
        </w:rPr>
        <w:t>各</w:t>
      </w:r>
      <w:r w:rsidRPr="001331E2">
        <w:rPr>
          <w:rFonts w:hAnsi="標楷體" w:cs="細明體" w:hint="eastAsia"/>
          <w:b/>
          <w:kern w:val="0"/>
          <w:sz w:val="28"/>
          <w:szCs w:val="28"/>
        </w:rPr>
        <w:t>地方政府查緝經費之執行率及繳庫率一覽表</w:t>
      </w:r>
    </w:p>
    <w:p w:rsidR="0070038D" w:rsidRDefault="0070038D" w:rsidP="0070038D">
      <w:pPr>
        <w:pStyle w:val="3"/>
        <w:numPr>
          <w:ilvl w:val="0"/>
          <w:numId w:val="0"/>
        </w:numPr>
        <w:ind w:left="1361"/>
        <w:jc w:val="right"/>
        <w:rPr>
          <w:rFonts w:hAnsi="標楷體" w:cs="細明體"/>
          <w:kern w:val="0"/>
          <w:szCs w:val="32"/>
        </w:rPr>
      </w:pPr>
      <w:r w:rsidRPr="005B26CE">
        <w:rPr>
          <w:rFonts w:hAnsi="標楷體" w:cs="細明體" w:hint="eastAsia"/>
          <w:kern w:val="0"/>
          <w:sz w:val="24"/>
          <w:szCs w:val="24"/>
        </w:rPr>
        <w:t>單位：千元、%</w:t>
      </w:r>
    </w:p>
    <w:tbl>
      <w:tblPr>
        <w:tblStyle w:val="af7"/>
        <w:tblW w:w="9298" w:type="dxa"/>
        <w:tblInd w:w="-34" w:type="dxa"/>
        <w:tblLook w:val="04A0" w:firstRow="1" w:lastRow="0" w:firstColumn="1" w:lastColumn="0" w:noHBand="0" w:noVBand="1"/>
      </w:tblPr>
      <w:tblGrid>
        <w:gridCol w:w="1474"/>
        <w:gridCol w:w="1304"/>
        <w:gridCol w:w="1304"/>
        <w:gridCol w:w="1304"/>
        <w:gridCol w:w="1304"/>
        <w:gridCol w:w="1304"/>
        <w:gridCol w:w="1304"/>
      </w:tblGrid>
      <w:tr w:rsidR="0070038D" w:rsidRPr="001331E2" w:rsidTr="0096504F">
        <w:trPr>
          <w:tblHeader/>
        </w:trPr>
        <w:tc>
          <w:tcPr>
            <w:tcW w:w="1474" w:type="dxa"/>
            <w:vMerge w:val="restart"/>
            <w:tcBorders>
              <w:tl2br w:val="single" w:sz="4" w:space="0" w:color="auto"/>
            </w:tcBorders>
            <w:vAlign w:val="center"/>
          </w:tcPr>
          <w:p w:rsidR="0070038D" w:rsidRDefault="0070038D" w:rsidP="0096504F">
            <w:pPr>
              <w:pStyle w:val="3"/>
              <w:numPr>
                <w:ilvl w:val="0"/>
                <w:numId w:val="0"/>
              </w:numPr>
              <w:jc w:val="right"/>
              <w:rPr>
                <w:rFonts w:hAnsi="標楷體" w:cs="細明體"/>
                <w:b/>
                <w:kern w:val="0"/>
                <w:sz w:val="24"/>
                <w:szCs w:val="24"/>
              </w:rPr>
            </w:pPr>
            <w:r>
              <w:rPr>
                <w:rFonts w:hAnsi="標楷體" w:cs="細明體" w:hint="eastAsia"/>
                <w:b/>
                <w:kern w:val="0"/>
                <w:sz w:val="24"/>
                <w:szCs w:val="24"/>
              </w:rPr>
              <w:t>年度</w:t>
            </w:r>
          </w:p>
          <w:p w:rsidR="0070038D" w:rsidRPr="001331E2" w:rsidRDefault="0070038D" w:rsidP="0096504F">
            <w:pPr>
              <w:pStyle w:val="3"/>
              <w:numPr>
                <w:ilvl w:val="0"/>
                <w:numId w:val="0"/>
              </w:numPr>
              <w:jc w:val="left"/>
              <w:rPr>
                <w:rFonts w:hAnsi="標楷體" w:cs="細明體"/>
                <w:b/>
                <w:kern w:val="0"/>
                <w:sz w:val="24"/>
                <w:szCs w:val="24"/>
              </w:rPr>
            </w:pPr>
            <w:r w:rsidRPr="001331E2">
              <w:rPr>
                <w:rFonts w:hAnsi="標楷體" w:cs="細明體" w:hint="eastAsia"/>
                <w:b/>
                <w:kern w:val="0"/>
                <w:sz w:val="24"/>
                <w:szCs w:val="24"/>
              </w:rPr>
              <w:t>市縣別</w:t>
            </w:r>
          </w:p>
        </w:tc>
        <w:tc>
          <w:tcPr>
            <w:tcW w:w="2608" w:type="dxa"/>
            <w:gridSpan w:val="2"/>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101</w:t>
            </w:r>
          </w:p>
        </w:tc>
        <w:tc>
          <w:tcPr>
            <w:tcW w:w="2608" w:type="dxa"/>
            <w:gridSpan w:val="2"/>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102</w:t>
            </w:r>
          </w:p>
        </w:tc>
        <w:tc>
          <w:tcPr>
            <w:tcW w:w="2608" w:type="dxa"/>
            <w:gridSpan w:val="2"/>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103</w:t>
            </w:r>
          </w:p>
        </w:tc>
      </w:tr>
      <w:tr w:rsidR="0070038D" w:rsidRPr="001331E2" w:rsidTr="0096504F">
        <w:trPr>
          <w:tblHeader/>
        </w:trPr>
        <w:tc>
          <w:tcPr>
            <w:tcW w:w="1474" w:type="dxa"/>
            <w:vMerge/>
            <w:tcBorders>
              <w:tl2br w:val="single" w:sz="4" w:space="0" w:color="auto"/>
            </w:tcBorders>
            <w:vAlign w:val="center"/>
          </w:tcPr>
          <w:p w:rsidR="0070038D" w:rsidRPr="001331E2" w:rsidRDefault="0070038D" w:rsidP="0096504F">
            <w:pPr>
              <w:pStyle w:val="3"/>
              <w:numPr>
                <w:ilvl w:val="0"/>
                <w:numId w:val="0"/>
              </w:numPr>
              <w:jc w:val="center"/>
              <w:rPr>
                <w:rFonts w:hAnsi="標楷體" w:cs="細明體"/>
                <w:b/>
                <w:kern w:val="0"/>
                <w:sz w:val="24"/>
                <w:szCs w:val="24"/>
              </w:rPr>
            </w:pP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繳庫率</w:t>
            </w: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繳庫率</w:t>
            </w: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70038D" w:rsidRPr="001331E2" w:rsidRDefault="0070038D" w:rsidP="0096504F">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繳庫率</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臺北市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98.41%</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1.59%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98.79%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1.21%</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96.66%</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3.34%</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新北市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92.69%</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7.31%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89.07%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10.93%</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86.39%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13.61%</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桃園市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72.17%</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27.83%</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78.05%</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21.95%</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83.21%</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16.79%</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臺中市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93.99%</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6.01%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95.31%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4.69%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99.00%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1.00%</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臺南市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96.63%</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3.37%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96.39%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3.61%</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92.47%</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7.53%</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高雄市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97.16%</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2.84%</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98.12%</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1.88%</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97.82%</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2.18%</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宜蘭縣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49.24%</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0.00%</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58.86%</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70.43%</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0.00%</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新竹縣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97.55%</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2.45%</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96.84%</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3.16%</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95.56%</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4.44%</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苗栗縣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87.36%</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12.64%</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84.85%</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15.15%</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74.07%</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25.93%</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彰化縣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77.33%</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22.67%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57.49%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42.51%</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78.43%</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21.57%</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南投縣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52.33%</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47.67%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42.06%</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57.94%</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47.77%</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52.23%</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雲林縣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59.53%</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40.47%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60.66%</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39.34%</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51.59%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48.41%</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嘉義縣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91.78%</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8.22%</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85.38%</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14.62%</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94.40%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5.60%</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屏東縣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72.09%</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27.91%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77.64%</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22.36%</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77.53%</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22.47%</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臺東縣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63.63%</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36.37%</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93.61%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6.39%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79.10%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20.90%</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花蓮縣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55.52%</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44.48%</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47.63%</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52.37%</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48.59%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51.41%</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澎湖縣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99.98%</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0.02%</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100.00%</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100.00%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0.00%</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基隆市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73.52%</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26.48%</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83.44%</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16.56%</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95.59%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4.41%</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新竹市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38.71%</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61.29%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46.08%</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53.92%</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40.87%</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59.13%</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嘉義市</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97.20%</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2.80%</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98.81%</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1.19%</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96.93%</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3.07%</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金門縣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86.11%</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13.89%</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83.78%</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16.22%</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99.52%</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0.48%</w:t>
            </w:r>
          </w:p>
        </w:tc>
      </w:tr>
      <w:tr w:rsidR="0070038D" w:rsidRPr="001331E2" w:rsidTr="0096504F">
        <w:tc>
          <w:tcPr>
            <w:tcW w:w="1474" w:type="dxa"/>
            <w:vAlign w:val="center"/>
          </w:tcPr>
          <w:p w:rsidR="0070038D" w:rsidRPr="001331E2" w:rsidRDefault="0070038D" w:rsidP="0096504F">
            <w:pPr>
              <w:widowControl/>
              <w:jc w:val="center"/>
              <w:rPr>
                <w:rFonts w:hAnsi="標楷體" w:cs="新細明體"/>
                <w:kern w:val="0"/>
                <w:sz w:val="24"/>
                <w:szCs w:val="24"/>
              </w:rPr>
            </w:pPr>
            <w:r w:rsidRPr="001331E2">
              <w:rPr>
                <w:rFonts w:hAnsi="標楷體" w:cs="新細明體" w:hint="eastAsia"/>
                <w:kern w:val="0"/>
                <w:sz w:val="24"/>
                <w:szCs w:val="24"/>
              </w:rPr>
              <w:t>連江縣</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100.00%</w:t>
            </w:r>
          </w:p>
        </w:tc>
        <w:tc>
          <w:tcPr>
            <w:tcW w:w="1304" w:type="dxa"/>
            <w:vAlign w:val="center"/>
          </w:tcPr>
          <w:p w:rsidR="0070038D" w:rsidRPr="001331E2" w:rsidRDefault="0070038D" w:rsidP="0096504F">
            <w:pPr>
              <w:widowControl/>
              <w:jc w:val="right"/>
              <w:rPr>
                <w:rFonts w:hAnsi="標楷體" w:cs="新細明體"/>
                <w:kern w:val="0"/>
                <w:sz w:val="24"/>
                <w:szCs w:val="24"/>
              </w:rPr>
            </w:pPr>
            <w:r w:rsidRPr="001331E2">
              <w:rPr>
                <w:rFonts w:hAnsi="標楷體" w:cs="新細明體" w:hint="eastAsia"/>
                <w:kern w:val="0"/>
                <w:sz w:val="24"/>
                <w:szCs w:val="24"/>
              </w:rPr>
              <w:t>0.00%</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100.00%</w:t>
            </w:r>
          </w:p>
        </w:tc>
        <w:tc>
          <w:tcPr>
            <w:tcW w:w="1304" w:type="dxa"/>
            <w:vAlign w:val="center"/>
          </w:tcPr>
          <w:p w:rsidR="0070038D" w:rsidRPr="005403EB" w:rsidRDefault="0070038D" w:rsidP="0096504F">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100.00%</w:t>
            </w:r>
          </w:p>
        </w:tc>
        <w:tc>
          <w:tcPr>
            <w:tcW w:w="1304" w:type="dxa"/>
            <w:vAlign w:val="center"/>
          </w:tcPr>
          <w:p w:rsidR="0070038D" w:rsidRPr="00BB0715" w:rsidRDefault="0070038D" w:rsidP="0096504F">
            <w:pPr>
              <w:widowControl/>
              <w:jc w:val="right"/>
              <w:rPr>
                <w:rFonts w:hAnsi="標楷體" w:cs="新細明體"/>
                <w:kern w:val="0"/>
                <w:sz w:val="24"/>
                <w:szCs w:val="24"/>
              </w:rPr>
            </w:pPr>
            <w:r w:rsidRPr="00BB0715">
              <w:rPr>
                <w:rFonts w:hAnsi="標楷體" w:cs="新細明體" w:hint="eastAsia"/>
                <w:kern w:val="0"/>
                <w:sz w:val="24"/>
                <w:szCs w:val="24"/>
              </w:rPr>
              <w:t>0.00%</w:t>
            </w:r>
          </w:p>
        </w:tc>
      </w:tr>
    </w:tbl>
    <w:p w:rsidR="0070038D" w:rsidRDefault="0070038D" w:rsidP="008E780F">
      <w:pPr>
        <w:pStyle w:val="3"/>
        <w:numPr>
          <w:ilvl w:val="0"/>
          <w:numId w:val="0"/>
        </w:numPr>
        <w:ind w:leftChars="-4" w:left="-1" w:hangingChars="5" w:hanging="13"/>
        <w:rPr>
          <w:rFonts w:hAnsi="標楷體" w:cs="細明體"/>
          <w:kern w:val="0"/>
          <w:sz w:val="24"/>
          <w:szCs w:val="24"/>
        </w:rPr>
      </w:pPr>
      <w:r w:rsidRPr="005B26CE">
        <w:rPr>
          <w:rFonts w:hAnsi="標楷體" w:cs="細明體" w:hint="eastAsia"/>
          <w:kern w:val="0"/>
          <w:sz w:val="24"/>
          <w:szCs w:val="24"/>
        </w:rPr>
        <w:t>資料來源：財政部</w:t>
      </w:r>
      <w:r>
        <w:rPr>
          <w:rFonts w:hAnsi="標楷體" w:cs="細明體" w:hint="eastAsia"/>
          <w:kern w:val="0"/>
          <w:sz w:val="24"/>
          <w:szCs w:val="24"/>
        </w:rPr>
        <w:t>。</w:t>
      </w:r>
    </w:p>
    <w:p w:rsidR="008E780F" w:rsidRDefault="008E780F"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2E2E97" w:rsidRDefault="002E2E97" w:rsidP="008E780F">
      <w:pPr>
        <w:pStyle w:val="3"/>
        <w:numPr>
          <w:ilvl w:val="0"/>
          <w:numId w:val="0"/>
        </w:numPr>
        <w:ind w:leftChars="-4" w:left="-1" w:hangingChars="5" w:hanging="13"/>
        <w:rPr>
          <w:rFonts w:hAnsi="標楷體" w:cs="細明體"/>
          <w:kern w:val="0"/>
          <w:sz w:val="24"/>
          <w:szCs w:val="24"/>
        </w:rPr>
      </w:pPr>
    </w:p>
    <w:p w:rsidR="0070038D" w:rsidRPr="000841F6" w:rsidRDefault="0070038D" w:rsidP="0070038D">
      <w:pPr>
        <w:pStyle w:val="3"/>
        <w:numPr>
          <w:ilvl w:val="0"/>
          <w:numId w:val="0"/>
        </w:numPr>
        <w:ind w:leftChars="-1" w:left="-3" w:firstLineChars="48" w:firstLine="144"/>
        <w:jc w:val="left"/>
        <w:rPr>
          <w:rFonts w:hAnsi="標楷體" w:cs="細明體"/>
          <w:b/>
          <w:kern w:val="0"/>
          <w:sz w:val="28"/>
          <w:szCs w:val="28"/>
        </w:rPr>
      </w:pPr>
      <w:r w:rsidRPr="000841F6">
        <w:rPr>
          <w:rFonts w:hAnsi="標楷體" w:cs="細明體" w:hint="eastAsia"/>
          <w:b/>
          <w:kern w:val="0"/>
          <w:sz w:val="28"/>
          <w:szCs w:val="28"/>
        </w:rPr>
        <w:t xml:space="preserve">表2-2 </w:t>
      </w:r>
      <w:r>
        <w:rPr>
          <w:rFonts w:hAnsi="標楷體" w:cs="細明體" w:hint="eastAsia"/>
          <w:b/>
          <w:kern w:val="0"/>
          <w:sz w:val="28"/>
          <w:szCs w:val="28"/>
        </w:rPr>
        <w:t xml:space="preserve"> </w:t>
      </w:r>
      <w:r w:rsidRPr="000841F6">
        <w:rPr>
          <w:rFonts w:hAnsi="標楷體" w:hint="eastAsia"/>
          <w:b/>
          <w:sz w:val="28"/>
          <w:szCs w:val="28"/>
        </w:rPr>
        <w:t>104-106年</w:t>
      </w:r>
      <w:r w:rsidRPr="00466524">
        <w:rPr>
          <w:rFonts w:hAnsi="標楷體" w:hint="eastAsia"/>
          <w:b/>
          <w:sz w:val="28"/>
          <w:szCs w:val="28"/>
        </w:rPr>
        <w:t>各</w:t>
      </w:r>
      <w:r w:rsidRPr="00466524">
        <w:rPr>
          <w:rFonts w:hAnsi="標楷體" w:cs="細明體" w:hint="eastAsia"/>
          <w:b/>
          <w:kern w:val="0"/>
          <w:sz w:val="28"/>
          <w:szCs w:val="28"/>
        </w:rPr>
        <w:t>地方政府查緝經費之執行率及繳庫率一覽表</w:t>
      </w:r>
    </w:p>
    <w:p w:rsidR="0070038D" w:rsidRDefault="0070038D" w:rsidP="0070038D">
      <w:pPr>
        <w:pStyle w:val="3"/>
        <w:numPr>
          <w:ilvl w:val="0"/>
          <w:numId w:val="0"/>
        </w:numPr>
        <w:ind w:left="1361"/>
        <w:jc w:val="right"/>
        <w:rPr>
          <w:rFonts w:hAnsi="標楷體" w:cs="細明體"/>
          <w:kern w:val="0"/>
          <w:sz w:val="28"/>
          <w:szCs w:val="28"/>
        </w:rPr>
      </w:pPr>
      <w:r w:rsidRPr="005B26CE">
        <w:rPr>
          <w:rFonts w:hAnsi="標楷體" w:cs="細明體" w:hint="eastAsia"/>
          <w:kern w:val="0"/>
          <w:sz w:val="24"/>
          <w:szCs w:val="24"/>
        </w:rPr>
        <w:t>單位：千元、%</w:t>
      </w:r>
    </w:p>
    <w:tbl>
      <w:tblPr>
        <w:tblStyle w:val="af7"/>
        <w:tblW w:w="9298" w:type="dxa"/>
        <w:tblInd w:w="-34" w:type="dxa"/>
        <w:tblLook w:val="04A0" w:firstRow="1" w:lastRow="0" w:firstColumn="1" w:lastColumn="0" w:noHBand="0" w:noVBand="1"/>
      </w:tblPr>
      <w:tblGrid>
        <w:gridCol w:w="1474"/>
        <w:gridCol w:w="1304"/>
        <w:gridCol w:w="1304"/>
        <w:gridCol w:w="1304"/>
        <w:gridCol w:w="1304"/>
        <w:gridCol w:w="1304"/>
        <w:gridCol w:w="1304"/>
      </w:tblGrid>
      <w:tr w:rsidR="0070038D" w:rsidRPr="00D947C3" w:rsidTr="0096504F">
        <w:tc>
          <w:tcPr>
            <w:tcW w:w="1474" w:type="dxa"/>
            <w:vMerge w:val="restart"/>
            <w:tcBorders>
              <w:tl2br w:val="single" w:sz="4" w:space="0" w:color="auto"/>
            </w:tcBorders>
            <w:vAlign w:val="center"/>
          </w:tcPr>
          <w:p w:rsidR="0070038D" w:rsidRPr="00D947C3" w:rsidRDefault="0070038D" w:rsidP="0096504F">
            <w:pPr>
              <w:pStyle w:val="3"/>
              <w:numPr>
                <w:ilvl w:val="0"/>
                <w:numId w:val="0"/>
              </w:numPr>
              <w:jc w:val="right"/>
              <w:rPr>
                <w:rFonts w:hAnsi="標楷體" w:cs="細明體"/>
                <w:b/>
                <w:kern w:val="0"/>
                <w:sz w:val="24"/>
                <w:szCs w:val="24"/>
              </w:rPr>
            </w:pPr>
            <w:r w:rsidRPr="00D947C3">
              <w:rPr>
                <w:rFonts w:hAnsi="標楷體" w:cs="細明體" w:hint="eastAsia"/>
                <w:b/>
                <w:kern w:val="0"/>
                <w:sz w:val="24"/>
                <w:szCs w:val="24"/>
              </w:rPr>
              <w:t>年度</w:t>
            </w:r>
          </w:p>
          <w:p w:rsidR="0070038D" w:rsidRPr="00D947C3" w:rsidRDefault="0070038D" w:rsidP="0096504F">
            <w:pPr>
              <w:pStyle w:val="3"/>
              <w:numPr>
                <w:ilvl w:val="0"/>
                <w:numId w:val="0"/>
              </w:numPr>
              <w:jc w:val="left"/>
              <w:rPr>
                <w:rFonts w:hAnsi="標楷體" w:cs="細明體"/>
                <w:b/>
                <w:kern w:val="0"/>
                <w:sz w:val="24"/>
                <w:szCs w:val="24"/>
              </w:rPr>
            </w:pPr>
            <w:r w:rsidRPr="00D947C3">
              <w:rPr>
                <w:rFonts w:hAnsi="標楷體" w:cs="細明體" w:hint="eastAsia"/>
                <w:b/>
                <w:kern w:val="0"/>
                <w:sz w:val="24"/>
                <w:szCs w:val="24"/>
              </w:rPr>
              <w:t>市縣別</w:t>
            </w:r>
          </w:p>
        </w:tc>
        <w:tc>
          <w:tcPr>
            <w:tcW w:w="2608" w:type="dxa"/>
            <w:gridSpan w:val="2"/>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104</w:t>
            </w:r>
          </w:p>
        </w:tc>
        <w:tc>
          <w:tcPr>
            <w:tcW w:w="2608" w:type="dxa"/>
            <w:gridSpan w:val="2"/>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105</w:t>
            </w:r>
          </w:p>
        </w:tc>
        <w:tc>
          <w:tcPr>
            <w:tcW w:w="2608" w:type="dxa"/>
            <w:gridSpan w:val="2"/>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106</w:t>
            </w:r>
          </w:p>
        </w:tc>
      </w:tr>
      <w:tr w:rsidR="0070038D" w:rsidRPr="00D947C3" w:rsidTr="0096504F">
        <w:tc>
          <w:tcPr>
            <w:tcW w:w="1474" w:type="dxa"/>
            <w:vMerge/>
            <w:tcBorders>
              <w:tl2br w:val="single" w:sz="4" w:space="0" w:color="auto"/>
            </w:tcBorders>
            <w:vAlign w:val="center"/>
          </w:tcPr>
          <w:p w:rsidR="0070038D" w:rsidRPr="00D947C3" w:rsidRDefault="0070038D" w:rsidP="0096504F">
            <w:pPr>
              <w:pStyle w:val="3"/>
              <w:numPr>
                <w:ilvl w:val="0"/>
                <w:numId w:val="0"/>
              </w:numPr>
              <w:jc w:val="center"/>
              <w:rPr>
                <w:rFonts w:hAnsi="標楷體" w:cs="細明體"/>
                <w:b/>
                <w:kern w:val="0"/>
                <w:sz w:val="24"/>
                <w:szCs w:val="24"/>
              </w:rPr>
            </w:pP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繳庫率</w:t>
            </w: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繳庫率</w:t>
            </w: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70038D" w:rsidRPr="00D947C3" w:rsidRDefault="0070038D" w:rsidP="0096504F">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繳庫率</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臺北市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98.70%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1.30%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98.84%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52.99%</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0.74%</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新北市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90.14%</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90.86%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9.14%</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91.56%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桃園市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90.16%</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90.31%</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9.69%</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92.13%</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臺中市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95.86%</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4.14%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99.28%</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0.72%</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90.20%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臺南市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93.84%</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6.16%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74.29%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25.71%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89.27%</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0.56%</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高雄市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98.60%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1.40%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98.81%</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1.19%</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71.78%</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4.20%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宜蘭縣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68.33%</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75.81%</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74.15%</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新竹縣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94.04%</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5.96%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94.06%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5.94%</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74.72%</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4.27%</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苗栗縣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75.72%</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24.28%</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72.40%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27.60%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45.67%</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彰化縣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67.80%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32.20%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81.13%</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18.87%</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66.60%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南投縣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62.00%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38.00%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69.00%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31.00%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79.03%</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雲林縣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65.26%</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34.74%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64.63%</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35.37%</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76.68%</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13.86%</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嘉義縣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95.62%</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4.38%</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95.94%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4.06%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56.19%</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2.39%</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屏東縣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84.74%</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15.26%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88.97%</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11.03%</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88.96%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11.04%</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臺東縣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72.68%</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27.32%</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62.69%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37.31%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89.19%</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10.81%</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花蓮縣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59.97%</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40.03%</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54.64%</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45.36%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73.16%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1.02%</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澎湖縣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100.00%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99.99%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68.38%</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9.07%</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基隆市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76.58%</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23.42%</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53.22%</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46.78%</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65.35%</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新竹市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35.88%</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64.12%</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43.15%</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56.85%</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76.54%</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2.56%</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嘉義市</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92.81%</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7.19%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94.59%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5.41%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48.75%</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3.56%</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金門縣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91.54%</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8.46%</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96.09%</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3.91%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95.96%</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4.04%</w:t>
            </w:r>
          </w:p>
        </w:tc>
      </w:tr>
      <w:tr w:rsidR="0070038D" w:rsidRPr="00600C3B" w:rsidTr="0096504F">
        <w:tc>
          <w:tcPr>
            <w:tcW w:w="1474" w:type="dxa"/>
            <w:vAlign w:val="center"/>
          </w:tcPr>
          <w:p w:rsidR="0070038D" w:rsidRPr="00911238" w:rsidRDefault="0070038D" w:rsidP="0096504F">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連江縣</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100.00%</w:t>
            </w:r>
          </w:p>
        </w:tc>
        <w:tc>
          <w:tcPr>
            <w:tcW w:w="1304" w:type="dxa"/>
            <w:vAlign w:val="center"/>
          </w:tcPr>
          <w:p w:rsidR="0070038D" w:rsidRPr="00911238" w:rsidRDefault="0070038D" w:rsidP="0096504F">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100.00%</w:t>
            </w:r>
          </w:p>
        </w:tc>
        <w:tc>
          <w:tcPr>
            <w:tcW w:w="1304" w:type="dxa"/>
            <w:vAlign w:val="center"/>
          </w:tcPr>
          <w:p w:rsidR="0070038D" w:rsidRPr="00091421" w:rsidRDefault="0070038D" w:rsidP="0096504F">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0.00%</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78.01%</w:t>
            </w:r>
          </w:p>
        </w:tc>
        <w:tc>
          <w:tcPr>
            <w:tcW w:w="1304" w:type="dxa"/>
            <w:vAlign w:val="center"/>
          </w:tcPr>
          <w:p w:rsidR="0070038D" w:rsidRPr="0044168C" w:rsidRDefault="0070038D" w:rsidP="0096504F">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bl>
    <w:p w:rsidR="009F0B2D" w:rsidRDefault="0070038D" w:rsidP="009F0B2D">
      <w:pPr>
        <w:pStyle w:val="3"/>
        <w:numPr>
          <w:ilvl w:val="0"/>
          <w:numId w:val="0"/>
        </w:numPr>
        <w:ind w:left="1361"/>
        <w:rPr>
          <w:rFonts w:hAnsi="標楷體" w:cs="新細明體"/>
          <w:kern w:val="0"/>
          <w:szCs w:val="32"/>
        </w:rPr>
      </w:pPr>
      <w:r w:rsidRPr="005B26CE">
        <w:rPr>
          <w:rFonts w:hAnsi="標楷體" w:cs="細明體" w:hint="eastAsia"/>
          <w:kern w:val="0"/>
          <w:sz w:val="24"/>
          <w:szCs w:val="24"/>
        </w:rPr>
        <w:t>資料來源：財政部</w:t>
      </w:r>
      <w:r>
        <w:rPr>
          <w:rFonts w:hAnsi="標楷體" w:cs="細明體" w:hint="eastAsia"/>
          <w:kern w:val="0"/>
          <w:sz w:val="24"/>
          <w:szCs w:val="24"/>
        </w:rPr>
        <w:t>。</w:t>
      </w:r>
    </w:p>
    <w:p w:rsidR="009F0B2D" w:rsidRPr="009F0B2D" w:rsidRDefault="009F0B2D" w:rsidP="009F0B2D">
      <w:pPr>
        <w:pStyle w:val="3"/>
        <w:numPr>
          <w:ilvl w:val="0"/>
          <w:numId w:val="0"/>
        </w:numPr>
        <w:ind w:left="1361"/>
      </w:pPr>
    </w:p>
    <w:p w:rsidR="009F0B2D" w:rsidRPr="0070038D" w:rsidRDefault="0070038D" w:rsidP="009F0B2D">
      <w:pPr>
        <w:pStyle w:val="3"/>
      </w:pPr>
      <w:r w:rsidRPr="0051747D">
        <w:rPr>
          <w:rFonts w:hAnsi="標楷體" w:hint="eastAsia"/>
          <w:szCs w:val="32"/>
        </w:rPr>
        <w:t>依</w:t>
      </w:r>
      <w:r w:rsidRPr="0051747D">
        <w:rPr>
          <w:rFonts w:hAnsi="標楷體" w:cs="細明體" w:hint="eastAsia"/>
          <w:kern w:val="0"/>
          <w:szCs w:val="32"/>
        </w:rPr>
        <w:t>財政部說明，部</w:t>
      </w:r>
      <w:r w:rsidRPr="00E800E0">
        <w:rPr>
          <w:rFonts w:hAnsi="標楷體" w:cs="細明體" w:hint="eastAsia"/>
          <w:kern w:val="0"/>
          <w:szCs w:val="32"/>
        </w:rPr>
        <w:t>分直轄市及縣（市）政府</w:t>
      </w:r>
      <w:r w:rsidRPr="00E800E0">
        <w:rPr>
          <w:rFonts w:hAnsi="標楷體" w:hint="eastAsia"/>
          <w:szCs w:val="32"/>
        </w:rPr>
        <w:t>主計</w:t>
      </w:r>
      <w:r w:rsidRPr="0051747D">
        <w:rPr>
          <w:rFonts w:hAnsi="標楷體" w:hint="eastAsia"/>
          <w:color w:val="000000"/>
          <w:szCs w:val="32"/>
        </w:rPr>
        <w:t>單位係參照預算法</w:t>
      </w:r>
      <w:r w:rsidRPr="00E800E0">
        <w:rPr>
          <w:rFonts w:hAnsi="標楷體" w:hint="eastAsia"/>
          <w:szCs w:val="32"/>
        </w:rPr>
        <w:t>第72條：「</w:t>
      </w:r>
      <w:r w:rsidRPr="00E800E0">
        <w:rPr>
          <w:rFonts w:hAnsi="標楷體" w:cs="細明體" w:hint="eastAsia"/>
          <w:kern w:val="0"/>
          <w:szCs w:val="32"/>
        </w:rPr>
        <w:t>……但已發生而尚未清償之債務或契約責任部分，經核准者，得轉入下年度列為以前年度應付款或保留數準備。</w:t>
      </w:r>
      <w:r w:rsidRPr="00E800E0">
        <w:rPr>
          <w:rFonts w:hAnsi="標楷體" w:hint="eastAsia"/>
          <w:szCs w:val="32"/>
        </w:rPr>
        <w:t>」規定，以經費執行未發生權責未同意保留經費，而有賸餘款繳庫情形；其中新北市</w:t>
      </w:r>
      <w:r w:rsidRPr="00E800E0">
        <w:rPr>
          <w:rFonts w:hAnsi="標楷體" w:cs="新細明體" w:hint="eastAsia"/>
          <w:kern w:val="0"/>
          <w:szCs w:val="32"/>
        </w:rPr>
        <w:t>政府</w:t>
      </w:r>
      <w:r w:rsidRPr="00E800E0">
        <w:rPr>
          <w:rFonts w:hAnsi="標楷體" w:hint="eastAsia"/>
          <w:szCs w:val="32"/>
        </w:rPr>
        <w:t>、桃園市</w:t>
      </w:r>
      <w:r w:rsidRPr="00E800E0">
        <w:rPr>
          <w:rFonts w:hAnsi="標楷體" w:cs="新細明體" w:hint="eastAsia"/>
          <w:kern w:val="0"/>
          <w:szCs w:val="32"/>
        </w:rPr>
        <w:t>政府</w:t>
      </w:r>
      <w:r w:rsidRPr="00E800E0">
        <w:rPr>
          <w:rFonts w:hAnsi="標楷體" w:hint="eastAsia"/>
          <w:szCs w:val="32"/>
        </w:rPr>
        <w:t>、臺中市</w:t>
      </w:r>
      <w:r w:rsidRPr="00E800E0">
        <w:rPr>
          <w:rFonts w:hAnsi="標楷體" w:cs="新細明體" w:hint="eastAsia"/>
          <w:kern w:val="0"/>
          <w:szCs w:val="32"/>
        </w:rPr>
        <w:t>政府</w:t>
      </w:r>
      <w:r w:rsidRPr="00E800E0">
        <w:rPr>
          <w:rFonts w:hAnsi="標楷體" w:hint="eastAsia"/>
          <w:szCs w:val="32"/>
        </w:rPr>
        <w:t>、高雄市</w:t>
      </w:r>
      <w:r w:rsidRPr="00E800E0">
        <w:rPr>
          <w:rFonts w:hAnsi="標楷體" w:cs="新細明體" w:hint="eastAsia"/>
          <w:kern w:val="0"/>
          <w:szCs w:val="32"/>
        </w:rPr>
        <w:t>政府</w:t>
      </w:r>
      <w:r w:rsidRPr="00E800E0">
        <w:rPr>
          <w:rFonts w:hAnsi="標楷體" w:hint="eastAsia"/>
          <w:szCs w:val="32"/>
        </w:rPr>
        <w:t>、新竹縣</w:t>
      </w:r>
      <w:r w:rsidRPr="00E800E0">
        <w:rPr>
          <w:rFonts w:hAnsi="標楷體" w:cs="新細明體" w:hint="eastAsia"/>
          <w:kern w:val="0"/>
          <w:szCs w:val="32"/>
        </w:rPr>
        <w:t>政府</w:t>
      </w:r>
      <w:r w:rsidRPr="00E800E0">
        <w:rPr>
          <w:rFonts w:hAnsi="標楷體" w:hint="eastAsia"/>
          <w:szCs w:val="32"/>
        </w:rPr>
        <w:t>、南投縣</w:t>
      </w:r>
      <w:r w:rsidRPr="00E800E0">
        <w:rPr>
          <w:rFonts w:hAnsi="標楷體" w:cs="新細明體" w:hint="eastAsia"/>
          <w:kern w:val="0"/>
          <w:szCs w:val="32"/>
        </w:rPr>
        <w:t>政府</w:t>
      </w:r>
      <w:r w:rsidRPr="00E800E0">
        <w:rPr>
          <w:rFonts w:hAnsi="標楷體" w:hint="eastAsia"/>
          <w:szCs w:val="32"/>
        </w:rPr>
        <w:t>、雲林縣</w:t>
      </w:r>
      <w:r w:rsidRPr="00E800E0">
        <w:rPr>
          <w:rFonts w:hAnsi="標楷體" w:cs="新細明體" w:hint="eastAsia"/>
          <w:kern w:val="0"/>
          <w:szCs w:val="32"/>
        </w:rPr>
        <w:t>政府</w:t>
      </w:r>
      <w:r w:rsidRPr="00E800E0">
        <w:rPr>
          <w:rFonts w:hAnsi="標楷體" w:hint="eastAsia"/>
          <w:szCs w:val="32"/>
        </w:rPr>
        <w:t>、屏東縣</w:t>
      </w:r>
      <w:r w:rsidRPr="00E800E0">
        <w:rPr>
          <w:rFonts w:hAnsi="標楷體" w:cs="新細明體" w:hint="eastAsia"/>
          <w:kern w:val="0"/>
          <w:szCs w:val="32"/>
        </w:rPr>
        <w:t>政府</w:t>
      </w:r>
      <w:r w:rsidRPr="00E800E0">
        <w:rPr>
          <w:rFonts w:hAnsi="標楷體" w:hint="eastAsia"/>
          <w:szCs w:val="32"/>
        </w:rPr>
        <w:t>、臺東縣</w:t>
      </w:r>
      <w:r w:rsidRPr="00E800E0">
        <w:rPr>
          <w:rFonts w:hAnsi="標楷體" w:cs="新細明體" w:hint="eastAsia"/>
          <w:kern w:val="0"/>
          <w:szCs w:val="32"/>
        </w:rPr>
        <w:t>政府</w:t>
      </w:r>
      <w:r w:rsidRPr="00E800E0">
        <w:rPr>
          <w:rFonts w:hAnsi="標楷體" w:hint="eastAsia"/>
          <w:szCs w:val="32"/>
        </w:rPr>
        <w:t>、嘉義市</w:t>
      </w:r>
      <w:r w:rsidRPr="00E800E0">
        <w:rPr>
          <w:rFonts w:hAnsi="標楷體" w:cs="新細明體" w:hint="eastAsia"/>
          <w:kern w:val="0"/>
          <w:szCs w:val="32"/>
        </w:rPr>
        <w:t>政府</w:t>
      </w:r>
      <w:r w:rsidRPr="00E800E0">
        <w:rPr>
          <w:rFonts w:hAnsi="標楷體" w:hint="eastAsia"/>
          <w:szCs w:val="32"/>
        </w:rPr>
        <w:t>及金門縣</w:t>
      </w:r>
      <w:r w:rsidRPr="00E800E0">
        <w:rPr>
          <w:rFonts w:hAnsi="標楷體" w:cs="新細明體" w:hint="eastAsia"/>
          <w:kern w:val="0"/>
          <w:szCs w:val="32"/>
        </w:rPr>
        <w:t>政府</w:t>
      </w:r>
      <w:r w:rsidRPr="00E800E0">
        <w:rPr>
          <w:rFonts w:hAnsi="標楷體" w:hint="eastAsia"/>
          <w:szCs w:val="32"/>
        </w:rPr>
        <w:t>等11直轄</w:t>
      </w:r>
      <w:r w:rsidRPr="00E800E0">
        <w:rPr>
          <w:rFonts w:hAnsi="標楷體" w:cs="細明體" w:hint="eastAsia"/>
          <w:kern w:val="0"/>
          <w:szCs w:val="32"/>
        </w:rPr>
        <w:t>市及縣（市）</w:t>
      </w:r>
      <w:r w:rsidRPr="00E800E0">
        <w:rPr>
          <w:rFonts w:hAnsi="標楷體" w:hint="eastAsia"/>
          <w:szCs w:val="32"/>
        </w:rPr>
        <w:t>政府表示，如遇有獲配查緝經費不足情形，將以專簽方式循預算程序逐年回編以前年度賸餘款供以後年度私劣菸品查緝經費使用，以符專款專用原則；目前有臺東縣</w:t>
      </w:r>
      <w:r w:rsidRPr="00E800E0">
        <w:rPr>
          <w:rFonts w:hAnsi="標楷體" w:cs="新細明體" w:hint="eastAsia"/>
          <w:kern w:val="0"/>
          <w:szCs w:val="32"/>
        </w:rPr>
        <w:t>政府於</w:t>
      </w:r>
      <w:r w:rsidRPr="00E800E0">
        <w:rPr>
          <w:rFonts w:hAnsi="標楷體" w:hint="eastAsia"/>
          <w:szCs w:val="32"/>
        </w:rPr>
        <w:t>107及108年度</w:t>
      </w:r>
      <w:r w:rsidRPr="00E800E0">
        <w:rPr>
          <w:rFonts w:hAnsi="標楷體" w:cs="新細明體" w:hint="eastAsia"/>
          <w:kern w:val="0"/>
          <w:szCs w:val="32"/>
        </w:rPr>
        <w:t>、</w:t>
      </w:r>
      <w:r w:rsidRPr="00E800E0">
        <w:rPr>
          <w:rFonts w:hAnsi="標楷體" w:hint="eastAsia"/>
          <w:szCs w:val="32"/>
        </w:rPr>
        <w:t>屏東縣政府於107年度因查緝經費不足，循預算程序將以前年度賸餘款編入查緝經費使用；直轄</w:t>
      </w:r>
      <w:r w:rsidRPr="00E800E0">
        <w:rPr>
          <w:rFonts w:hAnsi="標楷體" w:cs="細明體" w:hint="eastAsia"/>
          <w:kern w:val="0"/>
          <w:szCs w:val="32"/>
        </w:rPr>
        <w:t>市及縣（市）政府</w:t>
      </w:r>
      <w:r w:rsidRPr="00E800E0">
        <w:rPr>
          <w:rFonts w:hAnsi="標楷體" w:hint="eastAsia"/>
          <w:szCs w:val="32"/>
        </w:rPr>
        <w:t>以回編以前年度賸餘款供以後年度私劣菸品查緝業務使用之方式，如能確實如數回編，尚符合專款專用精神等語。經核，長期以來僅臺東縣</w:t>
      </w:r>
      <w:r w:rsidRPr="00E800E0">
        <w:rPr>
          <w:rFonts w:hAnsi="標楷體" w:cs="新細明體" w:hint="eastAsia"/>
          <w:kern w:val="0"/>
          <w:szCs w:val="32"/>
        </w:rPr>
        <w:t>政府及</w:t>
      </w:r>
      <w:r w:rsidRPr="00E800E0">
        <w:rPr>
          <w:rFonts w:hAnsi="標楷體" w:hint="eastAsia"/>
          <w:szCs w:val="32"/>
        </w:rPr>
        <w:t>屏東縣政府因</w:t>
      </w:r>
      <w:r w:rsidRPr="00E800E0">
        <w:rPr>
          <w:rFonts w:hAnsi="標楷體" w:cs="細明體" w:hint="eastAsia"/>
          <w:kern w:val="0"/>
          <w:szCs w:val="32"/>
        </w:rPr>
        <w:t>查緝經費不足，於107或108年度循預算程序回編賸餘款供查緝私劣菸品使用，惟除上開年度外，其餘年度之賸餘款尚未回編。另其餘直轄市及縣（市）</w:t>
      </w:r>
      <w:r w:rsidRPr="00E800E0">
        <w:rPr>
          <w:rFonts w:hAnsi="標楷體" w:hint="eastAsia"/>
          <w:szCs w:val="32"/>
        </w:rPr>
        <w:t>政府亦均未曾回編，且如桃園市</w:t>
      </w:r>
      <w:r w:rsidRPr="00E800E0">
        <w:rPr>
          <w:rFonts w:hAnsi="標楷體" w:cs="新細明體" w:hint="eastAsia"/>
          <w:kern w:val="0"/>
          <w:szCs w:val="32"/>
        </w:rPr>
        <w:t>政府</w:t>
      </w:r>
      <w:r w:rsidRPr="00E800E0">
        <w:rPr>
          <w:rFonts w:hAnsi="標楷體" w:hint="eastAsia"/>
          <w:szCs w:val="32"/>
        </w:rPr>
        <w:t>、高雄市</w:t>
      </w:r>
      <w:r w:rsidRPr="00E800E0">
        <w:rPr>
          <w:rFonts w:hAnsi="標楷體" w:cs="新細明體" w:hint="eastAsia"/>
          <w:kern w:val="0"/>
          <w:szCs w:val="32"/>
        </w:rPr>
        <w:t>政府</w:t>
      </w:r>
      <w:r w:rsidRPr="00E800E0">
        <w:rPr>
          <w:rFonts w:hAnsi="標楷體" w:hint="eastAsia"/>
          <w:szCs w:val="32"/>
        </w:rPr>
        <w:t>、新竹縣</w:t>
      </w:r>
      <w:r w:rsidRPr="00E800E0">
        <w:rPr>
          <w:rFonts w:hAnsi="標楷體" w:cs="新細明體" w:hint="eastAsia"/>
          <w:kern w:val="0"/>
          <w:szCs w:val="32"/>
        </w:rPr>
        <w:t>政府</w:t>
      </w:r>
      <w:r w:rsidRPr="00E800E0">
        <w:rPr>
          <w:rFonts w:hAnsi="標楷體" w:hint="eastAsia"/>
          <w:szCs w:val="32"/>
        </w:rPr>
        <w:t>、南投縣</w:t>
      </w:r>
      <w:r w:rsidRPr="00E800E0">
        <w:rPr>
          <w:rFonts w:hAnsi="標楷體" w:cs="新細明體" w:hint="eastAsia"/>
          <w:kern w:val="0"/>
          <w:szCs w:val="32"/>
        </w:rPr>
        <w:t>政府</w:t>
      </w:r>
      <w:r w:rsidRPr="00E800E0">
        <w:rPr>
          <w:rFonts w:hAnsi="標楷體" w:hint="eastAsia"/>
          <w:szCs w:val="32"/>
        </w:rPr>
        <w:t>、雲林縣</w:t>
      </w:r>
      <w:r w:rsidRPr="00E800E0">
        <w:rPr>
          <w:rFonts w:hAnsi="標楷體" w:cs="新細明體" w:hint="eastAsia"/>
          <w:kern w:val="0"/>
          <w:szCs w:val="32"/>
        </w:rPr>
        <w:t>政府</w:t>
      </w:r>
      <w:r w:rsidRPr="00E800E0">
        <w:rPr>
          <w:rFonts w:hAnsi="標楷體" w:hint="eastAsia"/>
          <w:szCs w:val="32"/>
        </w:rPr>
        <w:t>、屏東縣</w:t>
      </w:r>
      <w:r w:rsidRPr="00E800E0">
        <w:rPr>
          <w:rFonts w:hAnsi="標楷體" w:cs="新細明體" w:hint="eastAsia"/>
          <w:kern w:val="0"/>
          <w:szCs w:val="32"/>
        </w:rPr>
        <w:t>政府及</w:t>
      </w:r>
      <w:r w:rsidRPr="00E800E0">
        <w:rPr>
          <w:rFonts w:hAnsi="標楷體" w:hint="eastAsia"/>
          <w:szCs w:val="32"/>
        </w:rPr>
        <w:t>臺東縣政府等於</w:t>
      </w:r>
      <w:r w:rsidRPr="00E800E0">
        <w:rPr>
          <w:rFonts w:hAnsi="標楷體" w:cs="細明體" w:hint="eastAsia"/>
          <w:kern w:val="0"/>
          <w:szCs w:val="32"/>
        </w:rPr>
        <w:t>95至105年度</w:t>
      </w:r>
      <w:r w:rsidRPr="00E800E0">
        <w:rPr>
          <w:rFonts w:hAnsi="標楷體" w:hint="eastAsia"/>
          <w:szCs w:val="32"/>
        </w:rPr>
        <w:t>之執行率均低於80%</w:t>
      </w:r>
      <w:r w:rsidRPr="00E800E0">
        <w:rPr>
          <w:rStyle w:val="afd"/>
          <w:rFonts w:hAnsi="標楷體"/>
          <w:szCs w:val="32"/>
        </w:rPr>
        <w:footnoteReference w:id="1"/>
      </w:r>
      <w:r w:rsidRPr="00E800E0">
        <w:rPr>
          <w:rFonts w:hAnsi="標楷體" w:hint="eastAsia"/>
          <w:szCs w:val="32"/>
        </w:rPr>
        <w:t>，是否有回編之需求以使</w:t>
      </w:r>
      <w:r w:rsidRPr="00E800E0">
        <w:rPr>
          <w:rFonts w:hAnsi="標楷體" w:cs="細明體" w:hint="eastAsia"/>
          <w:kern w:val="0"/>
          <w:szCs w:val="32"/>
        </w:rPr>
        <w:t>賸餘款之</w:t>
      </w:r>
      <w:r w:rsidRPr="00E800E0">
        <w:rPr>
          <w:rFonts w:hAnsi="標楷體" w:hint="eastAsia"/>
          <w:szCs w:val="32"/>
        </w:rPr>
        <w:t>支用符合專款專用規定，不無疑義；又日後倘直轄</w:t>
      </w:r>
      <w:r w:rsidRPr="00E800E0">
        <w:rPr>
          <w:rFonts w:hAnsi="標楷體" w:cs="細明體" w:hint="eastAsia"/>
          <w:kern w:val="0"/>
          <w:szCs w:val="32"/>
        </w:rPr>
        <w:t>市及縣（市）</w:t>
      </w:r>
      <w:r w:rsidRPr="00E800E0">
        <w:rPr>
          <w:rFonts w:hAnsi="標楷體" w:hint="eastAsia"/>
          <w:szCs w:val="32"/>
        </w:rPr>
        <w:t>政府未能將賸餘款全數回編供辦理</w:t>
      </w:r>
      <w:r w:rsidRPr="00E800E0">
        <w:rPr>
          <w:rFonts w:hAnsi="標楷體" w:cs="細明體" w:hint="eastAsia"/>
          <w:kern w:val="0"/>
          <w:szCs w:val="32"/>
        </w:rPr>
        <w:t>查緝私劣菸品業務之用</w:t>
      </w:r>
      <w:r w:rsidRPr="00E800E0">
        <w:rPr>
          <w:rFonts w:hAnsi="標楷體" w:hint="eastAsia"/>
          <w:szCs w:val="32"/>
        </w:rPr>
        <w:t>，亦難謂符合專款專用原則。</w:t>
      </w:r>
    </w:p>
    <w:p w:rsidR="0070038D" w:rsidRPr="0070038D" w:rsidRDefault="0070038D" w:rsidP="009F0B2D">
      <w:pPr>
        <w:pStyle w:val="3"/>
      </w:pPr>
      <w:r w:rsidRPr="00E800E0">
        <w:rPr>
          <w:rFonts w:hAnsi="標楷體" w:hint="eastAsia"/>
          <w:szCs w:val="32"/>
        </w:rPr>
        <w:t>另據</w:t>
      </w:r>
      <w:r w:rsidRPr="00E800E0">
        <w:rPr>
          <w:rFonts w:hAnsi="標楷體" w:cs="細明體" w:hint="eastAsia"/>
          <w:kern w:val="0"/>
          <w:szCs w:val="32"/>
        </w:rPr>
        <w:t>財政部表示，經</w:t>
      </w:r>
      <w:r w:rsidRPr="00E800E0">
        <w:rPr>
          <w:rFonts w:hAnsi="標楷體" w:hint="eastAsia"/>
          <w:szCs w:val="32"/>
        </w:rPr>
        <w:t>參酌地方政府前3年度</w:t>
      </w:r>
      <w:r w:rsidRPr="00E800E0">
        <w:rPr>
          <w:rFonts w:hAnsi="標楷體" w:cs="細明體" w:hint="eastAsia"/>
          <w:kern w:val="0"/>
          <w:szCs w:val="32"/>
        </w:rPr>
        <w:t>查緝經費</w:t>
      </w:r>
      <w:r w:rsidRPr="00E800E0">
        <w:rPr>
          <w:rFonts w:hAnsi="標楷體" w:hint="eastAsia"/>
          <w:szCs w:val="32"/>
        </w:rPr>
        <w:t>支用情形，並與各獲配經費機關研商後，於</w:t>
      </w:r>
      <w:r w:rsidRPr="00E800E0">
        <w:rPr>
          <w:rFonts w:hAnsi="標楷體" w:cs="細明體" w:hint="eastAsia"/>
          <w:kern w:val="0"/>
          <w:szCs w:val="32"/>
        </w:rPr>
        <w:t>106年5月5日修正</w:t>
      </w:r>
      <w:r w:rsidRPr="00E800E0">
        <w:rPr>
          <w:rFonts w:hAnsi="標楷體" w:hint="eastAsia"/>
          <w:szCs w:val="32"/>
        </w:rPr>
        <w:t>菸捐</w:t>
      </w:r>
      <w:r w:rsidRPr="00E800E0">
        <w:rPr>
          <w:rFonts w:hAnsi="標楷體" w:cs="新細明體" w:hint="eastAsia"/>
          <w:kern w:val="0"/>
          <w:szCs w:val="32"/>
        </w:rPr>
        <w:t>經費運用要點</w:t>
      </w:r>
      <w:r w:rsidRPr="00E800E0">
        <w:rPr>
          <w:rFonts w:hAnsi="標楷體" w:hint="eastAsia"/>
          <w:szCs w:val="32"/>
        </w:rPr>
        <w:t>，將地方政府獲配經費之比率由60%調降為55%，爰地方政府107年度獲配查緝經費為1億2,174萬元，將較106年度之1億6,200萬元，減少4,026萬元，減幅達25%，期透過減少分配地方政府查緝經費，改善地方政府經費賸餘款繳庫率偏高及執行率偏低之問題等語。惟核財政部前揭做法僅止於減少地方政府分配金額，對於支用情形仍欠缺積極督促作為。爰為使查緝經費確實依專款專用規定運用，</w:t>
      </w:r>
      <w:r w:rsidRPr="00E800E0">
        <w:rPr>
          <w:rFonts w:hAnsi="標楷體" w:cs="細明體" w:hint="eastAsia"/>
          <w:kern w:val="0"/>
          <w:szCs w:val="32"/>
        </w:rPr>
        <w:t>財政部允應</w:t>
      </w:r>
      <w:r w:rsidRPr="00E800E0">
        <w:rPr>
          <w:rFonts w:hAnsi="標楷體" w:hint="eastAsia"/>
          <w:szCs w:val="32"/>
        </w:rPr>
        <w:t>適時檢視地方政府</w:t>
      </w:r>
      <w:r w:rsidRPr="00E800E0">
        <w:rPr>
          <w:rFonts w:hAnsi="標楷體" w:cs="細明體" w:hint="eastAsia"/>
          <w:kern w:val="0"/>
          <w:szCs w:val="32"/>
        </w:rPr>
        <w:t>查緝經費之</w:t>
      </w:r>
      <w:r w:rsidRPr="00E800E0">
        <w:rPr>
          <w:rFonts w:hAnsi="標楷體" w:hint="eastAsia"/>
          <w:szCs w:val="32"/>
        </w:rPr>
        <w:t>執行情形，並加強</w:t>
      </w:r>
      <w:r w:rsidRPr="00E800E0">
        <w:rPr>
          <w:rFonts w:hAnsi="標楷體" w:cs="細明體" w:hint="eastAsia"/>
          <w:kern w:val="0"/>
          <w:szCs w:val="32"/>
        </w:rPr>
        <w:t>督促地方政府依</w:t>
      </w:r>
      <w:r w:rsidRPr="00E800E0">
        <w:rPr>
          <w:rFonts w:hAnsi="標楷體" w:hint="eastAsia"/>
          <w:szCs w:val="32"/>
        </w:rPr>
        <w:t>菸捐</w:t>
      </w:r>
      <w:r w:rsidRPr="00E800E0">
        <w:rPr>
          <w:rFonts w:hAnsi="標楷體" w:cs="新細明體" w:hint="eastAsia"/>
          <w:kern w:val="0"/>
          <w:szCs w:val="32"/>
        </w:rPr>
        <w:t>經費運用要點</w:t>
      </w:r>
      <w:r w:rsidRPr="00E800E0">
        <w:rPr>
          <w:rFonts w:hAnsi="標楷體" w:cs="細明體" w:hint="eastAsia"/>
          <w:kern w:val="0"/>
          <w:szCs w:val="32"/>
        </w:rPr>
        <w:t>規定支用查緝經費，以提</w:t>
      </w:r>
      <w:r w:rsidRPr="0051747D">
        <w:rPr>
          <w:rFonts w:hAnsi="標楷體" w:cs="細明體" w:hint="eastAsia"/>
          <w:kern w:val="0"/>
          <w:szCs w:val="32"/>
        </w:rPr>
        <w:t>升查緝績效。</w:t>
      </w:r>
    </w:p>
    <w:p w:rsidR="0070038D" w:rsidRDefault="0070038D" w:rsidP="009F0B2D">
      <w:pPr>
        <w:pStyle w:val="3"/>
      </w:pPr>
      <w:r w:rsidRPr="00230EC8">
        <w:rPr>
          <w:rFonts w:hAnsi="標楷體" w:cs="細明體" w:hint="eastAsia"/>
          <w:kern w:val="0"/>
          <w:szCs w:val="32"/>
        </w:rPr>
        <w:t>綜上，</w:t>
      </w:r>
      <w:r w:rsidRPr="000378DA">
        <w:rPr>
          <w:rFonts w:hAnsi="標楷體" w:hint="eastAsia"/>
          <w:szCs w:val="32"/>
        </w:rPr>
        <w:t>部分直轄</w:t>
      </w:r>
      <w:r w:rsidRPr="000378DA">
        <w:rPr>
          <w:rFonts w:hAnsi="標楷體" w:cs="細明體" w:hint="eastAsia"/>
          <w:kern w:val="0"/>
          <w:szCs w:val="32"/>
        </w:rPr>
        <w:t>市及縣（市）</w:t>
      </w:r>
      <w:r w:rsidRPr="000378DA">
        <w:rPr>
          <w:rFonts w:hAnsi="標楷體" w:hint="eastAsia"/>
          <w:szCs w:val="32"/>
        </w:rPr>
        <w:t>政府</w:t>
      </w:r>
      <w:r w:rsidRPr="000378DA">
        <w:rPr>
          <w:rFonts w:hAnsi="標楷體" w:cs="細明體" w:hint="eastAsia"/>
          <w:kern w:val="0"/>
          <w:szCs w:val="32"/>
        </w:rPr>
        <w:t>查緝經費</w:t>
      </w:r>
      <w:r w:rsidRPr="000378DA">
        <w:rPr>
          <w:rFonts w:hAnsi="標楷體" w:cs="新細明體" w:hint="eastAsia"/>
          <w:kern w:val="0"/>
          <w:szCs w:val="32"/>
        </w:rPr>
        <w:t>執行率偏低，並將經費賸餘款逕行解繳市縣庫，未留供以後年度辦理私劣菸品查緝等用途，不符專款專用之規定，</w:t>
      </w:r>
      <w:r w:rsidRPr="000378DA">
        <w:rPr>
          <w:rFonts w:hAnsi="標楷體" w:cs="細明體" w:hint="eastAsia"/>
          <w:kern w:val="0"/>
          <w:szCs w:val="32"/>
        </w:rPr>
        <w:t>財政部</w:t>
      </w:r>
      <w:r w:rsidR="00E77BCB" w:rsidRPr="000378DA">
        <w:rPr>
          <w:rFonts w:hAnsi="標楷體" w:cs="細明體" w:hint="eastAsia"/>
          <w:kern w:val="0"/>
          <w:szCs w:val="32"/>
        </w:rPr>
        <w:t>未確實</w:t>
      </w:r>
      <w:r w:rsidRPr="000378DA">
        <w:rPr>
          <w:rFonts w:hAnsi="標楷體" w:hint="eastAsia"/>
          <w:szCs w:val="32"/>
        </w:rPr>
        <w:t>檢討直轄</w:t>
      </w:r>
      <w:r w:rsidRPr="000378DA">
        <w:rPr>
          <w:rFonts w:hAnsi="標楷體" w:cs="細明體" w:hint="eastAsia"/>
          <w:kern w:val="0"/>
          <w:szCs w:val="32"/>
        </w:rPr>
        <w:t>市及縣（市）</w:t>
      </w:r>
      <w:r w:rsidRPr="000378DA">
        <w:rPr>
          <w:rFonts w:hAnsi="標楷體" w:hint="eastAsia"/>
          <w:szCs w:val="32"/>
        </w:rPr>
        <w:t>政府</w:t>
      </w:r>
      <w:r w:rsidRPr="000378DA">
        <w:rPr>
          <w:rFonts w:hAnsi="標楷體" w:cs="細明體" w:hint="eastAsia"/>
          <w:kern w:val="0"/>
          <w:szCs w:val="32"/>
        </w:rPr>
        <w:t>查緝經費之</w:t>
      </w:r>
      <w:r w:rsidRPr="000378DA">
        <w:rPr>
          <w:rFonts w:hAnsi="標楷體" w:hint="eastAsia"/>
          <w:szCs w:val="32"/>
        </w:rPr>
        <w:t>執行情形，並加強</w:t>
      </w:r>
      <w:r w:rsidRPr="000378DA">
        <w:rPr>
          <w:rFonts w:hAnsi="標楷體" w:cs="細明體" w:hint="eastAsia"/>
          <w:kern w:val="0"/>
          <w:szCs w:val="32"/>
        </w:rPr>
        <w:t>督促地方政府依</w:t>
      </w:r>
      <w:r w:rsidRPr="000378DA">
        <w:rPr>
          <w:rFonts w:hAnsi="標楷體" w:hint="eastAsia"/>
          <w:szCs w:val="32"/>
        </w:rPr>
        <w:t>菸捐</w:t>
      </w:r>
      <w:r w:rsidRPr="000378DA">
        <w:rPr>
          <w:rFonts w:hAnsi="標楷體" w:cs="新細明體" w:hint="eastAsia"/>
          <w:kern w:val="0"/>
          <w:szCs w:val="32"/>
        </w:rPr>
        <w:t>經費運用要點</w:t>
      </w:r>
      <w:r w:rsidRPr="000378DA">
        <w:rPr>
          <w:rFonts w:hAnsi="標楷體" w:cs="細明體" w:hint="eastAsia"/>
          <w:kern w:val="0"/>
          <w:szCs w:val="32"/>
        </w:rPr>
        <w:t>規定支用查緝經費，以提升查緝績效</w:t>
      </w:r>
      <w:r w:rsidR="00E77BCB" w:rsidRPr="000378DA">
        <w:rPr>
          <w:rFonts w:hAnsi="標楷體" w:cs="細明體" w:hint="eastAsia"/>
          <w:kern w:val="0"/>
          <w:szCs w:val="32"/>
        </w:rPr>
        <w:t>，核有違失</w:t>
      </w:r>
      <w:r w:rsidRPr="000378DA">
        <w:rPr>
          <w:rFonts w:hAnsi="標楷體" w:cs="細明體" w:hint="eastAsia"/>
          <w:kern w:val="0"/>
          <w:szCs w:val="32"/>
        </w:rPr>
        <w:t>。</w:t>
      </w:r>
    </w:p>
    <w:p w:rsidR="00720134" w:rsidRPr="0070038D" w:rsidRDefault="0070038D" w:rsidP="00720134">
      <w:pPr>
        <w:pStyle w:val="2"/>
      </w:pPr>
      <w:r w:rsidRPr="0051747D">
        <w:rPr>
          <w:rFonts w:hAnsi="標楷體" w:cs="細明體" w:hint="eastAsia"/>
          <w:kern w:val="0"/>
          <w:szCs w:val="32"/>
        </w:rPr>
        <w:t>財政部對於地方政府獲配查緝經費</w:t>
      </w:r>
      <w:r w:rsidRPr="0051747D">
        <w:rPr>
          <w:rFonts w:hAnsi="標楷體" w:cs="新細明體" w:hint="eastAsia"/>
          <w:kern w:val="0"/>
          <w:szCs w:val="32"/>
        </w:rPr>
        <w:t>之支用情形，長期以來僅消極以函文要求地方政府應依專款專用原則辦理，</w:t>
      </w:r>
      <w:r w:rsidRPr="0051747D">
        <w:rPr>
          <w:rFonts w:hAnsi="標楷體" w:cs="新細明體" w:hint="eastAsia"/>
          <w:szCs w:val="32"/>
        </w:rPr>
        <w:t>全然未</w:t>
      </w:r>
      <w:r w:rsidRPr="0051747D">
        <w:rPr>
          <w:rFonts w:hAnsi="標楷體" w:cs="新細明體"/>
          <w:szCs w:val="32"/>
        </w:rPr>
        <w:t>派員</w:t>
      </w:r>
      <w:r w:rsidRPr="0051747D">
        <w:rPr>
          <w:rFonts w:hAnsi="標楷體" w:cs="新細明體" w:hint="eastAsia"/>
          <w:szCs w:val="32"/>
        </w:rPr>
        <w:t>實地查核，顯未落實執行</w:t>
      </w:r>
      <w:r w:rsidRPr="002961BB">
        <w:rPr>
          <w:rFonts w:hAnsi="標楷體" w:cs="新細明體" w:hint="eastAsia"/>
          <w:szCs w:val="32"/>
        </w:rPr>
        <w:t>菸捐經費運用要點所定</w:t>
      </w:r>
      <w:r>
        <w:rPr>
          <w:rFonts w:hAnsi="標楷體" w:cs="新細明體" w:hint="eastAsia"/>
          <w:szCs w:val="32"/>
        </w:rPr>
        <w:t>之</w:t>
      </w:r>
      <w:r w:rsidRPr="0051747D">
        <w:rPr>
          <w:rFonts w:hAnsi="標楷體" w:cs="新細明體" w:hint="eastAsia"/>
          <w:szCs w:val="32"/>
        </w:rPr>
        <w:t>實地查核機制</w:t>
      </w:r>
      <w:r>
        <w:rPr>
          <w:rFonts w:hAnsi="標楷體" w:cs="新細明體" w:hint="eastAsia"/>
          <w:szCs w:val="32"/>
        </w:rPr>
        <w:t>，致地方政府運用查緝經費之違失持續多年</w:t>
      </w:r>
      <w:r w:rsidRPr="0051747D">
        <w:rPr>
          <w:rFonts w:hAnsi="標楷體" w:cs="新細明體" w:hint="eastAsia"/>
          <w:szCs w:val="32"/>
        </w:rPr>
        <w:t>，核</w:t>
      </w:r>
      <w:r>
        <w:rPr>
          <w:rFonts w:hAnsi="標楷體" w:cs="新細明體" w:hint="eastAsia"/>
          <w:szCs w:val="32"/>
        </w:rPr>
        <w:t>確</w:t>
      </w:r>
      <w:r w:rsidRPr="0051747D">
        <w:rPr>
          <w:rFonts w:hAnsi="標楷體" w:cs="新細明體" w:hint="eastAsia"/>
          <w:szCs w:val="32"/>
        </w:rPr>
        <w:t>有怠失。</w:t>
      </w:r>
    </w:p>
    <w:p w:rsidR="0070038D" w:rsidRPr="0070038D" w:rsidRDefault="0070038D" w:rsidP="0070038D">
      <w:pPr>
        <w:pStyle w:val="3"/>
      </w:pPr>
      <w:r w:rsidRPr="0051747D">
        <w:rPr>
          <w:rFonts w:hAnsi="標楷體" w:hint="eastAsia"/>
          <w:szCs w:val="32"/>
        </w:rPr>
        <w:t>按</w:t>
      </w:r>
      <w:r w:rsidRPr="0051747D">
        <w:rPr>
          <w:rFonts w:hAnsi="標楷體" w:cs="細明體" w:hint="eastAsia"/>
          <w:kern w:val="0"/>
          <w:szCs w:val="32"/>
        </w:rPr>
        <w:t>97年6月17日修正之</w:t>
      </w:r>
      <w:r w:rsidRPr="0051747D">
        <w:rPr>
          <w:rFonts w:hAnsi="標楷體" w:hint="eastAsia"/>
          <w:szCs w:val="32"/>
        </w:rPr>
        <w:t>菸捐</w:t>
      </w:r>
      <w:r w:rsidRPr="0051747D">
        <w:rPr>
          <w:rFonts w:hAnsi="標楷體" w:cs="新細明體" w:hint="eastAsia"/>
          <w:kern w:val="0"/>
          <w:szCs w:val="32"/>
        </w:rPr>
        <w:t>經費運用要點</w:t>
      </w:r>
      <w:r w:rsidRPr="0051747D">
        <w:rPr>
          <w:rFonts w:hAnsi="標楷體" w:cs="細明體" w:hint="eastAsia"/>
          <w:kern w:val="0"/>
          <w:szCs w:val="32"/>
        </w:rPr>
        <w:t>第7點規定：「本要點款項預算編列、核定及支用查核程序如下：……（二）財政部應依前項預估收入按第2點第2項規定比例核定年度中央與地方之私劣菸品查緝經費及防</w:t>
      </w:r>
      <w:r w:rsidRPr="0051747D">
        <w:rPr>
          <w:rFonts w:hAnsi="標楷體" w:cs="新細明體" w:hint="eastAsia"/>
          <w:kern w:val="0"/>
          <w:szCs w:val="32"/>
        </w:rPr>
        <w:t>治</w:t>
      </w:r>
      <w:r w:rsidRPr="0051747D">
        <w:rPr>
          <w:rFonts w:hAnsi="標楷體" w:cs="細明體" w:hint="eastAsia"/>
          <w:kern w:val="0"/>
          <w:szCs w:val="32"/>
        </w:rPr>
        <w:t>菸品稅捐逃漏經費，並依規定分配方式，於每年4月底前核定及通知第4點規定之經費運用機關次年度分配數。（三）各經費運用機關應依前項分配數於每年5月底前擬具支用計畫或概算編列情形函送財政部。財政部應於每年6月底前將審核結果函知直轄市及縣（市）政府循預算程序辦理相關業務。……（五）各經費運用機關應於每年7月及次年1月將分配款項支用情形函送財政部；必要時，財政部得實地查核支用情形。（六）本要點款項之預算編列、核定、撥付、支用及核銷，應依預算法、會計法、決算法、審計法及相關法令規定辦理。」</w:t>
      </w:r>
      <w:r>
        <w:rPr>
          <w:rFonts w:hAnsi="標楷體" w:cs="細明體" w:hint="eastAsia"/>
          <w:kern w:val="0"/>
          <w:szCs w:val="32"/>
        </w:rPr>
        <w:t>前揭規定</w:t>
      </w:r>
      <w:r w:rsidRPr="0051747D">
        <w:rPr>
          <w:rFonts w:hAnsi="標楷體" w:cs="細明體" w:hint="eastAsia"/>
          <w:kern w:val="0"/>
          <w:szCs w:val="32"/>
        </w:rPr>
        <w:t>嗣於104年2月26日修正第5款為：「各經費運用機關應於年度結束後1個月內將分配款項支用情形函送財政部；並應妥善保存各項單據，俾供相關機關查核。」</w:t>
      </w:r>
    </w:p>
    <w:p w:rsidR="0070038D" w:rsidRPr="0070038D" w:rsidRDefault="0070038D" w:rsidP="0070038D">
      <w:pPr>
        <w:pStyle w:val="3"/>
      </w:pPr>
      <w:r w:rsidRPr="0051747D">
        <w:rPr>
          <w:rFonts w:hAnsi="標楷體" w:hint="eastAsia"/>
          <w:szCs w:val="32"/>
        </w:rPr>
        <w:t>依</w:t>
      </w:r>
      <w:r w:rsidRPr="0051747D">
        <w:rPr>
          <w:rFonts w:hAnsi="標楷體" w:cs="細明體" w:hint="eastAsia"/>
          <w:kern w:val="0"/>
          <w:szCs w:val="32"/>
        </w:rPr>
        <w:t>財政部說明，衛生福利部係按月將菸捐依</w:t>
      </w:r>
      <w:r w:rsidRPr="0051747D">
        <w:rPr>
          <w:rFonts w:hAnsi="標楷體" w:hint="eastAsia"/>
          <w:szCs w:val="32"/>
        </w:rPr>
        <w:t>菸捐</w:t>
      </w:r>
      <w:r w:rsidRPr="0051747D">
        <w:rPr>
          <w:rFonts w:hAnsi="標楷體" w:cs="新細明體" w:hint="eastAsia"/>
          <w:kern w:val="0"/>
          <w:szCs w:val="32"/>
        </w:rPr>
        <w:t>分配運作辦法規定之</w:t>
      </w:r>
      <w:r w:rsidRPr="0051747D">
        <w:rPr>
          <w:rFonts w:hAnsi="標楷體" w:cs="細明體" w:hint="eastAsia"/>
          <w:kern w:val="0"/>
          <w:szCs w:val="32"/>
        </w:rPr>
        <w:t>分配比率撥付予各該受分配機關，其中查緝經費部分係撥付予財政部國庫署，由該署按季撥付予各地方政府。</w:t>
      </w:r>
      <w:r w:rsidRPr="0051747D">
        <w:rPr>
          <w:rFonts w:hAnsi="標楷體" w:hint="eastAsia"/>
          <w:szCs w:val="32"/>
        </w:rPr>
        <w:t>地方政府獲配之</w:t>
      </w:r>
      <w:r w:rsidRPr="0051747D">
        <w:rPr>
          <w:rFonts w:hAnsi="標楷體" w:cs="細明體" w:hint="eastAsia"/>
          <w:kern w:val="0"/>
          <w:szCs w:val="32"/>
        </w:rPr>
        <w:t>查緝經費</w:t>
      </w:r>
      <w:r w:rsidRPr="0051747D">
        <w:rPr>
          <w:rFonts w:hAnsi="標楷體" w:hint="eastAsia"/>
          <w:szCs w:val="32"/>
        </w:rPr>
        <w:t>，為其特定財源，循預算程序以收支併列方式納入年度預算，應依專款專用原則辦理，執行如有賸餘，應留供以後年度繼續使用，不得挪為他用。</w:t>
      </w:r>
      <w:r w:rsidRPr="0051747D">
        <w:rPr>
          <w:rFonts w:hAnsi="標楷體" w:cs="細明體" w:hint="eastAsia"/>
          <w:kern w:val="0"/>
          <w:szCs w:val="32"/>
        </w:rPr>
        <w:t>財政部係</w:t>
      </w:r>
      <w:r w:rsidRPr="0051747D">
        <w:rPr>
          <w:rFonts w:hAnsi="標楷體" w:hint="eastAsia"/>
          <w:szCs w:val="32"/>
        </w:rPr>
        <w:t>透過獎補助會計科目予以分配，該經費本質上非屬上級政府對下級政府之補助款，地方政府之執行運用，當受各該機關主計及審計等體系之審核與監督，該部除於核定地方政府年度獲配</w:t>
      </w:r>
      <w:r w:rsidRPr="0051747D">
        <w:rPr>
          <w:rFonts w:hAnsi="標楷體" w:cs="細明體" w:hint="eastAsia"/>
          <w:kern w:val="0"/>
          <w:szCs w:val="32"/>
        </w:rPr>
        <w:t>查緝經費</w:t>
      </w:r>
      <w:r w:rsidRPr="0051747D">
        <w:rPr>
          <w:rFonts w:hAnsi="標楷體" w:hint="eastAsia"/>
          <w:szCs w:val="32"/>
        </w:rPr>
        <w:t>及每年撥付第4季</w:t>
      </w:r>
      <w:r w:rsidRPr="0051747D">
        <w:rPr>
          <w:rFonts w:hAnsi="標楷體" w:cs="細明體" w:hint="eastAsia"/>
          <w:kern w:val="0"/>
          <w:szCs w:val="32"/>
        </w:rPr>
        <w:t>查緝經費</w:t>
      </w:r>
      <w:r w:rsidRPr="0051747D">
        <w:rPr>
          <w:rFonts w:hAnsi="標楷體" w:hint="eastAsia"/>
          <w:szCs w:val="32"/>
        </w:rPr>
        <w:t>時，均函文要求地方政府</w:t>
      </w:r>
      <w:r w:rsidRPr="0051747D">
        <w:rPr>
          <w:rFonts w:hAnsi="標楷體" w:cs="細明體" w:hint="eastAsia"/>
          <w:kern w:val="0"/>
          <w:szCs w:val="32"/>
        </w:rPr>
        <w:t>查緝經費</w:t>
      </w:r>
      <w:r w:rsidRPr="0051747D">
        <w:rPr>
          <w:rFonts w:hAnsi="標楷體" w:hint="eastAsia"/>
          <w:szCs w:val="32"/>
        </w:rPr>
        <w:t>執行如有賸餘，應留供以後年度辦理私劣菸品查緝相關業務繼續使用外，並透過年度私劣菸酒查緝會報、菸酒查緝分區座談會等加強宣導</w:t>
      </w:r>
      <w:r w:rsidRPr="0051747D">
        <w:rPr>
          <w:rFonts w:hAnsi="標楷體" w:cs="細明體" w:hint="eastAsia"/>
          <w:kern w:val="0"/>
          <w:szCs w:val="32"/>
        </w:rPr>
        <w:t>查緝經費</w:t>
      </w:r>
      <w:r w:rsidRPr="0051747D">
        <w:rPr>
          <w:rFonts w:hAnsi="標楷體" w:hint="eastAsia"/>
          <w:szCs w:val="32"/>
        </w:rPr>
        <w:t>應專款專用，不得挪為他用，非關私劣菸品查緝支出，不得使用該項經費。</w:t>
      </w:r>
    </w:p>
    <w:p w:rsidR="0070038D" w:rsidRPr="002E2E97" w:rsidRDefault="0070038D" w:rsidP="0070038D">
      <w:pPr>
        <w:pStyle w:val="3"/>
      </w:pPr>
      <w:r w:rsidRPr="0051747D">
        <w:rPr>
          <w:rFonts w:hAnsi="標楷體" w:hint="eastAsia"/>
          <w:color w:val="000000"/>
          <w:szCs w:val="32"/>
        </w:rPr>
        <w:t>又據</w:t>
      </w:r>
      <w:r w:rsidRPr="0051747D">
        <w:rPr>
          <w:rFonts w:hAnsi="標楷體" w:cs="細明體" w:hint="eastAsia"/>
          <w:kern w:val="0"/>
          <w:szCs w:val="32"/>
        </w:rPr>
        <w:t>財政部表示，</w:t>
      </w:r>
      <w:r w:rsidRPr="004E3AF2">
        <w:rPr>
          <w:rFonts w:hAnsi="標楷體" w:cs="細明體" w:hint="eastAsia"/>
          <w:kern w:val="0"/>
          <w:szCs w:val="32"/>
        </w:rPr>
        <w:t>該部國庫署</w:t>
      </w:r>
      <w:r w:rsidRPr="004E3AF2">
        <w:rPr>
          <w:rFonts w:hAnsi="標楷體" w:hint="eastAsia"/>
          <w:szCs w:val="32"/>
        </w:rPr>
        <w:t>因無獲悉地方政府有重大違失案件，且未曾有地方政府針對</w:t>
      </w:r>
      <w:r w:rsidRPr="004E3AF2">
        <w:rPr>
          <w:rFonts w:hAnsi="標楷體" w:cs="細明體" w:hint="eastAsia"/>
          <w:kern w:val="0"/>
          <w:szCs w:val="32"/>
        </w:rPr>
        <w:t>查緝經費</w:t>
      </w:r>
      <w:r w:rsidRPr="004E3AF2">
        <w:rPr>
          <w:rFonts w:hAnsi="標楷體" w:hint="eastAsia"/>
          <w:szCs w:val="32"/>
        </w:rPr>
        <w:t>之</w:t>
      </w:r>
      <w:r w:rsidRPr="0051747D">
        <w:rPr>
          <w:rFonts w:hAnsi="標楷體" w:hint="eastAsia"/>
          <w:color w:val="000000"/>
          <w:szCs w:val="32"/>
        </w:rPr>
        <w:t>支用及賸餘款處理函詢該署意見，基於尊重地方自治，爰未辦理實地查核及對相關疑義事項統一解釋等語。</w:t>
      </w:r>
      <w:r w:rsidRPr="0051747D">
        <w:rPr>
          <w:rFonts w:hAnsi="標楷體" w:hint="eastAsia"/>
          <w:szCs w:val="32"/>
        </w:rPr>
        <w:t>然查審計部早於102年3月4日</w:t>
      </w:r>
      <w:r>
        <w:rPr>
          <w:rFonts w:hAnsi="標楷體" w:hint="eastAsia"/>
          <w:szCs w:val="32"/>
        </w:rPr>
        <w:t>即</w:t>
      </w:r>
      <w:r w:rsidRPr="0051747D">
        <w:rPr>
          <w:rFonts w:hAnsi="標楷體" w:cs="細明體" w:hint="eastAsia"/>
          <w:kern w:val="0"/>
          <w:szCs w:val="32"/>
        </w:rPr>
        <w:t>以創台審部三字第1020000508號函，</w:t>
      </w:r>
      <w:r w:rsidRPr="0051747D">
        <w:rPr>
          <w:rFonts w:hAnsi="標楷體" w:hint="eastAsia"/>
          <w:szCs w:val="32"/>
        </w:rPr>
        <w:t>就該部查核</w:t>
      </w:r>
      <w:r w:rsidRPr="0051747D">
        <w:rPr>
          <w:rFonts w:hAnsi="標楷體" w:cs="細明體" w:hint="eastAsia"/>
          <w:kern w:val="0"/>
          <w:szCs w:val="32"/>
        </w:rPr>
        <w:t>財政部菸酒業管理及督導查緝執行成效情形</w:t>
      </w:r>
      <w:r>
        <w:rPr>
          <w:rFonts w:hAnsi="標楷體" w:cs="細明體" w:hint="eastAsia"/>
          <w:kern w:val="0"/>
          <w:szCs w:val="32"/>
        </w:rPr>
        <w:t>，</w:t>
      </w:r>
      <w:r w:rsidRPr="0051747D">
        <w:rPr>
          <w:rFonts w:hAnsi="標楷體" w:cs="細明體" w:hint="eastAsia"/>
          <w:kern w:val="0"/>
          <w:szCs w:val="32"/>
        </w:rPr>
        <w:t>提出之待檢討事項</w:t>
      </w:r>
      <w:r>
        <w:rPr>
          <w:rFonts w:hAnsi="標楷體" w:cs="細明體" w:hint="eastAsia"/>
          <w:kern w:val="0"/>
          <w:szCs w:val="32"/>
        </w:rPr>
        <w:t>，</w:t>
      </w:r>
      <w:r w:rsidRPr="0051747D">
        <w:rPr>
          <w:rFonts w:hAnsi="標楷體" w:cs="細明體" w:hint="eastAsia"/>
          <w:kern w:val="0"/>
          <w:szCs w:val="32"/>
        </w:rPr>
        <w:t>請財政部予以研謀改善</w:t>
      </w:r>
      <w:r>
        <w:rPr>
          <w:rFonts w:hAnsi="標楷體" w:cs="細明體" w:hint="eastAsia"/>
          <w:kern w:val="0"/>
          <w:szCs w:val="32"/>
        </w:rPr>
        <w:t>時</w:t>
      </w:r>
      <w:r w:rsidRPr="0051747D">
        <w:rPr>
          <w:rFonts w:hAnsi="標楷體" w:cs="細明體" w:hint="eastAsia"/>
          <w:kern w:val="0"/>
          <w:szCs w:val="32"/>
        </w:rPr>
        <w:t>，即已指出98至100年</w:t>
      </w:r>
      <w:r>
        <w:rPr>
          <w:rFonts w:hAnsi="標楷體" w:cs="細明體" w:hint="eastAsia"/>
          <w:kern w:val="0"/>
          <w:szCs w:val="32"/>
        </w:rPr>
        <w:t>間，</w:t>
      </w:r>
      <w:r w:rsidRPr="0051747D">
        <w:rPr>
          <w:rFonts w:hAnsi="標楷體" w:hint="eastAsia"/>
          <w:szCs w:val="32"/>
        </w:rPr>
        <w:t>各年度均有半數以上</w:t>
      </w:r>
      <w:r>
        <w:rPr>
          <w:rFonts w:hAnsi="標楷體" w:hint="eastAsia"/>
          <w:szCs w:val="32"/>
        </w:rPr>
        <w:t>直轄</w:t>
      </w:r>
      <w:r w:rsidRPr="0051747D">
        <w:rPr>
          <w:rFonts w:hAnsi="標楷體" w:hint="eastAsia"/>
          <w:szCs w:val="32"/>
        </w:rPr>
        <w:t>市</w:t>
      </w:r>
      <w:r>
        <w:rPr>
          <w:rFonts w:hAnsi="標楷體" w:hint="eastAsia"/>
          <w:szCs w:val="32"/>
        </w:rPr>
        <w:t>及</w:t>
      </w:r>
      <w:r w:rsidRPr="0051747D">
        <w:rPr>
          <w:rFonts w:hAnsi="標楷體" w:hint="eastAsia"/>
          <w:szCs w:val="32"/>
        </w:rPr>
        <w:t>縣</w:t>
      </w:r>
      <w:r>
        <w:rPr>
          <w:rFonts w:hAnsi="標楷體" w:hint="eastAsia"/>
          <w:szCs w:val="32"/>
        </w:rPr>
        <w:t>（市）</w:t>
      </w:r>
      <w:r w:rsidRPr="0051747D">
        <w:rPr>
          <w:rFonts w:hAnsi="標楷體" w:hint="eastAsia"/>
          <w:szCs w:val="32"/>
        </w:rPr>
        <w:t>政府</w:t>
      </w:r>
      <w:r w:rsidRPr="0051747D">
        <w:rPr>
          <w:rFonts w:hAnsi="標楷體" w:cs="細明體" w:hint="eastAsia"/>
          <w:kern w:val="0"/>
          <w:szCs w:val="32"/>
        </w:rPr>
        <w:t>查緝經費</w:t>
      </w:r>
      <w:r w:rsidRPr="0051747D">
        <w:rPr>
          <w:rFonts w:hAnsi="標楷體" w:hint="eastAsia"/>
          <w:szCs w:val="32"/>
        </w:rPr>
        <w:t>執行率低於80%，而國庫署亦未實地考核其支用情形並促請改進</w:t>
      </w:r>
      <w:r>
        <w:rPr>
          <w:rFonts w:hAnsi="標楷體" w:hint="eastAsia"/>
          <w:szCs w:val="32"/>
        </w:rPr>
        <w:t>。</w:t>
      </w:r>
      <w:r w:rsidRPr="0051747D">
        <w:rPr>
          <w:rFonts w:hAnsi="標楷體" w:hint="eastAsia"/>
          <w:szCs w:val="32"/>
        </w:rPr>
        <w:t>另</w:t>
      </w:r>
      <w:r w:rsidR="00BD615E">
        <w:rPr>
          <w:rFonts w:hint="eastAsia"/>
        </w:rPr>
        <w:t>該函並指出</w:t>
      </w:r>
      <w:r w:rsidRPr="0051747D">
        <w:rPr>
          <w:rFonts w:hAnsi="標楷體" w:hint="eastAsia"/>
          <w:szCs w:val="32"/>
        </w:rPr>
        <w:t>部分</w:t>
      </w:r>
      <w:r>
        <w:rPr>
          <w:rFonts w:hAnsi="標楷體" w:hint="eastAsia"/>
          <w:szCs w:val="32"/>
        </w:rPr>
        <w:t>地方</w:t>
      </w:r>
      <w:r w:rsidRPr="0051747D">
        <w:rPr>
          <w:rFonts w:hAnsi="標楷體" w:hint="eastAsia"/>
          <w:szCs w:val="32"/>
        </w:rPr>
        <w:t>政府</w:t>
      </w:r>
      <w:r w:rsidRPr="0051747D">
        <w:rPr>
          <w:rFonts w:hAnsi="標楷體" w:cs="細明體" w:hint="eastAsia"/>
          <w:kern w:val="0"/>
          <w:szCs w:val="32"/>
        </w:rPr>
        <w:t>查緝經費</w:t>
      </w:r>
      <w:r w:rsidRPr="0051747D">
        <w:rPr>
          <w:rFonts w:hAnsi="標楷體" w:hint="eastAsia"/>
          <w:szCs w:val="32"/>
        </w:rPr>
        <w:t>運用於研考會人事，或</w:t>
      </w:r>
      <w:r w:rsidRPr="0051747D">
        <w:rPr>
          <w:rFonts w:hAnsi="標楷體" w:hint="eastAsia"/>
          <w:szCs w:val="32"/>
          <w:lang w:val="zh-TW"/>
        </w:rPr>
        <w:t>金融</w:t>
      </w:r>
      <w:r w:rsidRPr="0051747D">
        <w:rPr>
          <w:rFonts w:hAnsi="標楷體" w:hint="eastAsia"/>
          <w:szCs w:val="32"/>
        </w:rPr>
        <w:t>管理、查緝酒類業務費，或購置設備非專用於私劣菸品查緝，或列支非屬菸酒管理業務人員薪給及與查緝無涉之國外研習（如</w:t>
      </w:r>
      <w:r w:rsidRPr="0051747D">
        <w:rPr>
          <w:rFonts w:hAnsi="標楷體" w:hint="eastAsia"/>
          <w:color w:val="FF0000"/>
          <w:szCs w:val="32"/>
        </w:rPr>
        <w:t>表3</w:t>
      </w:r>
      <w:r w:rsidRPr="0051747D">
        <w:rPr>
          <w:rFonts w:hAnsi="標楷體" w:hint="eastAsia"/>
          <w:szCs w:val="32"/>
        </w:rPr>
        <w:t>），有違專款專用原則</w:t>
      </w:r>
      <w:r w:rsidRPr="0051747D">
        <w:rPr>
          <w:rFonts w:hAnsi="標楷體" w:hint="eastAsia"/>
          <w:color w:val="000000"/>
          <w:szCs w:val="32"/>
        </w:rPr>
        <w:t>。顯見</w:t>
      </w:r>
      <w:r w:rsidRPr="0051747D">
        <w:rPr>
          <w:rFonts w:hAnsi="標楷體" w:cs="細明體" w:hint="eastAsia"/>
          <w:kern w:val="0"/>
          <w:szCs w:val="32"/>
        </w:rPr>
        <w:t>財政部</w:t>
      </w:r>
      <w:r>
        <w:rPr>
          <w:rFonts w:hAnsi="標楷體" w:cs="細明體" w:hint="eastAsia"/>
          <w:kern w:val="0"/>
          <w:szCs w:val="32"/>
        </w:rPr>
        <w:t>前揭說明為卸責之詞</w:t>
      </w:r>
      <w:r w:rsidRPr="0051747D">
        <w:rPr>
          <w:rFonts w:hAnsi="標楷體" w:cs="細明體" w:hint="eastAsia"/>
          <w:kern w:val="0"/>
          <w:szCs w:val="32"/>
        </w:rPr>
        <w:t>，任事態度消極推諉，實不足取。</w:t>
      </w:r>
    </w:p>
    <w:p w:rsidR="0070038D" w:rsidRPr="008144E2" w:rsidRDefault="0070038D" w:rsidP="002E2E97">
      <w:pPr>
        <w:pStyle w:val="3"/>
        <w:numPr>
          <w:ilvl w:val="0"/>
          <w:numId w:val="0"/>
        </w:numPr>
        <w:ind w:left="1361"/>
        <w:rPr>
          <w:rFonts w:hAnsi="標楷體"/>
          <w:b/>
          <w:color w:val="000000"/>
          <w:sz w:val="28"/>
          <w:szCs w:val="28"/>
        </w:rPr>
      </w:pPr>
      <w:r w:rsidRPr="008144E2">
        <w:rPr>
          <w:rFonts w:hAnsi="標楷體" w:hint="eastAsia"/>
          <w:b/>
          <w:color w:val="000000"/>
          <w:sz w:val="28"/>
          <w:szCs w:val="28"/>
        </w:rPr>
        <w:t>表</w:t>
      </w:r>
      <w:r w:rsidR="00BD615E">
        <w:rPr>
          <w:rFonts w:hAnsi="標楷體" w:hint="eastAsia"/>
          <w:b/>
          <w:color w:val="000000"/>
          <w:sz w:val="28"/>
          <w:szCs w:val="28"/>
        </w:rPr>
        <w:t>3 98-101</w:t>
      </w:r>
      <w:r w:rsidRPr="008144E2">
        <w:rPr>
          <w:rFonts w:hAnsi="標楷體" w:hint="eastAsia"/>
          <w:b/>
          <w:color w:val="000000"/>
          <w:sz w:val="28"/>
          <w:szCs w:val="28"/>
        </w:rPr>
        <w:t>年</w:t>
      </w:r>
      <w:r w:rsidRPr="008144E2">
        <w:rPr>
          <w:rFonts w:hAnsi="標楷體" w:cs="細明體" w:hint="eastAsia"/>
          <w:b/>
          <w:kern w:val="0"/>
          <w:sz w:val="28"/>
          <w:szCs w:val="28"/>
        </w:rPr>
        <w:t>地方政府查緝經費運用未符規定之情形</w:t>
      </w:r>
    </w:p>
    <w:p w:rsidR="0070038D" w:rsidRDefault="0070038D" w:rsidP="0070038D">
      <w:pPr>
        <w:pStyle w:val="3"/>
        <w:numPr>
          <w:ilvl w:val="0"/>
          <w:numId w:val="0"/>
        </w:numPr>
        <w:ind w:left="1361"/>
        <w:jc w:val="right"/>
        <w:rPr>
          <w:rFonts w:hAnsi="標楷體"/>
          <w:color w:val="000000"/>
          <w:szCs w:val="32"/>
        </w:rPr>
      </w:pPr>
      <w:r>
        <w:rPr>
          <w:rFonts w:hAnsi="標楷體" w:cs="細明體" w:hint="eastAsia"/>
          <w:kern w:val="0"/>
          <w:sz w:val="24"/>
          <w:szCs w:val="24"/>
        </w:rPr>
        <w:t>單位：</w:t>
      </w:r>
      <w:r w:rsidRPr="005B26CE">
        <w:rPr>
          <w:rFonts w:hAnsi="標楷體" w:cs="細明體" w:hint="eastAsia"/>
          <w:kern w:val="0"/>
          <w:sz w:val="24"/>
          <w:szCs w:val="24"/>
        </w:rPr>
        <w:t>元</w:t>
      </w:r>
    </w:p>
    <w:tbl>
      <w:tblPr>
        <w:tblStyle w:val="af7"/>
        <w:tblW w:w="9127" w:type="dxa"/>
        <w:tblInd w:w="250" w:type="dxa"/>
        <w:tblLook w:val="04A0" w:firstRow="1" w:lastRow="0" w:firstColumn="1" w:lastColumn="0" w:noHBand="0" w:noVBand="1"/>
      </w:tblPr>
      <w:tblGrid>
        <w:gridCol w:w="1020"/>
        <w:gridCol w:w="794"/>
        <w:gridCol w:w="2324"/>
        <w:gridCol w:w="1417"/>
        <w:gridCol w:w="3572"/>
      </w:tblGrid>
      <w:tr w:rsidR="0070038D" w:rsidRPr="008144E2" w:rsidTr="002E2E97">
        <w:trPr>
          <w:tblHeader/>
        </w:trPr>
        <w:tc>
          <w:tcPr>
            <w:tcW w:w="1020" w:type="dxa"/>
            <w:vAlign w:val="center"/>
          </w:tcPr>
          <w:p w:rsidR="0070038D" w:rsidRPr="008144E2" w:rsidRDefault="0070038D" w:rsidP="0096504F">
            <w:pPr>
              <w:pStyle w:val="3"/>
              <w:numPr>
                <w:ilvl w:val="0"/>
                <w:numId w:val="0"/>
              </w:numPr>
              <w:jc w:val="center"/>
              <w:rPr>
                <w:rFonts w:hAnsi="標楷體"/>
                <w:b/>
                <w:sz w:val="24"/>
                <w:szCs w:val="24"/>
              </w:rPr>
            </w:pPr>
            <w:r w:rsidRPr="008144E2">
              <w:rPr>
                <w:rFonts w:hAnsi="標楷體" w:hint="eastAsia"/>
                <w:b/>
                <w:sz w:val="24"/>
                <w:szCs w:val="24"/>
              </w:rPr>
              <w:t>市縣別</w:t>
            </w:r>
          </w:p>
        </w:tc>
        <w:tc>
          <w:tcPr>
            <w:tcW w:w="794" w:type="dxa"/>
            <w:vAlign w:val="center"/>
          </w:tcPr>
          <w:p w:rsidR="0070038D" w:rsidRPr="008144E2" w:rsidRDefault="0070038D" w:rsidP="0096504F">
            <w:pPr>
              <w:pStyle w:val="3"/>
              <w:numPr>
                <w:ilvl w:val="0"/>
                <w:numId w:val="0"/>
              </w:numPr>
              <w:jc w:val="center"/>
              <w:rPr>
                <w:rFonts w:hAnsi="標楷體"/>
                <w:b/>
                <w:sz w:val="24"/>
                <w:szCs w:val="24"/>
              </w:rPr>
            </w:pPr>
            <w:r w:rsidRPr="008144E2">
              <w:rPr>
                <w:rFonts w:hAnsi="標楷體" w:hint="eastAsia"/>
                <w:b/>
                <w:sz w:val="24"/>
                <w:szCs w:val="24"/>
              </w:rPr>
              <w:t>年度</w:t>
            </w:r>
          </w:p>
        </w:tc>
        <w:tc>
          <w:tcPr>
            <w:tcW w:w="2324" w:type="dxa"/>
            <w:vAlign w:val="center"/>
          </w:tcPr>
          <w:p w:rsidR="0070038D" w:rsidRPr="008144E2" w:rsidRDefault="0070038D" w:rsidP="0096504F">
            <w:pPr>
              <w:pStyle w:val="3"/>
              <w:numPr>
                <w:ilvl w:val="0"/>
                <w:numId w:val="0"/>
              </w:numPr>
              <w:jc w:val="center"/>
              <w:rPr>
                <w:rFonts w:hAnsi="標楷體"/>
                <w:b/>
                <w:sz w:val="24"/>
                <w:szCs w:val="24"/>
              </w:rPr>
            </w:pPr>
            <w:r w:rsidRPr="008144E2">
              <w:rPr>
                <w:rFonts w:hAnsi="標楷體" w:hint="eastAsia"/>
                <w:b/>
                <w:sz w:val="24"/>
                <w:szCs w:val="24"/>
              </w:rPr>
              <w:t>支用用途</w:t>
            </w:r>
          </w:p>
        </w:tc>
        <w:tc>
          <w:tcPr>
            <w:tcW w:w="1417" w:type="dxa"/>
            <w:vAlign w:val="center"/>
          </w:tcPr>
          <w:p w:rsidR="0070038D" w:rsidRPr="008144E2" w:rsidRDefault="0070038D" w:rsidP="0096504F">
            <w:pPr>
              <w:pStyle w:val="3"/>
              <w:numPr>
                <w:ilvl w:val="0"/>
                <w:numId w:val="0"/>
              </w:numPr>
              <w:jc w:val="center"/>
              <w:rPr>
                <w:rFonts w:hAnsi="標楷體"/>
                <w:b/>
                <w:sz w:val="24"/>
                <w:szCs w:val="24"/>
              </w:rPr>
            </w:pPr>
            <w:r w:rsidRPr="008144E2">
              <w:rPr>
                <w:rFonts w:hAnsi="標楷體" w:hint="eastAsia"/>
                <w:b/>
                <w:sz w:val="24"/>
                <w:szCs w:val="24"/>
              </w:rPr>
              <w:t>金額</w:t>
            </w:r>
          </w:p>
        </w:tc>
        <w:tc>
          <w:tcPr>
            <w:tcW w:w="3572" w:type="dxa"/>
            <w:vAlign w:val="center"/>
          </w:tcPr>
          <w:p w:rsidR="0070038D" w:rsidRPr="008144E2" w:rsidRDefault="0070038D" w:rsidP="0096504F">
            <w:pPr>
              <w:pStyle w:val="3"/>
              <w:numPr>
                <w:ilvl w:val="0"/>
                <w:numId w:val="0"/>
              </w:numPr>
              <w:jc w:val="center"/>
              <w:rPr>
                <w:rFonts w:hAnsi="標楷體"/>
                <w:b/>
                <w:sz w:val="24"/>
                <w:szCs w:val="24"/>
              </w:rPr>
            </w:pPr>
            <w:r w:rsidRPr="008144E2">
              <w:rPr>
                <w:rFonts w:hAnsi="標楷體" w:hint="eastAsia"/>
                <w:b/>
                <w:sz w:val="24"/>
                <w:szCs w:val="24"/>
              </w:rPr>
              <w:t>備註</w:t>
            </w:r>
          </w:p>
        </w:tc>
      </w:tr>
      <w:tr w:rsidR="0070038D" w:rsidRPr="008058DA" w:rsidTr="002E2E97">
        <w:tc>
          <w:tcPr>
            <w:tcW w:w="1020" w:type="dxa"/>
            <w:vAlign w:val="center"/>
          </w:tcPr>
          <w:p w:rsidR="0070038D" w:rsidRPr="008058DA" w:rsidRDefault="0070038D" w:rsidP="0096504F">
            <w:pPr>
              <w:jc w:val="center"/>
              <w:rPr>
                <w:rFonts w:hAnsi="標楷體"/>
                <w:sz w:val="24"/>
                <w:szCs w:val="24"/>
              </w:rPr>
            </w:pPr>
            <w:r w:rsidRPr="008058DA">
              <w:rPr>
                <w:rFonts w:hAnsi="標楷體" w:hint="eastAsia"/>
                <w:sz w:val="24"/>
                <w:szCs w:val="24"/>
              </w:rPr>
              <w:t>新北市</w:t>
            </w:r>
          </w:p>
        </w:tc>
        <w:tc>
          <w:tcPr>
            <w:tcW w:w="794" w:type="dxa"/>
            <w:vAlign w:val="center"/>
          </w:tcPr>
          <w:p w:rsidR="0070038D" w:rsidRPr="008058DA" w:rsidRDefault="0070038D" w:rsidP="0096504F">
            <w:pPr>
              <w:pStyle w:val="af8"/>
              <w:ind w:leftChars="0" w:left="0"/>
              <w:jc w:val="center"/>
              <w:rPr>
                <w:rFonts w:hAnsi="標楷體"/>
                <w:sz w:val="24"/>
                <w:szCs w:val="24"/>
              </w:rPr>
            </w:pPr>
            <w:r w:rsidRPr="008058DA">
              <w:rPr>
                <w:rFonts w:hAnsi="標楷體" w:hint="eastAsia"/>
                <w:sz w:val="24"/>
                <w:szCs w:val="24"/>
              </w:rPr>
              <w:t>98</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研考會人事費</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539,000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因應升格聘請專人辦理各局處緊急聯繫溝通及考核業務。</w:t>
            </w: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高雄市</w:t>
            </w:r>
          </w:p>
        </w:tc>
        <w:tc>
          <w:tcPr>
            <w:tcW w:w="794"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支付其他人員薪給</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387,283</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非屬辦理菸酒管理科業務人員</w:t>
            </w:r>
            <w:r>
              <w:rPr>
                <w:rFonts w:hAnsi="標楷體" w:hint="eastAsia"/>
                <w:sz w:val="24"/>
                <w:szCs w:val="24"/>
              </w:rPr>
              <w:t>。</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Merge/>
            <w:vAlign w:val="center"/>
          </w:tcPr>
          <w:p w:rsidR="0070038D" w:rsidRPr="008058DA" w:rsidRDefault="0070038D" w:rsidP="0096504F">
            <w:pPr>
              <w:pStyle w:val="3"/>
              <w:numPr>
                <w:ilvl w:val="0"/>
                <w:numId w:val="0"/>
              </w:numPr>
              <w:jc w:val="center"/>
              <w:rPr>
                <w:rFonts w:hAnsi="標楷體"/>
                <w:sz w:val="24"/>
                <w:szCs w:val="24"/>
              </w:rPr>
            </w:pP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聯誼餐費與購置摸彩品等</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537,909</w:t>
            </w:r>
          </w:p>
        </w:tc>
        <w:tc>
          <w:tcPr>
            <w:tcW w:w="3572" w:type="dxa"/>
            <w:vAlign w:val="center"/>
          </w:tcPr>
          <w:p w:rsidR="0070038D" w:rsidRPr="008058DA" w:rsidRDefault="0070038D" w:rsidP="0096504F">
            <w:pPr>
              <w:rPr>
                <w:rFonts w:hAnsi="標楷體"/>
                <w:sz w:val="24"/>
                <w:szCs w:val="24"/>
              </w:rPr>
            </w:pPr>
            <w:r>
              <w:rPr>
                <w:rFonts w:hAnsi="標楷體" w:hint="eastAsia"/>
                <w:sz w:val="24"/>
                <w:szCs w:val="24"/>
              </w:rPr>
              <w:t>慰勞參與稅務盃網球賽餐費、辦理聯誼餐敘、購置摸彩品、</w:t>
            </w:r>
            <w:r w:rsidRPr="008058DA">
              <w:rPr>
                <w:rFonts w:hAnsi="標楷體" w:hint="eastAsia"/>
                <w:sz w:val="24"/>
                <w:szCs w:val="24"/>
              </w:rPr>
              <w:t>農產品等。</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支付國外研習費用</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1,005,527</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與菸品查緝業務無涉之國外研習。</w:t>
            </w:r>
          </w:p>
        </w:tc>
      </w:tr>
      <w:tr w:rsidR="0070038D" w:rsidRPr="008058DA" w:rsidTr="002E2E97">
        <w:tc>
          <w:tcPr>
            <w:tcW w:w="1020"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臺南市</w:t>
            </w: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購置汽車1部</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759,391</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登記使用單位為公產管理科，非菸酒科專用。</w:t>
            </w: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桃園縣</w:t>
            </w:r>
          </w:p>
        </w:tc>
        <w:tc>
          <w:tcPr>
            <w:tcW w:w="794"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金融管理業務</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16,708</w:t>
            </w:r>
          </w:p>
        </w:tc>
        <w:tc>
          <w:tcPr>
            <w:tcW w:w="3572" w:type="dxa"/>
            <w:vMerge w:val="restart"/>
            <w:vAlign w:val="center"/>
          </w:tcPr>
          <w:p w:rsidR="0070038D" w:rsidRPr="008058DA" w:rsidRDefault="0070038D" w:rsidP="0096504F">
            <w:pPr>
              <w:pStyle w:val="3"/>
              <w:numPr>
                <w:ilvl w:val="0"/>
                <w:numId w:val="0"/>
              </w:numPr>
              <w:rPr>
                <w:rFonts w:hAnsi="標楷體"/>
                <w:sz w:val="24"/>
                <w:szCs w:val="24"/>
              </w:rPr>
            </w:pPr>
            <w:r w:rsidRPr="008058DA">
              <w:rPr>
                <w:rFonts w:hAnsi="標楷體" w:hint="eastAsia"/>
                <w:sz w:val="24"/>
                <w:szCs w:val="24"/>
              </w:rPr>
              <w:t>非查緝私劣菸品業務。</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Merge/>
            <w:vAlign w:val="center"/>
          </w:tcPr>
          <w:p w:rsidR="0070038D" w:rsidRPr="008058DA" w:rsidRDefault="0070038D" w:rsidP="0096504F">
            <w:pPr>
              <w:pStyle w:val="3"/>
              <w:numPr>
                <w:ilvl w:val="0"/>
                <w:numId w:val="0"/>
              </w:numPr>
              <w:jc w:val="center"/>
              <w:rPr>
                <w:rFonts w:hAnsi="標楷體"/>
                <w:sz w:val="24"/>
                <w:szCs w:val="24"/>
              </w:rPr>
            </w:pP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緝酒業務</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474,511</w:t>
            </w:r>
          </w:p>
        </w:tc>
        <w:tc>
          <w:tcPr>
            <w:tcW w:w="3572" w:type="dxa"/>
            <w:vMerge/>
            <w:vAlign w:val="center"/>
          </w:tcPr>
          <w:p w:rsidR="0070038D" w:rsidRPr="008058DA" w:rsidRDefault="0070038D" w:rsidP="0096504F">
            <w:pPr>
              <w:pStyle w:val="3"/>
              <w:numPr>
                <w:ilvl w:val="0"/>
                <w:numId w:val="0"/>
              </w:numPr>
              <w:rPr>
                <w:rFonts w:hAnsi="標楷體"/>
                <w:sz w:val="24"/>
                <w:szCs w:val="24"/>
              </w:rPr>
            </w:pP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雲林縣</w:t>
            </w: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99</w:t>
            </w:r>
          </w:p>
        </w:tc>
        <w:tc>
          <w:tcPr>
            <w:tcW w:w="2324" w:type="dxa"/>
            <w:vMerge w:val="restart"/>
            <w:vAlign w:val="center"/>
          </w:tcPr>
          <w:p w:rsidR="0070038D" w:rsidRPr="008058DA" w:rsidRDefault="0070038D" w:rsidP="0096504F">
            <w:pPr>
              <w:pStyle w:val="3"/>
              <w:numPr>
                <w:ilvl w:val="0"/>
                <w:numId w:val="0"/>
              </w:numPr>
              <w:rPr>
                <w:rFonts w:hAnsi="標楷體"/>
                <w:sz w:val="24"/>
                <w:szCs w:val="24"/>
              </w:rPr>
            </w:pPr>
            <w:r w:rsidRPr="008058DA">
              <w:rPr>
                <w:rFonts w:hAnsi="標楷體" w:hint="eastAsia"/>
                <w:sz w:val="24"/>
                <w:szCs w:val="24"/>
              </w:rPr>
              <w:t>員工文康活動</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196,000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購置運動毛巾、雨傘。</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Merge/>
            <w:vAlign w:val="center"/>
          </w:tcPr>
          <w:p w:rsidR="0070038D" w:rsidRPr="008058DA" w:rsidRDefault="0070038D" w:rsidP="0096504F">
            <w:pPr>
              <w:pStyle w:val="3"/>
              <w:numPr>
                <w:ilvl w:val="0"/>
                <w:numId w:val="0"/>
              </w:numPr>
              <w:rPr>
                <w:rFonts w:hAnsi="標楷體"/>
                <w:sz w:val="24"/>
                <w:szCs w:val="24"/>
              </w:rPr>
            </w:pP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194,400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購置毛巾、黃金米。</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Merge/>
            <w:vAlign w:val="center"/>
          </w:tcPr>
          <w:p w:rsidR="0070038D" w:rsidRPr="008058DA" w:rsidRDefault="0070038D" w:rsidP="0096504F">
            <w:pPr>
              <w:pStyle w:val="3"/>
              <w:numPr>
                <w:ilvl w:val="0"/>
                <w:numId w:val="0"/>
              </w:numPr>
              <w:rPr>
                <w:rFonts w:hAnsi="標楷體"/>
                <w:sz w:val="24"/>
                <w:szCs w:val="24"/>
              </w:rPr>
            </w:pP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196,100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購置毛巾、香米。</w:t>
            </w: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嘉義縣</w:t>
            </w: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Merge w:val="restart"/>
            <w:vAlign w:val="center"/>
          </w:tcPr>
          <w:p w:rsidR="0070038D" w:rsidRPr="008058DA" w:rsidRDefault="0070038D" w:rsidP="0096504F">
            <w:pPr>
              <w:pStyle w:val="3"/>
              <w:numPr>
                <w:ilvl w:val="0"/>
                <w:numId w:val="0"/>
              </w:numPr>
              <w:rPr>
                <w:rFonts w:hAnsi="標楷體"/>
                <w:sz w:val="24"/>
                <w:szCs w:val="24"/>
              </w:rPr>
            </w:pPr>
            <w:r w:rsidRPr="008058DA">
              <w:rPr>
                <w:rFonts w:hAnsi="標楷體" w:hint="eastAsia"/>
                <w:sz w:val="24"/>
                <w:szCs w:val="24"/>
              </w:rPr>
              <w:t>對外部機關之招待或餽贈費用</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125,200</w:t>
            </w:r>
          </w:p>
        </w:tc>
        <w:tc>
          <w:tcPr>
            <w:tcW w:w="3572" w:type="dxa"/>
            <w:vAlign w:val="center"/>
          </w:tcPr>
          <w:p w:rsidR="0070038D" w:rsidRPr="008058DA" w:rsidRDefault="0070038D" w:rsidP="0096504F">
            <w:pPr>
              <w:rPr>
                <w:rFonts w:hAnsi="標楷體"/>
                <w:sz w:val="24"/>
                <w:szCs w:val="24"/>
              </w:rPr>
            </w:pPr>
            <w:r>
              <w:rPr>
                <w:rFonts w:hAnsi="標楷體" w:hint="eastAsia"/>
                <w:sz w:val="24"/>
                <w:szCs w:val="24"/>
              </w:rPr>
              <w:t>購置會議伴手禮、</w:t>
            </w:r>
            <w:r w:rsidRPr="008058DA">
              <w:rPr>
                <w:rFonts w:hAnsi="標楷體" w:hint="eastAsia"/>
                <w:sz w:val="24"/>
                <w:szCs w:val="24"/>
              </w:rPr>
              <w:t>拜會其他機關餐費。</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Merge/>
            <w:vAlign w:val="center"/>
          </w:tcPr>
          <w:p w:rsidR="0070038D" w:rsidRPr="008058DA" w:rsidRDefault="0070038D" w:rsidP="0096504F">
            <w:pPr>
              <w:pStyle w:val="3"/>
              <w:numPr>
                <w:ilvl w:val="0"/>
                <w:numId w:val="0"/>
              </w:numPr>
              <w:rPr>
                <w:rFonts w:hAnsi="標楷體"/>
                <w:sz w:val="24"/>
                <w:szCs w:val="24"/>
              </w:rPr>
            </w:pP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127,700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購置會議伴手禮、餐費或其他機關來訪贈送禮盒。</w:t>
            </w: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屏東縣</w:t>
            </w:r>
          </w:p>
        </w:tc>
        <w:tc>
          <w:tcPr>
            <w:tcW w:w="794"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警察局購置36輛偵防專用機車</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1,980,000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101</w:t>
            </w:r>
            <w:r>
              <w:rPr>
                <w:rFonts w:hAnsi="標楷體" w:hint="eastAsia"/>
                <w:sz w:val="24"/>
                <w:szCs w:val="24"/>
              </w:rPr>
              <w:t>年</w:t>
            </w:r>
            <w:r w:rsidRPr="008058DA">
              <w:rPr>
                <w:rFonts w:hAnsi="標楷體" w:hint="eastAsia"/>
                <w:sz w:val="24"/>
                <w:szCs w:val="24"/>
              </w:rPr>
              <w:t>派員支援專案查緝工作僅6日。</w:t>
            </w: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Merge/>
            <w:vAlign w:val="center"/>
          </w:tcPr>
          <w:p w:rsidR="0070038D" w:rsidRPr="008058DA" w:rsidRDefault="0070038D" w:rsidP="0096504F">
            <w:pPr>
              <w:pStyle w:val="3"/>
              <w:numPr>
                <w:ilvl w:val="0"/>
                <w:numId w:val="0"/>
              </w:numPr>
              <w:jc w:val="center"/>
              <w:rPr>
                <w:rFonts w:hAnsi="標楷體"/>
                <w:sz w:val="24"/>
                <w:szCs w:val="24"/>
              </w:rPr>
            </w:pP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衛生局購置影印機及多功能事務機各1台</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180,000</w:t>
            </w:r>
          </w:p>
        </w:tc>
        <w:tc>
          <w:tcPr>
            <w:tcW w:w="3572" w:type="dxa"/>
            <w:vAlign w:val="center"/>
          </w:tcPr>
          <w:p w:rsidR="0070038D" w:rsidRPr="008058DA" w:rsidRDefault="0070038D" w:rsidP="0096504F">
            <w:pPr>
              <w:rPr>
                <w:rFonts w:hAnsi="標楷體"/>
                <w:sz w:val="24"/>
                <w:szCs w:val="24"/>
              </w:rPr>
            </w:pPr>
            <w:r w:rsidRPr="008058DA">
              <w:rPr>
                <w:rFonts w:hAnsi="標楷體" w:hint="eastAsia"/>
                <w:sz w:val="24"/>
                <w:szCs w:val="24"/>
              </w:rPr>
              <w:t>供衛生局平時業務所用。</w:t>
            </w:r>
          </w:p>
        </w:tc>
      </w:tr>
      <w:tr w:rsidR="0070038D" w:rsidRPr="008058DA" w:rsidTr="002E2E97">
        <w:tc>
          <w:tcPr>
            <w:tcW w:w="1020" w:type="dxa"/>
            <w:vMerge w:val="restart"/>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澎湖縣</w:t>
            </w: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98</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印製地下停車場收入表單及證照費等表單</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94,100</w:t>
            </w:r>
          </w:p>
        </w:tc>
        <w:tc>
          <w:tcPr>
            <w:tcW w:w="3572" w:type="dxa"/>
            <w:vAlign w:val="center"/>
          </w:tcPr>
          <w:p w:rsidR="0070038D" w:rsidRPr="008058DA" w:rsidRDefault="0070038D" w:rsidP="0096504F">
            <w:pPr>
              <w:pStyle w:val="3"/>
              <w:numPr>
                <w:ilvl w:val="0"/>
                <w:numId w:val="0"/>
              </w:numPr>
              <w:rPr>
                <w:rFonts w:hAnsi="標楷體"/>
                <w:sz w:val="24"/>
                <w:szCs w:val="24"/>
              </w:rPr>
            </w:pP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99</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參加土地稅相關講習及公益彩券成果發表會等</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110,284</w:t>
            </w:r>
          </w:p>
        </w:tc>
        <w:tc>
          <w:tcPr>
            <w:tcW w:w="3572" w:type="dxa"/>
            <w:vAlign w:val="center"/>
          </w:tcPr>
          <w:p w:rsidR="0070038D" w:rsidRPr="008058DA" w:rsidRDefault="0070038D" w:rsidP="0096504F">
            <w:pPr>
              <w:pStyle w:val="3"/>
              <w:numPr>
                <w:ilvl w:val="0"/>
                <w:numId w:val="0"/>
              </w:numPr>
              <w:rPr>
                <w:rFonts w:hAnsi="標楷體"/>
                <w:sz w:val="24"/>
                <w:szCs w:val="24"/>
              </w:rPr>
            </w:pP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至行政院參加台華輪遷建事宜及印製規費表單</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141,574</w:t>
            </w:r>
          </w:p>
        </w:tc>
        <w:tc>
          <w:tcPr>
            <w:tcW w:w="3572" w:type="dxa"/>
            <w:vAlign w:val="center"/>
          </w:tcPr>
          <w:p w:rsidR="0070038D" w:rsidRPr="008058DA" w:rsidRDefault="0070038D" w:rsidP="0096504F">
            <w:pPr>
              <w:pStyle w:val="3"/>
              <w:numPr>
                <w:ilvl w:val="0"/>
                <w:numId w:val="0"/>
              </w:numPr>
              <w:rPr>
                <w:rFonts w:hAnsi="標楷體"/>
                <w:sz w:val="24"/>
                <w:szCs w:val="24"/>
              </w:rPr>
            </w:pPr>
          </w:p>
        </w:tc>
      </w:tr>
      <w:tr w:rsidR="0070038D" w:rsidRPr="008058DA" w:rsidTr="002E2E97">
        <w:tc>
          <w:tcPr>
            <w:tcW w:w="1020" w:type="dxa"/>
            <w:vMerge/>
            <w:vAlign w:val="center"/>
          </w:tcPr>
          <w:p w:rsidR="0070038D" w:rsidRPr="008058DA" w:rsidRDefault="0070038D" w:rsidP="0096504F">
            <w:pPr>
              <w:pStyle w:val="3"/>
              <w:numPr>
                <w:ilvl w:val="0"/>
                <w:numId w:val="0"/>
              </w:numPr>
              <w:jc w:val="center"/>
              <w:rPr>
                <w:rFonts w:hAnsi="標楷體"/>
                <w:sz w:val="24"/>
                <w:szCs w:val="24"/>
              </w:rPr>
            </w:pPr>
          </w:p>
        </w:tc>
        <w:tc>
          <w:tcPr>
            <w:tcW w:w="794"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70038D" w:rsidRPr="008058DA" w:rsidRDefault="0070038D" w:rsidP="0096504F">
            <w:pPr>
              <w:pStyle w:val="af8"/>
              <w:ind w:leftChars="0" w:left="0"/>
              <w:rPr>
                <w:rFonts w:hAnsi="標楷體"/>
                <w:sz w:val="24"/>
                <w:szCs w:val="24"/>
              </w:rPr>
            </w:pPr>
            <w:r w:rsidRPr="008058DA">
              <w:rPr>
                <w:rFonts w:hAnsi="標楷體" w:hint="eastAsia"/>
                <w:sz w:val="24"/>
                <w:szCs w:val="24"/>
              </w:rPr>
              <w:t>至行政院參加莒光營區遷建協調會</w:t>
            </w:r>
          </w:p>
        </w:tc>
        <w:tc>
          <w:tcPr>
            <w:tcW w:w="1417" w:type="dxa"/>
            <w:vAlign w:val="center"/>
          </w:tcPr>
          <w:p w:rsidR="0070038D" w:rsidRPr="008058DA" w:rsidRDefault="0070038D" w:rsidP="0096504F">
            <w:pPr>
              <w:pStyle w:val="af8"/>
              <w:ind w:leftChars="0" w:left="0"/>
              <w:jc w:val="right"/>
              <w:rPr>
                <w:rFonts w:hAnsi="標楷體"/>
                <w:sz w:val="24"/>
                <w:szCs w:val="24"/>
              </w:rPr>
            </w:pPr>
            <w:r w:rsidRPr="008058DA">
              <w:rPr>
                <w:rFonts w:hAnsi="標楷體" w:hint="eastAsia"/>
                <w:sz w:val="24"/>
                <w:szCs w:val="24"/>
              </w:rPr>
              <w:t>3,176</w:t>
            </w:r>
          </w:p>
        </w:tc>
        <w:tc>
          <w:tcPr>
            <w:tcW w:w="3572" w:type="dxa"/>
            <w:vAlign w:val="center"/>
          </w:tcPr>
          <w:p w:rsidR="0070038D" w:rsidRPr="008058DA" w:rsidRDefault="0070038D" w:rsidP="0096504F">
            <w:pPr>
              <w:pStyle w:val="3"/>
              <w:numPr>
                <w:ilvl w:val="0"/>
                <w:numId w:val="0"/>
              </w:numPr>
              <w:rPr>
                <w:rFonts w:hAnsi="標楷體"/>
                <w:sz w:val="24"/>
                <w:szCs w:val="24"/>
              </w:rPr>
            </w:pPr>
          </w:p>
        </w:tc>
      </w:tr>
      <w:tr w:rsidR="0070038D" w:rsidRPr="008058DA" w:rsidTr="002E2E97">
        <w:tc>
          <w:tcPr>
            <w:tcW w:w="1020" w:type="dxa"/>
            <w:vAlign w:val="center"/>
          </w:tcPr>
          <w:p w:rsidR="0070038D" w:rsidRPr="008058DA" w:rsidRDefault="0070038D" w:rsidP="0096504F">
            <w:pPr>
              <w:pStyle w:val="3"/>
              <w:numPr>
                <w:ilvl w:val="0"/>
                <w:numId w:val="0"/>
              </w:numPr>
              <w:jc w:val="center"/>
              <w:rPr>
                <w:rFonts w:hAnsi="標楷體"/>
                <w:sz w:val="24"/>
                <w:szCs w:val="24"/>
              </w:rPr>
            </w:pPr>
            <w:r w:rsidRPr="008058DA">
              <w:rPr>
                <w:rFonts w:hAnsi="標楷體" w:hint="eastAsia"/>
                <w:sz w:val="24"/>
                <w:szCs w:val="24"/>
              </w:rPr>
              <w:t>合計</w:t>
            </w:r>
          </w:p>
        </w:tc>
        <w:tc>
          <w:tcPr>
            <w:tcW w:w="794" w:type="dxa"/>
            <w:vAlign w:val="center"/>
          </w:tcPr>
          <w:p w:rsidR="0070038D" w:rsidRPr="008058DA" w:rsidRDefault="0070038D" w:rsidP="0096504F">
            <w:pPr>
              <w:pStyle w:val="3"/>
              <w:numPr>
                <w:ilvl w:val="0"/>
                <w:numId w:val="0"/>
              </w:numPr>
              <w:jc w:val="center"/>
              <w:rPr>
                <w:rFonts w:hAnsi="標楷體"/>
                <w:sz w:val="24"/>
                <w:szCs w:val="24"/>
              </w:rPr>
            </w:pPr>
          </w:p>
        </w:tc>
        <w:tc>
          <w:tcPr>
            <w:tcW w:w="2324" w:type="dxa"/>
            <w:vAlign w:val="center"/>
          </w:tcPr>
          <w:p w:rsidR="0070038D" w:rsidRPr="008058DA" w:rsidRDefault="0070038D" w:rsidP="0096504F">
            <w:pPr>
              <w:pStyle w:val="3"/>
              <w:numPr>
                <w:ilvl w:val="0"/>
                <w:numId w:val="0"/>
              </w:numPr>
              <w:rPr>
                <w:rFonts w:hAnsi="標楷體"/>
                <w:sz w:val="24"/>
                <w:szCs w:val="24"/>
              </w:rPr>
            </w:pPr>
          </w:p>
        </w:tc>
        <w:tc>
          <w:tcPr>
            <w:tcW w:w="1417" w:type="dxa"/>
            <w:vAlign w:val="center"/>
          </w:tcPr>
          <w:p w:rsidR="0070038D" w:rsidRPr="008058DA" w:rsidRDefault="0070038D" w:rsidP="0096504F">
            <w:pPr>
              <w:pStyle w:val="3"/>
              <w:numPr>
                <w:ilvl w:val="0"/>
                <w:numId w:val="0"/>
              </w:numPr>
              <w:jc w:val="right"/>
              <w:rPr>
                <w:rFonts w:hAnsi="標楷體"/>
                <w:sz w:val="24"/>
                <w:szCs w:val="24"/>
              </w:rPr>
            </w:pPr>
            <w:r w:rsidRPr="008058DA">
              <w:rPr>
                <w:rFonts w:hAnsi="標楷體" w:hint="eastAsia"/>
                <w:bCs w:val="0"/>
                <w:sz w:val="24"/>
                <w:szCs w:val="24"/>
              </w:rPr>
              <w:t>7,068,863</w:t>
            </w:r>
          </w:p>
        </w:tc>
        <w:tc>
          <w:tcPr>
            <w:tcW w:w="3572" w:type="dxa"/>
            <w:vAlign w:val="center"/>
          </w:tcPr>
          <w:p w:rsidR="0070038D" w:rsidRPr="008058DA" w:rsidRDefault="0070038D" w:rsidP="0096504F">
            <w:pPr>
              <w:pStyle w:val="3"/>
              <w:numPr>
                <w:ilvl w:val="0"/>
                <w:numId w:val="0"/>
              </w:numPr>
              <w:rPr>
                <w:rFonts w:hAnsi="標楷體"/>
                <w:sz w:val="24"/>
                <w:szCs w:val="24"/>
              </w:rPr>
            </w:pPr>
          </w:p>
        </w:tc>
      </w:tr>
    </w:tbl>
    <w:p w:rsidR="0070038D" w:rsidRPr="0070038D" w:rsidRDefault="0070038D" w:rsidP="0070038D">
      <w:pPr>
        <w:pStyle w:val="3"/>
        <w:numPr>
          <w:ilvl w:val="0"/>
          <w:numId w:val="0"/>
        </w:numPr>
        <w:ind w:left="1361"/>
      </w:pPr>
      <w:r>
        <w:rPr>
          <w:rFonts w:hAnsi="標楷體" w:cs="細明體" w:hint="eastAsia"/>
          <w:kern w:val="0"/>
          <w:sz w:val="24"/>
          <w:szCs w:val="24"/>
        </w:rPr>
        <w:t>資料來源：審計部。</w:t>
      </w:r>
    </w:p>
    <w:p w:rsidR="0070038D" w:rsidRDefault="0070038D" w:rsidP="0070038D">
      <w:pPr>
        <w:pStyle w:val="3"/>
      </w:pPr>
      <w:r w:rsidRPr="00230EC8">
        <w:rPr>
          <w:rFonts w:hAnsi="標楷體" w:hint="eastAsia"/>
          <w:szCs w:val="32"/>
        </w:rPr>
        <w:t>綜上，</w:t>
      </w:r>
      <w:r w:rsidRPr="00230EC8">
        <w:rPr>
          <w:rFonts w:hAnsi="標楷體" w:cs="細明體" w:hint="eastAsia"/>
          <w:kern w:val="0"/>
          <w:szCs w:val="32"/>
        </w:rPr>
        <w:t>財政部對於地方政府獲配查緝經費</w:t>
      </w:r>
      <w:r w:rsidRPr="00230EC8">
        <w:rPr>
          <w:rFonts w:hAnsi="標楷體" w:cs="新細明體" w:hint="eastAsia"/>
          <w:kern w:val="0"/>
          <w:szCs w:val="32"/>
        </w:rPr>
        <w:t>之支用情形，長期以來僅消極以函文要求地方政府應依專款專用原則辦理，</w:t>
      </w:r>
      <w:r w:rsidRPr="00230EC8">
        <w:rPr>
          <w:rFonts w:hAnsi="標楷體" w:cs="新細明體" w:hint="eastAsia"/>
          <w:szCs w:val="32"/>
        </w:rPr>
        <w:t>全然未</w:t>
      </w:r>
      <w:r w:rsidRPr="00230EC8">
        <w:rPr>
          <w:rFonts w:hAnsi="標楷體" w:cs="新細明體"/>
          <w:szCs w:val="32"/>
        </w:rPr>
        <w:t>派員</w:t>
      </w:r>
      <w:r w:rsidRPr="00230EC8">
        <w:rPr>
          <w:rFonts w:hAnsi="標楷體" w:cs="新細明體" w:hint="eastAsia"/>
          <w:szCs w:val="32"/>
        </w:rPr>
        <w:t>實地查核，顯未落實執行菸捐經費運用要點所定之實地查核機制，致地方政府運用查緝經費之違失持續多年</w:t>
      </w:r>
      <w:r w:rsidRPr="00E800E0">
        <w:rPr>
          <w:rFonts w:hAnsi="標楷體" w:cs="新細明體" w:hint="eastAsia"/>
          <w:szCs w:val="32"/>
        </w:rPr>
        <w:t>，核確有怠失。</w:t>
      </w:r>
    </w:p>
    <w:p w:rsidR="00286B1B" w:rsidRDefault="00E25849" w:rsidP="00C86866">
      <w:pPr>
        <w:pStyle w:val="10"/>
        <w:ind w:left="680" w:firstLine="680"/>
        <w:rPr>
          <w:rFonts w:hAnsi="標楷體"/>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sidRPr="00030AEA">
        <w:rPr>
          <w:rFonts w:hAnsi="標楷體" w:hint="eastAsia"/>
          <w:szCs w:val="32"/>
        </w:rPr>
        <w:t>綜上所述，</w:t>
      </w:r>
      <w:r w:rsidR="00DC75BF" w:rsidRPr="003B319B">
        <w:rPr>
          <w:rFonts w:hAnsi="標楷體" w:hint="eastAsia"/>
          <w:szCs w:val="32"/>
        </w:rPr>
        <w:t>部分直轄</w:t>
      </w:r>
      <w:r w:rsidR="00DC75BF" w:rsidRPr="003B319B">
        <w:rPr>
          <w:rFonts w:hAnsi="標楷體" w:cs="細明體" w:hint="eastAsia"/>
          <w:kern w:val="0"/>
          <w:szCs w:val="32"/>
        </w:rPr>
        <w:t>市及縣（市）</w:t>
      </w:r>
      <w:r w:rsidR="00DC75BF" w:rsidRPr="003B319B">
        <w:rPr>
          <w:rFonts w:hAnsi="標楷體" w:hint="eastAsia"/>
          <w:szCs w:val="32"/>
        </w:rPr>
        <w:t>政府</w:t>
      </w:r>
      <w:r w:rsidR="00DC75BF" w:rsidRPr="003B319B">
        <w:rPr>
          <w:rFonts w:hAnsi="標楷體" w:cs="細明體" w:hint="eastAsia"/>
          <w:kern w:val="0"/>
          <w:szCs w:val="32"/>
        </w:rPr>
        <w:t>查緝經費之</w:t>
      </w:r>
      <w:r w:rsidR="00DC75BF" w:rsidRPr="003B319B">
        <w:rPr>
          <w:rFonts w:hAnsi="標楷體" w:cs="新細明體" w:hint="eastAsia"/>
          <w:kern w:val="0"/>
          <w:szCs w:val="32"/>
        </w:rPr>
        <w:t>執行率偏低，並將經費賸餘款逕行解繳市縣庫，未留供以後年度辦理私劣菸品查緝使用，顯不符專款專用之規定，而</w:t>
      </w:r>
      <w:r w:rsidR="00DC75BF" w:rsidRPr="003B319B">
        <w:rPr>
          <w:rFonts w:hAnsi="標楷體" w:cs="細明體" w:hint="eastAsia"/>
          <w:kern w:val="0"/>
          <w:szCs w:val="32"/>
        </w:rPr>
        <w:t>財政部卻</w:t>
      </w:r>
      <w:r w:rsidR="00DC75BF" w:rsidRPr="003B319B">
        <w:rPr>
          <w:rFonts w:hAnsi="標楷體" w:cs="新細明體" w:hint="eastAsia"/>
          <w:szCs w:val="32"/>
        </w:rPr>
        <w:t>未依</w:t>
      </w:r>
      <w:r w:rsidR="00DC75BF" w:rsidRPr="003B319B">
        <w:rPr>
          <w:rFonts w:hAnsi="標楷體" w:hint="eastAsia"/>
          <w:szCs w:val="32"/>
        </w:rPr>
        <w:t>菸捐</w:t>
      </w:r>
      <w:r w:rsidR="00DC75BF" w:rsidRPr="003B319B">
        <w:rPr>
          <w:rFonts w:hAnsi="標楷體" w:cs="新細明體" w:hint="eastAsia"/>
          <w:kern w:val="0"/>
          <w:szCs w:val="32"/>
        </w:rPr>
        <w:t>經費運用要點</w:t>
      </w:r>
      <w:r w:rsidR="00DC75BF" w:rsidRPr="003B319B">
        <w:rPr>
          <w:rFonts w:hAnsi="標楷體" w:cs="新細明體" w:hint="eastAsia"/>
          <w:szCs w:val="32"/>
        </w:rPr>
        <w:t>所定之查核機制，</w:t>
      </w:r>
      <w:r w:rsidR="00DC75BF" w:rsidRPr="003B319B">
        <w:rPr>
          <w:rFonts w:hAnsi="標楷體" w:cs="新細明體"/>
          <w:szCs w:val="32"/>
        </w:rPr>
        <w:t>派員</w:t>
      </w:r>
      <w:r w:rsidR="00DC75BF" w:rsidRPr="003B319B">
        <w:rPr>
          <w:rFonts w:hAnsi="標楷體" w:cs="新細明體" w:hint="eastAsia"/>
          <w:szCs w:val="32"/>
        </w:rPr>
        <w:t>實地查核</w:t>
      </w:r>
      <w:r w:rsidR="00DC75BF" w:rsidRPr="003B319B">
        <w:rPr>
          <w:rFonts w:hAnsi="標楷體" w:cs="細明體" w:hint="eastAsia"/>
          <w:kern w:val="0"/>
          <w:szCs w:val="32"/>
        </w:rPr>
        <w:t>地方政府</w:t>
      </w:r>
      <w:r w:rsidR="00DC75BF" w:rsidRPr="003B319B">
        <w:rPr>
          <w:rFonts w:hAnsi="標楷體" w:cs="新細明體" w:hint="eastAsia"/>
          <w:kern w:val="0"/>
          <w:szCs w:val="32"/>
        </w:rPr>
        <w:t>支用</w:t>
      </w:r>
      <w:r w:rsidR="00DC75BF" w:rsidRPr="003B319B">
        <w:rPr>
          <w:rFonts w:hAnsi="標楷體" w:cs="細明體" w:hint="eastAsia"/>
          <w:kern w:val="0"/>
          <w:szCs w:val="32"/>
        </w:rPr>
        <w:t>查緝經費</w:t>
      </w:r>
      <w:r w:rsidR="00DC75BF" w:rsidRPr="003B319B">
        <w:rPr>
          <w:rFonts w:hAnsi="標楷體" w:cs="新細明體" w:hint="eastAsia"/>
          <w:kern w:val="0"/>
          <w:szCs w:val="32"/>
        </w:rPr>
        <w:t>之情形</w:t>
      </w:r>
      <w:r w:rsidR="00DC75BF" w:rsidRPr="003B319B">
        <w:rPr>
          <w:rFonts w:hAnsi="標楷體" w:cs="新細明體" w:hint="eastAsia"/>
          <w:szCs w:val="32"/>
        </w:rPr>
        <w:t>，肇致地方政府前揭違失持續多年，</w:t>
      </w:r>
      <w:r w:rsidR="000512D1" w:rsidRPr="00030AEA">
        <w:rPr>
          <w:rFonts w:hAnsi="標楷體" w:hint="eastAsia"/>
          <w:szCs w:val="32"/>
        </w:rPr>
        <w:t>核有違失，爰依</w:t>
      </w:r>
      <w:r w:rsidR="001B48EB" w:rsidRPr="00030AEA">
        <w:rPr>
          <w:rFonts w:hAnsi="標楷體" w:hint="eastAsia"/>
          <w:bCs/>
          <w:szCs w:val="32"/>
        </w:rPr>
        <w:t>憲法第97條第1項及</w:t>
      </w:r>
      <w:r w:rsidR="000512D1" w:rsidRPr="00030AEA">
        <w:rPr>
          <w:rFonts w:hAnsi="標楷體" w:hint="eastAsia"/>
          <w:szCs w:val="32"/>
        </w:rPr>
        <w:t>監察法第24條</w:t>
      </w:r>
      <w:r w:rsidR="00396EC5" w:rsidRPr="00030AEA">
        <w:rPr>
          <w:rFonts w:hAnsi="標楷體" w:hint="eastAsia"/>
          <w:szCs w:val="32"/>
        </w:rPr>
        <w:t>之</w:t>
      </w:r>
      <w:r w:rsidR="000512D1" w:rsidRPr="00030AEA">
        <w:rPr>
          <w:rFonts w:hAnsi="標楷體" w:hint="eastAsia"/>
          <w:szCs w:val="32"/>
        </w:rPr>
        <w:t>規定提案糾正，移送行政院轉飭所屬確實檢討改善見復</w:t>
      </w:r>
      <w:r w:rsidR="00286B1B" w:rsidRPr="00030AEA">
        <w:rPr>
          <w:rFonts w:hAnsi="標楷體" w:hint="eastAsia"/>
          <w:szCs w:val="32"/>
        </w:rPr>
        <w:t>。</w:t>
      </w:r>
    </w:p>
    <w:p w:rsidR="00451E78" w:rsidRDefault="00451E78" w:rsidP="00133AA2">
      <w:pPr>
        <w:pStyle w:val="af0"/>
        <w:rPr>
          <w:bCs/>
        </w:rPr>
      </w:pPr>
      <w:bookmarkStart w:id="52" w:name="_Toc524895649"/>
      <w:bookmarkStart w:id="53" w:name="_Toc524896195"/>
      <w:bookmarkStart w:id="54" w:name="_Toc524896225"/>
      <w:bookmarkEnd w:id="52"/>
      <w:bookmarkEnd w:id="53"/>
      <w:bookmarkEnd w:id="54"/>
      <w:bookmarkEnd w:id="51"/>
    </w:p>
    <w:p w:rsidR="00596F93" w:rsidRDefault="00596F93" w:rsidP="00133AA2">
      <w:pPr>
        <w:pStyle w:val="af0"/>
        <w:rPr>
          <w:bCs/>
        </w:rPr>
      </w:pPr>
    </w:p>
    <w:p w:rsidR="00596F93" w:rsidRDefault="00596F93" w:rsidP="00133AA2">
      <w:pPr>
        <w:pStyle w:val="af0"/>
        <w:rPr>
          <w:bCs/>
        </w:rPr>
      </w:pPr>
    </w:p>
    <w:p w:rsidR="00596F93" w:rsidRPr="00FA7500" w:rsidRDefault="00596F93" w:rsidP="00596F93">
      <w:pPr>
        <w:pStyle w:val="aa"/>
        <w:spacing w:before="0" w:after="0"/>
        <w:ind w:leftChars="1100" w:left="3742"/>
        <w:rPr>
          <w:b w:val="0"/>
          <w:bCs/>
          <w:snapToGrid/>
          <w:spacing w:val="12"/>
          <w:kern w:val="0"/>
          <w:sz w:val="40"/>
          <w:szCs w:val="40"/>
        </w:rPr>
      </w:pPr>
      <w:r w:rsidRPr="008A6485">
        <w:rPr>
          <w:rFonts w:hint="eastAsia"/>
          <w:b w:val="0"/>
          <w:bCs/>
          <w:snapToGrid/>
          <w:spacing w:val="12"/>
          <w:kern w:val="0"/>
          <w:sz w:val="40"/>
        </w:rPr>
        <w:t>提案委員：</w:t>
      </w:r>
      <w:r>
        <w:rPr>
          <w:rFonts w:hint="eastAsia"/>
          <w:b w:val="0"/>
          <w:bCs/>
          <w:snapToGrid/>
          <w:spacing w:val="12"/>
          <w:kern w:val="0"/>
          <w:sz w:val="40"/>
        </w:rPr>
        <w:t>仉桂美</w:t>
      </w:r>
    </w:p>
    <w:p w:rsidR="00596F93" w:rsidRPr="00FA7500" w:rsidRDefault="00596F93" w:rsidP="00596F93">
      <w:pPr>
        <w:pStyle w:val="aa"/>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Pr>
          <w:rFonts w:hint="eastAsia"/>
          <w:b w:val="0"/>
          <w:bCs/>
          <w:snapToGrid/>
          <w:spacing w:val="0"/>
          <w:kern w:val="0"/>
          <w:sz w:val="40"/>
          <w:szCs w:val="40"/>
        </w:rPr>
        <w:t>江綺雯</w:t>
      </w:r>
    </w:p>
    <w:p w:rsidR="00596F93" w:rsidRPr="00451E78" w:rsidRDefault="00596F93" w:rsidP="00596F93">
      <w:pPr>
        <w:pStyle w:val="af0"/>
        <w:ind w:leftChars="1167" w:left="3970"/>
        <w:jc w:val="both"/>
        <w:rPr>
          <w:rFonts w:hint="eastAsia"/>
          <w:bCs/>
        </w:rPr>
      </w:pPr>
      <w:r w:rsidRPr="00FA7500">
        <w:rPr>
          <w:rFonts w:hint="eastAsia"/>
          <w:bCs/>
          <w:sz w:val="40"/>
          <w:szCs w:val="40"/>
        </w:rPr>
        <w:t xml:space="preserve">          </w:t>
      </w:r>
      <w:r>
        <w:rPr>
          <w:rFonts w:hint="eastAsia"/>
          <w:bCs/>
          <w:sz w:val="40"/>
          <w:szCs w:val="40"/>
        </w:rPr>
        <w:t>江明蒼</w:t>
      </w:r>
      <w:bookmarkStart w:id="55" w:name="_GoBack"/>
      <w:bookmarkEnd w:id="55"/>
    </w:p>
    <w:sectPr w:rsidR="00596F93"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674" w:rsidRDefault="00917674">
      <w:r>
        <w:separator/>
      </w:r>
    </w:p>
  </w:endnote>
  <w:endnote w:type="continuationSeparator" w:id="0">
    <w:p w:rsidR="00917674" w:rsidRDefault="0091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96F93">
      <w:rPr>
        <w:rStyle w:val="ad"/>
        <w:noProof/>
        <w:sz w:val="24"/>
      </w:rPr>
      <w:t>12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674" w:rsidRDefault="00917674">
      <w:r>
        <w:separator/>
      </w:r>
    </w:p>
  </w:footnote>
  <w:footnote w:type="continuationSeparator" w:id="0">
    <w:p w:rsidR="00917674" w:rsidRDefault="00917674">
      <w:r>
        <w:continuationSeparator/>
      </w:r>
    </w:p>
  </w:footnote>
  <w:footnote w:id="1">
    <w:p w:rsidR="0070038D" w:rsidRPr="00023035" w:rsidRDefault="0070038D" w:rsidP="0070038D">
      <w:pPr>
        <w:pStyle w:val="afb"/>
        <w:ind w:left="84" w:hangingChars="38" w:hanging="84"/>
        <w:rPr>
          <w:rFonts w:hAnsi="標楷體"/>
        </w:rPr>
      </w:pPr>
      <w:r w:rsidRPr="00023035">
        <w:rPr>
          <w:rStyle w:val="afd"/>
          <w:rFonts w:hAnsi="標楷體"/>
        </w:rPr>
        <w:footnoteRef/>
      </w:r>
      <w:r w:rsidRPr="00023035">
        <w:rPr>
          <w:rFonts w:hAnsi="標楷體" w:cs="細明體" w:hint="eastAsia"/>
          <w:kern w:val="0"/>
        </w:rPr>
        <w:t>據審計部105年度</w:t>
      </w:r>
      <w:r w:rsidRPr="00023035">
        <w:rPr>
          <w:rFonts w:hAnsi="標楷體"/>
          <w:bCs/>
        </w:rPr>
        <w:t>中央政府總決算審核報告</w:t>
      </w:r>
      <w:r w:rsidRPr="00023035">
        <w:rPr>
          <w:rFonts w:hAnsi="標楷體" w:cs="細明體" w:hint="eastAsia"/>
          <w:kern w:val="0"/>
        </w:rPr>
        <w:t>，95至105年度各</w:t>
      </w:r>
      <w:r>
        <w:rPr>
          <w:rFonts w:hAnsi="標楷體" w:cs="細明體" w:hint="eastAsia"/>
          <w:kern w:val="0"/>
        </w:rPr>
        <w:t>直轄</w:t>
      </w:r>
      <w:r w:rsidRPr="00023035">
        <w:rPr>
          <w:rFonts w:hAnsi="標楷體" w:cs="細明體" w:hint="eastAsia"/>
          <w:kern w:val="0"/>
        </w:rPr>
        <w:t>市</w:t>
      </w:r>
      <w:r>
        <w:rPr>
          <w:rFonts w:hAnsi="標楷體" w:cs="細明體" w:hint="eastAsia"/>
          <w:kern w:val="0"/>
        </w:rPr>
        <w:t>、</w:t>
      </w:r>
      <w:r w:rsidRPr="00023035">
        <w:rPr>
          <w:rFonts w:hAnsi="標楷體" w:cs="細明體" w:hint="eastAsia"/>
          <w:kern w:val="0"/>
        </w:rPr>
        <w:t>縣</w:t>
      </w:r>
      <w:r>
        <w:rPr>
          <w:rFonts w:hAnsi="標楷體" w:cs="細明體" w:hint="eastAsia"/>
          <w:kern w:val="0"/>
        </w:rPr>
        <w:t>（市）</w:t>
      </w:r>
      <w:r w:rsidRPr="00023035">
        <w:rPr>
          <w:rFonts w:hAnsi="標楷體" w:hint="eastAsia"/>
        </w:rPr>
        <w:t>政府查緝經費之執行率，桃園市為78.98%、高雄市75.84%、新竹縣54.43%、南投縣54.76%、雲林縣67.01%、屏東縣78.48%、臺東縣72.04%。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AEA"/>
    <w:rsid w:val="0003114D"/>
    <w:rsid w:val="00036D76"/>
    <w:rsid w:val="000378DA"/>
    <w:rsid w:val="00050778"/>
    <w:rsid w:val="000512D1"/>
    <w:rsid w:val="00057F32"/>
    <w:rsid w:val="00057F34"/>
    <w:rsid w:val="00060D3A"/>
    <w:rsid w:val="00062A25"/>
    <w:rsid w:val="00073CB5"/>
    <w:rsid w:val="0007425C"/>
    <w:rsid w:val="00077553"/>
    <w:rsid w:val="00080040"/>
    <w:rsid w:val="000851A2"/>
    <w:rsid w:val="0009352E"/>
    <w:rsid w:val="0009487E"/>
    <w:rsid w:val="00096B96"/>
    <w:rsid w:val="00097136"/>
    <w:rsid w:val="000A2F3F"/>
    <w:rsid w:val="000B0B4A"/>
    <w:rsid w:val="000B279A"/>
    <w:rsid w:val="000B61D2"/>
    <w:rsid w:val="000B70A7"/>
    <w:rsid w:val="000C495F"/>
    <w:rsid w:val="000E1DB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0F54"/>
    <w:rsid w:val="00212E88"/>
    <w:rsid w:val="00213C9C"/>
    <w:rsid w:val="0022009E"/>
    <w:rsid w:val="0022425C"/>
    <w:rsid w:val="002246DE"/>
    <w:rsid w:val="002421B5"/>
    <w:rsid w:val="0025106C"/>
    <w:rsid w:val="00252B1A"/>
    <w:rsid w:val="00252BC4"/>
    <w:rsid w:val="00254014"/>
    <w:rsid w:val="002633FE"/>
    <w:rsid w:val="0026504D"/>
    <w:rsid w:val="00273A2F"/>
    <w:rsid w:val="00280986"/>
    <w:rsid w:val="00281887"/>
    <w:rsid w:val="00281ECE"/>
    <w:rsid w:val="002831C7"/>
    <w:rsid w:val="002840C6"/>
    <w:rsid w:val="00286B1B"/>
    <w:rsid w:val="00295174"/>
    <w:rsid w:val="00296172"/>
    <w:rsid w:val="00296B92"/>
    <w:rsid w:val="002A2C22"/>
    <w:rsid w:val="002B02EB"/>
    <w:rsid w:val="002C0602"/>
    <w:rsid w:val="002D5C16"/>
    <w:rsid w:val="002E2E97"/>
    <w:rsid w:val="002E53B4"/>
    <w:rsid w:val="002F05AF"/>
    <w:rsid w:val="002F3DFF"/>
    <w:rsid w:val="002F5E05"/>
    <w:rsid w:val="00300DFB"/>
    <w:rsid w:val="0030163F"/>
    <w:rsid w:val="00317053"/>
    <w:rsid w:val="0032109C"/>
    <w:rsid w:val="00322B45"/>
    <w:rsid w:val="00322BD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142D"/>
    <w:rsid w:val="003B319B"/>
    <w:rsid w:val="003B3C07"/>
    <w:rsid w:val="003B6775"/>
    <w:rsid w:val="003C5FE2"/>
    <w:rsid w:val="003D05FB"/>
    <w:rsid w:val="003D1B16"/>
    <w:rsid w:val="003D28BE"/>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4B92"/>
    <w:rsid w:val="0044346F"/>
    <w:rsid w:val="0044425E"/>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198"/>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1B2B"/>
    <w:rsid w:val="00553C03"/>
    <w:rsid w:val="00563692"/>
    <w:rsid w:val="00571349"/>
    <w:rsid w:val="00585FC3"/>
    <w:rsid w:val="005908B8"/>
    <w:rsid w:val="0059512E"/>
    <w:rsid w:val="00596F93"/>
    <w:rsid w:val="005A157F"/>
    <w:rsid w:val="005A6DD2"/>
    <w:rsid w:val="005C385D"/>
    <w:rsid w:val="005D3B20"/>
    <w:rsid w:val="005D5DC0"/>
    <w:rsid w:val="005E5C68"/>
    <w:rsid w:val="005E65C0"/>
    <w:rsid w:val="005F0390"/>
    <w:rsid w:val="0061124E"/>
    <w:rsid w:val="00612023"/>
    <w:rsid w:val="00614190"/>
    <w:rsid w:val="00622A99"/>
    <w:rsid w:val="00622E67"/>
    <w:rsid w:val="00626EDC"/>
    <w:rsid w:val="00631B7E"/>
    <w:rsid w:val="006470EC"/>
    <w:rsid w:val="0065598E"/>
    <w:rsid w:val="00655AF2"/>
    <w:rsid w:val="006568BE"/>
    <w:rsid w:val="0066025D"/>
    <w:rsid w:val="00674B8F"/>
    <w:rsid w:val="006773EC"/>
    <w:rsid w:val="00680504"/>
    <w:rsid w:val="00681CD9"/>
    <w:rsid w:val="00683E30"/>
    <w:rsid w:val="00687024"/>
    <w:rsid w:val="0069498E"/>
    <w:rsid w:val="00696415"/>
    <w:rsid w:val="006D3691"/>
    <w:rsid w:val="006E2DCE"/>
    <w:rsid w:val="006E6A40"/>
    <w:rsid w:val="006F023E"/>
    <w:rsid w:val="006F3563"/>
    <w:rsid w:val="006F42B9"/>
    <w:rsid w:val="006F6103"/>
    <w:rsid w:val="0070038D"/>
    <w:rsid w:val="00704E00"/>
    <w:rsid w:val="00720134"/>
    <w:rsid w:val="007209E7"/>
    <w:rsid w:val="00726182"/>
    <w:rsid w:val="00732329"/>
    <w:rsid w:val="007337CA"/>
    <w:rsid w:val="00734CE4"/>
    <w:rsid w:val="00735123"/>
    <w:rsid w:val="00741837"/>
    <w:rsid w:val="007453E6"/>
    <w:rsid w:val="0075243E"/>
    <w:rsid w:val="007631F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7D07"/>
    <w:rsid w:val="008733DA"/>
    <w:rsid w:val="008850E4"/>
    <w:rsid w:val="008A12F5"/>
    <w:rsid w:val="008A288A"/>
    <w:rsid w:val="008A740D"/>
    <w:rsid w:val="008B1587"/>
    <w:rsid w:val="008B1B01"/>
    <w:rsid w:val="008B3BCD"/>
    <w:rsid w:val="008B4841"/>
    <w:rsid w:val="008B6DF8"/>
    <w:rsid w:val="008C106C"/>
    <w:rsid w:val="008C10F1"/>
    <w:rsid w:val="008C1E99"/>
    <w:rsid w:val="008E0085"/>
    <w:rsid w:val="008E2AA6"/>
    <w:rsid w:val="008E311B"/>
    <w:rsid w:val="008E780F"/>
    <w:rsid w:val="008F46E7"/>
    <w:rsid w:val="008F6F0B"/>
    <w:rsid w:val="00907BA7"/>
    <w:rsid w:val="0091064E"/>
    <w:rsid w:val="00911FC5"/>
    <w:rsid w:val="0091680D"/>
    <w:rsid w:val="00917674"/>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0B2D"/>
    <w:rsid w:val="009F28A8"/>
    <w:rsid w:val="009F473E"/>
    <w:rsid w:val="009F682A"/>
    <w:rsid w:val="00A022BE"/>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7FA7"/>
    <w:rsid w:val="00A639F4"/>
    <w:rsid w:val="00A7304A"/>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6D28"/>
    <w:rsid w:val="00B20804"/>
    <w:rsid w:val="00B2102D"/>
    <w:rsid w:val="00B443E4"/>
    <w:rsid w:val="00B44511"/>
    <w:rsid w:val="00B563EA"/>
    <w:rsid w:val="00B60E51"/>
    <w:rsid w:val="00B63A54"/>
    <w:rsid w:val="00B77D18"/>
    <w:rsid w:val="00B8313A"/>
    <w:rsid w:val="00B83C6B"/>
    <w:rsid w:val="00B93503"/>
    <w:rsid w:val="00BA31E8"/>
    <w:rsid w:val="00BA55E0"/>
    <w:rsid w:val="00BA6BD4"/>
    <w:rsid w:val="00BB2655"/>
    <w:rsid w:val="00BB3752"/>
    <w:rsid w:val="00BB6688"/>
    <w:rsid w:val="00BC04F5"/>
    <w:rsid w:val="00BC26D4"/>
    <w:rsid w:val="00BC64F2"/>
    <w:rsid w:val="00BD4303"/>
    <w:rsid w:val="00BD615E"/>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0DD"/>
    <w:rsid w:val="00C6123C"/>
    <w:rsid w:val="00C7084D"/>
    <w:rsid w:val="00C7315E"/>
    <w:rsid w:val="00C75895"/>
    <w:rsid w:val="00C83C9F"/>
    <w:rsid w:val="00C86866"/>
    <w:rsid w:val="00C90DBD"/>
    <w:rsid w:val="00C94840"/>
    <w:rsid w:val="00CA6AC8"/>
    <w:rsid w:val="00CB027F"/>
    <w:rsid w:val="00CB1E47"/>
    <w:rsid w:val="00CC6297"/>
    <w:rsid w:val="00CC7690"/>
    <w:rsid w:val="00CD1986"/>
    <w:rsid w:val="00CD2331"/>
    <w:rsid w:val="00CE304B"/>
    <w:rsid w:val="00CE4D5C"/>
    <w:rsid w:val="00CF05DA"/>
    <w:rsid w:val="00CF58EB"/>
    <w:rsid w:val="00D0106E"/>
    <w:rsid w:val="00D06383"/>
    <w:rsid w:val="00D20E85"/>
    <w:rsid w:val="00D24615"/>
    <w:rsid w:val="00D27557"/>
    <w:rsid w:val="00D318FF"/>
    <w:rsid w:val="00D37842"/>
    <w:rsid w:val="00D42DC2"/>
    <w:rsid w:val="00D537E1"/>
    <w:rsid w:val="00D55BB2"/>
    <w:rsid w:val="00D6091A"/>
    <w:rsid w:val="00D6695F"/>
    <w:rsid w:val="00D75644"/>
    <w:rsid w:val="00D809DA"/>
    <w:rsid w:val="00D81656"/>
    <w:rsid w:val="00D82FB0"/>
    <w:rsid w:val="00D83D87"/>
    <w:rsid w:val="00D86A30"/>
    <w:rsid w:val="00D97CB4"/>
    <w:rsid w:val="00D97DD4"/>
    <w:rsid w:val="00DA5A8A"/>
    <w:rsid w:val="00DB26CD"/>
    <w:rsid w:val="00DB3135"/>
    <w:rsid w:val="00DB441C"/>
    <w:rsid w:val="00DB44AF"/>
    <w:rsid w:val="00DC1F58"/>
    <w:rsid w:val="00DC339B"/>
    <w:rsid w:val="00DC5D40"/>
    <w:rsid w:val="00DC75BF"/>
    <w:rsid w:val="00DD30E9"/>
    <w:rsid w:val="00DD4F47"/>
    <w:rsid w:val="00DD7FBB"/>
    <w:rsid w:val="00DE0B9F"/>
    <w:rsid w:val="00DE19D9"/>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1692"/>
    <w:rsid w:val="00E6034B"/>
    <w:rsid w:val="00E64E83"/>
    <w:rsid w:val="00E6549E"/>
    <w:rsid w:val="00E65EDE"/>
    <w:rsid w:val="00E70F81"/>
    <w:rsid w:val="00E77055"/>
    <w:rsid w:val="00E77460"/>
    <w:rsid w:val="00E77BCB"/>
    <w:rsid w:val="00E83ABC"/>
    <w:rsid w:val="00E844F2"/>
    <w:rsid w:val="00E92FCB"/>
    <w:rsid w:val="00EA147F"/>
    <w:rsid w:val="00EB1A19"/>
    <w:rsid w:val="00ED03AB"/>
    <w:rsid w:val="00ED0CAC"/>
    <w:rsid w:val="00ED1CD4"/>
    <w:rsid w:val="00ED1D2B"/>
    <w:rsid w:val="00ED5383"/>
    <w:rsid w:val="00ED5A8D"/>
    <w:rsid w:val="00ED64B5"/>
    <w:rsid w:val="00EE7CCA"/>
    <w:rsid w:val="00F16A14"/>
    <w:rsid w:val="00F17225"/>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6CDB"/>
    <w:rsid w:val="00FA7BC9"/>
    <w:rsid w:val="00FB378E"/>
    <w:rsid w:val="00FB37F1"/>
    <w:rsid w:val="00FB47C0"/>
    <w:rsid w:val="00FB501B"/>
    <w:rsid w:val="00FB7770"/>
    <w:rsid w:val="00FD3B91"/>
    <w:rsid w:val="00FD576B"/>
    <w:rsid w:val="00FD579E"/>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111896-A545-4BBC-9F88-1E178A75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70038D"/>
    <w:pPr>
      <w:snapToGrid w:val="0"/>
      <w:jc w:val="left"/>
    </w:pPr>
    <w:rPr>
      <w:sz w:val="20"/>
    </w:rPr>
  </w:style>
  <w:style w:type="character" w:customStyle="1" w:styleId="afc">
    <w:name w:val="註腳文字 字元"/>
    <w:basedOn w:val="a7"/>
    <w:link w:val="afb"/>
    <w:uiPriority w:val="99"/>
    <w:semiHidden/>
    <w:rsid w:val="0070038D"/>
    <w:rPr>
      <w:rFonts w:ascii="標楷體" w:eastAsia="標楷體"/>
      <w:kern w:val="2"/>
    </w:rPr>
  </w:style>
  <w:style w:type="character" w:styleId="afd">
    <w:name w:val="footnote reference"/>
    <w:basedOn w:val="a7"/>
    <w:uiPriority w:val="99"/>
    <w:semiHidden/>
    <w:unhideWhenUsed/>
    <w:rsid w:val="0070038D"/>
    <w:rPr>
      <w:vertAlign w:val="superscript"/>
    </w:rPr>
  </w:style>
  <w:style w:type="character" w:customStyle="1" w:styleId="ab">
    <w:name w:val="簽名 字元"/>
    <w:basedOn w:val="a7"/>
    <w:link w:val="aa"/>
    <w:rsid w:val="00596F9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2259-2857-4ABA-BF3B-F588475D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5988</Words>
  <Characters>2608</Characters>
  <Application>Microsoft Office Word</Application>
  <DocSecurity>4</DocSecurity>
  <Lines>21</Lines>
  <Paragraphs>17</Paragraphs>
  <ScaleCrop>false</ScaleCrop>
  <Company>cy</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廖春媛</cp:lastModifiedBy>
  <cp:revision>2</cp:revision>
  <cp:lastPrinted>2018-05-28T10:16:00Z</cp:lastPrinted>
  <dcterms:created xsi:type="dcterms:W3CDTF">2019-04-11T06:23:00Z</dcterms:created>
  <dcterms:modified xsi:type="dcterms:W3CDTF">2019-04-11T06:23:00Z</dcterms:modified>
</cp:coreProperties>
</file>